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7.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8.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9.xml" ContentType="application/vnd.openxmlformats-officedocument.wordprocessingml.footer+xml"/>
  <Override PartName="/word/header4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0E5" w:rsidRDefault="004B20E5" w:rsidP="008316AB">
      <w:pPr>
        <w:pStyle w:val="Header"/>
        <w:tabs>
          <w:tab w:val="clear" w:pos="4680"/>
          <w:tab w:val="clear" w:pos="9360"/>
          <w:tab w:val="center" w:pos="7200"/>
          <w:tab w:val="right" w:pos="14400"/>
        </w:tabs>
        <w:jc w:val="center"/>
        <w:rPr>
          <w:rFonts w:cs="Arial"/>
          <w:b/>
          <w:sz w:val="36"/>
        </w:rPr>
      </w:pPr>
      <w:bookmarkStart w:id="0" w:name="_Toc336355358"/>
    </w:p>
    <w:p w:rsidR="004B20E5" w:rsidRDefault="00535275" w:rsidP="008316AB">
      <w:pPr>
        <w:pStyle w:val="Header"/>
        <w:tabs>
          <w:tab w:val="clear" w:pos="4680"/>
          <w:tab w:val="clear" w:pos="9360"/>
          <w:tab w:val="center" w:pos="7200"/>
          <w:tab w:val="right" w:pos="14400"/>
        </w:tabs>
        <w:jc w:val="center"/>
        <w:rPr>
          <w:rFonts w:cs="Arial"/>
          <w:b/>
          <w:sz w:val="36"/>
        </w:rPr>
      </w:pPr>
      <w:r>
        <w:rPr>
          <w:noProof/>
        </w:rPr>
        <w:drawing>
          <wp:inline distT="0" distB="0" distL="0" distR="0" wp14:anchorId="5B53E430" wp14:editId="2FFC0160">
            <wp:extent cx="6134100" cy="7794861"/>
            <wp:effectExtent l="76200" t="76200" r="76200" b="730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2693" t="10547" r="30609" b="6500"/>
                    <a:stretch/>
                  </pic:blipFill>
                  <pic:spPr bwMode="auto">
                    <a:xfrm>
                      <a:off x="0" y="0"/>
                      <a:ext cx="6137955" cy="7799760"/>
                    </a:xfrm>
                    <a:prstGeom prst="rect">
                      <a:avLst/>
                    </a:prstGeom>
                    <a:ln w="76200">
                      <a:solidFill>
                        <a:schemeClr val="tx1"/>
                      </a:solidFill>
                    </a:ln>
                    <a:extLst>
                      <a:ext uri="{53640926-AAD7-44D8-BBD7-CCE9431645EC}">
                        <a14:shadowObscured xmlns:a14="http://schemas.microsoft.com/office/drawing/2010/main"/>
                      </a:ext>
                    </a:extLst>
                  </pic:spPr>
                </pic:pic>
              </a:graphicData>
            </a:graphic>
          </wp:inline>
        </w:drawing>
      </w:r>
    </w:p>
    <w:p w:rsidR="004B20E5" w:rsidRDefault="004B20E5" w:rsidP="00535275">
      <w:pPr>
        <w:pStyle w:val="Header"/>
        <w:tabs>
          <w:tab w:val="clear" w:pos="4680"/>
          <w:tab w:val="clear" w:pos="9360"/>
          <w:tab w:val="center" w:pos="7200"/>
          <w:tab w:val="right" w:pos="14400"/>
        </w:tabs>
        <w:rPr>
          <w:rFonts w:cs="Arial"/>
          <w:b/>
          <w:sz w:val="24"/>
        </w:rPr>
      </w:pPr>
    </w:p>
    <w:p w:rsidR="004B20E5" w:rsidRDefault="004B20E5" w:rsidP="008316AB">
      <w:pPr>
        <w:pStyle w:val="Header"/>
        <w:tabs>
          <w:tab w:val="clear" w:pos="4680"/>
          <w:tab w:val="clear" w:pos="9360"/>
          <w:tab w:val="center" w:pos="7200"/>
          <w:tab w:val="right" w:pos="14400"/>
        </w:tabs>
        <w:jc w:val="center"/>
        <w:rPr>
          <w:rFonts w:cs="Arial"/>
          <w:b/>
          <w:color w:val="365F91"/>
          <w:sz w:val="32"/>
        </w:rPr>
      </w:pPr>
      <w:r w:rsidRPr="009B5346">
        <w:rPr>
          <w:rFonts w:cs="Arial"/>
          <w:b/>
          <w:color w:val="365F91"/>
          <w:sz w:val="32"/>
        </w:rPr>
        <w:lastRenderedPageBreak/>
        <w:t>Table of Contents</w:t>
      </w:r>
    </w:p>
    <w:p w:rsidR="004B20E5" w:rsidRPr="009B5346" w:rsidRDefault="004B20E5" w:rsidP="008316AB">
      <w:pPr>
        <w:pStyle w:val="Header"/>
        <w:tabs>
          <w:tab w:val="clear" w:pos="4680"/>
          <w:tab w:val="clear" w:pos="9360"/>
          <w:tab w:val="center" w:pos="7200"/>
          <w:tab w:val="right" w:pos="14400"/>
        </w:tabs>
        <w:jc w:val="center"/>
        <w:rPr>
          <w:rFonts w:cs="Arial"/>
          <w:b/>
          <w:color w:val="365F91"/>
          <w:sz w:val="32"/>
        </w:rPr>
      </w:pPr>
    </w:p>
    <w:p w:rsidR="004B20E5" w:rsidRDefault="004B20E5">
      <w:pPr>
        <w:pStyle w:val="TOC1"/>
        <w:rPr>
          <w:rFonts w:ascii="Calibri" w:hAnsi="Calibri" w:cs="Times New Roman"/>
          <w:b w:val="0"/>
        </w:rPr>
      </w:pPr>
      <w:r>
        <w:rPr>
          <w:bCs/>
        </w:rPr>
        <w:fldChar w:fldCharType="begin"/>
      </w:r>
      <w:r>
        <w:rPr>
          <w:bCs/>
        </w:rPr>
        <w:instrText xml:space="preserve"> TOC \o "1-3" \h \z \u </w:instrText>
      </w:r>
      <w:r>
        <w:rPr>
          <w:bCs/>
        </w:rPr>
        <w:fldChar w:fldCharType="separate"/>
      </w:r>
      <w:hyperlink w:anchor="_Toc398819251" w:history="1">
        <w:r w:rsidRPr="007853BC">
          <w:rPr>
            <w:rStyle w:val="Hyperlink"/>
          </w:rPr>
          <w:t>Letter from Commissioner Bartlett</w:t>
        </w:r>
        <w:r>
          <w:rPr>
            <w:webHidden/>
          </w:rPr>
          <w:tab/>
        </w:r>
        <w:r>
          <w:rPr>
            <w:webHidden/>
          </w:rPr>
          <w:fldChar w:fldCharType="begin"/>
        </w:r>
        <w:r>
          <w:rPr>
            <w:webHidden/>
          </w:rPr>
          <w:instrText xml:space="preserve"> PAGEREF _Toc398819251 \h </w:instrText>
        </w:r>
        <w:r>
          <w:rPr>
            <w:webHidden/>
          </w:rPr>
        </w:r>
        <w:r>
          <w:rPr>
            <w:webHidden/>
          </w:rPr>
          <w:fldChar w:fldCharType="separate"/>
        </w:r>
        <w:r w:rsidR="00592678">
          <w:rPr>
            <w:webHidden/>
          </w:rPr>
          <w:t>4</w:t>
        </w:r>
        <w:r>
          <w:rPr>
            <w:webHidden/>
          </w:rPr>
          <w:fldChar w:fldCharType="end"/>
        </w:r>
      </w:hyperlink>
    </w:p>
    <w:p w:rsidR="004B20E5" w:rsidRDefault="002D429A">
      <w:pPr>
        <w:pStyle w:val="TOC1"/>
        <w:rPr>
          <w:rFonts w:ascii="Calibri" w:hAnsi="Calibri" w:cs="Times New Roman"/>
          <w:b w:val="0"/>
        </w:rPr>
      </w:pPr>
      <w:hyperlink w:anchor="_Toc398819252" w:history="1">
        <w:r w:rsidR="004B20E5" w:rsidRPr="007853BC">
          <w:rPr>
            <w:rStyle w:val="Hyperlink"/>
          </w:rPr>
          <w:t>Executive Summary</w:t>
        </w:r>
        <w:r w:rsidR="004B20E5">
          <w:rPr>
            <w:webHidden/>
          </w:rPr>
          <w:tab/>
        </w:r>
        <w:r w:rsidR="004B20E5">
          <w:rPr>
            <w:webHidden/>
          </w:rPr>
          <w:fldChar w:fldCharType="begin"/>
        </w:r>
        <w:r w:rsidR="004B20E5">
          <w:rPr>
            <w:webHidden/>
          </w:rPr>
          <w:instrText xml:space="preserve"> PAGEREF _Toc398819252 \h </w:instrText>
        </w:r>
        <w:r w:rsidR="004B20E5">
          <w:rPr>
            <w:webHidden/>
          </w:rPr>
        </w:r>
        <w:r w:rsidR="004B20E5">
          <w:rPr>
            <w:webHidden/>
          </w:rPr>
          <w:fldChar w:fldCharType="separate"/>
        </w:r>
        <w:r w:rsidR="00592678">
          <w:rPr>
            <w:webHidden/>
          </w:rPr>
          <w:t>5</w:t>
        </w:r>
        <w:r w:rsidR="004B20E5">
          <w:rPr>
            <w:webHidden/>
          </w:rPr>
          <w:fldChar w:fldCharType="end"/>
        </w:r>
      </w:hyperlink>
    </w:p>
    <w:p w:rsidR="004B20E5" w:rsidRDefault="002D429A">
      <w:pPr>
        <w:pStyle w:val="TOC2"/>
        <w:rPr>
          <w:rFonts w:ascii="Calibri" w:hAnsi="Calibri" w:cs="Times New Roman"/>
          <w:sz w:val="22"/>
        </w:rPr>
      </w:pPr>
      <w:hyperlink w:anchor="_Toc398819253" w:history="1">
        <w:r w:rsidR="004B20E5" w:rsidRPr="007853BC">
          <w:rPr>
            <w:rStyle w:val="Hyperlink"/>
          </w:rPr>
          <w:t>Principles and Beliefs for Action</w:t>
        </w:r>
        <w:r w:rsidR="004B20E5">
          <w:rPr>
            <w:webHidden/>
          </w:rPr>
          <w:tab/>
        </w:r>
        <w:r w:rsidR="004B20E5">
          <w:rPr>
            <w:webHidden/>
          </w:rPr>
          <w:fldChar w:fldCharType="begin"/>
        </w:r>
        <w:r w:rsidR="004B20E5">
          <w:rPr>
            <w:webHidden/>
          </w:rPr>
          <w:instrText xml:space="preserve"> PAGEREF _Toc398819253 \h </w:instrText>
        </w:r>
        <w:r w:rsidR="004B20E5">
          <w:rPr>
            <w:webHidden/>
          </w:rPr>
        </w:r>
        <w:r w:rsidR="004B20E5">
          <w:rPr>
            <w:webHidden/>
          </w:rPr>
          <w:fldChar w:fldCharType="separate"/>
        </w:r>
        <w:r w:rsidR="00592678">
          <w:rPr>
            <w:webHidden/>
          </w:rPr>
          <w:t>5</w:t>
        </w:r>
        <w:r w:rsidR="004B20E5">
          <w:rPr>
            <w:webHidden/>
          </w:rPr>
          <w:fldChar w:fldCharType="end"/>
        </w:r>
      </w:hyperlink>
    </w:p>
    <w:p w:rsidR="004B20E5" w:rsidRDefault="002D429A">
      <w:pPr>
        <w:pStyle w:val="TOC2"/>
        <w:rPr>
          <w:rFonts w:ascii="Calibri" w:hAnsi="Calibri" w:cs="Times New Roman"/>
          <w:sz w:val="22"/>
        </w:rPr>
      </w:pPr>
      <w:hyperlink w:anchor="_Toc398819255" w:history="1">
        <w:r w:rsidR="004B20E5" w:rsidRPr="007853BC">
          <w:rPr>
            <w:rStyle w:val="Hyperlink"/>
          </w:rPr>
          <w:t>Structure of the Massachusetts State Health Improvement Plan</w:t>
        </w:r>
        <w:r w:rsidR="004B20E5">
          <w:rPr>
            <w:webHidden/>
          </w:rPr>
          <w:tab/>
        </w:r>
        <w:r w:rsidR="004B20E5">
          <w:rPr>
            <w:webHidden/>
          </w:rPr>
          <w:fldChar w:fldCharType="begin"/>
        </w:r>
        <w:r w:rsidR="004B20E5">
          <w:rPr>
            <w:webHidden/>
          </w:rPr>
          <w:instrText xml:space="preserve"> PAGEREF _Toc398819255 \h </w:instrText>
        </w:r>
        <w:r w:rsidR="004B20E5">
          <w:rPr>
            <w:webHidden/>
          </w:rPr>
        </w:r>
        <w:r w:rsidR="004B20E5">
          <w:rPr>
            <w:webHidden/>
          </w:rPr>
          <w:fldChar w:fldCharType="separate"/>
        </w:r>
        <w:r w:rsidR="00592678">
          <w:rPr>
            <w:webHidden/>
          </w:rPr>
          <w:t>6</w:t>
        </w:r>
        <w:r w:rsidR="004B20E5">
          <w:rPr>
            <w:webHidden/>
          </w:rPr>
          <w:fldChar w:fldCharType="end"/>
        </w:r>
      </w:hyperlink>
    </w:p>
    <w:p w:rsidR="004B20E5" w:rsidRDefault="002D429A">
      <w:pPr>
        <w:pStyle w:val="TOC2"/>
        <w:rPr>
          <w:rFonts w:ascii="Calibri" w:hAnsi="Calibri" w:cs="Times New Roman"/>
          <w:sz w:val="22"/>
        </w:rPr>
      </w:pPr>
      <w:hyperlink w:anchor="_Toc398819256" w:history="1">
        <w:r w:rsidR="004B20E5" w:rsidRPr="007853BC">
          <w:rPr>
            <w:rStyle w:val="Hyperlink"/>
          </w:rPr>
          <w:t>Relationship Between the SHIP and Other Guiding Documents and Initiatives</w:t>
        </w:r>
        <w:r w:rsidR="004B20E5">
          <w:rPr>
            <w:webHidden/>
          </w:rPr>
          <w:tab/>
        </w:r>
        <w:r w:rsidR="004B20E5">
          <w:rPr>
            <w:webHidden/>
          </w:rPr>
          <w:fldChar w:fldCharType="begin"/>
        </w:r>
        <w:r w:rsidR="004B20E5">
          <w:rPr>
            <w:webHidden/>
          </w:rPr>
          <w:instrText xml:space="preserve"> PAGEREF _Toc398819256 \h </w:instrText>
        </w:r>
        <w:r w:rsidR="004B20E5">
          <w:rPr>
            <w:webHidden/>
          </w:rPr>
        </w:r>
        <w:r w:rsidR="004B20E5">
          <w:rPr>
            <w:webHidden/>
          </w:rPr>
          <w:fldChar w:fldCharType="separate"/>
        </w:r>
        <w:r w:rsidR="00592678">
          <w:rPr>
            <w:webHidden/>
          </w:rPr>
          <w:t>8</w:t>
        </w:r>
        <w:r w:rsidR="004B20E5">
          <w:rPr>
            <w:webHidden/>
          </w:rPr>
          <w:fldChar w:fldCharType="end"/>
        </w:r>
      </w:hyperlink>
    </w:p>
    <w:p w:rsidR="004B20E5" w:rsidRDefault="002D429A">
      <w:pPr>
        <w:pStyle w:val="TOC1"/>
        <w:rPr>
          <w:rFonts w:ascii="Calibri" w:hAnsi="Calibri" w:cs="Times New Roman"/>
          <w:b w:val="0"/>
        </w:rPr>
      </w:pPr>
      <w:hyperlink w:anchor="_Toc398819257" w:history="1">
        <w:r w:rsidR="004B20E5" w:rsidRPr="007853BC">
          <w:rPr>
            <w:rStyle w:val="Hyperlink"/>
          </w:rPr>
          <w:t>A Framework for Action</w:t>
        </w:r>
        <w:r w:rsidR="004B20E5">
          <w:rPr>
            <w:webHidden/>
          </w:rPr>
          <w:tab/>
        </w:r>
        <w:r w:rsidR="004B20E5">
          <w:rPr>
            <w:webHidden/>
          </w:rPr>
          <w:fldChar w:fldCharType="begin"/>
        </w:r>
        <w:r w:rsidR="004B20E5">
          <w:rPr>
            <w:webHidden/>
          </w:rPr>
          <w:instrText xml:space="preserve"> PAGEREF _Toc398819257 \h </w:instrText>
        </w:r>
        <w:r w:rsidR="004B20E5">
          <w:rPr>
            <w:webHidden/>
          </w:rPr>
        </w:r>
        <w:r w:rsidR="004B20E5">
          <w:rPr>
            <w:webHidden/>
          </w:rPr>
          <w:fldChar w:fldCharType="separate"/>
        </w:r>
        <w:r w:rsidR="00592678">
          <w:rPr>
            <w:webHidden/>
          </w:rPr>
          <w:t>9</w:t>
        </w:r>
        <w:r w:rsidR="004B20E5">
          <w:rPr>
            <w:webHidden/>
          </w:rPr>
          <w:fldChar w:fldCharType="end"/>
        </w:r>
      </w:hyperlink>
    </w:p>
    <w:p w:rsidR="004B20E5" w:rsidRDefault="002D429A">
      <w:pPr>
        <w:pStyle w:val="TOC2"/>
        <w:rPr>
          <w:rFonts w:ascii="Calibri" w:hAnsi="Calibri" w:cs="Times New Roman"/>
          <w:sz w:val="22"/>
        </w:rPr>
      </w:pPr>
      <w:hyperlink w:anchor="_Toc398819258" w:history="1">
        <w:r w:rsidR="004B20E5" w:rsidRPr="007853BC">
          <w:rPr>
            <w:rStyle w:val="Hyperlink"/>
          </w:rPr>
          <w:t>Integrating Public Health and Health Care to Achieve the “Triple Aim” Objectives of Health Reform</w:t>
        </w:r>
        <w:r w:rsidR="004B20E5">
          <w:rPr>
            <w:webHidden/>
          </w:rPr>
          <w:tab/>
        </w:r>
        <w:r w:rsidR="004B20E5">
          <w:rPr>
            <w:webHidden/>
          </w:rPr>
          <w:fldChar w:fldCharType="begin"/>
        </w:r>
        <w:r w:rsidR="004B20E5">
          <w:rPr>
            <w:webHidden/>
          </w:rPr>
          <w:instrText xml:space="preserve"> PAGEREF _Toc398819258 \h </w:instrText>
        </w:r>
        <w:r w:rsidR="004B20E5">
          <w:rPr>
            <w:webHidden/>
          </w:rPr>
        </w:r>
        <w:r w:rsidR="004B20E5">
          <w:rPr>
            <w:webHidden/>
          </w:rPr>
          <w:fldChar w:fldCharType="separate"/>
        </w:r>
        <w:r w:rsidR="00592678">
          <w:rPr>
            <w:webHidden/>
          </w:rPr>
          <w:t>9</w:t>
        </w:r>
        <w:r w:rsidR="004B20E5">
          <w:rPr>
            <w:webHidden/>
          </w:rPr>
          <w:fldChar w:fldCharType="end"/>
        </w:r>
      </w:hyperlink>
    </w:p>
    <w:p w:rsidR="004B20E5" w:rsidRDefault="002D429A">
      <w:pPr>
        <w:pStyle w:val="TOC2"/>
        <w:rPr>
          <w:rFonts w:ascii="Calibri" w:hAnsi="Calibri" w:cs="Times New Roman"/>
          <w:sz w:val="22"/>
        </w:rPr>
      </w:pPr>
      <w:hyperlink w:anchor="_Toc398819259" w:history="1">
        <w:r w:rsidR="004B20E5" w:rsidRPr="007853BC">
          <w:rPr>
            <w:rStyle w:val="Hyperlink"/>
          </w:rPr>
          <w:t>Context for Action</w:t>
        </w:r>
        <w:r w:rsidR="004B20E5">
          <w:rPr>
            <w:webHidden/>
          </w:rPr>
          <w:tab/>
        </w:r>
        <w:r w:rsidR="004B20E5">
          <w:rPr>
            <w:webHidden/>
          </w:rPr>
          <w:fldChar w:fldCharType="begin"/>
        </w:r>
        <w:r w:rsidR="004B20E5">
          <w:rPr>
            <w:webHidden/>
          </w:rPr>
          <w:instrText xml:space="preserve"> PAGEREF _Toc398819259 \h </w:instrText>
        </w:r>
        <w:r w:rsidR="004B20E5">
          <w:rPr>
            <w:webHidden/>
          </w:rPr>
        </w:r>
        <w:r w:rsidR="004B20E5">
          <w:rPr>
            <w:webHidden/>
          </w:rPr>
          <w:fldChar w:fldCharType="separate"/>
        </w:r>
        <w:r w:rsidR="00592678">
          <w:rPr>
            <w:webHidden/>
          </w:rPr>
          <w:t>10</w:t>
        </w:r>
        <w:r w:rsidR="004B20E5">
          <w:rPr>
            <w:webHidden/>
          </w:rPr>
          <w:fldChar w:fldCharType="end"/>
        </w:r>
      </w:hyperlink>
    </w:p>
    <w:p w:rsidR="004B20E5" w:rsidRDefault="002D429A">
      <w:pPr>
        <w:pStyle w:val="TOC2"/>
        <w:rPr>
          <w:rFonts w:ascii="Calibri" w:hAnsi="Calibri" w:cs="Times New Roman"/>
          <w:sz w:val="22"/>
        </w:rPr>
      </w:pPr>
      <w:hyperlink w:anchor="_Toc398819260" w:history="1">
        <w:r w:rsidR="004B20E5" w:rsidRPr="007853BC">
          <w:rPr>
            <w:rStyle w:val="Hyperlink"/>
          </w:rPr>
          <w:t>Opportunities and Challenges in State Health Care Reform</w:t>
        </w:r>
        <w:r w:rsidR="004B20E5">
          <w:rPr>
            <w:webHidden/>
          </w:rPr>
          <w:tab/>
        </w:r>
        <w:r w:rsidR="004B20E5">
          <w:rPr>
            <w:webHidden/>
          </w:rPr>
          <w:fldChar w:fldCharType="begin"/>
        </w:r>
        <w:r w:rsidR="004B20E5">
          <w:rPr>
            <w:webHidden/>
          </w:rPr>
          <w:instrText xml:space="preserve"> PAGEREF _Toc398819260 \h </w:instrText>
        </w:r>
        <w:r w:rsidR="004B20E5">
          <w:rPr>
            <w:webHidden/>
          </w:rPr>
        </w:r>
        <w:r w:rsidR="004B20E5">
          <w:rPr>
            <w:webHidden/>
          </w:rPr>
          <w:fldChar w:fldCharType="separate"/>
        </w:r>
        <w:r w:rsidR="00592678">
          <w:rPr>
            <w:webHidden/>
          </w:rPr>
          <w:t>10</w:t>
        </w:r>
        <w:r w:rsidR="004B20E5">
          <w:rPr>
            <w:webHidden/>
          </w:rPr>
          <w:fldChar w:fldCharType="end"/>
        </w:r>
      </w:hyperlink>
    </w:p>
    <w:p w:rsidR="004B20E5" w:rsidRDefault="002D429A">
      <w:pPr>
        <w:pStyle w:val="TOC2"/>
        <w:rPr>
          <w:rFonts w:ascii="Calibri" w:hAnsi="Calibri" w:cs="Times New Roman"/>
          <w:sz w:val="22"/>
        </w:rPr>
      </w:pPr>
      <w:hyperlink w:anchor="_Toc398819261" w:history="1">
        <w:r w:rsidR="004B20E5" w:rsidRPr="007853BC">
          <w:rPr>
            <w:rStyle w:val="Hyperlink"/>
          </w:rPr>
          <w:t>Principles and Beliefs for Action</w:t>
        </w:r>
        <w:r w:rsidR="004B20E5">
          <w:rPr>
            <w:webHidden/>
          </w:rPr>
          <w:tab/>
        </w:r>
        <w:r w:rsidR="004B20E5">
          <w:rPr>
            <w:webHidden/>
          </w:rPr>
          <w:fldChar w:fldCharType="begin"/>
        </w:r>
        <w:r w:rsidR="004B20E5">
          <w:rPr>
            <w:webHidden/>
          </w:rPr>
          <w:instrText xml:space="preserve"> PAGEREF _Toc398819261 \h </w:instrText>
        </w:r>
        <w:r w:rsidR="004B20E5">
          <w:rPr>
            <w:webHidden/>
          </w:rPr>
        </w:r>
        <w:r w:rsidR="004B20E5">
          <w:rPr>
            <w:webHidden/>
          </w:rPr>
          <w:fldChar w:fldCharType="separate"/>
        </w:r>
        <w:r w:rsidR="00592678">
          <w:rPr>
            <w:webHidden/>
          </w:rPr>
          <w:t>11</w:t>
        </w:r>
        <w:r w:rsidR="004B20E5">
          <w:rPr>
            <w:webHidden/>
          </w:rPr>
          <w:fldChar w:fldCharType="end"/>
        </w:r>
      </w:hyperlink>
    </w:p>
    <w:p w:rsidR="004B20E5" w:rsidRDefault="002D429A">
      <w:pPr>
        <w:pStyle w:val="TOC1"/>
        <w:rPr>
          <w:rFonts w:ascii="Calibri" w:hAnsi="Calibri" w:cs="Times New Roman"/>
          <w:b w:val="0"/>
        </w:rPr>
      </w:pPr>
      <w:hyperlink w:anchor="_Toc398819263" w:history="1">
        <w:r w:rsidR="004B20E5" w:rsidRPr="007853BC">
          <w:rPr>
            <w:rStyle w:val="Hyperlink"/>
          </w:rPr>
          <w:t>Orientation to the Massachusetts State Health Improvement Plan</w:t>
        </w:r>
        <w:r w:rsidR="004B20E5">
          <w:rPr>
            <w:webHidden/>
          </w:rPr>
          <w:tab/>
        </w:r>
        <w:r w:rsidR="004B20E5">
          <w:rPr>
            <w:webHidden/>
          </w:rPr>
          <w:fldChar w:fldCharType="begin"/>
        </w:r>
        <w:r w:rsidR="004B20E5">
          <w:rPr>
            <w:webHidden/>
          </w:rPr>
          <w:instrText xml:space="preserve"> PAGEREF _Toc398819263 \h </w:instrText>
        </w:r>
        <w:r w:rsidR="004B20E5">
          <w:rPr>
            <w:webHidden/>
          </w:rPr>
        </w:r>
        <w:r w:rsidR="004B20E5">
          <w:rPr>
            <w:webHidden/>
          </w:rPr>
          <w:fldChar w:fldCharType="separate"/>
        </w:r>
        <w:r w:rsidR="00592678">
          <w:rPr>
            <w:webHidden/>
          </w:rPr>
          <w:t>15</w:t>
        </w:r>
        <w:r w:rsidR="004B20E5">
          <w:rPr>
            <w:webHidden/>
          </w:rPr>
          <w:fldChar w:fldCharType="end"/>
        </w:r>
      </w:hyperlink>
    </w:p>
    <w:p w:rsidR="004B20E5" w:rsidRDefault="002D429A">
      <w:pPr>
        <w:pStyle w:val="TOC2"/>
        <w:rPr>
          <w:rFonts w:ascii="Calibri" w:hAnsi="Calibri" w:cs="Times New Roman"/>
          <w:sz w:val="22"/>
        </w:rPr>
      </w:pPr>
      <w:hyperlink w:anchor="_Toc398819264" w:history="1">
        <w:r w:rsidR="004B20E5" w:rsidRPr="007853BC">
          <w:rPr>
            <w:rStyle w:val="Hyperlink"/>
          </w:rPr>
          <w:t>What is a State Health Improvement Plan?</w:t>
        </w:r>
        <w:r w:rsidR="004B20E5">
          <w:rPr>
            <w:webHidden/>
          </w:rPr>
          <w:tab/>
        </w:r>
        <w:r w:rsidR="004B20E5">
          <w:rPr>
            <w:webHidden/>
          </w:rPr>
          <w:fldChar w:fldCharType="begin"/>
        </w:r>
        <w:r w:rsidR="004B20E5">
          <w:rPr>
            <w:webHidden/>
          </w:rPr>
          <w:instrText xml:space="preserve"> PAGEREF _Toc398819264 \h </w:instrText>
        </w:r>
        <w:r w:rsidR="004B20E5">
          <w:rPr>
            <w:webHidden/>
          </w:rPr>
        </w:r>
        <w:r w:rsidR="004B20E5">
          <w:rPr>
            <w:webHidden/>
          </w:rPr>
          <w:fldChar w:fldCharType="separate"/>
        </w:r>
        <w:r w:rsidR="00592678">
          <w:rPr>
            <w:webHidden/>
          </w:rPr>
          <w:t>15</w:t>
        </w:r>
        <w:r w:rsidR="004B20E5">
          <w:rPr>
            <w:webHidden/>
          </w:rPr>
          <w:fldChar w:fldCharType="end"/>
        </w:r>
      </w:hyperlink>
    </w:p>
    <w:p w:rsidR="004B20E5" w:rsidRDefault="002D429A">
      <w:pPr>
        <w:pStyle w:val="TOC2"/>
        <w:rPr>
          <w:rFonts w:ascii="Calibri" w:hAnsi="Calibri" w:cs="Times New Roman"/>
          <w:sz w:val="22"/>
        </w:rPr>
      </w:pPr>
      <w:hyperlink w:anchor="_Toc398819265" w:history="1">
        <w:r w:rsidR="004B20E5" w:rsidRPr="007853BC">
          <w:rPr>
            <w:rStyle w:val="Hyperlink"/>
          </w:rPr>
          <w:t>State Health Assessment</w:t>
        </w:r>
        <w:r w:rsidR="004B20E5">
          <w:rPr>
            <w:webHidden/>
          </w:rPr>
          <w:tab/>
        </w:r>
        <w:r w:rsidR="004B20E5">
          <w:rPr>
            <w:webHidden/>
          </w:rPr>
          <w:fldChar w:fldCharType="begin"/>
        </w:r>
        <w:r w:rsidR="004B20E5">
          <w:rPr>
            <w:webHidden/>
          </w:rPr>
          <w:instrText xml:space="preserve"> PAGEREF _Toc398819265 \h </w:instrText>
        </w:r>
        <w:r w:rsidR="004B20E5">
          <w:rPr>
            <w:webHidden/>
          </w:rPr>
        </w:r>
        <w:r w:rsidR="004B20E5">
          <w:rPr>
            <w:webHidden/>
          </w:rPr>
          <w:fldChar w:fldCharType="separate"/>
        </w:r>
        <w:r w:rsidR="00592678">
          <w:rPr>
            <w:webHidden/>
          </w:rPr>
          <w:t>15</w:t>
        </w:r>
        <w:r w:rsidR="004B20E5">
          <w:rPr>
            <w:webHidden/>
          </w:rPr>
          <w:fldChar w:fldCharType="end"/>
        </w:r>
      </w:hyperlink>
    </w:p>
    <w:p w:rsidR="004B20E5" w:rsidRDefault="002D429A">
      <w:pPr>
        <w:pStyle w:val="TOC2"/>
        <w:rPr>
          <w:rFonts w:ascii="Calibri" w:hAnsi="Calibri" w:cs="Times New Roman"/>
          <w:sz w:val="22"/>
        </w:rPr>
      </w:pPr>
      <w:hyperlink w:anchor="_Toc398819266" w:history="1">
        <w:r w:rsidR="004B20E5" w:rsidRPr="007853BC">
          <w:rPr>
            <w:rStyle w:val="Hyperlink"/>
          </w:rPr>
          <w:t>Going from Plan to Action</w:t>
        </w:r>
        <w:r w:rsidR="004B20E5">
          <w:rPr>
            <w:webHidden/>
          </w:rPr>
          <w:tab/>
        </w:r>
        <w:r w:rsidR="004B20E5">
          <w:rPr>
            <w:webHidden/>
          </w:rPr>
          <w:fldChar w:fldCharType="begin"/>
        </w:r>
        <w:r w:rsidR="004B20E5">
          <w:rPr>
            <w:webHidden/>
          </w:rPr>
          <w:instrText xml:space="preserve"> PAGEREF _Toc398819266 \h </w:instrText>
        </w:r>
        <w:r w:rsidR="004B20E5">
          <w:rPr>
            <w:webHidden/>
          </w:rPr>
        </w:r>
        <w:r w:rsidR="004B20E5">
          <w:rPr>
            <w:webHidden/>
          </w:rPr>
          <w:fldChar w:fldCharType="separate"/>
        </w:r>
        <w:r w:rsidR="00592678">
          <w:rPr>
            <w:webHidden/>
          </w:rPr>
          <w:t>15</w:t>
        </w:r>
        <w:r w:rsidR="004B20E5">
          <w:rPr>
            <w:webHidden/>
          </w:rPr>
          <w:fldChar w:fldCharType="end"/>
        </w:r>
      </w:hyperlink>
    </w:p>
    <w:p w:rsidR="004B20E5" w:rsidRDefault="002D429A">
      <w:pPr>
        <w:pStyle w:val="TOC1"/>
        <w:rPr>
          <w:rFonts w:ascii="Calibri" w:hAnsi="Calibri" w:cs="Times New Roman"/>
          <w:b w:val="0"/>
        </w:rPr>
      </w:pPr>
      <w:hyperlink w:anchor="_Toc398819267" w:history="1">
        <w:r w:rsidR="004B20E5" w:rsidRPr="007853BC">
          <w:rPr>
            <w:rStyle w:val="Hyperlink"/>
          </w:rPr>
          <w:t>SHIP Structure</w:t>
        </w:r>
        <w:r w:rsidR="004B20E5">
          <w:rPr>
            <w:webHidden/>
          </w:rPr>
          <w:tab/>
        </w:r>
        <w:r w:rsidR="004B20E5">
          <w:rPr>
            <w:webHidden/>
          </w:rPr>
          <w:fldChar w:fldCharType="begin"/>
        </w:r>
        <w:r w:rsidR="004B20E5">
          <w:rPr>
            <w:webHidden/>
          </w:rPr>
          <w:instrText xml:space="preserve"> PAGEREF _Toc398819267 \h </w:instrText>
        </w:r>
        <w:r w:rsidR="004B20E5">
          <w:rPr>
            <w:webHidden/>
          </w:rPr>
        </w:r>
        <w:r w:rsidR="004B20E5">
          <w:rPr>
            <w:webHidden/>
          </w:rPr>
          <w:fldChar w:fldCharType="separate"/>
        </w:r>
        <w:r w:rsidR="00592678">
          <w:rPr>
            <w:webHidden/>
          </w:rPr>
          <w:t>16</w:t>
        </w:r>
        <w:r w:rsidR="004B20E5">
          <w:rPr>
            <w:webHidden/>
          </w:rPr>
          <w:fldChar w:fldCharType="end"/>
        </w:r>
      </w:hyperlink>
    </w:p>
    <w:p w:rsidR="004B20E5" w:rsidRDefault="002D429A">
      <w:pPr>
        <w:pStyle w:val="TOC2"/>
        <w:rPr>
          <w:rFonts w:ascii="Calibri" w:hAnsi="Calibri" w:cs="Times New Roman"/>
          <w:sz w:val="22"/>
        </w:rPr>
      </w:pPr>
      <w:hyperlink w:anchor="_Toc398819268" w:history="1">
        <w:r w:rsidR="004B20E5" w:rsidRPr="007853BC">
          <w:rPr>
            <w:rStyle w:val="Hyperlink"/>
          </w:rPr>
          <w:t>Guide to Strategic Domains of the Massachusetts State Health Improvement Plan</w:t>
        </w:r>
        <w:r w:rsidR="004B20E5">
          <w:rPr>
            <w:webHidden/>
          </w:rPr>
          <w:tab/>
        </w:r>
        <w:r w:rsidR="004B20E5">
          <w:rPr>
            <w:webHidden/>
          </w:rPr>
          <w:fldChar w:fldCharType="begin"/>
        </w:r>
        <w:r w:rsidR="004B20E5">
          <w:rPr>
            <w:webHidden/>
          </w:rPr>
          <w:instrText xml:space="preserve"> PAGEREF _Toc398819268 \h </w:instrText>
        </w:r>
        <w:r w:rsidR="004B20E5">
          <w:rPr>
            <w:webHidden/>
          </w:rPr>
        </w:r>
        <w:r w:rsidR="004B20E5">
          <w:rPr>
            <w:webHidden/>
          </w:rPr>
          <w:fldChar w:fldCharType="separate"/>
        </w:r>
        <w:r w:rsidR="00592678">
          <w:rPr>
            <w:webHidden/>
          </w:rPr>
          <w:t>17</w:t>
        </w:r>
        <w:r w:rsidR="004B20E5">
          <w:rPr>
            <w:webHidden/>
          </w:rPr>
          <w:fldChar w:fldCharType="end"/>
        </w:r>
      </w:hyperlink>
    </w:p>
    <w:p w:rsidR="004B20E5" w:rsidRDefault="002D429A">
      <w:pPr>
        <w:pStyle w:val="TOC2"/>
        <w:rPr>
          <w:rFonts w:ascii="Calibri" w:hAnsi="Calibri" w:cs="Times New Roman"/>
          <w:sz w:val="22"/>
        </w:rPr>
      </w:pPr>
      <w:hyperlink w:anchor="_Toc398819269" w:history="1">
        <w:r w:rsidR="004B20E5" w:rsidRPr="007853BC">
          <w:rPr>
            <w:rStyle w:val="Hyperlink"/>
          </w:rPr>
          <w:t>Relationship Between the SHIP and Other Guiding Documents and Initiatives</w:t>
        </w:r>
        <w:r w:rsidR="004B20E5">
          <w:rPr>
            <w:webHidden/>
          </w:rPr>
          <w:tab/>
        </w:r>
        <w:r w:rsidR="004B20E5">
          <w:rPr>
            <w:webHidden/>
          </w:rPr>
          <w:fldChar w:fldCharType="begin"/>
        </w:r>
        <w:r w:rsidR="004B20E5">
          <w:rPr>
            <w:webHidden/>
          </w:rPr>
          <w:instrText xml:space="preserve"> PAGEREF _Toc398819269 \h </w:instrText>
        </w:r>
        <w:r w:rsidR="004B20E5">
          <w:rPr>
            <w:webHidden/>
          </w:rPr>
        </w:r>
        <w:r w:rsidR="004B20E5">
          <w:rPr>
            <w:webHidden/>
          </w:rPr>
          <w:fldChar w:fldCharType="separate"/>
        </w:r>
        <w:r w:rsidR="00592678">
          <w:rPr>
            <w:webHidden/>
          </w:rPr>
          <w:t>22</w:t>
        </w:r>
        <w:r w:rsidR="004B20E5">
          <w:rPr>
            <w:webHidden/>
          </w:rPr>
          <w:fldChar w:fldCharType="end"/>
        </w:r>
      </w:hyperlink>
    </w:p>
    <w:p w:rsidR="004B20E5" w:rsidRDefault="002D429A">
      <w:pPr>
        <w:pStyle w:val="TOC1"/>
        <w:rPr>
          <w:rFonts w:ascii="Calibri" w:hAnsi="Calibri" w:cs="Times New Roman"/>
          <w:b w:val="0"/>
        </w:rPr>
      </w:pPr>
      <w:hyperlink w:anchor="_Toc398819270" w:history="1">
        <w:r w:rsidR="004B20E5" w:rsidRPr="007853BC">
          <w:rPr>
            <w:rStyle w:val="Hyperlink"/>
          </w:rPr>
          <w:t>The Plan</w:t>
        </w:r>
        <w:r w:rsidR="004B20E5">
          <w:rPr>
            <w:webHidden/>
          </w:rPr>
          <w:tab/>
        </w:r>
        <w:r w:rsidR="004B20E5">
          <w:rPr>
            <w:webHidden/>
          </w:rPr>
          <w:fldChar w:fldCharType="begin"/>
        </w:r>
        <w:r w:rsidR="004B20E5">
          <w:rPr>
            <w:webHidden/>
          </w:rPr>
          <w:instrText xml:space="preserve"> PAGEREF _Toc398819270 \h </w:instrText>
        </w:r>
        <w:r w:rsidR="004B20E5">
          <w:rPr>
            <w:webHidden/>
          </w:rPr>
        </w:r>
        <w:r w:rsidR="004B20E5">
          <w:rPr>
            <w:webHidden/>
          </w:rPr>
          <w:fldChar w:fldCharType="separate"/>
        </w:r>
        <w:r w:rsidR="00592678">
          <w:rPr>
            <w:webHidden/>
          </w:rPr>
          <w:t>23</w:t>
        </w:r>
        <w:r w:rsidR="004B20E5">
          <w:rPr>
            <w:webHidden/>
          </w:rPr>
          <w:fldChar w:fldCharType="end"/>
        </w:r>
      </w:hyperlink>
    </w:p>
    <w:p w:rsidR="004B20E5" w:rsidRDefault="002D429A">
      <w:pPr>
        <w:pStyle w:val="TOC1"/>
        <w:rPr>
          <w:rFonts w:ascii="Calibri" w:hAnsi="Calibri" w:cs="Times New Roman"/>
          <w:b w:val="0"/>
        </w:rPr>
      </w:pPr>
      <w:hyperlink w:anchor="_Toc398819271" w:history="1">
        <w:r w:rsidR="004B20E5" w:rsidRPr="007853BC">
          <w:rPr>
            <w:rStyle w:val="Hyperlink"/>
          </w:rPr>
          <w:t>Part I:  Public Health System Transformation</w:t>
        </w:r>
        <w:r w:rsidR="004B20E5">
          <w:rPr>
            <w:webHidden/>
          </w:rPr>
          <w:tab/>
        </w:r>
        <w:r w:rsidR="004B20E5">
          <w:rPr>
            <w:webHidden/>
          </w:rPr>
          <w:fldChar w:fldCharType="begin"/>
        </w:r>
        <w:r w:rsidR="004B20E5">
          <w:rPr>
            <w:webHidden/>
          </w:rPr>
          <w:instrText xml:space="preserve"> PAGEREF _Toc398819271 \h </w:instrText>
        </w:r>
        <w:r w:rsidR="004B20E5">
          <w:rPr>
            <w:webHidden/>
          </w:rPr>
        </w:r>
        <w:r w:rsidR="004B20E5">
          <w:rPr>
            <w:webHidden/>
          </w:rPr>
          <w:fldChar w:fldCharType="separate"/>
        </w:r>
        <w:r w:rsidR="00592678">
          <w:rPr>
            <w:webHidden/>
          </w:rPr>
          <w:t>24</w:t>
        </w:r>
        <w:r w:rsidR="004B20E5">
          <w:rPr>
            <w:webHidden/>
          </w:rPr>
          <w:fldChar w:fldCharType="end"/>
        </w:r>
      </w:hyperlink>
    </w:p>
    <w:p w:rsidR="004B20E5" w:rsidRDefault="002D429A">
      <w:pPr>
        <w:pStyle w:val="TOC2"/>
        <w:rPr>
          <w:rFonts w:ascii="Calibri" w:hAnsi="Calibri" w:cs="Times New Roman"/>
          <w:sz w:val="22"/>
        </w:rPr>
      </w:pPr>
      <w:hyperlink w:anchor="_Toc398819272" w:history="1">
        <w:r w:rsidR="004B20E5" w:rsidRPr="007853BC">
          <w:rPr>
            <w:rStyle w:val="Hyperlink"/>
          </w:rPr>
          <w:t>Health Systems Infrastructure</w:t>
        </w:r>
        <w:r w:rsidR="004B20E5">
          <w:rPr>
            <w:webHidden/>
          </w:rPr>
          <w:tab/>
        </w:r>
        <w:r w:rsidR="004B20E5">
          <w:rPr>
            <w:webHidden/>
          </w:rPr>
          <w:fldChar w:fldCharType="begin"/>
        </w:r>
        <w:r w:rsidR="004B20E5">
          <w:rPr>
            <w:webHidden/>
          </w:rPr>
          <w:instrText xml:space="preserve"> PAGEREF _Toc398819272 \h </w:instrText>
        </w:r>
        <w:r w:rsidR="004B20E5">
          <w:rPr>
            <w:webHidden/>
          </w:rPr>
        </w:r>
        <w:r w:rsidR="004B20E5">
          <w:rPr>
            <w:webHidden/>
          </w:rPr>
          <w:fldChar w:fldCharType="separate"/>
        </w:r>
        <w:r w:rsidR="00592678">
          <w:rPr>
            <w:webHidden/>
          </w:rPr>
          <w:t>25</w:t>
        </w:r>
        <w:r w:rsidR="004B20E5">
          <w:rPr>
            <w:webHidden/>
          </w:rPr>
          <w:fldChar w:fldCharType="end"/>
        </w:r>
      </w:hyperlink>
    </w:p>
    <w:p w:rsidR="004B20E5" w:rsidRDefault="002D429A">
      <w:pPr>
        <w:pStyle w:val="TOC1"/>
        <w:rPr>
          <w:rFonts w:ascii="Calibri" w:hAnsi="Calibri" w:cs="Times New Roman"/>
          <w:b w:val="0"/>
        </w:rPr>
      </w:pPr>
      <w:hyperlink w:anchor="_Toc398819273" w:history="1">
        <w:r w:rsidR="004B20E5" w:rsidRPr="007853BC">
          <w:rPr>
            <w:rStyle w:val="Hyperlink"/>
          </w:rPr>
          <w:t>Part II:  Health Issues/Topics</w:t>
        </w:r>
        <w:r w:rsidR="004B20E5">
          <w:rPr>
            <w:webHidden/>
          </w:rPr>
          <w:tab/>
        </w:r>
        <w:r w:rsidR="004B20E5">
          <w:rPr>
            <w:webHidden/>
          </w:rPr>
          <w:fldChar w:fldCharType="begin"/>
        </w:r>
        <w:r w:rsidR="004B20E5">
          <w:rPr>
            <w:webHidden/>
          </w:rPr>
          <w:instrText xml:space="preserve"> PAGEREF _Toc398819273 \h </w:instrText>
        </w:r>
        <w:r w:rsidR="004B20E5">
          <w:rPr>
            <w:webHidden/>
          </w:rPr>
        </w:r>
        <w:r w:rsidR="004B20E5">
          <w:rPr>
            <w:webHidden/>
          </w:rPr>
          <w:fldChar w:fldCharType="separate"/>
        </w:r>
        <w:r w:rsidR="00592678">
          <w:rPr>
            <w:webHidden/>
          </w:rPr>
          <w:t>31</w:t>
        </w:r>
        <w:r w:rsidR="004B20E5">
          <w:rPr>
            <w:webHidden/>
          </w:rPr>
          <w:fldChar w:fldCharType="end"/>
        </w:r>
      </w:hyperlink>
    </w:p>
    <w:p w:rsidR="004B20E5" w:rsidRDefault="002D429A">
      <w:pPr>
        <w:pStyle w:val="TOC2"/>
        <w:rPr>
          <w:rFonts w:ascii="Calibri" w:hAnsi="Calibri" w:cs="Times New Roman"/>
          <w:sz w:val="22"/>
        </w:rPr>
      </w:pPr>
      <w:hyperlink w:anchor="_Toc398819274" w:history="1">
        <w:r w:rsidR="004B20E5" w:rsidRPr="007853BC">
          <w:rPr>
            <w:rStyle w:val="Hyperlink"/>
          </w:rPr>
          <w:t>Domain 1:  Active Living, Healthy Eating, and Tobacco-Free Living</w:t>
        </w:r>
        <w:r w:rsidR="004B20E5">
          <w:rPr>
            <w:webHidden/>
          </w:rPr>
          <w:tab/>
        </w:r>
        <w:r w:rsidR="004B20E5">
          <w:rPr>
            <w:webHidden/>
          </w:rPr>
          <w:fldChar w:fldCharType="begin"/>
        </w:r>
        <w:r w:rsidR="004B20E5">
          <w:rPr>
            <w:webHidden/>
          </w:rPr>
          <w:instrText xml:space="preserve"> PAGEREF _Toc398819274 \h </w:instrText>
        </w:r>
        <w:r w:rsidR="004B20E5">
          <w:rPr>
            <w:webHidden/>
          </w:rPr>
        </w:r>
        <w:r w:rsidR="004B20E5">
          <w:rPr>
            <w:webHidden/>
          </w:rPr>
          <w:fldChar w:fldCharType="separate"/>
        </w:r>
        <w:r w:rsidR="00592678">
          <w:rPr>
            <w:webHidden/>
          </w:rPr>
          <w:t>32</w:t>
        </w:r>
        <w:r w:rsidR="004B20E5">
          <w:rPr>
            <w:webHidden/>
          </w:rPr>
          <w:fldChar w:fldCharType="end"/>
        </w:r>
      </w:hyperlink>
    </w:p>
    <w:p w:rsidR="004B20E5" w:rsidRDefault="002D429A">
      <w:pPr>
        <w:pStyle w:val="TOC2"/>
        <w:rPr>
          <w:rFonts w:ascii="Calibri" w:hAnsi="Calibri" w:cs="Times New Roman"/>
          <w:sz w:val="22"/>
        </w:rPr>
      </w:pPr>
      <w:hyperlink w:anchor="_Toc398819275" w:history="1">
        <w:r w:rsidR="004B20E5" w:rsidRPr="007853BC">
          <w:rPr>
            <w:rStyle w:val="Hyperlink"/>
          </w:rPr>
          <w:t>Domain 2:  Chronic Disease Prevention and Control</w:t>
        </w:r>
        <w:r w:rsidR="004B20E5">
          <w:rPr>
            <w:webHidden/>
          </w:rPr>
          <w:tab/>
        </w:r>
        <w:r w:rsidR="004B20E5">
          <w:rPr>
            <w:webHidden/>
          </w:rPr>
          <w:fldChar w:fldCharType="begin"/>
        </w:r>
        <w:r w:rsidR="004B20E5">
          <w:rPr>
            <w:webHidden/>
          </w:rPr>
          <w:instrText xml:space="preserve"> PAGEREF _Toc398819275 \h </w:instrText>
        </w:r>
        <w:r w:rsidR="004B20E5">
          <w:rPr>
            <w:webHidden/>
          </w:rPr>
        </w:r>
        <w:r w:rsidR="004B20E5">
          <w:rPr>
            <w:webHidden/>
          </w:rPr>
          <w:fldChar w:fldCharType="separate"/>
        </w:r>
        <w:r w:rsidR="00592678">
          <w:rPr>
            <w:webHidden/>
          </w:rPr>
          <w:t>41</w:t>
        </w:r>
        <w:r w:rsidR="004B20E5">
          <w:rPr>
            <w:webHidden/>
          </w:rPr>
          <w:fldChar w:fldCharType="end"/>
        </w:r>
      </w:hyperlink>
    </w:p>
    <w:p w:rsidR="004B20E5" w:rsidRDefault="002D429A">
      <w:pPr>
        <w:pStyle w:val="TOC2"/>
        <w:rPr>
          <w:rFonts w:ascii="Calibri" w:hAnsi="Calibri" w:cs="Times New Roman"/>
          <w:sz w:val="22"/>
        </w:rPr>
      </w:pPr>
      <w:hyperlink w:anchor="_Toc398819276" w:history="1">
        <w:r w:rsidR="004B20E5" w:rsidRPr="007853BC">
          <w:rPr>
            <w:rStyle w:val="Hyperlink"/>
          </w:rPr>
          <w:t>Domain 3:  Infectious Disease Prevention and Control</w:t>
        </w:r>
        <w:r w:rsidR="004B20E5">
          <w:rPr>
            <w:webHidden/>
          </w:rPr>
          <w:tab/>
        </w:r>
        <w:r w:rsidR="004B20E5">
          <w:rPr>
            <w:webHidden/>
          </w:rPr>
          <w:fldChar w:fldCharType="begin"/>
        </w:r>
        <w:r w:rsidR="004B20E5">
          <w:rPr>
            <w:webHidden/>
          </w:rPr>
          <w:instrText xml:space="preserve"> PAGEREF _Toc398819276 \h </w:instrText>
        </w:r>
        <w:r w:rsidR="004B20E5">
          <w:rPr>
            <w:webHidden/>
          </w:rPr>
        </w:r>
        <w:r w:rsidR="004B20E5">
          <w:rPr>
            <w:webHidden/>
          </w:rPr>
          <w:fldChar w:fldCharType="separate"/>
        </w:r>
        <w:r w:rsidR="00592678">
          <w:rPr>
            <w:webHidden/>
          </w:rPr>
          <w:t>50</w:t>
        </w:r>
        <w:r w:rsidR="004B20E5">
          <w:rPr>
            <w:webHidden/>
          </w:rPr>
          <w:fldChar w:fldCharType="end"/>
        </w:r>
      </w:hyperlink>
    </w:p>
    <w:p w:rsidR="004B20E5" w:rsidRDefault="002D429A">
      <w:pPr>
        <w:pStyle w:val="TOC2"/>
        <w:rPr>
          <w:rFonts w:ascii="Calibri" w:hAnsi="Calibri" w:cs="Times New Roman"/>
          <w:sz w:val="22"/>
        </w:rPr>
      </w:pPr>
      <w:hyperlink w:anchor="_Toc398819277" w:history="1">
        <w:r w:rsidR="004B20E5" w:rsidRPr="007853BC">
          <w:rPr>
            <w:rStyle w:val="Hyperlink"/>
          </w:rPr>
          <w:t>Domain 4:  Substance Abuse Prevention, Intervention, Treatment and Recovery</w:t>
        </w:r>
        <w:r w:rsidR="004B20E5">
          <w:rPr>
            <w:webHidden/>
          </w:rPr>
          <w:tab/>
        </w:r>
        <w:r w:rsidR="004B20E5">
          <w:rPr>
            <w:webHidden/>
          </w:rPr>
          <w:fldChar w:fldCharType="begin"/>
        </w:r>
        <w:r w:rsidR="004B20E5">
          <w:rPr>
            <w:webHidden/>
          </w:rPr>
          <w:instrText xml:space="preserve"> PAGEREF _Toc398819277 \h </w:instrText>
        </w:r>
        <w:r w:rsidR="004B20E5">
          <w:rPr>
            <w:webHidden/>
          </w:rPr>
        </w:r>
        <w:r w:rsidR="004B20E5">
          <w:rPr>
            <w:webHidden/>
          </w:rPr>
          <w:fldChar w:fldCharType="separate"/>
        </w:r>
        <w:r w:rsidR="00592678">
          <w:rPr>
            <w:webHidden/>
          </w:rPr>
          <w:t>59</w:t>
        </w:r>
        <w:r w:rsidR="004B20E5">
          <w:rPr>
            <w:webHidden/>
          </w:rPr>
          <w:fldChar w:fldCharType="end"/>
        </w:r>
      </w:hyperlink>
    </w:p>
    <w:p w:rsidR="004B20E5" w:rsidRDefault="002D429A">
      <w:pPr>
        <w:pStyle w:val="TOC2"/>
        <w:rPr>
          <w:rFonts w:ascii="Calibri" w:hAnsi="Calibri" w:cs="Times New Roman"/>
          <w:sz w:val="22"/>
        </w:rPr>
      </w:pPr>
      <w:hyperlink w:anchor="_Toc398819278" w:history="1">
        <w:r w:rsidR="004B20E5" w:rsidRPr="007853BC">
          <w:rPr>
            <w:rStyle w:val="Hyperlink"/>
          </w:rPr>
          <w:t>Domain 5:  Injury, Suicide and Violence Prevention</w:t>
        </w:r>
        <w:r w:rsidR="004B20E5">
          <w:rPr>
            <w:webHidden/>
          </w:rPr>
          <w:tab/>
        </w:r>
        <w:r w:rsidR="004B20E5">
          <w:rPr>
            <w:webHidden/>
          </w:rPr>
          <w:fldChar w:fldCharType="begin"/>
        </w:r>
        <w:r w:rsidR="004B20E5">
          <w:rPr>
            <w:webHidden/>
          </w:rPr>
          <w:instrText xml:space="preserve"> PAGEREF _Toc398819278 \h </w:instrText>
        </w:r>
        <w:r w:rsidR="004B20E5">
          <w:rPr>
            <w:webHidden/>
          </w:rPr>
        </w:r>
        <w:r w:rsidR="004B20E5">
          <w:rPr>
            <w:webHidden/>
          </w:rPr>
          <w:fldChar w:fldCharType="separate"/>
        </w:r>
        <w:r w:rsidR="00592678">
          <w:rPr>
            <w:webHidden/>
          </w:rPr>
          <w:t>67</w:t>
        </w:r>
        <w:r w:rsidR="004B20E5">
          <w:rPr>
            <w:webHidden/>
          </w:rPr>
          <w:fldChar w:fldCharType="end"/>
        </w:r>
      </w:hyperlink>
    </w:p>
    <w:p w:rsidR="004B20E5" w:rsidRDefault="002D429A">
      <w:pPr>
        <w:pStyle w:val="TOC2"/>
        <w:rPr>
          <w:rFonts w:ascii="Calibri" w:hAnsi="Calibri" w:cs="Times New Roman"/>
          <w:sz w:val="22"/>
        </w:rPr>
      </w:pPr>
      <w:hyperlink w:anchor="_Toc398819279" w:history="1">
        <w:r w:rsidR="004B20E5" w:rsidRPr="007853BC">
          <w:rPr>
            <w:rStyle w:val="Hyperlink"/>
          </w:rPr>
          <w:t>Domain 6:  Maternal, Child, and Family Health Promotion</w:t>
        </w:r>
        <w:r w:rsidR="004B20E5">
          <w:rPr>
            <w:webHidden/>
          </w:rPr>
          <w:tab/>
        </w:r>
        <w:r w:rsidR="004B20E5">
          <w:rPr>
            <w:webHidden/>
          </w:rPr>
          <w:fldChar w:fldCharType="begin"/>
        </w:r>
        <w:r w:rsidR="004B20E5">
          <w:rPr>
            <w:webHidden/>
          </w:rPr>
          <w:instrText xml:space="preserve"> PAGEREF _Toc398819279 \h </w:instrText>
        </w:r>
        <w:r w:rsidR="004B20E5">
          <w:rPr>
            <w:webHidden/>
          </w:rPr>
        </w:r>
        <w:r w:rsidR="004B20E5">
          <w:rPr>
            <w:webHidden/>
          </w:rPr>
          <w:fldChar w:fldCharType="separate"/>
        </w:r>
        <w:r w:rsidR="00592678">
          <w:rPr>
            <w:webHidden/>
          </w:rPr>
          <w:t>86</w:t>
        </w:r>
        <w:r w:rsidR="004B20E5">
          <w:rPr>
            <w:webHidden/>
          </w:rPr>
          <w:fldChar w:fldCharType="end"/>
        </w:r>
      </w:hyperlink>
    </w:p>
    <w:p w:rsidR="004B20E5" w:rsidRDefault="002D429A">
      <w:pPr>
        <w:pStyle w:val="TOC2"/>
        <w:rPr>
          <w:rFonts w:ascii="Calibri" w:hAnsi="Calibri" w:cs="Times New Roman"/>
          <w:sz w:val="22"/>
        </w:rPr>
      </w:pPr>
      <w:hyperlink w:anchor="_Toc398819280" w:history="1">
        <w:r w:rsidR="004B20E5" w:rsidRPr="007853BC">
          <w:rPr>
            <w:rStyle w:val="Hyperlink"/>
          </w:rPr>
          <w:t xml:space="preserve">Domain 7:  </w:t>
        </w:r>
        <w:r w:rsidR="00CC4FA8">
          <w:rPr>
            <w:rStyle w:val="Hyperlink"/>
          </w:rPr>
          <w:t>Environmental Risk Factors and Health</w:t>
        </w:r>
        <w:r w:rsidR="004B20E5">
          <w:rPr>
            <w:webHidden/>
          </w:rPr>
          <w:tab/>
        </w:r>
      </w:hyperlink>
      <w:r w:rsidR="00BF7BDC">
        <w:t>99</w:t>
      </w:r>
    </w:p>
    <w:p w:rsidR="004B20E5" w:rsidRDefault="002D429A">
      <w:pPr>
        <w:pStyle w:val="TOC1"/>
        <w:rPr>
          <w:rFonts w:ascii="Calibri" w:hAnsi="Calibri" w:cs="Times New Roman"/>
          <w:b w:val="0"/>
        </w:rPr>
      </w:pPr>
      <w:hyperlink w:anchor="_Toc398819281" w:history="1">
        <w:r w:rsidR="004B20E5" w:rsidRPr="007853BC">
          <w:rPr>
            <w:rStyle w:val="Hyperlink"/>
          </w:rPr>
          <w:t>Appendices</w:t>
        </w:r>
        <w:r w:rsidR="004B20E5">
          <w:rPr>
            <w:webHidden/>
          </w:rPr>
          <w:tab/>
        </w:r>
      </w:hyperlink>
      <w:r w:rsidR="00BF7BDC">
        <w:t>109</w:t>
      </w:r>
    </w:p>
    <w:p w:rsidR="004B20E5" w:rsidRDefault="002D429A">
      <w:pPr>
        <w:pStyle w:val="TOC2"/>
        <w:rPr>
          <w:rFonts w:ascii="Calibri" w:hAnsi="Calibri" w:cs="Times New Roman"/>
          <w:sz w:val="22"/>
        </w:rPr>
      </w:pPr>
      <w:hyperlink w:anchor="_Toc398819282" w:history="1">
        <w:r w:rsidR="004B20E5" w:rsidRPr="007853BC">
          <w:rPr>
            <w:rStyle w:val="Hyperlink"/>
          </w:rPr>
          <w:t>Appendix A:  Process</w:t>
        </w:r>
        <w:r w:rsidR="004B20E5">
          <w:rPr>
            <w:webHidden/>
          </w:rPr>
          <w:tab/>
        </w:r>
        <w:r w:rsidR="003D1FC9">
          <w:rPr>
            <w:webHidden/>
          </w:rPr>
          <w:t>11</w:t>
        </w:r>
      </w:hyperlink>
      <w:r w:rsidR="00BF7BDC">
        <w:t>0</w:t>
      </w:r>
    </w:p>
    <w:p w:rsidR="004B20E5" w:rsidRDefault="002D429A">
      <w:pPr>
        <w:pStyle w:val="TOC3"/>
        <w:rPr>
          <w:rFonts w:ascii="Calibri" w:hAnsi="Calibri"/>
          <w:sz w:val="22"/>
        </w:rPr>
      </w:pPr>
      <w:hyperlink w:anchor="_Toc398819283" w:history="1">
        <w:r w:rsidR="004B20E5" w:rsidRPr="007853BC">
          <w:rPr>
            <w:rStyle w:val="Hyperlink"/>
          </w:rPr>
          <w:t>Partner Engagement</w:t>
        </w:r>
        <w:r w:rsidR="004B20E5">
          <w:rPr>
            <w:webHidden/>
          </w:rPr>
          <w:tab/>
        </w:r>
        <w:r w:rsidR="003D1FC9">
          <w:rPr>
            <w:webHidden/>
          </w:rPr>
          <w:t>11</w:t>
        </w:r>
      </w:hyperlink>
      <w:r w:rsidR="00BF7BDC">
        <w:t>0</w:t>
      </w:r>
    </w:p>
    <w:p w:rsidR="004B20E5" w:rsidRDefault="002D429A">
      <w:pPr>
        <w:pStyle w:val="TOC3"/>
        <w:rPr>
          <w:rFonts w:ascii="Calibri" w:hAnsi="Calibri"/>
          <w:sz w:val="22"/>
        </w:rPr>
      </w:pPr>
      <w:hyperlink w:anchor="_Toc398819284" w:history="1">
        <w:r w:rsidR="004B20E5" w:rsidRPr="007853BC">
          <w:rPr>
            <w:rStyle w:val="Hyperlink"/>
          </w:rPr>
          <w:t>Massachusetts SHIP Advisory Group</w:t>
        </w:r>
        <w:r w:rsidR="004B20E5">
          <w:rPr>
            <w:webHidden/>
          </w:rPr>
          <w:tab/>
        </w:r>
        <w:r w:rsidR="003D1FC9">
          <w:rPr>
            <w:webHidden/>
          </w:rPr>
          <w:t>111</w:t>
        </w:r>
      </w:hyperlink>
    </w:p>
    <w:p w:rsidR="004B20E5" w:rsidRDefault="002D429A">
      <w:pPr>
        <w:pStyle w:val="TOC3"/>
        <w:rPr>
          <w:rFonts w:ascii="Calibri" w:hAnsi="Calibri"/>
          <w:sz w:val="22"/>
        </w:rPr>
      </w:pPr>
      <w:hyperlink w:anchor="_Toc398819285" w:history="1">
        <w:r w:rsidR="004B20E5" w:rsidRPr="007853BC">
          <w:rPr>
            <w:rStyle w:val="Hyperlink"/>
          </w:rPr>
          <w:t>Massachusetts State Health Improvement Planning Coalition</w:t>
        </w:r>
        <w:r w:rsidR="004B20E5">
          <w:rPr>
            <w:webHidden/>
          </w:rPr>
          <w:tab/>
        </w:r>
        <w:r w:rsidR="004B20E5">
          <w:rPr>
            <w:webHidden/>
          </w:rPr>
          <w:fldChar w:fldCharType="begin"/>
        </w:r>
        <w:r w:rsidR="004B20E5">
          <w:rPr>
            <w:webHidden/>
          </w:rPr>
          <w:instrText xml:space="preserve"> PAGEREF _Toc398819285 \h </w:instrText>
        </w:r>
        <w:r w:rsidR="004B20E5">
          <w:rPr>
            <w:webHidden/>
          </w:rPr>
        </w:r>
        <w:r w:rsidR="004B20E5">
          <w:rPr>
            <w:webHidden/>
          </w:rPr>
          <w:fldChar w:fldCharType="separate"/>
        </w:r>
        <w:r w:rsidR="00592678">
          <w:rPr>
            <w:webHidden/>
          </w:rPr>
          <w:t>110</w:t>
        </w:r>
        <w:r w:rsidR="004B20E5">
          <w:rPr>
            <w:webHidden/>
          </w:rPr>
          <w:fldChar w:fldCharType="end"/>
        </w:r>
      </w:hyperlink>
      <w:r w:rsidR="00BF7BDC">
        <w:t>1</w:t>
      </w:r>
    </w:p>
    <w:p w:rsidR="004B20E5" w:rsidRDefault="002D429A">
      <w:pPr>
        <w:pStyle w:val="TOC3"/>
        <w:rPr>
          <w:rFonts w:ascii="Calibri" w:hAnsi="Calibri"/>
          <w:sz w:val="22"/>
        </w:rPr>
      </w:pPr>
      <w:hyperlink w:anchor="_Toc398819286" w:history="1">
        <w:r w:rsidR="004B20E5" w:rsidRPr="007853BC">
          <w:rPr>
            <w:rStyle w:val="Hyperlink"/>
          </w:rPr>
          <w:t>SHIP Planning Session Participants</w:t>
        </w:r>
        <w:r w:rsidR="004B20E5">
          <w:rPr>
            <w:webHidden/>
          </w:rPr>
          <w:tab/>
        </w:r>
        <w:r w:rsidR="003D1FC9">
          <w:rPr>
            <w:webHidden/>
          </w:rPr>
          <w:t>11</w:t>
        </w:r>
      </w:hyperlink>
      <w:r w:rsidR="00BF7BDC">
        <w:t>1</w:t>
      </w:r>
    </w:p>
    <w:p w:rsidR="004B20E5" w:rsidRDefault="002D429A">
      <w:pPr>
        <w:pStyle w:val="TOC3"/>
        <w:rPr>
          <w:rFonts w:ascii="Calibri" w:hAnsi="Calibri"/>
          <w:sz w:val="22"/>
        </w:rPr>
      </w:pPr>
      <w:hyperlink w:anchor="_Toc398819287" w:history="1">
        <w:r w:rsidR="004B20E5" w:rsidRPr="007853BC">
          <w:rPr>
            <w:rStyle w:val="Hyperlink"/>
          </w:rPr>
          <w:t>Subject Matter Expert Review</w:t>
        </w:r>
        <w:r w:rsidR="004B20E5">
          <w:rPr>
            <w:webHidden/>
          </w:rPr>
          <w:tab/>
        </w:r>
        <w:r w:rsidR="003D1FC9">
          <w:rPr>
            <w:webHidden/>
          </w:rPr>
          <w:t>11</w:t>
        </w:r>
      </w:hyperlink>
      <w:r w:rsidR="00BF7BDC">
        <w:t>3</w:t>
      </w:r>
    </w:p>
    <w:p w:rsidR="004B20E5" w:rsidRDefault="002D429A">
      <w:pPr>
        <w:pStyle w:val="TOC3"/>
        <w:rPr>
          <w:rFonts w:ascii="Calibri" w:hAnsi="Calibri"/>
          <w:sz w:val="22"/>
        </w:rPr>
      </w:pPr>
      <w:hyperlink w:anchor="_Toc398819288" w:history="1">
        <w:r w:rsidR="004B20E5" w:rsidRPr="007853BC">
          <w:rPr>
            <w:rStyle w:val="Hyperlink"/>
          </w:rPr>
          <w:t>Community Engagement and Feedback</w:t>
        </w:r>
        <w:r w:rsidR="004B20E5">
          <w:rPr>
            <w:webHidden/>
          </w:rPr>
          <w:tab/>
        </w:r>
        <w:r w:rsidR="003D1FC9">
          <w:rPr>
            <w:webHidden/>
          </w:rPr>
          <w:t>11</w:t>
        </w:r>
      </w:hyperlink>
      <w:r w:rsidR="00BF7BDC">
        <w:t>4</w:t>
      </w:r>
    </w:p>
    <w:p w:rsidR="004B20E5" w:rsidRDefault="002D429A">
      <w:pPr>
        <w:pStyle w:val="TOC2"/>
        <w:rPr>
          <w:rFonts w:ascii="Calibri" w:hAnsi="Calibri" w:cs="Times New Roman"/>
          <w:sz w:val="22"/>
        </w:rPr>
      </w:pPr>
      <w:hyperlink w:anchor="_Toc398819289" w:history="1">
        <w:r w:rsidR="004B20E5" w:rsidRPr="007853BC">
          <w:rPr>
            <w:rStyle w:val="Hyperlink"/>
          </w:rPr>
          <w:t>Appendix B:  Essential Services and Related Strategies</w:t>
        </w:r>
        <w:r w:rsidR="004B20E5">
          <w:rPr>
            <w:webHidden/>
          </w:rPr>
          <w:tab/>
        </w:r>
        <w:r w:rsidR="004B20E5">
          <w:rPr>
            <w:webHidden/>
          </w:rPr>
          <w:fldChar w:fldCharType="begin"/>
        </w:r>
        <w:r w:rsidR="004B20E5">
          <w:rPr>
            <w:webHidden/>
          </w:rPr>
          <w:instrText xml:space="preserve"> PAGEREF _Toc398819289 \h </w:instrText>
        </w:r>
        <w:r w:rsidR="004B20E5">
          <w:rPr>
            <w:webHidden/>
          </w:rPr>
        </w:r>
        <w:r w:rsidR="004B20E5">
          <w:rPr>
            <w:webHidden/>
          </w:rPr>
          <w:fldChar w:fldCharType="separate"/>
        </w:r>
        <w:r w:rsidR="00592678">
          <w:rPr>
            <w:webHidden/>
          </w:rPr>
          <w:t>116</w:t>
        </w:r>
        <w:r w:rsidR="004B20E5">
          <w:rPr>
            <w:webHidden/>
          </w:rPr>
          <w:fldChar w:fldCharType="end"/>
        </w:r>
      </w:hyperlink>
    </w:p>
    <w:p w:rsidR="004B20E5" w:rsidRDefault="002D429A">
      <w:pPr>
        <w:pStyle w:val="TOC2"/>
        <w:rPr>
          <w:rFonts w:ascii="Calibri" w:hAnsi="Calibri" w:cs="Times New Roman"/>
          <w:sz w:val="22"/>
        </w:rPr>
      </w:pPr>
      <w:hyperlink w:anchor="_Toc398819290" w:history="1">
        <w:r w:rsidR="004B20E5" w:rsidRPr="007853BC">
          <w:rPr>
            <w:rStyle w:val="Hyperlink"/>
          </w:rPr>
          <w:t>Appendix C:  Overview Data Matrix on Health Behaviors and Outcomes</w:t>
        </w:r>
        <w:r w:rsidR="004B20E5">
          <w:rPr>
            <w:webHidden/>
          </w:rPr>
          <w:tab/>
        </w:r>
        <w:r w:rsidR="003D1FC9">
          <w:rPr>
            <w:webHidden/>
          </w:rPr>
          <w:t>13</w:t>
        </w:r>
      </w:hyperlink>
      <w:r w:rsidR="00BF7BDC">
        <w:t>1</w:t>
      </w:r>
    </w:p>
    <w:p w:rsidR="004B20E5" w:rsidRDefault="002D429A">
      <w:pPr>
        <w:pStyle w:val="TOC2"/>
        <w:rPr>
          <w:rFonts w:ascii="Calibri" w:hAnsi="Calibri" w:cs="Times New Roman"/>
          <w:sz w:val="22"/>
        </w:rPr>
      </w:pPr>
      <w:hyperlink w:anchor="_Toc398819291" w:history="1">
        <w:r w:rsidR="004B20E5" w:rsidRPr="007853BC">
          <w:rPr>
            <w:rStyle w:val="Hyperlink"/>
          </w:rPr>
          <w:t>Appendix D:  Routine Disease Surveillance</w:t>
        </w:r>
        <w:r w:rsidR="004B20E5">
          <w:rPr>
            <w:webHidden/>
          </w:rPr>
          <w:tab/>
        </w:r>
        <w:r w:rsidR="003D1FC9">
          <w:rPr>
            <w:webHidden/>
          </w:rPr>
          <w:t>14</w:t>
        </w:r>
      </w:hyperlink>
      <w:r w:rsidR="00BF7BDC">
        <w:t>5</w:t>
      </w:r>
    </w:p>
    <w:p w:rsidR="004B20E5" w:rsidRDefault="002D429A">
      <w:pPr>
        <w:pStyle w:val="TOC2"/>
        <w:rPr>
          <w:rFonts w:ascii="Calibri" w:hAnsi="Calibri" w:cs="Times New Roman"/>
          <w:sz w:val="22"/>
        </w:rPr>
      </w:pPr>
      <w:hyperlink w:anchor="_Toc398819292" w:history="1">
        <w:r w:rsidR="004B20E5" w:rsidRPr="007853BC">
          <w:rPr>
            <w:rStyle w:val="Hyperlink"/>
          </w:rPr>
          <w:t>Appendix E:  Sources</w:t>
        </w:r>
        <w:r w:rsidR="004B20E5">
          <w:rPr>
            <w:webHidden/>
          </w:rPr>
          <w:tab/>
        </w:r>
        <w:r w:rsidR="003D1FC9">
          <w:rPr>
            <w:webHidden/>
          </w:rPr>
          <w:t>14</w:t>
        </w:r>
      </w:hyperlink>
      <w:r w:rsidR="00BF7BDC">
        <w:t>6</w:t>
      </w:r>
    </w:p>
    <w:p w:rsidR="004B20E5" w:rsidRDefault="002D429A">
      <w:pPr>
        <w:pStyle w:val="TOC2"/>
        <w:rPr>
          <w:rFonts w:ascii="Calibri" w:hAnsi="Calibri" w:cs="Times New Roman"/>
          <w:sz w:val="22"/>
        </w:rPr>
      </w:pPr>
      <w:hyperlink w:anchor="_Toc398819293" w:history="1">
        <w:r w:rsidR="004B20E5" w:rsidRPr="007853BC">
          <w:rPr>
            <w:rStyle w:val="Hyperlink"/>
          </w:rPr>
          <w:t xml:space="preserve">Appendix F:  </w:t>
        </w:r>
        <w:r w:rsidR="00592678">
          <w:rPr>
            <w:rStyle w:val="Hyperlink"/>
          </w:rPr>
          <w:t xml:space="preserve">List of </w:t>
        </w:r>
        <w:r w:rsidR="004B20E5" w:rsidRPr="007853BC">
          <w:rPr>
            <w:rStyle w:val="Hyperlink"/>
          </w:rPr>
          <w:t>Acronyms</w:t>
        </w:r>
        <w:r w:rsidR="004B20E5">
          <w:rPr>
            <w:webHidden/>
          </w:rPr>
          <w:tab/>
        </w:r>
        <w:r w:rsidR="003D1FC9">
          <w:rPr>
            <w:webHidden/>
          </w:rPr>
          <w:t>15</w:t>
        </w:r>
      </w:hyperlink>
      <w:r w:rsidR="00BF7BDC">
        <w:t>2</w:t>
      </w:r>
    </w:p>
    <w:p w:rsidR="004B20E5" w:rsidRDefault="002D429A">
      <w:pPr>
        <w:pStyle w:val="TOC2"/>
        <w:rPr>
          <w:rFonts w:ascii="Calibri" w:hAnsi="Calibri" w:cs="Times New Roman"/>
          <w:sz w:val="22"/>
        </w:rPr>
      </w:pPr>
      <w:hyperlink w:anchor="_Toc398819294" w:history="1">
        <w:r w:rsidR="004B20E5" w:rsidRPr="007853BC">
          <w:rPr>
            <w:rStyle w:val="Hyperlink"/>
          </w:rPr>
          <w:t>Appendix G:  Prioritization and Decision-Making Tools</w:t>
        </w:r>
        <w:r w:rsidR="004B20E5">
          <w:rPr>
            <w:webHidden/>
          </w:rPr>
          <w:tab/>
        </w:r>
        <w:r w:rsidR="003D1FC9">
          <w:rPr>
            <w:webHidden/>
          </w:rPr>
          <w:t>15</w:t>
        </w:r>
      </w:hyperlink>
      <w:r w:rsidR="00BF7BDC">
        <w:t>6</w:t>
      </w:r>
    </w:p>
    <w:p w:rsidR="004B20E5" w:rsidRDefault="002D429A">
      <w:pPr>
        <w:pStyle w:val="TOC2"/>
        <w:rPr>
          <w:rFonts w:ascii="Calibri" w:hAnsi="Calibri" w:cs="Times New Roman"/>
          <w:sz w:val="22"/>
        </w:rPr>
      </w:pPr>
      <w:hyperlink w:anchor="_Toc398819295" w:history="1">
        <w:r w:rsidR="004B20E5" w:rsidRPr="007853BC">
          <w:rPr>
            <w:rStyle w:val="Hyperlink"/>
          </w:rPr>
          <w:t>Appendix H:  How You Can Use This Plan</w:t>
        </w:r>
        <w:r w:rsidR="004B20E5">
          <w:rPr>
            <w:webHidden/>
          </w:rPr>
          <w:tab/>
        </w:r>
        <w:r w:rsidR="003D1FC9">
          <w:rPr>
            <w:webHidden/>
          </w:rPr>
          <w:t>1</w:t>
        </w:r>
      </w:hyperlink>
      <w:r w:rsidR="00BF7BDC">
        <w:t>59</w:t>
      </w:r>
    </w:p>
    <w:p w:rsidR="004B20E5" w:rsidRDefault="002D429A">
      <w:pPr>
        <w:pStyle w:val="TOC2"/>
        <w:rPr>
          <w:rFonts w:ascii="Calibri" w:hAnsi="Calibri" w:cs="Times New Roman"/>
          <w:sz w:val="22"/>
        </w:rPr>
      </w:pPr>
      <w:hyperlink w:anchor="_Toc398819296" w:history="1">
        <w:r w:rsidR="004B20E5" w:rsidRPr="007853BC">
          <w:rPr>
            <w:rStyle w:val="Hyperlink"/>
          </w:rPr>
          <w:t>References</w:t>
        </w:r>
        <w:r w:rsidR="004B20E5">
          <w:rPr>
            <w:webHidden/>
          </w:rPr>
          <w:tab/>
        </w:r>
        <w:r w:rsidR="003D1FC9">
          <w:rPr>
            <w:webHidden/>
          </w:rPr>
          <w:t>16</w:t>
        </w:r>
      </w:hyperlink>
      <w:r w:rsidR="00BF7BDC">
        <w:t>1</w:t>
      </w:r>
    </w:p>
    <w:p w:rsidR="004B20E5" w:rsidRDefault="004B20E5" w:rsidP="00AB2051">
      <w:pPr>
        <w:pStyle w:val="Heading1"/>
        <w:rPr>
          <w:b w:val="0"/>
          <w:bCs w:val="0"/>
        </w:rPr>
        <w:sectPr w:rsidR="004B20E5" w:rsidSect="000D3A34">
          <w:headerReference w:type="even" r:id="rId10"/>
          <w:headerReference w:type="default" r:id="rId11"/>
          <w:footerReference w:type="default" r:id="rId12"/>
          <w:footnotePr>
            <w:numFmt w:val="lowerRoman"/>
          </w:footnotePr>
          <w:endnotePr>
            <w:numFmt w:val="decimal"/>
          </w:endnotePr>
          <w:pgSz w:w="12240" w:h="15840" w:code="1"/>
          <w:pgMar w:top="1080" w:right="1080" w:bottom="1080" w:left="1080" w:header="648" w:footer="504" w:gutter="0"/>
          <w:cols w:space="720"/>
          <w:docGrid w:linePitch="360"/>
        </w:sectPr>
      </w:pPr>
      <w:r>
        <w:rPr>
          <w:bCs w:val="0"/>
        </w:rPr>
        <w:fldChar w:fldCharType="end"/>
      </w:r>
      <w:r w:rsidR="00D54D3E">
        <w:rPr>
          <w:bCs w:val="0"/>
        </w:rPr>
        <w:t xml:space="preserve">  </w:t>
      </w:r>
    </w:p>
    <w:p w:rsidR="00535275" w:rsidRDefault="00535275" w:rsidP="00A65F46">
      <w:pPr>
        <w:pStyle w:val="Heading1"/>
      </w:pPr>
      <w:bookmarkStart w:id="1" w:name="_Toc398819251"/>
    </w:p>
    <w:p w:rsidR="004B20E5" w:rsidRPr="0046149F" w:rsidRDefault="004B20E5" w:rsidP="00A65F46">
      <w:pPr>
        <w:pStyle w:val="Heading1"/>
      </w:pPr>
      <w:r w:rsidRPr="0046149F">
        <w:t>Letter from Commissioner Bartlett</w:t>
      </w:r>
      <w:bookmarkEnd w:id="1"/>
    </w:p>
    <w:p w:rsidR="004B20E5" w:rsidRPr="0046149F" w:rsidRDefault="004B20E5" w:rsidP="008346F6">
      <w:pPr>
        <w:rPr>
          <w:rFonts w:cs="Arial"/>
        </w:rPr>
      </w:pPr>
    </w:p>
    <w:p w:rsidR="004B20E5" w:rsidRPr="0046149F" w:rsidRDefault="004B20E5" w:rsidP="00203910">
      <w:pPr>
        <w:pStyle w:val="BodyText"/>
      </w:pPr>
      <w:bookmarkStart w:id="2" w:name="_Toc371587195"/>
    </w:p>
    <w:p w:rsidR="004B20E5" w:rsidRPr="00203910" w:rsidRDefault="004B20E5" w:rsidP="00203910">
      <w:pPr>
        <w:pStyle w:val="BodyText"/>
      </w:pPr>
      <w:r w:rsidRPr="00203910">
        <w:t>Dear Colleagues</w:t>
      </w:r>
    </w:p>
    <w:p w:rsidR="004B20E5" w:rsidRPr="00203910" w:rsidRDefault="004B20E5" w:rsidP="00203910">
      <w:pPr>
        <w:pStyle w:val="BodyText"/>
      </w:pPr>
    </w:p>
    <w:p w:rsidR="004B20E5" w:rsidRPr="00203910" w:rsidRDefault="004B20E5" w:rsidP="00203910">
      <w:pPr>
        <w:pStyle w:val="BodyText"/>
      </w:pPr>
      <w:r w:rsidRPr="00203910">
        <w:t xml:space="preserve">I am pleased to present the 2014 Massachusetts Department of Public Health’s State Health Improvement Plan (SHIP) – a five year Strategic Plan for improving </w:t>
      </w:r>
      <w:bookmarkStart w:id="3" w:name="_GoBack"/>
      <w:r w:rsidRPr="00203910">
        <w:t xml:space="preserve">the health of all people in the Commonwealth of MA. </w:t>
      </w:r>
    </w:p>
    <w:bookmarkEnd w:id="3"/>
    <w:p w:rsidR="004B20E5" w:rsidRPr="00203910" w:rsidRDefault="004B20E5" w:rsidP="00203910">
      <w:pPr>
        <w:pStyle w:val="BodyText"/>
      </w:pPr>
      <w:r w:rsidRPr="00203910">
        <w:t xml:space="preserve">The SHIP was created through the teamwork of subject matter experts from within </w:t>
      </w:r>
      <w:r w:rsidR="00135C8E">
        <w:t>M</w:t>
      </w:r>
      <w:r w:rsidRPr="00203910">
        <w:t xml:space="preserve">DPH and numerous dedicated representatives of community-based organizations throughout the state. Collaboratively, these public health leaders evaluated the 2010 Health of Massachusetts report and multiple additional data sources, as well as the goals of the National Prevention Strategy and Healthy People 2020 to identify seven domains of public health priority that demonstrate achievable opportunity for improvement by 2020. </w:t>
      </w:r>
    </w:p>
    <w:p w:rsidR="004B20E5" w:rsidRPr="00203910" w:rsidRDefault="004B20E5" w:rsidP="00203910">
      <w:pPr>
        <w:pStyle w:val="BodyText"/>
      </w:pPr>
      <w:smartTag w:uri="urn:schemas-microsoft-com:office:smarttags" w:element="place">
        <w:smartTag w:uri="urn:schemas-microsoft-com:office:smarttags" w:element="State">
          <w:r w:rsidRPr="00203910">
            <w:t>Massachusetts</w:t>
          </w:r>
        </w:smartTag>
      </w:smartTag>
      <w:r w:rsidRPr="00203910">
        <w:t>’ SHIP emphasizes three areas of focus to capitalize upon in order to meet the goals of improvement in health outcomes.</w:t>
      </w:r>
    </w:p>
    <w:p w:rsidR="004B20E5" w:rsidRDefault="004B20E5" w:rsidP="00203910">
      <w:pPr>
        <w:pStyle w:val="ListBulleted"/>
      </w:pPr>
      <w:r>
        <w:t xml:space="preserve">Health </w:t>
      </w:r>
      <w:r w:rsidR="006E4D56">
        <w:t>e</w:t>
      </w:r>
      <w:r>
        <w:t xml:space="preserve">quity is a major priority in all health priority domains </w:t>
      </w:r>
    </w:p>
    <w:p w:rsidR="004B20E5" w:rsidRDefault="004B20E5" w:rsidP="00203910">
      <w:pPr>
        <w:pStyle w:val="ListBulleted"/>
      </w:pPr>
      <w:r>
        <w:t>Health reform initiatives at the national and state level depend upon population health management and prevention</w:t>
      </w:r>
    </w:p>
    <w:p w:rsidR="004B20E5" w:rsidRPr="00203910" w:rsidRDefault="006E4D56" w:rsidP="00203910">
      <w:pPr>
        <w:pStyle w:val="ListBulleted"/>
      </w:pPr>
      <w:r>
        <w:t>Strong p</w:t>
      </w:r>
      <w:r w:rsidR="004B20E5">
        <w:t xml:space="preserve">ublic </w:t>
      </w:r>
      <w:r>
        <w:t>h</w:t>
      </w:r>
      <w:r w:rsidR="004B20E5">
        <w:t xml:space="preserve">ealth infrastructure is essential in order to achieve the priority health outcomes </w:t>
      </w:r>
    </w:p>
    <w:p w:rsidR="004B20E5" w:rsidRDefault="004B20E5" w:rsidP="00203910">
      <w:pPr>
        <w:pStyle w:val="BodyText"/>
      </w:pPr>
      <w:r w:rsidRPr="00AD12F2">
        <w:t xml:space="preserve">I wish to extend my thanks and appreciation to the many partners who dedicated their energy to this important initiative, in particular to the members of the SHIP Advisory Council, as well as the </w:t>
      </w:r>
      <w:r w:rsidR="001D686E">
        <w:t>M</w:t>
      </w:r>
      <w:r w:rsidRPr="00AD12F2">
        <w:t xml:space="preserve">DPH staff who contributed so much experience, effort and wisdom to the process and the product. </w:t>
      </w:r>
    </w:p>
    <w:p w:rsidR="004B20E5" w:rsidRDefault="004B20E5" w:rsidP="00203910">
      <w:pPr>
        <w:pStyle w:val="BodyText"/>
      </w:pPr>
    </w:p>
    <w:p w:rsidR="004B20E5" w:rsidRPr="00203910" w:rsidRDefault="004B20E5" w:rsidP="00203910">
      <w:pPr>
        <w:pStyle w:val="BodyText"/>
      </w:pPr>
      <w:r w:rsidRPr="00203910">
        <w:t>Cheryl Bartlett, RN</w:t>
      </w:r>
    </w:p>
    <w:p w:rsidR="004B20E5" w:rsidRDefault="004B20E5" w:rsidP="00203910">
      <w:pPr>
        <w:pStyle w:val="BodyText"/>
      </w:pPr>
      <w:r>
        <w:t>Commissioner</w:t>
      </w:r>
    </w:p>
    <w:p w:rsidR="004B20E5" w:rsidRPr="00203910" w:rsidRDefault="004B20E5" w:rsidP="00203910">
      <w:pPr>
        <w:pStyle w:val="BodyText"/>
      </w:pPr>
    </w:p>
    <w:p w:rsidR="004B20E5" w:rsidRPr="00203910" w:rsidRDefault="004B20E5" w:rsidP="00203910">
      <w:pPr>
        <w:pStyle w:val="BodyText"/>
        <w:rPr>
          <w:b/>
          <w:bCs/>
        </w:rPr>
      </w:pPr>
      <w:r w:rsidRPr="00203910">
        <w:rPr>
          <w:b/>
          <w:bCs/>
        </w:rPr>
        <w:br w:type="page"/>
      </w:r>
    </w:p>
    <w:p w:rsidR="004B20E5" w:rsidRPr="004E79DF" w:rsidRDefault="004B20E5" w:rsidP="00F83EAC">
      <w:pPr>
        <w:pStyle w:val="Heading1"/>
      </w:pPr>
      <w:bookmarkStart w:id="4" w:name="_Toc398819252"/>
      <w:r>
        <w:lastRenderedPageBreak/>
        <w:t>Executive Summary</w:t>
      </w:r>
      <w:bookmarkEnd w:id="4"/>
    </w:p>
    <w:p w:rsidR="004B20E5" w:rsidRDefault="004B20E5" w:rsidP="00335AEF">
      <w:pPr>
        <w:pStyle w:val="BodyText"/>
      </w:pPr>
      <w:r>
        <w:t>The MA</w:t>
      </w:r>
      <w:r w:rsidRPr="00525733">
        <w:t xml:space="preserve"> State Health Improvement Plan, or SHIP, is an action-oriented strategic plan that outlines the key health and health systems priority areas for the state, and how these priority areas will be addressed to ultimately improve the health of all people </w:t>
      </w:r>
      <w:r>
        <w:t>in the Commonwealth</w:t>
      </w:r>
      <w:r w:rsidRPr="00525733">
        <w:t xml:space="preserve">.  </w:t>
      </w:r>
      <w:r>
        <w:t xml:space="preserve">The MA </w:t>
      </w:r>
      <w:r w:rsidRPr="00525733">
        <w:t>SHIP</w:t>
      </w:r>
      <w:r>
        <w:t xml:space="preserve"> was</w:t>
      </w:r>
      <w:r w:rsidR="006E4D56">
        <w:t xml:space="preserve"> </w:t>
      </w:r>
      <w:r w:rsidRPr="00525733">
        <w:t xml:space="preserve">created through a statewide, collaborative planning process that engages partners and organizations to develop, support, and implement the plan.  </w:t>
      </w:r>
      <w:r>
        <w:t>This</w:t>
      </w:r>
      <w:r w:rsidRPr="00525733">
        <w:t xml:space="preserve"> development </w:t>
      </w:r>
      <w:r>
        <w:t xml:space="preserve">process </w:t>
      </w:r>
      <w:r w:rsidRPr="00525733">
        <w:t xml:space="preserve">enables loosely-networked system partners to coordinate for more efficient, targeted and integrated health improvement efforts. </w:t>
      </w:r>
      <w:r>
        <w:t>The</w:t>
      </w:r>
      <w:r w:rsidRPr="00525733">
        <w:t xml:space="preserve"> SHIP serve</w:t>
      </w:r>
      <w:r>
        <w:t>s</w:t>
      </w:r>
      <w:r w:rsidRPr="00525733">
        <w:t xml:space="preserve"> as a </w:t>
      </w:r>
      <w:r w:rsidRPr="00D24FA0">
        <w:rPr>
          <w:b/>
        </w:rPr>
        <w:t>vision</w:t>
      </w:r>
      <w:r w:rsidRPr="00525733">
        <w:t xml:space="preserve"> for health and a </w:t>
      </w:r>
      <w:r w:rsidRPr="00D24FA0">
        <w:rPr>
          <w:b/>
        </w:rPr>
        <w:t>framework</w:t>
      </w:r>
      <w:r w:rsidRPr="00525733">
        <w:t xml:space="preserve"> for organizations to use in leveraging resources, engaging partners, and identifying their own priorities and strategies for collective action towards improving community health and achieving health equity</w:t>
      </w:r>
      <w:r>
        <w:t>.</w:t>
      </w:r>
    </w:p>
    <w:p w:rsidR="004B20E5" w:rsidRDefault="004B20E5" w:rsidP="001D3741">
      <w:pPr>
        <w:pStyle w:val="BodyText"/>
      </w:pPr>
      <w:r>
        <w:t>This SHIP was developed under the leadership of the Massachusetts Department of Public Health (</w:t>
      </w:r>
      <w:r w:rsidR="001D686E">
        <w:t>M</w:t>
      </w:r>
      <w:r>
        <w:t xml:space="preserve">DPH) in cooperation with dozens of public and private sector leaders to establish a vision, direction, and outline with clear priorities and measureable objectives to improve health in the Commonwealth.  The SHIP serves as a tool not just for </w:t>
      </w:r>
      <w:r w:rsidR="001D686E">
        <w:t>M</w:t>
      </w:r>
      <w:r>
        <w:t>DPH, but also for health providers, government agencies, community-based organizations, advocates, academics, policy makers, and other stakeholders committed to health equity and continued success in implementing health reform.</w:t>
      </w:r>
    </w:p>
    <w:p w:rsidR="004B20E5" w:rsidRPr="00B66391" w:rsidRDefault="004B20E5" w:rsidP="0057638B">
      <w:pPr>
        <w:pStyle w:val="BodyText"/>
      </w:pPr>
      <w:r w:rsidRPr="00B66391">
        <w:t xml:space="preserve">The health system is changing rapidly in </w:t>
      </w:r>
      <w:smartTag w:uri="urn:schemas-microsoft-com:office:smarttags" w:element="place">
        <w:smartTag w:uri="urn:schemas-microsoft-com:office:smarttags" w:element="State">
          <w:r w:rsidRPr="00B66391">
            <w:t>Massachusetts</w:t>
          </w:r>
        </w:smartTag>
      </w:smartTag>
      <w:r w:rsidRPr="00B66391">
        <w:t xml:space="preserve">.  Provider systems are consolidating.  Payers, providers, and regulators are developing and adapting to new payment methods. Executives of existing and emerging Accountable Care Organizations are exploring new treatment </w:t>
      </w:r>
      <w:r>
        <w:t>and payment models including population health management,</w:t>
      </w:r>
      <w:r w:rsidRPr="00B66391">
        <w:t xml:space="preserve"> quality improvement initiatives, and partnerships.  All stakeholders—including patients, </w:t>
      </w:r>
      <w:r w:rsidR="00A04EC0">
        <w:t xml:space="preserve">providers, payers, </w:t>
      </w:r>
      <w:r w:rsidRPr="00B66391">
        <w:t xml:space="preserve">consumer advocates, unions, and policy </w:t>
      </w:r>
      <w:r>
        <w:t>makers</w:t>
      </w:r>
      <w:r w:rsidRPr="00B66391">
        <w:t xml:space="preserve">—are seeking both to understand and shape the new reality as it evolves. </w:t>
      </w:r>
    </w:p>
    <w:p w:rsidR="004B20E5" w:rsidRDefault="004B20E5" w:rsidP="001D3741">
      <w:pPr>
        <w:pStyle w:val="BodyText"/>
      </w:pPr>
      <w:r w:rsidRPr="00B66391">
        <w:t xml:space="preserve">The Massachusetts </w:t>
      </w:r>
      <w:r>
        <w:t>SHIP</w:t>
      </w:r>
      <w:r w:rsidRPr="00B66391">
        <w:t xml:space="preserve"> addresses the overall health of the state’s population and provides a frame of reference to guide policy making and resource allocation.  </w:t>
      </w:r>
      <w:r>
        <w:t xml:space="preserve">It demonstrates how public health prevention efforts can be instrumental to achieving health care reform objectives.  </w:t>
      </w:r>
      <w:r w:rsidRPr="00B66391">
        <w:t xml:space="preserve">It offers detailed objectives and strategies for addressing </w:t>
      </w:r>
      <w:r>
        <w:t>seven</w:t>
      </w:r>
      <w:r w:rsidRPr="00B66391">
        <w:t xml:space="preserve"> priority health areas identified through assessment of population health data.  Each of the </w:t>
      </w:r>
      <w:r>
        <w:t>seven</w:t>
      </w:r>
      <w:r w:rsidRPr="00B66391">
        <w:t xml:space="preserve"> areas, while distinct, is related to the others.  Addressing the SHIP priorities requires coordinated action involving </w:t>
      </w:r>
      <w:r>
        <w:t xml:space="preserve">not only </w:t>
      </w:r>
      <w:r w:rsidRPr="00B66391">
        <w:t xml:space="preserve">health care providers and public health specialists, but also partners outside of the </w:t>
      </w:r>
      <w:r w:rsidR="006E4D56">
        <w:t xml:space="preserve">traditional </w:t>
      </w:r>
      <w:r w:rsidRPr="00B66391">
        <w:t>health sphere whose activities influence population health.</w:t>
      </w:r>
    </w:p>
    <w:p w:rsidR="004B20E5" w:rsidRPr="00413836" w:rsidRDefault="004B20E5" w:rsidP="00C97130">
      <w:pPr>
        <w:pStyle w:val="Heading2"/>
      </w:pPr>
      <w:bookmarkStart w:id="5" w:name="_Toc398819253"/>
      <w:r>
        <w:t>Principles and Belief</w:t>
      </w:r>
      <w:r w:rsidRPr="009E6109">
        <w:t>s for Action</w:t>
      </w:r>
      <w:bookmarkEnd w:id="5"/>
    </w:p>
    <w:p w:rsidR="004B20E5" w:rsidRPr="00925017" w:rsidRDefault="004B20E5" w:rsidP="00C97130">
      <w:pPr>
        <w:pStyle w:val="BodyText"/>
        <w:rPr>
          <w:color w:val="000000"/>
        </w:rPr>
      </w:pPr>
      <w:r>
        <w:t>This</w:t>
      </w:r>
      <w:r w:rsidRPr="00925017">
        <w:t xml:space="preserve"> SHIP reflects</w:t>
      </w:r>
      <w:r>
        <w:t xml:space="preserve">: </w:t>
      </w:r>
      <w:r w:rsidRPr="00925017">
        <w:t xml:space="preserve">community, partner, and </w:t>
      </w:r>
      <w:r w:rsidR="001D686E">
        <w:t>M</w:t>
      </w:r>
      <w:r w:rsidRPr="00925017">
        <w:t xml:space="preserve">DPH priorities; the subject matter expertise within </w:t>
      </w:r>
      <w:r w:rsidR="001D686E">
        <w:t>M</w:t>
      </w:r>
      <w:r w:rsidRPr="00925017">
        <w:t xml:space="preserve">DPH; </w:t>
      </w:r>
      <w:r>
        <w:t xml:space="preserve">and </w:t>
      </w:r>
      <w:r w:rsidRPr="00925017">
        <w:t>a manageable set of priorities and objectives that can be measured and tracked over the course of the plan</w:t>
      </w:r>
      <w:r>
        <w:t xml:space="preserve">.  In designing the SHIP to </w:t>
      </w:r>
      <w:r w:rsidRPr="00925017">
        <w:t xml:space="preserve">meet all of the requirements for accreditation, subject matter experts from the Advisory Committee and </w:t>
      </w:r>
      <w:r w:rsidR="001D686E">
        <w:t>M</w:t>
      </w:r>
      <w:r w:rsidRPr="00925017">
        <w:t xml:space="preserve">DPH outlined </w:t>
      </w:r>
      <w:r>
        <w:t xml:space="preserve">the following </w:t>
      </w:r>
      <w:r w:rsidRPr="00925017">
        <w:t>principles, the first two of which distinguish Massachusetts nationally:</w:t>
      </w:r>
    </w:p>
    <w:p w:rsidR="004B20E5" w:rsidRPr="00925017" w:rsidRDefault="004B20E5" w:rsidP="00C97130">
      <w:pPr>
        <w:pStyle w:val="ListBulleted"/>
      </w:pPr>
      <w:r>
        <w:t>We will</w:t>
      </w:r>
      <w:r w:rsidRPr="00D049C0">
        <w:t xml:space="preserve"> reduc</w:t>
      </w:r>
      <w:r>
        <w:t>e</w:t>
      </w:r>
      <w:r w:rsidRPr="00D049C0">
        <w:t xml:space="preserve"> disparities across all identified domains</w:t>
      </w:r>
      <w:r>
        <w:t>;</w:t>
      </w:r>
    </w:p>
    <w:p w:rsidR="004B20E5" w:rsidRPr="00925017" w:rsidRDefault="004B20E5" w:rsidP="00C97130">
      <w:pPr>
        <w:pStyle w:val="ListBulleted"/>
      </w:pPr>
      <w:r>
        <w:t>We will demonstrate the value of public health prevention initiatives in reducing health care costs; and</w:t>
      </w:r>
    </w:p>
    <w:p w:rsidR="004B20E5" w:rsidRPr="00F12FCB" w:rsidRDefault="004B20E5" w:rsidP="00C97130">
      <w:pPr>
        <w:pStyle w:val="ListBulleted"/>
      </w:pPr>
      <w:r>
        <w:t xml:space="preserve">We will </w:t>
      </w:r>
      <w:r w:rsidRPr="00F12FCB">
        <w:t xml:space="preserve">measure </w:t>
      </w:r>
      <w:r>
        <w:t xml:space="preserve">and document </w:t>
      </w:r>
      <w:r w:rsidRPr="00F12FCB">
        <w:t>change/improvement across all domains</w:t>
      </w:r>
      <w:r>
        <w:t>.</w:t>
      </w:r>
    </w:p>
    <w:p w:rsidR="004B20E5" w:rsidRPr="00925017" w:rsidRDefault="004B20E5" w:rsidP="00C97130">
      <w:pPr>
        <w:pStyle w:val="ListParagraph"/>
        <w:numPr>
          <w:ilvl w:val="0"/>
          <w:numId w:val="0"/>
        </w:numPr>
        <w:ind w:left="1350"/>
        <w:rPr>
          <w:color w:val="000000"/>
        </w:rPr>
      </w:pPr>
    </w:p>
    <w:p w:rsidR="004B20E5" w:rsidRDefault="004B20E5" w:rsidP="00C97130">
      <w:pPr>
        <w:pStyle w:val="BodyText"/>
      </w:pPr>
      <w:r>
        <w:t>In alignment with these principles, the SHIP embraces the following six core beliefs:</w:t>
      </w:r>
    </w:p>
    <w:p w:rsidR="004B20E5" w:rsidRPr="00007A69" w:rsidRDefault="004B20E5" w:rsidP="00007A69">
      <w:pPr>
        <w:pStyle w:val="ListNumbered"/>
      </w:pPr>
      <w:r w:rsidRPr="00007A69">
        <w:t xml:space="preserve">Health is not merely the absence of disease or infirmity.  </w:t>
      </w:r>
    </w:p>
    <w:p w:rsidR="004B20E5" w:rsidRPr="00007A69" w:rsidRDefault="004B20E5" w:rsidP="00007A69">
      <w:pPr>
        <w:pStyle w:val="ListNumbered"/>
      </w:pPr>
      <w:r w:rsidRPr="00007A69">
        <w:t xml:space="preserve">Health equity and multi-sector partnerships are prerequisites for achieving the objectives of health care reform and securing and sustaining population health.  </w:t>
      </w:r>
    </w:p>
    <w:p w:rsidR="004B20E5" w:rsidRPr="00007A69" w:rsidRDefault="004B20E5" w:rsidP="007C74EB">
      <w:pPr>
        <w:pStyle w:val="ListNumbered"/>
      </w:pPr>
      <w:r w:rsidRPr="00007A69">
        <w:t xml:space="preserve">Massachusetts is uniquely positioned to demonstrate the practicality and value of an integrated public health and health care system.  </w:t>
      </w:r>
    </w:p>
    <w:p w:rsidR="004B20E5" w:rsidRPr="00007A69" w:rsidRDefault="004B20E5" w:rsidP="00007A69">
      <w:pPr>
        <w:pStyle w:val="ListNumbered"/>
      </w:pPr>
      <w:r w:rsidRPr="00007A69">
        <w:lastRenderedPageBreak/>
        <w:t xml:space="preserve">“Upstream solutions” (e.g., systems analysis and environmental changes at the community and regional levels) are required to achieve </w:t>
      </w:r>
      <w:r>
        <w:t>Health Reform</w:t>
      </w:r>
      <w:r w:rsidRPr="00007A69">
        <w:t xml:space="preserve"> objectives.</w:t>
      </w:r>
    </w:p>
    <w:p w:rsidR="004B20E5" w:rsidRPr="00007A69" w:rsidRDefault="004B20E5" w:rsidP="00007A69">
      <w:pPr>
        <w:pStyle w:val="ListNumbered"/>
      </w:pPr>
      <w:r w:rsidRPr="00007A69">
        <w:t xml:space="preserve">Continuous Quality Improvement is a path to public health performance excellence. </w:t>
      </w:r>
    </w:p>
    <w:p w:rsidR="004B20E5" w:rsidRPr="00007A69" w:rsidRDefault="004B20E5" w:rsidP="00007A69">
      <w:pPr>
        <w:pStyle w:val="ListNumbered"/>
      </w:pPr>
      <w:r w:rsidRPr="00007A69">
        <w:t xml:space="preserve">Evidence-based practices and promising innovations that provide the best opportunities for cost effective results should be integrated into Continuous Quality Improvement (CQI) activities.  </w:t>
      </w:r>
    </w:p>
    <w:p w:rsidR="004B20E5" w:rsidRDefault="004B20E5" w:rsidP="00C97130">
      <w:pPr>
        <w:pStyle w:val="Heading2"/>
      </w:pPr>
    </w:p>
    <w:p w:rsidR="004B20E5" w:rsidRPr="00F26381" w:rsidRDefault="004B20E5" w:rsidP="00FA3918">
      <w:pPr>
        <w:pStyle w:val="Heading2"/>
      </w:pPr>
      <w:bookmarkStart w:id="6" w:name="_Toc398819255"/>
      <w:r>
        <w:t>Structure</w:t>
      </w:r>
      <w:r w:rsidRPr="00F26381">
        <w:t xml:space="preserve"> of the Massachusetts State Health Improvement Plan</w:t>
      </w:r>
      <w:bookmarkEnd w:id="6"/>
    </w:p>
    <w:p w:rsidR="004B20E5" w:rsidRDefault="004B20E5" w:rsidP="009E5E08">
      <w:pPr>
        <w:pStyle w:val="BodyText"/>
      </w:pPr>
      <w:r>
        <w:t xml:space="preserve">The SHIP </w:t>
      </w:r>
      <w:r w:rsidRPr="00935C18">
        <w:t>has been organized into two parts:</w:t>
      </w:r>
    </w:p>
    <w:p w:rsidR="004B20E5" w:rsidRPr="00935C18" w:rsidRDefault="004B20E5" w:rsidP="009E5E08">
      <w:pPr>
        <w:pStyle w:val="BodyText"/>
      </w:pPr>
    </w:p>
    <w:p w:rsidR="004B20E5" w:rsidRDefault="004B20E5" w:rsidP="00007A69">
      <w:pPr>
        <w:pStyle w:val="ListParagraph"/>
        <w:ind w:left="360"/>
      </w:pPr>
      <w:r w:rsidRPr="00935C18">
        <w:rPr>
          <w:b/>
        </w:rPr>
        <w:t xml:space="preserve">Part 1:  </w:t>
      </w:r>
      <w:r w:rsidRPr="00935C18">
        <w:t>Public Health System Transformation:  This is an essential, foundational priority for the SHIP, as moving the needle on any of the related health topic areas and for key health disparities requires that a robust and integrated infrastructure be in place.</w:t>
      </w:r>
    </w:p>
    <w:p w:rsidR="004B20E5" w:rsidRDefault="004B20E5" w:rsidP="00007A69">
      <w:pPr>
        <w:pStyle w:val="ListParagraph"/>
        <w:numPr>
          <w:ilvl w:val="0"/>
          <w:numId w:val="0"/>
        </w:numPr>
        <w:ind w:left="360"/>
      </w:pPr>
    </w:p>
    <w:p w:rsidR="004B20E5" w:rsidRDefault="004B20E5" w:rsidP="00007A69">
      <w:pPr>
        <w:pStyle w:val="ListParagraph"/>
        <w:ind w:left="360"/>
      </w:pPr>
      <w:r w:rsidRPr="00935C18">
        <w:rPr>
          <w:b/>
        </w:rPr>
        <w:t xml:space="preserve">Part 2:  </w:t>
      </w:r>
      <w:r w:rsidRPr="00935C18">
        <w:t>Health Topic</w:t>
      </w:r>
      <w:r>
        <w:t xml:space="preserve"> Domain</w:t>
      </w:r>
      <w:r w:rsidRPr="00935C18">
        <w:t xml:space="preserve">s:  These </w:t>
      </w:r>
      <w:r>
        <w:t>7</w:t>
      </w:r>
      <w:r w:rsidRPr="00935C18">
        <w:t xml:space="preserve"> health topics are those for which we have data to demonstrate a key area of need, as well as community and political support to engage in collective action for demonstrable impact.</w:t>
      </w:r>
      <w:r>
        <w:br/>
      </w:r>
    </w:p>
    <w:p w:rsidR="004B20E5" w:rsidRDefault="004B20E5" w:rsidP="009E5E08">
      <w:pPr>
        <w:pStyle w:val="BodyText"/>
      </w:pPr>
      <w:r>
        <w:t xml:space="preserve">The following outlines the Domains and </w:t>
      </w:r>
      <w:r w:rsidRPr="009E5E08">
        <w:t>Standards</w:t>
      </w:r>
      <w:r>
        <w:t xml:space="preserve"> for the SHIP:</w:t>
      </w:r>
    </w:p>
    <w:p w:rsidR="004B20E5" w:rsidRDefault="004B20E5" w:rsidP="009E5E08"/>
    <w:p w:rsidR="004B20E5" w:rsidRDefault="004B20E5" w:rsidP="00733660">
      <w:pPr>
        <w:pStyle w:val="GoalStatement"/>
      </w:pPr>
      <w:r>
        <w:t xml:space="preserve">Part I:  Public Health System Transformation </w:t>
      </w:r>
    </w:p>
    <w:p w:rsidR="004B20E5" w:rsidRDefault="004B20E5" w:rsidP="00CB2B0E">
      <w:pPr>
        <w:pStyle w:val="GoalStatement"/>
      </w:pPr>
      <w:r>
        <w:t xml:space="preserve">Health Systems Infrastructure </w:t>
      </w:r>
    </w:p>
    <w:p w:rsidR="004B20E5" w:rsidRDefault="004B20E5" w:rsidP="00FC3D79">
      <w:pPr>
        <w:pStyle w:val="BodyText"/>
      </w:pPr>
      <w:r>
        <w:t>Facilitate public health systems transformation to achieve equity and accountability.</w:t>
      </w:r>
    </w:p>
    <w:p w:rsidR="004B20E5" w:rsidRDefault="004B20E5" w:rsidP="00FC3D79">
      <w:r>
        <w:t>Assure health equity and health reform goal attainment through robust systems and resources for monitoring, protecting, and promoting the health and well-being of the entire Massachusetts population.</w:t>
      </w:r>
    </w:p>
    <w:p w:rsidR="004B20E5" w:rsidRDefault="004B20E5" w:rsidP="00733660">
      <w:pPr>
        <w:pStyle w:val="GoalStatement"/>
      </w:pPr>
      <w:r>
        <w:t>Part II:  Health Issues/Topics</w:t>
      </w:r>
    </w:p>
    <w:p w:rsidR="004B20E5" w:rsidRDefault="004B20E5" w:rsidP="00CB2B0E">
      <w:pPr>
        <w:pStyle w:val="GoalStatement"/>
      </w:pPr>
      <w:r>
        <w:t>Domain 1:  Active Living, Healthy Eating, and Tobacco-Free Living</w:t>
      </w:r>
    </w:p>
    <w:p w:rsidR="004B20E5" w:rsidRDefault="004B20E5" w:rsidP="00FC3D79">
      <w:pPr>
        <w:pStyle w:val="BodyText"/>
      </w:pPr>
      <w:r>
        <w:t>Ensure that all Massachusetts residents minimize risk for disease by eating a nutritious diet, engaging in adequate physical activity, maintaining a healthy weight, and eliminating tobacco use and exposure.</w:t>
      </w:r>
    </w:p>
    <w:p w:rsidR="004B20E5" w:rsidRDefault="004B20E5" w:rsidP="00E827FB">
      <w:pPr>
        <w:pStyle w:val="BodyTextunder3"/>
      </w:pPr>
      <w:r>
        <w:t>Standard 1A:</w:t>
      </w:r>
      <w:r w:rsidR="006E4D56">
        <w:t xml:space="preserve"> </w:t>
      </w:r>
      <w:r>
        <w:t>Ensure that all MA residents eat a nutritious diet.</w:t>
      </w:r>
    </w:p>
    <w:p w:rsidR="004B20E5" w:rsidRDefault="004B20E5" w:rsidP="00E827FB">
      <w:pPr>
        <w:pStyle w:val="BodyTextunder3"/>
      </w:pPr>
      <w:r>
        <w:t>Standard 1B:</w:t>
      </w:r>
      <w:r w:rsidR="006E4D56">
        <w:t xml:space="preserve"> </w:t>
      </w:r>
      <w:r>
        <w:t>Ensure that all MA residents engage in adequate physical activity.</w:t>
      </w:r>
    </w:p>
    <w:p w:rsidR="004B20E5" w:rsidRDefault="004B20E5" w:rsidP="00E827FB">
      <w:pPr>
        <w:pStyle w:val="BodyTextunder3"/>
      </w:pPr>
      <w:r>
        <w:t>Standard 1C:</w:t>
      </w:r>
      <w:r w:rsidR="006E4D56">
        <w:t xml:space="preserve"> </w:t>
      </w:r>
      <w:r>
        <w:t>Support all MA residents in leading tobacco-free lives.</w:t>
      </w:r>
    </w:p>
    <w:p w:rsidR="004B20E5" w:rsidRDefault="004B20E5" w:rsidP="00CB2B0E">
      <w:pPr>
        <w:pStyle w:val="GoalStatement"/>
      </w:pPr>
      <w:r>
        <w:t>Domain 2:  Chronic Disease Prevention and Control</w:t>
      </w:r>
    </w:p>
    <w:p w:rsidR="004B20E5" w:rsidRDefault="004B20E5" w:rsidP="00FC3D79">
      <w:pPr>
        <w:pStyle w:val="BodyText"/>
      </w:pPr>
      <w:r>
        <w:t>Reduce the incidence and impact of chronic disease to optimize the health and quality of life of all populations across the lifespan.</w:t>
      </w:r>
    </w:p>
    <w:p w:rsidR="004B20E5" w:rsidRDefault="004B20E5" w:rsidP="00E827FB">
      <w:pPr>
        <w:pStyle w:val="BodyTextunder3"/>
      </w:pPr>
      <w:r>
        <w:t>Standard 2A: Improve participation in recommended cancer screenings.</w:t>
      </w:r>
    </w:p>
    <w:p w:rsidR="004B20E5" w:rsidRPr="00E827FB" w:rsidRDefault="004B20E5" w:rsidP="00695014">
      <w:pPr>
        <w:pStyle w:val="BodyTextunder3"/>
      </w:pPr>
      <w:r w:rsidRPr="00E827FB">
        <w:t xml:space="preserve">Standard 2B: Improve prevention, management and control of chronic disease and associated risk factors. </w:t>
      </w:r>
    </w:p>
    <w:p w:rsidR="004B20E5" w:rsidRDefault="004B20E5" w:rsidP="00CB2B0E">
      <w:pPr>
        <w:pStyle w:val="GoalStatement"/>
      </w:pPr>
      <w:r>
        <w:t>Domain 3:   Infectious Disease Prevention and Control</w:t>
      </w:r>
    </w:p>
    <w:p w:rsidR="004B20E5" w:rsidRDefault="004B20E5" w:rsidP="00FC3D79">
      <w:pPr>
        <w:pStyle w:val="BodyText"/>
      </w:pPr>
      <w:r>
        <w:t xml:space="preserve">Reduce morbidity and mortality related to infectious disease.  </w:t>
      </w:r>
    </w:p>
    <w:p w:rsidR="004B20E5" w:rsidRDefault="004B20E5" w:rsidP="00E827FB">
      <w:pPr>
        <w:pStyle w:val="BodyTextunder3"/>
      </w:pPr>
      <w:r>
        <w:t>Standard 3A:</w:t>
      </w:r>
      <w:r w:rsidR="006E4D56">
        <w:t xml:space="preserve"> </w:t>
      </w:r>
      <w:r>
        <w:t>Reduce morbidity related to vaccine preventable infections.</w:t>
      </w:r>
    </w:p>
    <w:p w:rsidR="004B20E5" w:rsidRDefault="004B20E5" w:rsidP="00E827FB">
      <w:pPr>
        <w:pStyle w:val="BodyTextunder3"/>
      </w:pPr>
      <w:r>
        <w:t>Standard 3B:</w:t>
      </w:r>
      <w:r w:rsidR="006E4D56">
        <w:t xml:space="preserve"> </w:t>
      </w:r>
      <w:r>
        <w:t xml:space="preserve">Reduce the incidence of </w:t>
      </w:r>
      <w:r w:rsidR="003120E8">
        <w:t>tick-borne</w:t>
      </w:r>
      <w:r>
        <w:t xml:space="preserve"> infections among MA residents.</w:t>
      </w:r>
    </w:p>
    <w:p w:rsidR="004B20E5" w:rsidRDefault="004B20E5" w:rsidP="00E827FB">
      <w:pPr>
        <w:pStyle w:val="BodyTextunder3"/>
      </w:pPr>
      <w:r>
        <w:lastRenderedPageBreak/>
        <w:t>Standard 3C:</w:t>
      </w:r>
      <w:r w:rsidR="006E4D56">
        <w:t xml:space="preserve"> </w:t>
      </w:r>
      <w:r>
        <w:t>Decrease morbidity related to sexually transmitted infections.</w:t>
      </w:r>
    </w:p>
    <w:p w:rsidR="004B20E5" w:rsidRDefault="004B20E5" w:rsidP="00E827FB">
      <w:pPr>
        <w:pStyle w:val="BodyTextunder3"/>
      </w:pPr>
      <w:r>
        <w:t>Standard 3D:</w:t>
      </w:r>
      <w:r w:rsidR="006E4D56">
        <w:t xml:space="preserve"> </w:t>
      </w:r>
      <w:r>
        <w:t>Reduce morbidity and mortality related to HIV/AIDS.</w:t>
      </w:r>
    </w:p>
    <w:p w:rsidR="004B20E5" w:rsidRDefault="004B20E5" w:rsidP="00E827FB">
      <w:pPr>
        <w:pStyle w:val="BodyTextunder3"/>
      </w:pPr>
      <w:r>
        <w:t>Standard 3E:</w:t>
      </w:r>
      <w:r w:rsidR="006E4D56">
        <w:t xml:space="preserve"> </w:t>
      </w:r>
      <w:r>
        <w:t>Reduce mortality related to viral hepatitis.</w:t>
      </w:r>
    </w:p>
    <w:p w:rsidR="004B20E5" w:rsidRDefault="004B20E5" w:rsidP="00E827FB">
      <w:pPr>
        <w:pStyle w:val="BodyTextunder3"/>
      </w:pPr>
      <w:r>
        <w:t>Standard 3F:</w:t>
      </w:r>
      <w:r w:rsidR="006E4D56">
        <w:t xml:space="preserve"> </w:t>
      </w:r>
      <w:r>
        <w:t>Reduce morbidity related to healthcare acquired infections.</w:t>
      </w:r>
    </w:p>
    <w:p w:rsidR="004B20E5" w:rsidRDefault="004B20E5" w:rsidP="00E827FB">
      <w:pPr>
        <w:pStyle w:val="BodyTextunder3"/>
      </w:pPr>
      <w:r>
        <w:t>Standard 3G:</w:t>
      </w:r>
      <w:r w:rsidR="006E4D56">
        <w:t xml:space="preserve"> </w:t>
      </w:r>
      <w:r>
        <w:t>Reduce morbidity related to foodborne infections.</w:t>
      </w:r>
    </w:p>
    <w:p w:rsidR="004B20E5" w:rsidRDefault="004B20E5" w:rsidP="00CB2B0E">
      <w:pPr>
        <w:pStyle w:val="GoalStatement"/>
      </w:pPr>
      <w:r>
        <w:t>Domain 4:  Substance Abuse Prevention, Intervention, Treatment and Recovery</w:t>
      </w:r>
    </w:p>
    <w:p w:rsidR="004B20E5" w:rsidRDefault="004B20E5" w:rsidP="00FC3D79">
      <w:pPr>
        <w:pStyle w:val="BodyText"/>
      </w:pPr>
      <w:r>
        <w:t>Promote mental and emotional health and reduce drug and alcohol abuse through prevention, treatment, and integration of care.</w:t>
      </w:r>
    </w:p>
    <w:p w:rsidR="004B20E5" w:rsidRDefault="004B20E5" w:rsidP="00E827FB">
      <w:pPr>
        <w:pStyle w:val="BodyTextunder3"/>
      </w:pPr>
      <w:r>
        <w:t>Standard 4A:</w:t>
      </w:r>
      <w:r w:rsidR="006E4D56">
        <w:t xml:space="preserve"> </w:t>
      </w:r>
      <w:r>
        <w:t>Prevent the development of alcohol and substance use disorders.</w:t>
      </w:r>
    </w:p>
    <w:p w:rsidR="004B20E5" w:rsidRDefault="004B20E5" w:rsidP="00E827FB">
      <w:pPr>
        <w:pStyle w:val="BodyTextunder3"/>
      </w:pPr>
      <w:r>
        <w:t>Standard 4B:</w:t>
      </w:r>
      <w:r w:rsidR="006E4D56">
        <w:t xml:space="preserve"> </w:t>
      </w:r>
      <w:r>
        <w:t>Strengthen local capacity to prevent substance abuse.</w:t>
      </w:r>
    </w:p>
    <w:p w:rsidR="004B20E5" w:rsidRDefault="004B20E5" w:rsidP="00E827FB">
      <w:pPr>
        <w:pStyle w:val="BodyTextunder3"/>
      </w:pPr>
      <w:r>
        <w:t>Standard 4C:</w:t>
      </w:r>
      <w:r w:rsidR="006E4D56">
        <w:t xml:space="preserve"> </w:t>
      </w:r>
      <w:r>
        <w:t>Improve diversity among individuals served.</w:t>
      </w:r>
    </w:p>
    <w:p w:rsidR="004B20E5" w:rsidRDefault="004B20E5" w:rsidP="00CB2B0E">
      <w:pPr>
        <w:pStyle w:val="GoalStatement"/>
      </w:pPr>
      <w:r>
        <w:t>Domain 5:  Injury, Suicide and Violence Prevention</w:t>
      </w:r>
    </w:p>
    <w:p w:rsidR="004B20E5" w:rsidRDefault="004B20E5" w:rsidP="00FC3D79">
      <w:pPr>
        <w:pStyle w:val="BodyText"/>
      </w:pPr>
      <w:r>
        <w:t>Prevent injuries, suicide and violence, and promote trauma-informed care across all settings, particularly in clinical and public health services.</w:t>
      </w:r>
    </w:p>
    <w:p w:rsidR="004B20E5" w:rsidRDefault="004B20E5" w:rsidP="00E827FB">
      <w:pPr>
        <w:pStyle w:val="BodyTextunder3"/>
      </w:pPr>
      <w:r>
        <w:t>Standard 5A:</w:t>
      </w:r>
      <w:r w:rsidR="006E4D56">
        <w:t xml:space="preserve"> </w:t>
      </w:r>
      <w:r>
        <w:t>Reduce unintentional injury.</w:t>
      </w:r>
    </w:p>
    <w:p w:rsidR="004B20E5" w:rsidRDefault="004B20E5" w:rsidP="00E827FB">
      <w:pPr>
        <w:pStyle w:val="BodyTextunder3"/>
      </w:pPr>
      <w:r>
        <w:t>Standard 5B: Reduce suicides and suicidal behavior for all ages.</w:t>
      </w:r>
    </w:p>
    <w:p w:rsidR="004B20E5" w:rsidRDefault="004B20E5" w:rsidP="00E827FB">
      <w:pPr>
        <w:pStyle w:val="BodyTextunder3"/>
      </w:pPr>
      <w:r>
        <w:t>Standard 5C: Reduce work-related injury and violence.</w:t>
      </w:r>
    </w:p>
    <w:p w:rsidR="004B20E5" w:rsidRDefault="004B20E5" w:rsidP="00E827FB">
      <w:pPr>
        <w:pStyle w:val="BodyTextunder3"/>
      </w:pPr>
      <w:r>
        <w:t>Standard 5D: Reduce gender based and youth violence.</w:t>
      </w:r>
    </w:p>
    <w:p w:rsidR="004B20E5" w:rsidRDefault="004B20E5" w:rsidP="00E827FB">
      <w:pPr>
        <w:pStyle w:val="BodyTextunder3"/>
      </w:pPr>
      <w:r>
        <w:t xml:space="preserve">Standard 5E: Reduce </w:t>
      </w:r>
      <w:r w:rsidR="00996674">
        <w:t>h</w:t>
      </w:r>
      <w:r>
        <w:t xml:space="preserve">ealth </w:t>
      </w:r>
      <w:r w:rsidR="00996674">
        <w:t>c</w:t>
      </w:r>
      <w:r>
        <w:t xml:space="preserve">are </w:t>
      </w:r>
      <w:r w:rsidR="00996674">
        <w:t>f</w:t>
      </w:r>
      <w:r>
        <w:t>acility Se</w:t>
      </w:r>
      <w:r w:rsidR="00996674">
        <w:t>rious</w:t>
      </w:r>
      <w:r>
        <w:t xml:space="preserve"> Reportable Events.</w:t>
      </w:r>
    </w:p>
    <w:p w:rsidR="004B20E5" w:rsidRDefault="004B20E5" w:rsidP="00CB2B0E">
      <w:pPr>
        <w:pStyle w:val="GoalStatement"/>
      </w:pPr>
      <w:r>
        <w:t>Domain 6:  Maternal, Child, and Family Health Promotion</w:t>
      </w:r>
    </w:p>
    <w:p w:rsidR="004B20E5" w:rsidRDefault="004B20E5" w:rsidP="00FC3D79">
      <w:pPr>
        <w:pStyle w:val="BodyText"/>
      </w:pPr>
      <w:r>
        <w:t>Ensure the health and well-being of women, children and families.</w:t>
      </w:r>
    </w:p>
    <w:p w:rsidR="004B20E5" w:rsidRDefault="004B20E5" w:rsidP="00E827FB">
      <w:pPr>
        <w:pStyle w:val="BodyTextunder3"/>
      </w:pPr>
      <w:r>
        <w:t>Standard 6A: Reduce teen births in communities with the highest rates.</w:t>
      </w:r>
    </w:p>
    <w:p w:rsidR="004B20E5" w:rsidRDefault="004B20E5" w:rsidP="00E827FB">
      <w:pPr>
        <w:pStyle w:val="BodyTextunder3"/>
      </w:pPr>
      <w:r>
        <w:t>Standard 6B: Improve maternal health and infant outcomes.</w:t>
      </w:r>
    </w:p>
    <w:p w:rsidR="004B20E5" w:rsidRDefault="004B20E5" w:rsidP="00E827FB">
      <w:pPr>
        <w:pStyle w:val="BodyTextunder3"/>
      </w:pPr>
      <w:r>
        <w:t>Standard 6C: Ensure positive early childhood health and development.</w:t>
      </w:r>
    </w:p>
    <w:p w:rsidR="004B20E5" w:rsidRDefault="004B20E5" w:rsidP="00CB2B0E">
      <w:pPr>
        <w:pStyle w:val="GoalStatement"/>
      </w:pPr>
      <w:r>
        <w:t xml:space="preserve">Domain 7:  </w:t>
      </w:r>
      <w:r w:rsidR="00CC4FA8">
        <w:t>Environmental Risk Factors and Health</w:t>
      </w:r>
    </w:p>
    <w:p w:rsidR="004B20E5" w:rsidRDefault="004B20E5" w:rsidP="00FC3D79">
      <w:pPr>
        <w:pStyle w:val="BodyText"/>
      </w:pPr>
      <w:r>
        <w:t>Prevent and reduce environmental risk factors (or hazards) in home, school, work and community environments to achieve optimal health and wellbeing.</w:t>
      </w:r>
    </w:p>
    <w:p w:rsidR="004B20E5" w:rsidRDefault="004B20E5" w:rsidP="00E827FB">
      <w:pPr>
        <w:pStyle w:val="BodyTextunder3"/>
      </w:pPr>
      <w:r>
        <w:t>Standard 7A: Reduce exposure to lead in children and adults to prevent deleterious health impacts.</w:t>
      </w:r>
    </w:p>
    <w:p w:rsidR="004B20E5" w:rsidRDefault="004B20E5" w:rsidP="00E827FB">
      <w:pPr>
        <w:pStyle w:val="BodyTextunder3"/>
      </w:pPr>
      <w:r>
        <w:t>Standard 7B: Improve indoor environmental quality in homes and public buildings to reduce respiratory symptoms and diseases.</w:t>
      </w:r>
    </w:p>
    <w:p w:rsidR="004B20E5" w:rsidRDefault="004B20E5" w:rsidP="00E827FB">
      <w:pPr>
        <w:pStyle w:val="BodyTextunder3"/>
      </w:pPr>
      <w:r>
        <w:t>Standard 7C: Reduce foodborne illness.</w:t>
      </w:r>
    </w:p>
    <w:p w:rsidR="004B20E5" w:rsidRDefault="004B20E5" w:rsidP="00606FCD">
      <w:pPr>
        <w:pStyle w:val="BodyTextunder3"/>
      </w:pPr>
      <w:r>
        <w:t xml:space="preserve">Standard 7D: </w:t>
      </w:r>
      <w:r w:rsidRPr="00130D8A">
        <w:t>Increase the capacity of local and state health officials to address environmental health issues through enhanced training.</w:t>
      </w:r>
    </w:p>
    <w:p w:rsidR="0004102F" w:rsidRDefault="0004102F" w:rsidP="001C31A2">
      <w:pPr>
        <w:pStyle w:val="Heading2"/>
      </w:pPr>
      <w:bookmarkStart w:id="7" w:name="_Toc398819256"/>
    </w:p>
    <w:p w:rsidR="0004102F" w:rsidRDefault="0004102F" w:rsidP="001C31A2">
      <w:pPr>
        <w:pStyle w:val="Heading2"/>
      </w:pPr>
    </w:p>
    <w:p w:rsidR="0004102F" w:rsidRDefault="0004102F" w:rsidP="001C31A2">
      <w:pPr>
        <w:pStyle w:val="Heading2"/>
      </w:pPr>
    </w:p>
    <w:p w:rsidR="0004102F" w:rsidRDefault="0004102F" w:rsidP="001C31A2">
      <w:pPr>
        <w:pStyle w:val="Heading2"/>
      </w:pPr>
    </w:p>
    <w:p w:rsidR="004B20E5" w:rsidRPr="00DE37A5" w:rsidRDefault="004B20E5" w:rsidP="001C31A2">
      <w:pPr>
        <w:pStyle w:val="Heading2"/>
      </w:pPr>
      <w:r w:rsidRPr="00DE37A5">
        <w:lastRenderedPageBreak/>
        <w:t>Relationship Between the SHIP and Other Guiding Documents and Initiatives</w:t>
      </w:r>
      <w:bookmarkEnd w:id="7"/>
    </w:p>
    <w:p w:rsidR="004B20E5" w:rsidRPr="00A65C09" w:rsidRDefault="004B20E5" w:rsidP="00A65C09">
      <w:pPr>
        <w:pStyle w:val="BodyText"/>
      </w:pPr>
      <w:r w:rsidRPr="00A65C09">
        <w:t xml:space="preserve">The Massachusetts SHIP is closely aligned with the National Prevention Strategy, Healthy People 2020 objectives, the Community Guide, the Centers for Disease Control and Prevention public health priorities (Winnable Battles), and with other existing Commonwealth of Massachusetts and </w:t>
      </w:r>
      <w:r w:rsidR="001D686E">
        <w:t>M</w:t>
      </w:r>
      <w:r w:rsidRPr="00A65C09">
        <w:t>DPH Plans. The SHIP was designed to complement and build upon other guiding documents, plans, initiatives, and coalitions already in place to improve the public health of the residents of Massachusetts.</w:t>
      </w:r>
    </w:p>
    <w:p w:rsidR="004B20E5" w:rsidRPr="001A7FAE" w:rsidRDefault="004B20E5" w:rsidP="00A65C09">
      <w:pPr>
        <w:pStyle w:val="ListBulletedIndented"/>
        <w:numPr>
          <w:ilvl w:val="0"/>
          <w:numId w:val="0"/>
        </w:numPr>
        <w:ind w:left="1260" w:hanging="360"/>
      </w:pPr>
    </w:p>
    <w:p w:rsidR="004B20E5" w:rsidRDefault="004B20E5" w:rsidP="00FC10DB"/>
    <w:p w:rsidR="004B20E5" w:rsidRDefault="004B20E5" w:rsidP="00663B9B">
      <w:pPr>
        <w:pStyle w:val="BodyText"/>
      </w:pPr>
      <w:bookmarkStart w:id="8" w:name="_Toc371587197"/>
      <w:bookmarkEnd w:id="2"/>
      <w:r>
        <w:br w:type="page"/>
      </w:r>
    </w:p>
    <w:p w:rsidR="004B20E5" w:rsidRDefault="004B20E5" w:rsidP="00663B9B">
      <w:pPr>
        <w:pStyle w:val="BodyText"/>
      </w:pPr>
    </w:p>
    <w:p w:rsidR="004B20E5" w:rsidRDefault="004B20E5" w:rsidP="00663B9B">
      <w:pPr>
        <w:pStyle w:val="BodyText"/>
      </w:pPr>
    </w:p>
    <w:p w:rsidR="004B20E5" w:rsidRDefault="004B20E5" w:rsidP="000A7CF2">
      <w:pPr>
        <w:pStyle w:val="Heading1"/>
      </w:pPr>
      <w:bookmarkStart w:id="9" w:name="_Toc391388757"/>
      <w:bookmarkStart w:id="10" w:name="_Toc398819257"/>
      <w:bookmarkEnd w:id="8"/>
      <w:r>
        <w:t>A Framework for Action</w:t>
      </w:r>
      <w:bookmarkEnd w:id="9"/>
      <w:bookmarkEnd w:id="10"/>
    </w:p>
    <w:p w:rsidR="004B20E5" w:rsidRPr="005C7A7E" w:rsidRDefault="004B20E5" w:rsidP="000A7CF2">
      <w:pPr>
        <w:pStyle w:val="Heading2"/>
      </w:pPr>
      <w:bookmarkStart w:id="11" w:name="_Toc391388758"/>
      <w:bookmarkStart w:id="12" w:name="_Toc398819258"/>
      <w:r w:rsidRPr="005C7A7E">
        <w:t>Integrating Public Health and Health Care to Achieve</w:t>
      </w:r>
      <w:r>
        <w:t xml:space="preserve"> t</w:t>
      </w:r>
      <w:r w:rsidRPr="005C7A7E">
        <w:t>he “Triple Aim” Objectives of Health Reform</w:t>
      </w:r>
      <w:bookmarkEnd w:id="11"/>
      <w:bookmarkEnd w:id="12"/>
    </w:p>
    <w:p w:rsidR="004B20E5" w:rsidRDefault="004B20E5" w:rsidP="00E827FB">
      <w:pPr>
        <w:pStyle w:val="BodyText"/>
      </w:pPr>
      <w:r w:rsidRPr="00CB5A30">
        <w:t>Public health is what society does collectively to assure the conditions for people to be healthy</w:t>
      </w:r>
      <w:r>
        <w:t>.</w:t>
      </w:r>
      <w:r w:rsidRPr="00B94DCA">
        <w:rPr>
          <w:rStyle w:val="EndnoteReference"/>
        </w:rPr>
        <w:endnoteReference w:id="1"/>
      </w:r>
      <w:r w:rsidRPr="00E827FB">
        <w:t>Population health is defined as the health outcomes of a group of individuals, including not only the overall health of the population but the distribution of health outcomes within the group.</w:t>
      </w:r>
      <w:r>
        <w:rPr>
          <w:rStyle w:val="EndnoteReference"/>
        </w:rPr>
        <w:endnoteReference w:id="2"/>
      </w:r>
      <w:r w:rsidRPr="00E827FB">
        <w:t> </w:t>
      </w:r>
      <w:r>
        <w:t xml:space="preserve">Population health requires not only universal access to high quality, affordable, culturally responsive health care services, but also policies, programs, and infrastructure to prevent injury and disease from occurring in the first place.  </w:t>
      </w:r>
    </w:p>
    <w:p w:rsidR="004B20E5" w:rsidRDefault="004B20E5" w:rsidP="00CB64D5">
      <w:pPr>
        <w:pStyle w:val="BodyText"/>
      </w:pPr>
      <w:r>
        <w:t>As the first state in the nation to embark on health reform, Massachusetts is in the vanguard of integrating public health expertise in prevention and population health management into the healthcare delivery system.  The vision put forth in the Affordable Care Act (ACA) and Chapter 224</w:t>
      </w:r>
      <w:r w:rsidR="00992F65">
        <w:t xml:space="preserve"> of the Acts of 2012</w:t>
      </w:r>
      <w:r>
        <w:t>, An Act improving the Quality of Health Care and Reducing Costs Through Increased Transparency, Efficiency and Innovation, guided the team of experts who helped refine the Massachusetts State Health Improvement Plan (SHIP).  Through the SHIP, these experts sought to maximize three overarching goals:</w:t>
      </w:r>
    </w:p>
    <w:p w:rsidR="004B20E5" w:rsidRDefault="004B20E5" w:rsidP="00B92112">
      <w:pPr>
        <w:pStyle w:val="ListNumbered"/>
        <w:numPr>
          <w:ilvl w:val="0"/>
          <w:numId w:val="19"/>
        </w:numPr>
      </w:pPr>
      <w:r>
        <w:t>Improve health</w:t>
      </w:r>
    </w:p>
    <w:p w:rsidR="004B20E5" w:rsidRDefault="004B20E5" w:rsidP="00B92112">
      <w:pPr>
        <w:pStyle w:val="ListNumbered"/>
        <w:numPr>
          <w:ilvl w:val="0"/>
          <w:numId w:val="19"/>
        </w:numPr>
      </w:pPr>
      <w:r>
        <w:t xml:space="preserve">Reduce healthcare costs, and </w:t>
      </w:r>
    </w:p>
    <w:p w:rsidR="004B20E5" w:rsidRDefault="004B20E5" w:rsidP="00B92112">
      <w:pPr>
        <w:pStyle w:val="ListNumbered"/>
        <w:numPr>
          <w:ilvl w:val="0"/>
          <w:numId w:val="19"/>
        </w:numPr>
      </w:pPr>
      <w:r>
        <w:t>Improve the experience of care for all residents of the Commonwealth</w:t>
      </w:r>
      <w:r w:rsidRPr="00925017">
        <w:rPr>
          <w:rStyle w:val="FootnoteReference"/>
        </w:rPr>
        <w:footnoteReference w:id="1"/>
      </w:r>
      <w:r>
        <w:t xml:space="preserve">. </w:t>
      </w:r>
    </w:p>
    <w:p w:rsidR="004B20E5" w:rsidRPr="00925017" w:rsidRDefault="004B20E5" w:rsidP="00CB64D5">
      <w:pPr>
        <w:pStyle w:val="BodyText"/>
      </w:pPr>
      <w:r w:rsidRPr="00925017">
        <w:t>These elements of the Triple Aim, as conceived by the Institute for Healthcare Improvement, have been used widely as a framework for optimizing</w:t>
      </w:r>
      <w:r>
        <w:t xml:space="preserve"> population health and</w:t>
      </w:r>
      <w:r w:rsidRPr="00925017">
        <w:t xml:space="preserve"> health system performance.  Progress toward achieving the Triple Aim in the Commonwealth will require the efforts of state and local health departments, clinical systems, and community-based organizations, as well as a reliance on a health information infrastructure that supports them all.  </w:t>
      </w:r>
    </w:p>
    <w:p w:rsidR="004B20E5" w:rsidRDefault="004B20E5" w:rsidP="00CB64D5">
      <w:pPr>
        <w:pStyle w:val="BodyText"/>
      </w:pPr>
      <w:r w:rsidRPr="00925017">
        <w:t xml:space="preserve">The Massachusetts SHIP provides the framework for success in executing the vision the Commissioner of the Department of Public Health </w:t>
      </w:r>
      <w:r>
        <w:t>(</w:t>
      </w:r>
      <w:r w:rsidR="001D686E">
        <w:t>M</w:t>
      </w:r>
      <w:r>
        <w:t xml:space="preserve">DPH) </w:t>
      </w:r>
      <w:r w:rsidRPr="00925017">
        <w:t xml:space="preserve">has laid out for the citizens of the Commonwealth.  The Department and its partners will draw on the SHIP priorities and strategies in constructing its own Strategic Plan, which will guide the efforts of the DPH for the next 3-5 years, and set the standard for how all State Health Departments can play a pivotal role in improving the healthcare delivery system’s ability to transform itself proactively under health reform. </w:t>
      </w:r>
    </w:p>
    <w:p w:rsidR="004B20E5" w:rsidRDefault="004B20E5" w:rsidP="00CB64D5">
      <w:pPr>
        <w:pStyle w:val="BodyText"/>
      </w:pPr>
      <w:r>
        <w:t xml:space="preserve">This SHIP was developed under the leadership of the MA DPH in cooperation with dozens of public and private sector leaders to establish a vision, direction, and outline with clear priorities and measureable objectives to improve health in the Commonwealth.  </w:t>
      </w:r>
      <w:r w:rsidR="00992F65">
        <w:t>MDPH hopes that t</w:t>
      </w:r>
      <w:r>
        <w:t xml:space="preserve">he SHIP </w:t>
      </w:r>
      <w:r w:rsidR="00992F65">
        <w:t xml:space="preserve">will </w:t>
      </w:r>
      <w:r>
        <w:t xml:space="preserve">serve as a </w:t>
      </w:r>
      <w:r w:rsidR="00992F65">
        <w:t xml:space="preserve">helpful </w:t>
      </w:r>
      <w:r>
        <w:t xml:space="preserve">tool not just for </w:t>
      </w:r>
      <w:r w:rsidR="001D686E">
        <w:t>M</w:t>
      </w:r>
      <w:r>
        <w:t>DPH, but also for health</w:t>
      </w:r>
      <w:r w:rsidR="00992F65">
        <w:t>care</w:t>
      </w:r>
      <w:r>
        <w:t xml:space="preserve"> providers</w:t>
      </w:r>
      <w:r w:rsidR="00992F65">
        <w:t xml:space="preserve"> and payers</w:t>
      </w:r>
      <w:r>
        <w:t>, government agencies, community-based organizations, advocates, academics, policy makers, and other stakeholders committed to health equity and continued success with implementing health reform.</w:t>
      </w:r>
    </w:p>
    <w:p w:rsidR="004B20E5" w:rsidRDefault="004B20E5" w:rsidP="000A7CF2">
      <w:pPr>
        <w:pStyle w:val="Heading2"/>
      </w:pPr>
      <w:bookmarkStart w:id="13" w:name="_Toc391388759"/>
      <w:r>
        <w:br w:type="page"/>
      </w:r>
    </w:p>
    <w:p w:rsidR="004B20E5" w:rsidRPr="00413836" w:rsidRDefault="004B20E5" w:rsidP="000A7CF2">
      <w:pPr>
        <w:pStyle w:val="Heading2"/>
      </w:pPr>
      <w:bookmarkStart w:id="14" w:name="_Toc398819259"/>
      <w:r w:rsidRPr="00AC450E">
        <w:lastRenderedPageBreak/>
        <w:t>Context for Action</w:t>
      </w:r>
      <w:bookmarkEnd w:id="13"/>
      <w:bookmarkEnd w:id="14"/>
    </w:p>
    <w:p w:rsidR="004B20E5" w:rsidRDefault="004B20E5" w:rsidP="000A7CF2">
      <w:pPr>
        <w:pStyle w:val="BodyText"/>
      </w:pPr>
      <w:r>
        <w:t>It is important to put the SHIP in the context of state, national, and international initiatives to improve population health through the most effective and efficient mobilization of available resources.  These initiatives include:</w:t>
      </w:r>
    </w:p>
    <w:p w:rsidR="004B20E5" w:rsidRDefault="004B20E5" w:rsidP="000A7CF2">
      <w:pPr>
        <w:pStyle w:val="ListBulleted"/>
      </w:pPr>
      <w:r>
        <w:t>Massachusetts Governor Deval Patrick’s Executive Order 540, issued in February 2012</w:t>
      </w:r>
      <w:r w:rsidR="00992F65">
        <w:t>,</w:t>
      </w:r>
      <w:r>
        <w:t xml:space="preserve"> to promote improved performance management across all agencies of government</w:t>
      </w:r>
    </w:p>
    <w:p w:rsidR="004B20E5" w:rsidRDefault="004B20E5" w:rsidP="000A7CF2">
      <w:pPr>
        <w:pStyle w:val="ListBulleted"/>
      </w:pPr>
      <w:r>
        <w:t xml:space="preserve">Chapter 224 of the Acts of 2012, the state’s major health care </w:t>
      </w:r>
      <w:r w:rsidR="00992F65">
        <w:t xml:space="preserve">cost containment </w:t>
      </w:r>
      <w:r>
        <w:t>law, adopted to enhance quality of care and contain costs in the wake of achieving near universal access to health insurance</w:t>
      </w:r>
    </w:p>
    <w:p w:rsidR="004B20E5" w:rsidRDefault="004B20E5" w:rsidP="000A7CF2">
      <w:pPr>
        <w:pStyle w:val="ListBulleted"/>
      </w:pPr>
      <w:r>
        <w:t>The federal Patient Protection and Affordable Care Act (ACA), based on the landmark 2006 Massachusetts health care reform law, with numerous provisions to promote integration of public health and health care services</w:t>
      </w:r>
    </w:p>
    <w:p w:rsidR="004B20E5" w:rsidRDefault="004B20E5" w:rsidP="000A7CF2">
      <w:pPr>
        <w:pStyle w:val="ListBulleted"/>
      </w:pPr>
      <w:r>
        <w:t>The National Prevention Strategy, adopted as a requirement of the ACA, to establish a national framework for preventing injury and disease, including four areas of focus: healthy and safe community environments, clinical and community preventive services, empowered people, and elimination of health disparities</w:t>
      </w:r>
    </w:p>
    <w:p w:rsidR="004B20E5" w:rsidRDefault="004B20E5" w:rsidP="000A7CF2">
      <w:pPr>
        <w:pStyle w:val="ListBulleted"/>
      </w:pPr>
      <w:r>
        <w:t>Accreditation of state, local, and tribal health departments by the Public Health Accreditation Board, a national accrediting body established by the US Centers for Disease Control and Prevention in cooperation with leading national public health philanthropies and professional organizations</w:t>
      </w:r>
    </w:p>
    <w:p w:rsidR="004B20E5" w:rsidRPr="00413836" w:rsidRDefault="004B20E5" w:rsidP="000A7CF2">
      <w:pPr>
        <w:pStyle w:val="Heading2"/>
      </w:pPr>
      <w:bookmarkStart w:id="15" w:name="_Toc391388760"/>
      <w:bookmarkStart w:id="16" w:name="_Toc398819260"/>
      <w:r w:rsidRPr="00DE6528">
        <w:t>Opportunities and Challenges in State Health Care Reform</w:t>
      </w:r>
      <w:bookmarkEnd w:id="15"/>
      <w:bookmarkEnd w:id="16"/>
    </w:p>
    <w:p w:rsidR="004B20E5" w:rsidRDefault="004B20E5" w:rsidP="009173A0">
      <w:pPr>
        <w:pStyle w:val="BodyText"/>
      </w:pPr>
      <w:r w:rsidRPr="001C4579">
        <w:rPr>
          <w:color w:val="000000"/>
        </w:rPr>
        <w:t xml:space="preserve">There has never been a better time in the history of Massachusetts to </w:t>
      </w:r>
      <w:r w:rsidRPr="001C4579">
        <w:t xml:space="preserve">align public health and </w:t>
      </w:r>
      <w:r>
        <w:t>health</w:t>
      </w:r>
      <w:r w:rsidRPr="001C4579">
        <w:t xml:space="preserve"> care systems to prevent injury and disease and achieve the “Triple Aim” </w:t>
      </w:r>
      <w:r>
        <w:t xml:space="preserve">objectives </w:t>
      </w:r>
      <w:r w:rsidRPr="001C4579">
        <w:t xml:space="preserve">of federal and state </w:t>
      </w:r>
      <w:r>
        <w:t xml:space="preserve">health care reform: </w:t>
      </w:r>
      <w:r w:rsidRPr="001C4579">
        <w:t>control</w:t>
      </w:r>
      <w:r>
        <w:t>ling costs, improving the experience of care, and improving</w:t>
      </w:r>
      <w:r w:rsidRPr="001C4579">
        <w:t xml:space="preserve"> health outcomes for the entire population.</w:t>
      </w:r>
      <w:r w:rsidRPr="00925017">
        <w:rPr>
          <w:rStyle w:val="EndnoteReference"/>
        </w:rPr>
        <w:endnoteReference w:id="3"/>
      </w:r>
    </w:p>
    <w:p w:rsidR="004B20E5" w:rsidRPr="00B66391" w:rsidRDefault="004B20E5" w:rsidP="009173A0">
      <w:pPr>
        <w:pStyle w:val="BodyText"/>
      </w:pPr>
      <w:r w:rsidRPr="00B66391">
        <w:rPr>
          <w:rFonts w:ascii="Calibri" w:hAnsi="Calibri"/>
          <w:sz w:val="24"/>
          <w:szCs w:val="24"/>
        </w:rPr>
        <w:t>I</w:t>
      </w:r>
      <w:r w:rsidRPr="00B66391">
        <w:t xml:space="preserve">mplementation of state health care reform under Chapter 224 provides an immediate, unprecedented opportunity to improve quality of care, manage costs, and improve population health in ways that require leadership and support from the Department of Public Health and the broader public health system. The Massachusetts SHIP was developed with attention to several objectives and challenges embedded explicitly in Chapter 224, including: </w:t>
      </w:r>
    </w:p>
    <w:p w:rsidR="004B20E5" w:rsidRDefault="004B20E5" w:rsidP="00ED41D5">
      <w:pPr>
        <w:numPr>
          <w:ilvl w:val="0"/>
          <w:numId w:val="16"/>
        </w:numPr>
        <w:spacing w:before="120"/>
        <w:rPr>
          <w:rFonts w:cs="Arial"/>
        </w:rPr>
      </w:pPr>
      <w:r w:rsidRPr="00B66391">
        <w:rPr>
          <w:rFonts w:cs="Arial"/>
        </w:rPr>
        <w:t>New health planning in cooperation with the Executive Office of Health and Human Services, including development of a State Health Plan, intended to help guide policy making in cooperation with other public entities to</w:t>
      </w:r>
      <w:r w:rsidR="004D5A79">
        <w:rPr>
          <w:rFonts w:cs="Arial"/>
        </w:rPr>
        <w:t xml:space="preserve"> reflect a number of goals, including</w:t>
      </w:r>
      <w:r w:rsidRPr="00B66391">
        <w:rPr>
          <w:rFonts w:cs="Arial"/>
        </w:rPr>
        <w:t xml:space="preserve">: </w:t>
      </w:r>
    </w:p>
    <w:p w:rsidR="004B20E5" w:rsidRDefault="004B20E5" w:rsidP="00ED41D5">
      <w:pPr>
        <w:numPr>
          <w:ilvl w:val="1"/>
          <w:numId w:val="16"/>
        </w:numPr>
        <w:spacing w:before="120"/>
        <w:rPr>
          <w:rFonts w:cs="Arial"/>
        </w:rPr>
      </w:pPr>
      <w:r w:rsidRPr="00B66391">
        <w:rPr>
          <w:rFonts w:cs="Arial"/>
        </w:rPr>
        <w:t xml:space="preserve">Improve </w:t>
      </w:r>
      <w:r w:rsidR="004D5A79">
        <w:rPr>
          <w:rFonts w:cs="Arial"/>
        </w:rPr>
        <w:t>access to community based preventative services and patient centered primary health care</w:t>
      </w:r>
      <w:r>
        <w:rPr>
          <w:rFonts w:cs="Arial"/>
        </w:rPr>
        <w:t>;</w:t>
      </w:r>
      <w:r w:rsidR="004D5A79">
        <w:rPr>
          <w:rFonts w:cs="Arial"/>
        </w:rPr>
        <w:t xml:space="preserve"> and</w:t>
      </w:r>
    </w:p>
    <w:p w:rsidR="004B20E5" w:rsidRDefault="004B20E5" w:rsidP="00ED41D5">
      <w:pPr>
        <w:numPr>
          <w:ilvl w:val="1"/>
          <w:numId w:val="16"/>
        </w:numPr>
        <w:spacing w:before="120"/>
        <w:rPr>
          <w:rFonts w:cs="Arial"/>
        </w:rPr>
      </w:pPr>
      <w:r w:rsidRPr="00B66391">
        <w:rPr>
          <w:rFonts w:cs="Arial"/>
        </w:rPr>
        <w:t>Improv</w:t>
      </w:r>
      <w:r>
        <w:rPr>
          <w:rFonts w:cs="Arial"/>
        </w:rPr>
        <w:t xml:space="preserve">e </w:t>
      </w:r>
      <w:r w:rsidRPr="00B66391">
        <w:rPr>
          <w:rFonts w:cs="Arial"/>
        </w:rPr>
        <w:t>integration of mental health and behavioral health services with traditional medical care</w:t>
      </w:r>
      <w:r>
        <w:rPr>
          <w:rFonts w:cs="Arial"/>
        </w:rPr>
        <w:t>; and</w:t>
      </w:r>
    </w:p>
    <w:p w:rsidR="004B20E5" w:rsidRPr="00770D47" w:rsidRDefault="004B20E5" w:rsidP="00770D47">
      <w:pPr>
        <w:numPr>
          <w:ilvl w:val="0"/>
          <w:numId w:val="16"/>
        </w:numPr>
        <w:spacing w:before="120"/>
        <w:rPr>
          <w:rFonts w:cs="Arial"/>
        </w:rPr>
      </w:pPr>
      <w:r w:rsidRPr="00D7048E">
        <w:t>Support for achieving state health care cost growth benchmarks—as well as quality and</w:t>
      </w:r>
      <w:r w:rsidR="00992F65">
        <w:t xml:space="preserve"> </w:t>
      </w:r>
      <w:r w:rsidRPr="00E90453">
        <w:t xml:space="preserve">outcome goals—through </w:t>
      </w:r>
      <w:r w:rsidR="001D686E">
        <w:t>M</w:t>
      </w:r>
      <w:r w:rsidRPr="00E90453">
        <w:t>DPH’s licensing and regulatory authority over health care providers and through other activities listed below</w:t>
      </w:r>
    </w:p>
    <w:p w:rsidR="004B20E5" w:rsidRDefault="004B20E5" w:rsidP="00ED41D5">
      <w:pPr>
        <w:numPr>
          <w:ilvl w:val="0"/>
          <w:numId w:val="16"/>
        </w:numPr>
        <w:spacing w:before="120"/>
        <w:rPr>
          <w:rFonts w:cs="Arial"/>
        </w:rPr>
      </w:pPr>
      <w:r w:rsidRPr="00B66391">
        <w:rPr>
          <w:rFonts w:cs="Arial"/>
        </w:rPr>
        <w:t>Management of the Prevention and Wellness Trust Fund (PWTF), a four-year, $</w:t>
      </w:r>
      <w:r w:rsidR="004D5A79">
        <w:rPr>
          <w:rFonts w:cs="Arial"/>
        </w:rPr>
        <w:t>57</w:t>
      </w:r>
      <w:r w:rsidR="004D5A79" w:rsidRPr="00B66391">
        <w:rPr>
          <w:rFonts w:cs="Arial"/>
        </w:rPr>
        <w:t xml:space="preserve"> </w:t>
      </w:r>
      <w:r w:rsidRPr="00B66391">
        <w:rPr>
          <w:rFonts w:cs="Arial"/>
        </w:rPr>
        <w:t xml:space="preserve">million pilot project created under Chapter 224 to help meet health care cost growth benchmarks, address health disparities, and reduce preventable injuries and diseases through local partnerships integrating clinical care and community based services. The Trust supports community-based partnerships including municipalities, healthcare systems, businesses, regional planning </w:t>
      </w:r>
      <w:r w:rsidRPr="00B66391">
        <w:rPr>
          <w:rFonts w:cs="Arial"/>
        </w:rPr>
        <w:lastRenderedPageBreak/>
        <w:t xml:space="preserve">organizations, and schools. These groups work together to provide research-based interventions that will: </w:t>
      </w:r>
    </w:p>
    <w:p w:rsidR="004B20E5" w:rsidRDefault="004B20E5" w:rsidP="00E827FB">
      <w:pPr>
        <w:numPr>
          <w:ilvl w:val="1"/>
          <w:numId w:val="16"/>
        </w:numPr>
        <w:spacing w:before="120"/>
        <w:rPr>
          <w:rFonts w:cs="Arial"/>
        </w:rPr>
      </w:pPr>
      <w:r>
        <w:rPr>
          <w:rFonts w:cs="Arial"/>
        </w:rPr>
        <w:t>R</w:t>
      </w:r>
      <w:r w:rsidRPr="00B66391">
        <w:rPr>
          <w:rFonts w:cs="Arial"/>
        </w:rPr>
        <w:t>educe rates of the most prevalent and</w:t>
      </w:r>
      <w:r>
        <w:rPr>
          <w:rFonts w:cs="Arial"/>
        </w:rPr>
        <w:t xml:space="preserve"> preventable health conditions;</w:t>
      </w:r>
    </w:p>
    <w:p w:rsidR="004B20E5" w:rsidRDefault="004B20E5" w:rsidP="00E827FB">
      <w:pPr>
        <w:numPr>
          <w:ilvl w:val="1"/>
          <w:numId w:val="16"/>
        </w:numPr>
        <w:spacing w:before="120"/>
        <w:rPr>
          <w:rFonts w:cs="Arial"/>
        </w:rPr>
      </w:pPr>
      <w:r>
        <w:rPr>
          <w:rFonts w:cs="Arial"/>
        </w:rPr>
        <w:t>I</w:t>
      </w:r>
      <w:r w:rsidRPr="00B66391">
        <w:rPr>
          <w:rFonts w:cs="Arial"/>
        </w:rPr>
        <w:t>ncrease healthy behaviors</w:t>
      </w:r>
      <w:r>
        <w:rPr>
          <w:rFonts w:cs="Arial"/>
        </w:rPr>
        <w:t>;</w:t>
      </w:r>
    </w:p>
    <w:p w:rsidR="004B20E5" w:rsidRDefault="004B20E5" w:rsidP="00E827FB">
      <w:pPr>
        <w:numPr>
          <w:ilvl w:val="1"/>
          <w:numId w:val="16"/>
        </w:numPr>
        <w:spacing w:before="120"/>
        <w:rPr>
          <w:rFonts w:cs="Arial"/>
        </w:rPr>
      </w:pPr>
      <w:r>
        <w:rPr>
          <w:rFonts w:cs="Arial"/>
        </w:rPr>
        <w:t>I</w:t>
      </w:r>
      <w:r w:rsidRPr="00B66391">
        <w:rPr>
          <w:rFonts w:cs="Arial"/>
        </w:rPr>
        <w:t xml:space="preserve">ncrease the adoption of workplace-based wellness or health management programs; and </w:t>
      </w:r>
    </w:p>
    <w:p w:rsidR="004B20E5" w:rsidRDefault="004B20E5" w:rsidP="00E827FB">
      <w:pPr>
        <w:numPr>
          <w:ilvl w:val="1"/>
          <w:numId w:val="16"/>
        </w:numPr>
        <w:spacing w:before="120"/>
        <w:rPr>
          <w:rFonts w:cs="Arial"/>
        </w:rPr>
      </w:pPr>
      <w:r>
        <w:rPr>
          <w:rFonts w:cs="Arial"/>
        </w:rPr>
        <w:t>A</w:t>
      </w:r>
      <w:r w:rsidRPr="00B66391">
        <w:rPr>
          <w:rFonts w:cs="Arial"/>
        </w:rPr>
        <w:t>ddress health disparities.</w:t>
      </w:r>
    </w:p>
    <w:p w:rsidR="004B20E5" w:rsidRDefault="004B20E5" w:rsidP="00ED41D5">
      <w:pPr>
        <w:numPr>
          <w:ilvl w:val="0"/>
          <w:numId w:val="16"/>
        </w:numPr>
        <w:spacing w:before="120"/>
        <w:rPr>
          <w:rFonts w:cs="Arial"/>
        </w:rPr>
      </w:pPr>
      <w:r w:rsidRPr="00B66391">
        <w:rPr>
          <w:rFonts w:cs="Arial"/>
        </w:rPr>
        <w:t xml:space="preserve">Support for utilizing Community Health Workers </w:t>
      </w:r>
      <w:r w:rsidR="008A7CF8">
        <w:rPr>
          <w:rFonts w:cs="Arial"/>
        </w:rPr>
        <w:t xml:space="preserve">and community-based services, such as to </w:t>
      </w:r>
    </w:p>
    <w:p w:rsidR="004B20E5" w:rsidRDefault="004B20E5" w:rsidP="00ED41D5">
      <w:pPr>
        <w:numPr>
          <w:ilvl w:val="1"/>
          <w:numId w:val="16"/>
        </w:numPr>
        <w:spacing w:before="120"/>
        <w:rPr>
          <w:rFonts w:cs="Arial"/>
        </w:rPr>
      </w:pPr>
      <w:r w:rsidRPr="00B66391">
        <w:rPr>
          <w:rFonts w:cs="Arial"/>
        </w:rPr>
        <w:t>Improv</w:t>
      </w:r>
      <w:r>
        <w:rPr>
          <w:rFonts w:cs="Arial"/>
        </w:rPr>
        <w:t xml:space="preserve">e </w:t>
      </w:r>
      <w:r w:rsidRPr="00B66391">
        <w:rPr>
          <w:rFonts w:cs="Arial"/>
        </w:rPr>
        <w:t xml:space="preserve">access to services and quality of care for </w:t>
      </w:r>
      <w:r>
        <w:rPr>
          <w:rFonts w:cs="Arial"/>
        </w:rPr>
        <w:t>at risk</w:t>
      </w:r>
      <w:r w:rsidRPr="00B66391">
        <w:rPr>
          <w:rFonts w:cs="Arial"/>
        </w:rPr>
        <w:t xml:space="preserve"> populations covered by Accountable Care Organizations (ACOs);</w:t>
      </w:r>
    </w:p>
    <w:p w:rsidR="004B20E5" w:rsidRDefault="004B20E5" w:rsidP="00365AE9">
      <w:pPr>
        <w:spacing w:before="120"/>
        <w:ind w:left="1440"/>
        <w:rPr>
          <w:rFonts w:cs="Arial"/>
        </w:rPr>
      </w:pPr>
    </w:p>
    <w:p w:rsidR="008A7CF8" w:rsidRDefault="008A7CF8" w:rsidP="00ED41D5">
      <w:pPr>
        <w:pStyle w:val="BodyText"/>
      </w:pPr>
      <w:r>
        <w:t>The Massachusetts SHIP was also developed in the context of the Commonwealth’s State Innovation Model grant award, which is designed to further advance the goals of health system transformation.</w:t>
      </w:r>
    </w:p>
    <w:p w:rsidR="004B20E5" w:rsidRPr="00B66391" w:rsidRDefault="004B20E5" w:rsidP="00ED41D5">
      <w:pPr>
        <w:pStyle w:val="BodyText"/>
      </w:pPr>
      <w:r w:rsidRPr="00B66391">
        <w:t xml:space="preserve">The health system is changing rapidly in Massachusetts.  Provider systems are consolidating.  Payers, providers, and regulators are developing and adapting to new payment methods. Executives of existing and emerging Accountable Care Organizations are exploring new treatment </w:t>
      </w:r>
      <w:r>
        <w:t>and payment models including population health management,</w:t>
      </w:r>
      <w:r w:rsidRPr="00B66391">
        <w:t xml:space="preserve"> quality improvement initiatives, and partnerships.  All stakeholders—including patients, </w:t>
      </w:r>
      <w:r w:rsidR="008A7CF8">
        <w:t xml:space="preserve">providers, payers, </w:t>
      </w:r>
      <w:r w:rsidRPr="00B66391">
        <w:t xml:space="preserve">consumer advocates, unions, and policy </w:t>
      </w:r>
      <w:r>
        <w:t>makers</w:t>
      </w:r>
      <w:r w:rsidRPr="00B66391">
        <w:t xml:space="preserve">—are seeking both to understand and shape the new reality as it evolves. </w:t>
      </w:r>
    </w:p>
    <w:p w:rsidR="004B20E5" w:rsidRPr="00B66391" w:rsidRDefault="004B20E5" w:rsidP="00ED41D5">
      <w:pPr>
        <w:pStyle w:val="BodyText"/>
      </w:pPr>
      <w:r w:rsidRPr="00B66391">
        <w:t xml:space="preserve">The Massachusetts </w:t>
      </w:r>
      <w:r>
        <w:t>SHIP</w:t>
      </w:r>
      <w:r w:rsidRPr="00B66391">
        <w:t xml:space="preserve"> addresses the overall health of the state’s population and provides a frame of reference to guide policy making and resource allocation.  It explains how the infrastructure of public health is necessary to achieve health care reform objectives. It offers detailed objectives and strategies for addressing </w:t>
      </w:r>
      <w:r>
        <w:t>seven</w:t>
      </w:r>
      <w:r w:rsidRPr="00B66391">
        <w:t xml:space="preserve"> priority health areas identified through assessment of population health data.  Each of the </w:t>
      </w:r>
      <w:r>
        <w:t>seven</w:t>
      </w:r>
      <w:r w:rsidRPr="00B66391">
        <w:t xml:space="preserve"> areas, while distinct, is related to the others.  Addressing the SHIP priorities requires coordinated action involving </w:t>
      </w:r>
      <w:r>
        <w:t xml:space="preserve">not only </w:t>
      </w:r>
      <w:r w:rsidRPr="00B66391">
        <w:t xml:space="preserve">health care providers and public health specialists, but also partners outside of the </w:t>
      </w:r>
      <w:r w:rsidR="008A7CF8">
        <w:t xml:space="preserve">traditional </w:t>
      </w:r>
      <w:r w:rsidRPr="00B66391">
        <w:t>health sphere whose activities influence population health.</w:t>
      </w:r>
    </w:p>
    <w:p w:rsidR="004B20E5" w:rsidRPr="00413836" w:rsidRDefault="004B20E5" w:rsidP="000A7CF2">
      <w:pPr>
        <w:pStyle w:val="Heading2"/>
      </w:pPr>
      <w:bookmarkStart w:id="17" w:name="_Toc391388761"/>
      <w:bookmarkStart w:id="18" w:name="_Toc398819261"/>
      <w:r>
        <w:t>Principles and Belief</w:t>
      </w:r>
      <w:r w:rsidRPr="009E6109">
        <w:t>s for Action</w:t>
      </w:r>
      <w:bookmarkEnd w:id="17"/>
      <w:bookmarkEnd w:id="18"/>
    </w:p>
    <w:p w:rsidR="004B20E5" w:rsidRPr="00925017" w:rsidRDefault="004B20E5" w:rsidP="00FC3D79">
      <w:pPr>
        <w:pStyle w:val="BodyText"/>
        <w:rPr>
          <w:color w:val="000000"/>
        </w:rPr>
      </w:pPr>
      <w:r>
        <w:t>This</w:t>
      </w:r>
      <w:r w:rsidRPr="00925017">
        <w:t xml:space="preserve"> SHIP reflects</w:t>
      </w:r>
      <w:r>
        <w:t xml:space="preserve">: </w:t>
      </w:r>
      <w:r w:rsidRPr="00925017">
        <w:t xml:space="preserve">community, partner, and </w:t>
      </w:r>
      <w:r w:rsidR="001D686E">
        <w:t>M</w:t>
      </w:r>
      <w:r w:rsidRPr="00925017">
        <w:t xml:space="preserve">DPH priorities; the subject matter expertise within </w:t>
      </w:r>
      <w:r w:rsidR="001D686E">
        <w:t>M</w:t>
      </w:r>
      <w:r w:rsidRPr="00925017">
        <w:t xml:space="preserve">DPH; </w:t>
      </w:r>
      <w:r>
        <w:t xml:space="preserve">and </w:t>
      </w:r>
      <w:r w:rsidRPr="00925017">
        <w:t>a manageable set of priorities and objectives that can be measured and tracked over the course of the plan</w:t>
      </w:r>
      <w:r>
        <w:t xml:space="preserve">.  In designing the SHIP to </w:t>
      </w:r>
      <w:r w:rsidRPr="00925017">
        <w:t xml:space="preserve">meet all of the requirements for accreditation, subject matter experts from the Advisory Committee and </w:t>
      </w:r>
      <w:r w:rsidR="001D686E">
        <w:t>M</w:t>
      </w:r>
      <w:r w:rsidRPr="00925017">
        <w:t xml:space="preserve">DPH outlined </w:t>
      </w:r>
      <w:r>
        <w:t xml:space="preserve">the following </w:t>
      </w:r>
      <w:r w:rsidRPr="00925017">
        <w:t>principles, the first two of which distinguish Massachusetts nationally:</w:t>
      </w:r>
    </w:p>
    <w:p w:rsidR="004B20E5" w:rsidRPr="00925017" w:rsidRDefault="004B20E5" w:rsidP="00FC3D79">
      <w:pPr>
        <w:pStyle w:val="ListBulleted"/>
      </w:pPr>
      <w:r>
        <w:t>We will</w:t>
      </w:r>
      <w:r w:rsidRPr="00D049C0">
        <w:t xml:space="preserve"> reduc</w:t>
      </w:r>
      <w:r>
        <w:t>e</w:t>
      </w:r>
      <w:r w:rsidRPr="00D049C0">
        <w:t xml:space="preserve"> disparities across all identified domains</w:t>
      </w:r>
      <w:r>
        <w:t>;</w:t>
      </w:r>
    </w:p>
    <w:p w:rsidR="004B20E5" w:rsidRPr="00925017" w:rsidRDefault="004B20E5" w:rsidP="00FC3D79">
      <w:pPr>
        <w:pStyle w:val="ListBulleted"/>
      </w:pPr>
      <w:r>
        <w:t>We will demonstrate the value of public health prevention initiatives in reducing health care costs; and</w:t>
      </w:r>
    </w:p>
    <w:p w:rsidR="004B20E5" w:rsidRPr="00F12FCB" w:rsidRDefault="004B20E5" w:rsidP="00FC3D79">
      <w:pPr>
        <w:pStyle w:val="ListBulleted"/>
      </w:pPr>
      <w:r>
        <w:t xml:space="preserve">We will </w:t>
      </w:r>
      <w:r w:rsidRPr="00F12FCB">
        <w:t xml:space="preserve">measure </w:t>
      </w:r>
      <w:r>
        <w:t xml:space="preserve">and document </w:t>
      </w:r>
      <w:r w:rsidRPr="00F12FCB">
        <w:t>change/improvement across all domains</w:t>
      </w:r>
      <w:r>
        <w:t>.</w:t>
      </w:r>
    </w:p>
    <w:p w:rsidR="004B20E5" w:rsidRPr="00925017" w:rsidRDefault="004B20E5" w:rsidP="00FC3D79">
      <w:pPr>
        <w:pStyle w:val="ListParagraph"/>
        <w:numPr>
          <w:ilvl w:val="0"/>
          <w:numId w:val="0"/>
        </w:numPr>
        <w:ind w:left="1350"/>
        <w:rPr>
          <w:color w:val="000000"/>
        </w:rPr>
      </w:pPr>
    </w:p>
    <w:p w:rsidR="004B20E5" w:rsidRDefault="004B20E5" w:rsidP="00FC3D79">
      <w:pPr>
        <w:pStyle w:val="BodyText"/>
      </w:pPr>
      <w:r>
        <w:t>In alignment with these principles, the SHIP embraces the following six core beliefs:</w:t>
      </w:r>
    </w:p>
    <w:p w:rsidR="004B20E5" w:rsidDel="00ED41D5" w:rsidRDefault="004B20E5" w:rsidP="00FE06A3">
      <w:pPr>
        <w:pStyle w:val="ListNumbered"/>
        <w:numPr>
          <w:ilvl w:val="0"/>
          <w:numId w:val="18"/>
        </w:numPr>
      </w:pPr>
      <w:r>
        <w:rPr>
          <w:b/>
        </w:rPr>
        <w:t xml:space="preserve">Health is not merely the absence of disease or infirmity.  </w:t>
      </w:r>
      <w:r w:rsidRPr="007A1B20" w:rsidDel="00ED41D5">
        <w:t>The SHIP promotes the definition of health developed by the World Health Organization</w:t>
      </w:r>
      <w:r>
        <w:t xml:space="preserve"> which is “</w:t>
      </w:r>
      <w:r w:rsidRPr="00DC12DF" w:rsidDel="00ED41D5">
        <w:t>a state of</w:t>
      </w:r>
      <w:r w:rsidRPr="00925017" w:rsidDel="00ED41D5">
        <w:t xml:space="preserve"> complete physical, mental and social well-being.</w:t>
      </w:r>
      <w:r>
        <w:t>”</w:t>
      </w:r>
      <w:r>
        <w:rPr>
          <w:rStyle w:val="EndnoteReference"/>
        </w:rPr>
        <w:endnoteReference w:id="4"/>
      </w:r>
    </w:p>
    <w:p w:rsidR="004B20E5" w:rsidRPr="00E83B03" w:rsidRDefault="004B20E5" w:rsidP="00FE06A3">
      <w:pPr>
        <w:pStyle w:val="ListNumbered"/>
      </w:pPr>
      <w:r w:rsidRPr="00FE06A3">
        <w:rPr>
          <w:b/>
        </w:rPr>
        <w:t>Health equity and multi-sector partnerships are prerequisites for achieving the objectives of health care reform and securing and sustaining population health</w:t>
      </w:r>
      <w:r w:rsidRPr="00ED41D5">
        <w:t>.</w:t>
      </w:r>
      <w:r w:rsidR="008A7CF8">
        <w:t xml:space="preserve"> </w:t>
      </w:r>
      <w:r>
        <w:t>T</w:t>
      </w:r>
      <w:r w:rsidRPr="00413836">
        <w:t xml:space="preserve">here are wide variations in quality and scope of available public health services among cities, towns, and </w:t>
      </w:r>
      <w:r w:rsidRPr="00413836">
        <w:lastRenderedPageBreak/>
        <w:t>regions of Massachusetts and indefensible health disparities based on race, ethnicity, and other demographic factors including gender, sexual orientation, age, disability, income, education, language, and residence.  Action is required to correct these imbalances and promote optimal population health.</w:t>
      </w:r>
      <w:r w:rsidR="008A7CF8">
        <w:t xml:space="preserve"> </w:t>
      </w:r>
      <w:r w:rsidRPr="00ED41D5">
        <w:rPr>
          <w:rFonts w:cs="Times New Roman"/>
        </w:rPr>
        <w:t>Health equity is defined as the attainment of the highest level of health for all people.</w:t>
      </w:r>
      <w:r w:rsidRPr="00925017">
        <w:rPr>
          <w:rStyle w:val="EndnoteReference"/>
        </w:rPr>
        <w:endnoteReference w:id="5"/>
      </w:r>
      <w:r w:rsidRPr="00ED41D5">
        <w:rPr>
          <w:rFonts w:cs="Times New Roman"/>
        </w:rPr>
        <w:t xml:space="preserve"> In order to eliminate health disparities, improve health outcomes, and control unsustainable and rising health care costs, we must marshal </w:t>
      </w:r>
      <w:r w:rsidRPr="008C174C">
        <w:t>political will and human and capital resources to promote social and economic justice</w:t>
      </w:r>
      <w:r>
        <w:t xml:space="preserve">.  </w:t>
      </w:r>
      <w:r w:rsidRPr="00ED41D5">
        <w:rPr>
          <w:rFonts w:cs="Times New Roman"/>
        </w:rPr>
        <w:t xml:space="preserve">This approach acknowledges the role of racism and other systems of oppression in producing persistent, costly, unsupportable health disparities. </w:t>
      </w:r>
      <w:r>
        <w:t xml:space="preserve">It requires addressing </w:t>
      </w:r>
      <w:r w:rsidRPr="00ED41D5">
        <w:rPr>
          <w:rFonts w:cs="Times New Roman"/>
        </w:rPr>
        <w:t xml:space="preserve">social determinants of health, including safety, education, income security, environmental quality, safe and healthful workplaces, housing, transportation, and appropriate services across the life span. Since most of these areas are outside of the jurisdiction of governmental public health agencies, partnerships with other public and private stakeholders are required for progress.  </w:t>
      </w:r>
    </w:p>
    <w:p w:rsidR="004B20E5" w:rsidRDefault="004B20E5" w:rsidP="000A7CF2">
      <w:pPr>
        <w:pStyle w:val="ListNumbered"/>
      </w:pPr>
      <w:r w:rsidRPr="00413836">
        <w:rPr>
          <w:b/>
        </w:rPr>
        <w:t xml:space="preserve">Massachusetts is uniquely positioned to demonstrate the practicality and value of an integrated public health and health care system.  </w:t>
      </w:r>
      <w:r>
        <w:t xml:space="preserve">As a result of the state’s 2006 health care reform law, 97 percent of the state’s population has health insurance, far higher than any other state in the nation.  Access to insurance, however, does not necessarily ensure access to quality, affordable, culturally appropriate health services.  Moreover, access to health care is inadequate to prevent epidemic chronic diseases from overwhelming the capacities of health providers and diverting precious resources from investments in education, transportation, environmental protection, social services, business development and worker income.  Innovation in linking clinical and community prevention through the work of ACOs and creative payment mechanisms offers tremendous promise not only for the health and economy of Massachusetts, but also the nation.  </w:t>
      </w:r>
    </w:p>
    <w:p w:rsidR="004B20E5" w:rsidRPr="00352108" w:rsidRDefault="004B20E5" w:rsidP="00F55A3E">
      <w:pPr>
        <w:pStyle w:val="List-paragraphsundernumbered"/>
        <w:ind w:left="1440"/>
        <w:rPr>
          <w:i/>
        </w:rPr>
      </w:pPr>
      <w:r w:rsidRPr="00352108">
        <w:rPr>
          <w:i/>
        </w:rPr>
        <w:t>Behavioral Health Integration</w:t>
      </w:r>
    </w:p>
    <w:p w:rsidR="004B20E5" w:rsidRPr="00ED41D5" w:rsidRDefault="004B20E5" w:rsidP="00F55A3E">
      <w:pPr>
        <w:pStyle w:val="List-paragraphsundernumbered"/>
        <w:ind w:left="1440"/>
      </w:pPr>
      <w:r w:rsidRPr="00ED41D5">
        <w:t xml:space="preserve">Similarly, the SHIP envisions dramatic improvement in integrating behavioral health care with traditional medical services.  </w:t>
      </w:r>
      <w:r w:rsidR="008A7CF8">
        <w:t>P</w:t>
      </w:r>
      <w:r w:rsidRPr="00ED41D5">
        <w:t>roviders, patients, advocates, and policy makers are struggling to address the treatment challenges and cost implications of co-morbidities and the stigmas associated with mental illness, addiction, and other behavioral health conditions.  Chapter 224 created the Health Planning Council, which is charged with creating a State Health Plan that includes the location, distribution and nature of all health care resources in the Commonwealth and will include recommendations for the appropriate supply and distribution of health services and other resources.  In 2014 the Council is focusing its efforts on behavioral health, creating an inventory and location of services and documenting current capacity to meet demand.  The plan, developed in cooperation with the Department of Mental Health and other stakeholders, will be widely disseminated to help guide efforts of health care and public health system partners working together to implement objectives of the SHIP.</w:t>
      </w:r>
    </w:p>
    <w:p w:rsidR="004B20E5" w:rsidRPr="00F26381" w:rsidRDefault="004B20E5" w:rsidP="00F55A3E">
      <w:pPr>
        <w:pStyle w:val="List-paragraphsundernumbered"/>
        <w:ind w:left="1440"/>
        <w:rPr>
          <w:i/>
        </w:rPr>
      </w:pPr>
      <w:r w:rsidRPr="00F26381">
        <w:rPr>
          <w:i/>
        </w:rPr>
        <w:t>Using Data to Support Health Reform Implementation</w:t>
      </w:r>
    </w:p>
    <w:p w:rsidR="004B20E5" w:rsidRPr="00F26381" w:rsidRDefault="004B20E5" w:rsidP="00F55A3E">
      <w:pPr>
        <w:pStyle w:val="List-paragraphsundernumbered"/>
        <w:ind w:left="1440"/>
      </w:pPr>
      <w:r w:rsidRPr="00F26381">
        <w:t xml:space="preserve">Because of its responsibility for population health surveillance, public health has the potential, given adequate resources, to lead evaluation of the effectiveness of health care system innovation.  Through a partnership with </w:t>
      </w:r>
      <w:r>
        <w:t>the Center for Health Information and Analysis (</w:t>
      </w:r>
      <w:r w:rsidRPr="00F26381">
        <w:t>CHIA</w:t>
      </w:r>
      <w:r>
        <w:t>)</w:t>
      </w:r>
      <w:r w:rsidRPr="00F26381">
        <w:t xml:space="preserve">, </w:t>
      </w:r>
      <w:r w:rsidR="001D686E">
        <w:t>M</w:t>
      </w:r>
      <w:r w:rsidRPr="00F26381">
        <w:t>DPH is developing a health data warehouse that will have the capacity to integrate All Payer Claims Data with over three dozen public health and demographic data bases.  Improved research capacity, combined with strategic partnerships and implementation of health planning authority, put the Massachusetts public health and health care systems on the threshold of a new era of performance management and quality improvement.</w:t>
      </w:r>
    </w:p>
    <w:p w:rsidR="004B20E5" w:rsidRPr="00F26381" w:rsidRDefault="004B20E5" w:rsidP="00F55A3E">
      <w:pPr>
        <w:pStyle w:val="List-paragraphsundernumbered"/>
        <w:ind w:left="1440"/>
        <w:rPr>
          <w:i/>
        </w:rPr>
      </w:pPr>
      <w:r w:rsidRPr="00F26381">
        <w:rPr>
          <w:i/>
        </w:rPr>
        <w:t>Community Partnerships and Accountability</w:t>
      </w:r>
    </w:p>
    <w:p w:rsidR="004B20E5" w:rsidRDefault="002F7E62" w:rsidP="00F55A3E">
      <w:pPr>
        <w:pStyle w:val="List-paragraphsundernumbered"/>
        <w:ind w:left="1440"/>
      </w:pPr>
      <w:r>
        <w:lastRenderedPageBreak/>
        <w:t xml:space="preserve">For health reform to </w:t>
      </w:r>
      <w:r w:rsidR="008A7CF8">
        <w:t>be truly successful</w:t>
      </w:r>
      <w:r w:rsidR="004B20E5" w:rsidRPr="00F26381">
        <w:t xml:space="preserve">, </w:t>
      </w:r>
      <w:r>
        <w:t xml:space="preserve">health care organizations will not only need to engage </w:t>
      </w:r>
      <w:r w:rsidR="004B20E5" w:rsidRPr="00F26381">
        <w:t xml:space="preserve">with public health partners at the state and local levels, but also directly with the communities they serve.  One of the most daunting challenges of SHIP implementation will be investment in community capacity building to ensure that </w:t>
      </w:r>
      <w:r w:rsidR="004B20E5">
        <w:t xml:space="preserve">at risk </w:t>
      </w:r>
      <w:r w:rsidR="004B20E5" w:rsidRPr="00F26381">
        <w:t xml:space="preserve">populations are organized and able to participate in policy making and service review, to make “room at the table” for community-based organizations engaged in organizing and advocacy to address social determinants of health, and to establish accountability of providers to their communities through collaborative planning and decision making over resource allocations.  </w:t>
      </w:r>
    </w:p>
    <w:p w:rsidR="004B20E5" w:rsidRPr="00DB5DCF" w:rsidDel="00352108" w:rsidRDefault="004B20E5" w:rsidP="00F55A3E">
      <w:pPr>
        <w:pStyle w:val="List-paragraphsundernumbered"/>
        <w:ind w:left="1440"/>
      </w:pPr>
      <w:r w:rsidRPr="00F26381">
        <w:t>The Affordable Care Act provides the framework for such collaboration through IRS requirements for hospitals to conduct Community Health Needs Assessments every three years in cooperation with community partners</w:t>
      </w:r>
      <w:r>
        <w:t>,</w:t>
      </w:r>
      <w:r w:rsidRPr="00F26381">
        <w:t xml:space="preserve"> and to invest hospital community benefit resources to address identified needs.  Additional innovation in this sphere can establish Massachusetts as a national leader in moving towards a community integrated model of health system transformation</w:t>
      </w:r>
      <w:r>
        <w:t>.</w:t>
      </w:r>
    </w:p>
    <w:p w:rsidR="004B20E5" w:rsidRDefault="004B20E5" w:rsidP="000A7CF2">
      <w:pPr>
        <w:pStyle w:val="ListNumbered"/>
      </w:pPr>
      <w:r w:rsidRPr="00F26381">
        <w:rPr>
          <w:b/>
        </w:rPr>
        <w:t xml:space="preserve">“Upstream solutions” are required to achieve Triple Aim objectives.  </w:t>
      </w:r>
      <w:r w:rsidRPr="00F26381">
        <w:t xml:space="preserve"> Considerable work in public health is devoted to policy development and implementation, or “changing the context” in which people live and make health-related decisions (see the CDC Health Impact Pyramid, </w:t>
      </w:r>
      <w:r>
        <w:t>below</w:t>
      </w:r>
      <w:r w:rsidRPr="00F26381">
        <w:t>).  Systems analysis and environmental changes at the community and regional levels are required to promote population health, especially considering the practical challenges people often face in accessing care or following recommendations of licensed clinical providers.  The SHIP includes numerous strategies designed to promote institutional and community action, not just “downstream” approaches to treating diseases, injuries, and conditions after they occur.</w:t>
      </w:r>
    </w:p>
    <w:p w:rsidR="004B20E5" w:rsidRDefault="004B20E5" w:rsidP="00DC12DF">
      <w:pPr>
        <w:jc w:val="center"/>
      </w:pPr>
    </w:p>
    <w:p w:rsidR="004B20E5" w:rsidRDefault="004B20E5" w:rsidP="00DC12DF">
      <w:pPr>
        <w:jc w:val="center"/>
      </w:pPr>
    </w:p>
    <w:p w:rsidR="004B20E5" w:rsidRDefault="00F03799" w:rsidP="00DC12DF">
      <w:pPr>
        <w:jc w:val="center"/>
      </w:pPr>
      <w:r>
        <w:rPr>
          <w:noProof/>
        </w:rPr>
        <w:drawing>
          <wp:inline distT="0" distB="0" distL="0" distR="0" wp14:anchorId="461E51E1" wp14:editId="1437F643">
            <wp:extent cx="4610100" cy="329565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0" cy="3295650"/>
                    </a:xfrm>
                    <a:prstGeom prst="rect">
                      <a:avLst/>
                    </a:prstGeom>
                    <a:noFill/>
                    <a:ln>
                      <a:noFill/>
                    </a:ln>
                  </pic:spPr>
                </pic:pic>
              </a:graphicData>
            </a:graphic>
          </wp:inline>
        </w:drawing>
      </w:r>
    </w:p>
    <w:p w:rsidR="004B20E5" w:rsidRPr="00413836" w:rsidRDefault="004B20E5" w:rsidP="00FB65C9">
      <w:pPr>
        <w:ind w:left="1710" w:right="1530"/>
        <w:rPr>
          <w:rFonts w:cs="Arial"/>
          <w:sz w:val="18"/>
          <w:szCs w:val="20"/>
        </w:rPr>
      </w:pPr>
      <w:r w:rsidRPr="00413836">
        <w:rPr>
          <w:rFonts w:cs="Arial"/>
          <w:i/>
          <w:sz w:val="18"/>
          <w:szCs w:val="20"/>
        </w:rPr>
        <w:t>Source</w:t>
      </w:r>
      <w:r w:rsidRPr="00413836">
        <w:rPr>
          <w:rFonts w:cs="Arial"/>
          <w:sz w:val="18"/>
          <w:szCs w:val="20"/>
        </w:rPr>
        <w:t>: Frieden, TR. A Framework for Public Health Action: The Health Impact Pyramid</w:t>
      </w:r>
      <w:r w:rsidRPr="00413836">
        <w:rPr>
          <w:rFonts w:cs="Arial"/>
          <w:i/>
          <w:sz w:val="18"/>
          <w:szCs w:val="20"/>
        </w:rPr>
        <w:t xml:space="preserve">. Am J Public </w:t>
      </w:r>
      <w:r w:rsidRPr="00BF7BDC">
        <w:rPr>
          <w:rStyle w:val="Strong"/>
          <w:rFonts w:cs="Arial"/>
          <w:b w:val="0"/>
          <w:i/>
          <w:sz w:val="20"/>
        </w:rPr>
        <w:t>Health</w:t>
      </w:r>
      <w:r w:rsidRPr="00413836">
        <w:rPr>
          <w:rFonts w:cs="Arial"/>
          <w:sz w:val="18"/>
          <w:szCs w:val="20"/>
        </w:rPr>
        <w:t>. 2010 Apr;100(4):590-5.</w:t>
      </w:r>
    </w:p>
    <w:p w:rsidR="004B20E5" w:rsidRDefault="004B20E5" w:rsidP="00DC12DF">
      <w:pPr>
        <w:jc w:val="center"/>
      </w:pPr>
    </w:p>
    <w:p w:rsidR="004B20E5" w:rsidRPr="00FE06A3" w:rsidRDefault="004B20E5" w:rsidP="00FE06A3">
      <w:pPr>
        <w:pStyle w:val="ListNumbered"/>
      </w:pPr>
      <w:r w:rsidRPr="00F26381">
        <w:rPr>
          <w:b/>
        </w:rPr>
        <w:t>Continuous Quality Improvement</w:t>
      </w:r>
      <w:r>
        <w:rPr>
          <w:b/>
        </w:rPr>
        <w:t xml:space="preserve"> is a path to public health performance excellence</w:t>
      </w:r>
      <w:r w:rsidRPr="00F26381">
        <w:rPr>
          <w:b/>
        </w:rPr>
        <w:t xml:space="preserve">. </w:t>
      </w:r>
      <w:r>
        <w:t>The CDC defines p</w:t>
      </w:r>
      <w:r>
        <w:rPr>
          <w:shd w:val="clear" w:color="auto" w:fill="FFFFFF"/>
        </w:rPr>
        <w:t xml:space="preserve">erformance improvement as a positive change in capacity, process and outcomes of public health as practiced in government, private, and voluntary sector organizations. Performance improvement can occur system-wide as well as within individual </w:t>
      </w:r>
      <w:r>
        <w:rPr>
          <w:shd w:val="clear" w:color="auto" w:fill="FFFFFF"/>
        </w:rPr>
        <w:lastRenderedPageBreak/>
        <w:t>organizations that are part of the public health system. It involves strategic changes to address public health system (or organizational) weaknesses and the use of evidence to inform decision-making.</w:t>
      </w:r>
    </w:p>
    <w:p w:rsidR="004B20E5" w:rsidRPr="00F26381" w:rsidRDefault="004B20E5" w:rsidP="00FE06A3">
      <w:pPr>
        <w:pStyle w:val="ListNumbered"/>
      </w:pPr>
      <w:r w:rsidRPr="00FE06A3">
        <w:rPr>
          <w:b/>
        </w:rPr>
        <w:t>Evidence-based practices and promising innovations that provide the best opportunities for cost effective results should be integrated into Continuous Quality Improvement (CQI) activities.</w:t>
      </w:r>
      <w:r w:rsidRPr="00F26381">
        <w:t xml:space="preserve">  The SHIP was developed in cooperation with dozens of Subject Matter Experts from within and outside of </w:t>
      </w:r>
      <w:r w:rsidR="001D686E">
        <w:t>M</w:t>
      </w:r>
      <w:r w:rsidRPr="00F26381">
        <w:t xml:space="preserve">DPH to assure </w:t>
      </w:r>
      <w:r>
        <w:t>goals, standards, measurable objectives, and strategies</w:t>
      </w:r>
      <w:r w:rsidRPr="00F26381">
        <w:t xml:space="preserve"> were based on the most current available population health data and intervention research.  Given the rapid pace of health system change, </w:t>
      </w:r>
      <w:r>
        <w:t xml:space="preserve">especially in Massachusetts, </w:t>
      </w:r>
      <w:r w:rsidRPr="00F26381">
        <w:t>the SHIP should be modified as a work in progress as new research and practice models with demonstrated effectiveness become available.</w:t>
      </w:r>
    </w:p>
    <w:p w:rsidR="004B20E5" w:rsidRPr="00F26381" w:rsidRDefault="004B20E5" w:rsidP="000A7CF2">
      <w:pPr>
        <w:pStyle w:val="List-paragraphsundernumbered"/>
        <w:rPr>
          <w:sz w:val="24"/>
          <w:szCs w:val="24"/>
        </w:rPr>
      </w:pPr>
      <w:r>
        <w:rPr>
          <w:shd w:val="clear" w:color="auto" w:fill="FFFFFF"/>
        </w:rPr>
        <w:t>Performance improvement can be achieved through the practice of "performance management."  This practice involves the strategic use of performance measures and standards to establish performance targets and goals, to prioritize and allocate resources, to inform managers about needed adjustments or changes in policy or program directions to meet goals, to frame reports on the success in meeting performance goals, and to improve the quality of public health practice.</w:t>
      </w:r>
    </w:p>
    <w:p w:rsidR="004B20E5" w:rsidRPr="00E83B03" w:rsidRDefault="004B20E5" w:rsidP="000A7CF2">
      <w:pPr>
        <w:pStyle w:val="ListNumbered"/>
        <w:numPr>
          <w:ilvl w:val="0"/>
          <w:numId w:val="0"/>
        </w:numPr>
        <w:spacing w:before="0"/>
        <w:rPr>
          <w:rFonts w:ascii="Calibri" w:hAnsi="Calibri" w:cs="Times New Roman"/>
          <w:sz w:val="24"/>
          <w:szCs w:val="24"/>
        </w:rPr>
      </w:pPr>
    </w:p>
    <w:p w:rsidR="006168D8" w:rsidRPr="006168D8" w:rsidRDefault="006168D8" w:rsidP="006168D8">
      <w:pPr>
        <w:tabs>
          <w:tab w:val="left" w:pos="900"/>
        </w:tabs>
        <w:spacing w:before="160" w:after="80"/>
        <w:outlineLvl w:val="1"/>
        <w:rPr>
          <w:b/>
          <w:sz w:val="24"/>
          <w:szCs w:val="26"/>
        </w:rPr>
      </w:pPr>
      <w:bookmarkStart w:id="19" w:name="_Toc386231055"/>
      <w:bookmarkStart w:id="20" w:name="_Toc391388762"/>
      <w:bookmarkStart w:id="21" w:name="_Toc398819262"/>
      <w:r w:rsidRPr="006168D8">
        <w:rPr>
          <w:b/>
          <w:sz w:val="24"/>
          <w:szCs w:val="26"/>
        </w:rPr>
        <w:t>Vision</w:t>
      </w:r>
      <w:bookmarkEnd w:id="19"/>
      <w:r w:rsidRPr="006168D8">
        <w:rPr>
          <w:b/>
          <w:sz w:val="24"/>
          <w:szCs w:val="26"/>
        </w:rPr>
        <w:t xml:space="preserve"> of the Massachusetts State Health Improvement Plan</w:t>
      </w:r>
      <w:bookmarkEnd w:id="20"/>
      <w:bookmarkEnd w:id="21"/>
    </w:p>
    <w:p w:rsidR="006168D8" w:rsidRPr="006168D8" w:rsidRDefault="006168D8" w:rsidP="006168D8">
      <w:pPr>
        <w:spacing w:before="120"/>
        <w:rPr>
          <w:rFonts w:eastAsia="Calibri" w:cs="Arial"/>
        </w:rPr>
      </w:pPr>
      <w:r w:rsidRPr="006168D8">
        <w:rPr>
          <w:rFonts w:eastAsia="Calibri" w:cs="Arial"/>
        </w:rPr>
        <w:t>A vision is a statement of the preferred future we hope to create.  The SHIP Advisory Group drafted a vision statement, which was then reviewed, refined, and confirmed by MDPH leadership.</w:t>
      </w:r>
    </w:p>
    <w:p w:rsidR="006168D8" w:rsidRPr="006168D8" w:rsidRDefault="006168D8" w:rsidP="006168D8">
      <w:pPr>
        <w:spacing w:before="120"/>
        <w:rPr>
          <w:rFonts w:eastAsia="Calibri" w:cs="Arial"/>
        </w:rPr>
      </w:pPr>
      <w:r w:rsidRPr="006168D8">
        <w:rPr>
          <w:rFonts w:eastAsia="Calibri" w:cs="Arial"/>
        </w:rPr>
        <w:t>In the context of this historical opportunity to better integrate public health and health care, it is our vision that this SHIP will be a means to ensure:</w:t>
      </w:r>
    </w:p>
    <w:p w:rsidR="006168D8" w:rsidRPr="006168D8" w:rsidRDefault="006168D8" w:rsidP="006168D8">
      <w:pPr>
        <w:keepNext/>
        <w:spacing w:before="160"/>
        <w:rPr>
          <w:rFonts w:eastAsia="Calibri" w:cs="Arial"/>
          <w:i/>
        </w:rPr>
      </w:pPr>
      <w:r w:rsidRPr="006168D8">
        <w:rPr>
          <w:rFonts w:eastAsia="Calibri" w:cs="Arial"/>
          <w:i/>
        </w:rPr>
        <w:t>A state of optimal health and well-being for all people in Massachusetts, supported by a strong public health infrastructure and health care delivery system that is:</w:t>
      </w:r>
    </w:p>
    <w:p w:rsidR="006168D8" w:rsidRPr="006168D8" w:rsidRDefault="006168D8" w:rsidP="006168D8">
      <w:pPr>
        <w:pStyle w:val="ListParagraph"/>
        <w:numPr>
          <w:ilvl w:val="0"/>
          <w:numId w:val="21"/>
        </w:numPr>
        <w:spacing w:before="60"/>
        <w:ind w:right="-446"/>
        <w:rPr>
          <w:bCs/>
        </w:rPr>
      </w:pPr>
      <w:r w:rsidRPr="006168D8">
        <w:rPr>
          <w:bCs/>
        </w:rPr>
        <w:t>informed by engagement with diverse community partners</w:t>
      </w:r>
    </w:p>
    <w:p w:rsidR="006168D8" w:rsidRPr="006168D8" w:rsidRDefault="006168D8" w:rsidP="006168D8">
      <w:pPr>
        <w:pStyle w:val="ListParagraph"/>
        <w:numPr>
          <w:ilvl w:val="0"/>
          <w:numId w:val="21"/>
        </w:numPr>
        <w:spacing w:before="60"/>
        <w:ind w:right="-446"/>
        <w:rPr>
          <w:bCs/>
        </w:rPr>
      </w:pPr>
      <w:r w:rsidRPr="006168D8">
        <w:rPr>
          <w:bCs/>
        </w:rPr>
        <w:t xml:space="preserve">aligned with and accountable to improvements in key health indicators, and </w:t>
      </w:r>
    </w:p>
    <w:p w:rsidR="006168D8" w:rsidRPr="006168D8" w:rsidRDefault="006168D8" w:rsidP="006168D8">
      <w:pPr>
        <w:pStyle w:val="ListParagraph"/>
        <w:numPr>
          <w:ilvl w:val="0"/>
          <w:numId w:val="21"/>
        </w:numPr>
        <w:spacing w:before="60"/>
        <w:ind w:right="-446"/>
        <w:rPr>
          <w:bCs/>
        </w:rPr>
      </w:pPr>
      <w:r w:rsidRPr="006168D8">
        <w:rPr>
          <w:bCs/>
        </w:rPr>
        <w:t>committed to driving transformation to promote health equity and reduce health disparities</w:t>
      </w:r>
    </w:p>
    <w:p w:rsidR="004B20E5" w:rsidRPr="00D049C0" w:rsidRDefault="004B20E5" w:rsidP="00644A67">
      <w:pPr>
        <w:spacing w:before="80"/>
        <w:ind w:left="6480"/>
      </w:pPr>
    </w:p>
    <w:p w:rsidR="004B20E5" w:rsidRDefault="004B20E5" w:rsidP="000A7CF2">
      <w:pPr>
        <w:pStyle w:val="Heading1"/>
      </w:pPr>
      <w:bookmarkStart w:id="22" w:name="_Toc386231057"/>
      <w:bookmarkStart w:id="23" w:name="_Toc391388764"/>
      <w:r>
        <w:br w:type="page"/>
      </w:r>
    </w:p>
    <w:p w:rsidR="004B20E5" w:rsidRPr="00B7219D" w:rsidRDefault="004B20E5" w:rsidP="000A7CF2">
      <w:pPr>
        <w:pStyle w:val="Heading1"/>
      </w:pPr>
      <w:bookmarkStart w:id="24" w:name="_Toc398819263"/>
      <w:r>
        <w:lastRenderedPageBreak/>
        <w:t>Orientation</w:t>
      </w:r>
      <w:r w:rsidRPr="00B7219D">
        <w:t xml:space="preserve"> to the </w:t>
      </w:r>
      <w:r>
        <w:t xml:space="preserve">Massachusetts State Health Improvement </w:t>
      </w:r>
      <w:r w:rsidRPr="00B7219D">
        <w:t>Plan</w:t>
      </w:r>
      <w:bookmarkEnd w:id="22"/>
      <w:bookmarkEnd w:id="23"/>
      <w:bookmarkEnd w:id="24"/>
    </w:p>
    <w:p w:rsidR="004B20E5" w:rsidRPr="00525733" w:rsidRDefault="004B20E5" w:rsidP="000A7CF2">
      <w:pPr>
        <w:pStyle w:val="Heading2"/>
      </w:pPr>
      <w:bookmarkStart w:id="25" w:name="_Toc386231058"/>
      <w:bookmarkStart w:id="26" w:name="_Toc391388765"/>
      <w:bookmarkStart w:id="27" w:name="_Toc398819264"/>
      <w:r w:rsidRPr="00525733">
        <w:t>What is a State Health Improvement Plan?</w:t>
      </w:r>
      <w:bookmarkEnd w:id="25"/>
      <w:bookmarkEnd w:id="26"/>
      <w:bookmarkEnd w:id="27"/>
    </w:p>
    <w:p w:rsidR="004B20E5" w:rsidRDefault="004B20E5" w:rsidP="000A7CF2">
      <w:pPr>
        <w:pStyle w:val="BodyText"/>
      </w:pPr>
      <w:r w:rsidRPr="00525733">
        <w:t xml:space="preserve">A State Health Improvement Plan, or SHIP, is an action-oriented strategic plan that outlines the key health and health systems priority areas for the state, and how these priority areas will be addressed to ultimately improve the health of all people in that state.  SHIPs are created through a statewide, collaborative planning process that engages partners and organizations to develop, support, and implement the plan.  The development of a SHIP enables loosely-networked system partners to coordinate for more efficient, targeted and integrated health improvement efforts. A SHIP is intended to serve as a vision for health and a framework for organizations to use in leveraging resources, engaging partners, and identifying their own priorities and strategies for collective action towards improving community health and achieving health equity. </w:t>
      </w:r>
    </w:p>
    <w:p w:rsidR="004B20E5" w:rsidRPr="00B66391" w:rsidRDefault="004B20E5" w:rsidP="00B66391">
      <w:pPr>
        <w:pStyle w:val="Heading2"/>
      </w:pPr>
      <w:bookmarkStart w:id="28" w:name="_Toc398819265"/>
      <w:bookmarkStart w:id="29" w:name="_Toc386231059"/>
      <w:r w:rsidRPr="00B66391">
        <w:t>State Health Assessment</w:t>
      </w:r>
      <w:bookmarkEnd w:id="28"/>
    </w:p>
    <w:p w:rsidR="004B20E5" w:rsidRDefault="004B20E5" w:rsidP="00773D22">
      <w:pPr>
        <w:pStyle w:val="BodyText"/>
      </w:pPr>
      <w:r w:rsidRPr="00B66391">
        <w:t xml:space="preserve">From its inception, the process of compiling the SHIP has been informed by data on the health status of all who live and work in Massachusetts.  In 2010 </w:t>
      </w:r>
      <w:r w:rsidR="001D686E">
        <w:t>M</w:t>
      </w:r>
      <w:r w:rsidRPr="00B66391">
        <w:t xml:space="preserve">DPH published, </w:t>
      </w:r>
      <w:r w:rsidRPr="000D25C0">
        <w:rPr>
          <w:i/>
        </w:rPr>
        <w:t>The Health of Massachusetts</w:t>
      </w:r>
      <w:r w:rsidRPr="00B66391">
        <w:t xml:space="preserve">, a comprehensive assessment of the health of the Commonwealth.  This report compiled data from over fifty sources to describe the state’s health status and areas of health improvement, as well as the factors that contribute to the health challenges.  </w:t>
      </w:r>
      <w:r>
        <w:t>The</w:t>
      </w:r>
      <w:r w:rsidRPr="00B66391">
        <w:t xml:space="preserve"> SHIP process</w:t>
      </w:r>
      <w:r>
        <w:t xml:space="preserve"> included an update of</w:t>
      </w:r>
      <w:r w:rsidRPr="00B66391">
        <w:t xml:space="preserve"> many of the data sources </w:t>
      </w:r>
      <w:r>
        <w:t xml:space="preserve">that were a part of </w:t>
      </w:r>
      <w:r w:rsidRPr="00B66391">
        <w:t>the earlier report</w:t>
      </w:r>
      <w:r>
        <w:t>, including key informant interviews with Tribal experts</w:t>
      </w:r>
      <w:r w:rsidRPr="00B66391">
        <w:t xml:space="preserve">.  Included in Appendix </w:t>
      </w:r>
      <w:r>
        <w:t>C</w:t>
      </w:r>
      <w:r w:rsidRPr="00B66391">
        <w:t xml:space="preserve"> is an Overview Data Matrix on Health Behaviors and Outcomes.  The categories and databases included in the matrix were selected with input from the SHIP Advisory Committee.  The Matrix was presented and discussed during the deliberations in the Advisory Group and the planning retreats.  The updated health assessment informs the health improvement planning process.  We are committed to continuing an ongoing cycle of assessing health and planning and implementing activities to improve health based on health status data</w:t>
      </w:r>
      <w:bookmarkStart w:id="30" w:name="_Toc391388766"/>
      <w:r>
        <w:t>.</w:t>
      </w:r>
    </w:p>
    <w:p w:rsidR="004B20E5" w:rsidRPr="00F446EB" w:rsidRDefault="004B20E5" w:rsidP="00F446EB">
      <w:pPr>
        <w:pStyle w:val="Heading2"/>
      </w:pPr>
      <w:bookmarkStart w:id="31" w:name="_Toc398819266"/>
      <w:r w:rsidRPr="00F446EB">
        <w:t>Going from Plan to Action</w:t>
      </w:r>
      <w:bookmarkEnd w:id="31"/>
    </w:p>
    <w:p w:rsidR="004B20E5" w:rsidRPr="00B66391" w:rsidRDefault="004B20E5" w:rsidP="00B66391">
      <w:pPr>
        <w:spacing w:before="120"/>
        <w:rPr>
          <w:rFonts w:cs="Arial"/>
        </w:rPr>
      </w:pPr>
      <w:r w:rsidRPr="00B66391">
        <w:rPr>
          <w:rFonts w:cs="Arial"/>
        </w:rPr>
        <w:t xml:space="preserve">The SHIP is designed to be a broad, strategic framework for community health, and should be modified and adjusted as conditions, resources, and external environmental factors change. This SHIP is developed and written in a way that engages multiple perspectives </w:t>
      </w:r>
      <w:r w:rsidR="002F7E62">
        <w:rPr>
          <w:rFonts w:cs="Arial"/>
        </w:rPr>
        <w:t xml:space="preserve">in the hope </w:t>
      </w:r>
      <w:r w:rsidRPr="00B66391">
        <w:rPr>
          <w:rFonts w:cs="Arial"/>
        </w:rPr>
        <w:t>that all community groups and sectors – private and nonprofit organizations, government agencies, academic institutions, community- and faith-based organizations, and individuals – can unite to improve the health and quality of life for all people who live, work, and play in the Commonwealth of Massachusetts.</w:t>
      </w:r>
    </w:p>
    <w:p w:rsidR="004B20E5" w:rsidRPr="00B66391" w:rsidRDefault="004B20E5" w:rsidP="00B66391">
      <w:pPr>
        <w:spacing w:before="120"/>
        <w:rPr>
          <w:rFonts w:cs="Arial"/>
        </w:rPr>
      </w:pPr>
      <w:r w:rsidRPr="00B66391">
        <w:rPr>
          <w:rFonts w:cs="Arial"/>
        </w:rPr>
        <w:t>The SHIP reflects a commitment of partners and stakeholders to collaborate in addressing shared issues in a systematic and accountable way. The next phase of the Massachusetts SHIP will involve broad implementation of the strategies identified in the plan, and monitoring of the SHIP’s indicators.  This phase will include the implementation of clear communication strategies, a strong evaluation component, ongoing partnership, work group and coalition development strategies, as well as cross sector project management and leadership.</w:t>
      </w:r>
    </w:p>
    <w:p w:rsidR="004B20E5" w:rsidRPr="00B66391" w:rsidRDefault="004B20E5" w:rsidP="00B66391">
      <w:pPr>
        <w:spacing w:before="120"/>
        <w:rPr>
          <w:rFonts w:cs="Arial"/>
        </w:rPr>
      </w:pPr>
      <w:r w:rsidRPr="00B66391">
        <w:rPr>
          <w:rFonts w:cs="Arial"/>
        </w:rPr>
        <w:t xml:space="preserve">See Appendix </w:t>
      </w:r>
      <w:r>
        <w:rPr>
          <w:rFonts w:cs="Arial"/>
        </w:rPr>
        <w:t>H</w:t>
      </w:r>
      <w:r w:rsidRPr="00B66391">
        <w:rPr>
          <w:rFonts w:cs="Arial"/>
        </w:rPr>
        <w:t xml:space="preserve"> for How You Can Use This Plan.</w:t>
      </w:r>
    </w:p>
    <w:p w:rsidR="004B20E5" w:rsidRDefault="004B20E5" w:rsidP="000A7CF2">
      <w:pPr>
        <w:pStyle w:val="Heading1"/>
        <w:rPr>
          <w:rStyle w:val="Heading2Char"/>
          <w:rFonts w:cs="Arial"/>
          <w:b/>
          <w:sz w:val="32"/>
          <w:szCs w:val="22"/>
        </w:rPr>
      </w:pPr>
      <w:bookmarkStart w:id="32" w:name="_Toc386231066"/>
      <w:bookmarkEnd w:id="29"/>
      <w:bookmarkEnd w:id="30"/>
    </w:p>
    <w:p w:rsidR="004B20E5" w:rsidRDefault="004B20E5" w:rsidP="000A7CF2">
      <w:pPr>
        <w:pStyle w:val="Heading1"/>
        <w:rPr>
          <w:rStyle w:val="Heading2Char"/>
          <w:rFonts w:cs="Arial"/>
          <w:b/>
          <w:sz w:val="32"/>
          <w:szCs w:val="22"/>
        </w:rPr>
      </w:pPr>
      <w:bookmarkStart w:id="33" w:name="_Toc391388774"/>
      <w:r>
        <w:rPr>
          <w:rStyle w:val="Heading2Char"/>
          <w:rFonts w:cs="Arial"/>
          <w:b/>
          <w:sz w:val="32"/>
          <w:szCs w:val="22"/>
        </w:rPr>
        <w:br w:type="page"/>
      </w:r>
    </w:p>
    <w:p w:rsidR="004B20E5" w:rsidRPr="00935C18" w:rsidRDefault="004B20E5" w:rsidP="000A7CF2">
      <w:pPr>
        <w:pStyle w:val="Heading1"/>
      </w:pPr>
      <w:bookmarkStart w:id="34" w:name="_Toc398819267"/>
      <w:r w:rsidRPr="00525733">
        <w:rPr>
          <w:rStyle w:val="Heading2Char"/>
          <w:rFonts w:cs="Arial"/>
          <w:b/>
          <w:sz w:val="32"/>
          <w:szCs w:val="22"/>
        </w:rPr>
        <w:lastRenderedPageBreak/>
        <w:t xml:space="preserve">SHIP </w:t>
      </w:r>
      <w:bookmarkEnd w:id="32"/>
      <w:r w:rsidRPr="00525733">
        <w:rPr>
          <w:rStyle w:val="Heading2Char"/>
          <w:rFonts w:cs="Arial"/>
          <w:b/>
          <w:sz w:val="32"/>
          <w:szCs w:val="22"/>
        </w:rPr>
        <w:t>Structure</w:t>
      </w:r>
      <w:bookmarkEnd w:id="33"/>
      <w:bookmarkEnd w:id="34"/>
    </w:p>
    <w:p w:rsidR="004B20E5" w:rsidRPr="00525733" w:rsidRDefault="004B20E5" w:rsidP="000A7CF2">
      <w:pPr>
        <w:pStyle w:val="BodyText"/>
      </w:pPr>
      <w:r>
        <w:t>T</w:t>
      </w:r>
      <w:r w:rsidRPr="00525733">
        <w:t>he structure of the SHIP include</w:t>
      </w:r>
      <w:r>
        <w:t>s</w:t>
      </w:r>
      <w:r w:rsidRPr="00525733">
        <w:t xml:space="preserve"> an integrated mix of Health Systems and Health Topic issues.  </w:t>
      </w:r>
      <w:r>
        <w:t xml:space="preserve">The SHIP Advisory Group </w:t>
      </w:r>
      <w:r w:rsidRPr="00525733">
        <w:t>recommended that strategies approach chronic disease through prevention and key risk factors, resulting in a focused, action-oriented plan that:</w:t>
      </w:r>
    </w:p>
    <w:p w:rsidR="004B20E5" w:rsidRPr="003E4C11" w:rsidRDefault="004B20E5" w:rsidP="000A7CF2">
      <w:pPr>
        <w:pStyle w:val="ListBulletedIndented"/>
      </w:pPr>
      <w:r w:rsidRPr="00935C18">
        <w:t>Has a limite</w:t>
      </w:r>
      <w:r w:rsidRPr="003E4C11">
        <w:t>d number of priorities and measurable objectives</w:t>
      </w:r>
    </w:p>
    <w:p w:rsidR="004B20E5" w:rsidRPr="003E4C11" w:rsidRDefault="004B20E5" w:rsidP="000A7CF2">
      <w:pPr>
        <w:pStyle w:val="ListBulletedIndented"/>
      </w:pPr>
      <w:r w:rsidRPr="003E4C11">
        <w:t>Identifies key “levers” that public health can influence and/or move</w:t>
      </w:r>
    </w:p>
    <w:p w:rsidR="004B20E5" w:rsidRPr="003E4C11" w:rsidRDefault="004B20E5" w:rsidP="000A7CF2">
      <w:pPr>
        <w:pStyle w:val="ListBulletedIndented"/>
      </w:pPr>
      <w:r w:rsidRPr="003E4C11">
        <w:t>Balances vision and transformation with feasibility</w:t>
      </w:r>
    </w:p>
    <w:p w:rsidR="004B20E5" w:rsidRPr="00935C18" w:rsidRDefault="004B20E5" w:rsidP="000A7CF2">
      <w:pPr>
        <w:pStyle w:val="ListBulletedIndented"/>
      </w:pPr>
      <w:r w:rsidRPr="003E4C11">
        <w:t>Articulates a 5-year time horizon but builds in interim and 3-year benchmarks with opportunity for mid-course cor</w:t>
      </w:r>
      <w:r w:rsidRPr="00935C18">
        <w:t>rection</w:t>
      </w:r>
    </w:p>
    <w:p w:rsidR="004B20E5" w:rsidRDefault="004B20E5" w:rsidP="000A7CF2">
      <w:pPr>
        <w:pStyle w:val="ListBulletedIndented"/>
      </w:pPr>
      <w:r>
        <w:t>Has a strong focus on inclusiveness</w:t>
      </w:r>
    </w:p>
    <w:p w:rsidR="004B20E5" w:rsidRDefault="004B20E5" w:rsidP="000A7CF2">
      <w:pPr>
        <w:pStyle w:val="ListBulletedIndented"/>
      </w:pPr>
      <w:r>
        <w:t>D</w:t>
      </w:r>
      <w:r w:rsidRPr="003E4C11">
        <w:t>efines a target year for improvements in all baseline measures for each of the SMART</w:t>
      </w:r>
      <w:r w:rsidR="0072161F">
        <w:t xml:space="preserve"> </w:t>
      </w:r>
      <w:r w:rsidRPr="003E4C11">
        <w:t>objectives</w:t>
      </w:r>
    </w:p>
    <w:p w:rsidR="004B20E5" w:rsidRDefault="004B20E5" w:rsidP="000A7CF2">
      <w:pPr>
        <w:pStyle w:val="ListBulletedIndented"/>
      </w:pPr>
      <w:r>
        <w:t>Uses b</w:t>
      </w:r>
      <w:r w:rsidRPr="006115B3">
        <w:t>oth qualitative and quantitative measures to assess progress and performance (especially in the case of developmental objectives)</w:t>
      </w:r>
    </w:p>
    <w:p w:rsidR="004B20E5" w:rsidRPr="00935C18" w:rsidRDefault="004B20E5" w:rsidP="000A7CF2">
      <w:pPr>
        <w:pStyle w:val="BodyText"/>
        <w:rPr>
          <w:iCs/>
          <w:color w:val="000000"/>
        </w:rPr>
      </w:pPr>
      <w:r>
        <w:t xml:space="preserve">The </w:t>
      </w:r>
      <w:r w:rsidRPr="001C4579">
        <w:t>SHIP</w:t>
      </w:r>
      <w:r w:rsidR="0072161F">
        <w:t xml:space="preserve"> </w:t>
      </w:r>
      <w:r>
        <w:t>is</w:t>
      </w:r>
      <w:r w:rsidRPr="001C4579">
        <w:t xml:space="preserve"> divided into two main parts, with Part 1 focusing on the public health and health infrastructure required to support advancements on key health topics, and Part 2 focusing on the health topic</w:t>
      </w:r>
      <w:r>
        <w:t xml:space="preserve"> domain</w:t>
      </w:r>
      <w:r w:rsidRPr="001C4579">
        <w:t xml:space="preserve">s as determined by a rigorous priority setting process (see Appendix </w:t>
      </w:r>
      <w:r>
        <w:t>G</w:t>
      </w:r>
      <w:r w:rsidRPr="001C4579">
        <w:t xml:space="preserve"> for prioritization tool</w:t>
      </w:r>
      <w:r>
        <w:t>s used by Coalition members and Subject Matter Experts</w:t>
      </w:r>
      <w:r w:rsidRPr="001C4579">
        <w:t>).</w:t>
      </w:r>
    </w:p>
    <w:p w:rsidR="004B20E5" w:rsidRPr="00935C18" w:rsidRDefault="004B20E5" w:rsidP="00E827FB">
      <w:pPr>
        <w:pStyle w:val="BodyTextunder3"/>
      </w:pPr>
      <w:r w:rsidRPr="00935C18">
        <w:rPr>
          <w:b/>
        </w:rPr>
        <w:t xml:space="preserve">Part </w:t>
      </w:r>
      <w:r>
        <w:rPr>
          <w:b/>
        </w:rPr>
        <w:t>I</w:t>
      </w:r>
      <w:r w:rsidRPr="00935C18">
        <w:rPr>
          <w:b/>
        </w:rPr>
        <w:t xml:space="preserve">:  </w:t>
      </w:r>
      <w:r w:rsidRPr="00935C18">
        <w:t>Public Health System Transformation:  This is an essential, foundational priority for the SHIP, as moving the needle on any of the related health topic areas and for key health disparities requires that a robust and integrated infrastructure be in place.</w:t>
      </w:r>
    </w:p>
    <w:p w:rsidR="004B20E5" w:rsidRPr="00935C18" w:rsidRDefault="004B20E5" w:rsidP="00E827FB">
      <w:pPr>
        <w:pStyle w:val="BodyTextunder3"/>
      </w:pPr>
      <w:r w:rsidRPr="00935C18">
        <w:rPr>
          <w:b/>
        </w:rPr>
        <w:t xml:space="preserve">Part </w:t>
      </w:r>
      <w:r>
        <w:rPr>
          <w:b/>
        </w:rPr>
        <w:t>II</w:t>
      </w:r>
      <w:r w:rsidRPr="00935C18">
        <w:rPr>
          <w:b/>
        </w:rPr>
        <w:t xml:space="preserve">:  </w:t>
      </w:r>
      <w:r w:rsidRPr="00935C18">
        <w:t>Health Topic</w:t>
      </w:r>
      <w:r>
        <w:t xml:space="preserve"> Domain</w:t>
      </w:r>
      <w:r w:rsidRPr="00935C18">
        <w:t xml:space="preserve">s:  These </w:t>
      </w:r>
      <w:r>
        <w:t>7</w:t>
      </w:r>
      <w:r w:rsidRPr="00935C18">
        <w:t xml:space="preserve"> health topics are those for which we have data to demonstrate a key area of need, as well as community and political support to engage in collective action for demonstrable impact.</w:t>
      </w:r>
    </w:p>
    <w:p w:rsidR="004B20E5" w:rsidRDefault="004B20E5" w:rsidP="009D766E">
      <w:pPr>
        <w:pStyle w:val="BodyText"/>
      </w:pPr>
      <w:bookmarkStart w:id="35" w:name="_Toc373168850"/>
      <w:bookmarkStart w:id="36" w:name="_Toc374701144"/>
      <w:bookmarkStart w:id="37" w:name="_Toc391388775"/>
      <w:r>
        <w:t xml:space="preserve">An icon </w:t>
      </w:r>
      <w:r w:rsidR="00F03799">
        <w:rPr>
          <w:noProof/>
        </w:rPr>
        <w:drawing>
          <wp:inline distT="0" distB="0" distL="0" distR="0" wp14:anchorId="41EF33CB" wp14:editId="10A2C937">
            <wp:extent cx="171450" cy="17145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l="17612" t="18253" r="18530" b="29434"/>
                    <a:stretch>
                      <a:fillRect/>
                    </a:stretch>
                  </pic:blipFill>
                  <pic:spPr bwMode="auto">
                    <a:xfrm>
                      <a:off x="0" y="0"/>
                      <a:ext cx="171450" cy="171450"/>
                    </a:xfrm>
                    <a:prstGeom prst="rect">
                      <a:avLst/>
                    </a:prstGeom>
                    <a:noFill/>
                    <a:ln>
                      <a:noFill/>
                    </a:ln>
                  </pic:spPr>
                </pic:pic>
              </a:graphicData>
            </a:graphic>
          </wp:inline>
        </w:drawing>
      </w:r>
      <w:r>
        <w:t xml:space="preserve"> has been used throughout the document to highlight critical health equity issues.</w:t>
      </w:r>
    </w:p>
    <w:p w:rsidR="004B20E5" w:rsidRDefault="004B20E5" w:rsidP="000A7CF2">
      <w:pPr>
        <w:pStyle w:val="Heading2"/>
      </w:pPr>
    </w:p>
    <w:p w:rsidR="004B20E5" w:rsidRDefault="004B20E5" w:rsidP="000A7CF2">
      <w:pPr>
        <w:pStyle w:val="Heading2"/>
      </w:pPr>
      <w:r>
        <w:br w:type="page"/>
      </w:r>
    </w:p>
    <w:p w:rsidR="004B20E5" w:rsidRPr="00C7097F" w:rsidRDefault="004B20E5" w:rsidP="000A7CF2">
      <w:pPr>
        <w:pStyle w:val="Heading2"/>
      </w:pPr>
      <w:bookmarkStart w:id="38" w:name="_Toc398819268"/>
      <w:r w:rsidRPr="00C7097F">
        <w:lastRenderedPageBreak/>
        <w:t xml:space="preserve">Guide to Strategic </w:t>
      </w:r>
      <w:r>
        <w:t xml:space="preserve">Domains </w:t>
      </w:r>
      <w:r w:rsidRPr="00C7097F">
        <w:t xml:space="preserve">of the </w:t>
      </w:r>
      <w:r>
        <w:t xml:space="preserve">Massachusetts </w:t>
      </w:r>
      <w:r w:rsidRPr="00C7097F">
        <w:t>State Health Improvement Plan</w:t>
      </w:r>
      <w:bookmarkEnd w:id="35"/>
      <w:bookmarkEnd w:id="36"/>
      <w:bookmarkEnd w:id="37"/>
      <w:bookmarkEnd w:id="38"/>
    </w:p>
    <w:p w:rsidR="004B20E5" w:rsidRDefault="004B20E5" w:rsidP="000A7CF2">
      <w:pPr>
        <w:pStyle w:val="BodyText"/>
      </w:pPr>
      <w:r w:rsidRPr="0046149F">
        <w:t xml:space="preserve">The following </w:t>
      </w:r>
      <w:r>
        <w:t>table</w:t>
      </w:r>
      <w:r w:rsidR="0072161F">
        <w:t xml:space="preserve"> </w:t>
      </w:r>
      <w:r w:rsidRPr="0046149F">
        <w:t>outline</w:t>
      </w:r>
      <w:r w:rsidR="0072161F">
        <w:t>s</w:t>
      </w:r>
      <w:r w:rsidRPr="0046149F">
        <w:t xml:space="preserve"> the </w:t>
      </w:r>
      <w:r>
        <w:t>eight</w:t>
      </w:r>
      <w:r w:rsidR="004D5A79">
        <w:t xml:space="preserve"> </w:t>
      </w:r>
      <w:r>
        <w:t>domains</w:t>
      </w:r>
      <w:r w:rsidR="004D5A79">
        <w:t xml:space="preserve"> (</w:t>
      </w:r>
      <w:r w:rsidR="00EE1D2C">
        <w:t>seven health topic domains and one for public health infrastructure</w:t>
      </w:r>
      <w:r w:rsidR="004D5A79">
        <w:t>)</w:t>
      </w:r>
      <w:r w:rsidRPr="0046149F">
        <w:t xml:space="preserve"> for the State Health Improvement Plan, and each </w:t>
      </w:r>
      <w:r>
        <w:t>domain’s</w:t>
      </w:r>
      <w:r w:rsidRPr="0046149F">
        <w:t xml:space="preserve"> related </w:t>
      </w:r>
      <w:r>
        <w:t>standards and measures</w:t>
      </w:r>
      <w:r w:rsidRPr="0046149F">
        <w:t>, as depicted below</w:t>
      </w:r>
      <w:r>
        <w:t xml:space="preserve">. </w:t>
      </w:r>
      <w:r w:rsidRPr="0046149F">
        <w:t xml:space="preserve">These </w:t>
      </w:r>
      <w:r>
        <w:t xml:space="preserve">eight domain </w:t>
      </w:r>
      <w:r w:rsidRPr="0046149F">
        <w:t xml:space="preserve">areas were identified through close examination of data, topics in Healthy People 2020, and dialogue with </w:t>
      </w:r>
      <w:r>
        <w:t>essential</w:t>
      </w:r>
      <w:r w:rsidRPr="0046149F">
        <w:t xml:space="preserve"> partners in health</w:t>
      </w:r>
      <w:r>
        <w:t>.  The topics in Part 2 are not listed in priority</w:t>
      </w:r>
      <w:r w:rsidR="0072161F">
        <w:t xml:space="preserve"> </w:t>
      </w:r>
      <w:r>
        <w:t>order.</w:t>
      </w:r>
    </w:p>
    <w:p w:rsidR="004B20E5" w:rsidRDefault="004B20E5" w:rsidP="000A7CF2">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1"/>
        <w:gridCol w:w="7238"/>
        <w:gridCol w:w="27"/>
      </w:tblGrid>
      <w:tr w:rsidR="004B20E5" w:rsidRPr="00007A69" w:rsidTr="005C62F3">
        <w:trPr>
          <w:cantSplit/>
          <w:tblHeader/>
        </w:trPr>
        <w:tc>
          <w:tcPr>
            <w:tcW w:w="1472" w:type="pct"/>
            <w:tcBorders>
              <w:right w:val="single" w:sz="4" w:space="0" w:color="FFFFFF"/>
            </w:tcBorders>
            <w:shd w:val="clear" w:color="auto" w:fill="F2F2F2"/>
            <w:vAlign w:val="center"/>
          </w:tcPr>
          <w:p w:rsidR="004B20E5" w:rsidRPr="005C62F3" w:rsidRDefault="004B20E5" w:rsidP="00CB2B0E">
            <w:pPr>
              <w:pStyle w:val="GoalStatement"/>
              <w:rPr>
                <w:sz w:val="20"/>
              </w:rPr>
            </w:pPr>
            <w:r w:rsidRPr="005C62F3">
              <w:rPr>
                <w:sz w:val="20"/>
              </w:rPr>
              <w:t>STANDARDS</w:t>
            </w:r>
          </w:p>
        </w:tc>
        <w:tc>
          <w:tcPr>
            <w:tcW w:w="3528" w:type="pct"/>
            <w:gridSpan w:val="2"/>
            <w:tcBorders>
              <w:left w:val="single" w:sz="4" w:space="0" w:color="FFFFFF"/>
            </w:tcBorders>
            <w:shd w:val="clear" w:color="auto" w:fill="F2F2F2"/>
          </w:tcPr>
          <w:p w:rsidR="004B20E5" w:rsidRPr="005C62F3" w:rsidRDefault="004B20E5" w:rsidP="00CB2B0E">
            <w:pPr>
              <w:pStyle w:val="GoalStatement"/>
              <w:rPr>
                <w:sz w:val="20"/>
              </w:rPr>
            </w:pPr>
            <w:r w:rsidRPr="005C62F3">
              <w:rPr>
                <w:sz w:val="20"/>
              </w:rPr>
              <w:t>MEASURES</w:t>
            </w:r>
          </w:p>
        </w:tc>
      </w:tr>
      <w:tr w:rsidR="004B20E5" w:rsidRPr="00007A69" w:rsidTr="005C62F3">
        <w:trPr>
          <w:cantSplit/>
        </w:trPr>
        <w:tc>
          <w:tcPr>
            <w:tcW w:w="5000" w:type="pct"/>
            <w:gridSpan w:val="3"/>
            <w:shd w:val="clear" w:color="auto" w:fill="F2F2F2"/>
            <w:vAlign w:val="center"/>
          </w:tcPr>
          <w:p w:rsidR="004B20E5" w:rsidRPr="005C62F3" w:rsidRDefault="004B20E5" w:rsidP="00CB2B0E">
            <w:pPr>
              <w:pStyle w:val="GoalStatement"/>
              <w:rPr>
                <w:sz w:val="20"/>
              </w:rPr>
            </w:pPr>
            <w:r w:rsidRPr="005C62F3">
              <w:rPr>
                <w:sz w:val="20"/>
              </w:rPr>
              <w:t xml:space="preserve">Part I:  Public Health System Transformation </w:t>
            </w:r>
          </w:p>
          <w:p w:rsidR="004B20E5" w:rsidRPr="005C62F3" w:rsidRDefault="004B20E5" w:rsidP="00CB2B0E">
            <w:pPr>
              <w:pStyle w:val="GoalStatement"/>
              <w:rPr>
                <w:sz w:val="20"/>
              </w:rPr>
            </w:pPr>
            <w:r w:rsidRPr="005C62F3">
              <w:rPr>
                <w:sz w:val="20"/>
              </w:rPr>
              <w:t>Health Systems Infrastructure</w:t>
            </w:r>
          </w:p>
          <w:p w:rsidR="004B20E5" w:rsidRPr="005C62F3" w:rsidRDefault="004B20E5" w:rsidP="00CB2B0E">
            <w:pPr>
              <w:pStyle w:val="GoalStatement"/>
              <w:rPr>
                <w:sz w:val="20"/>
              </w:rPr>
            </w:pPr>
            <w:r w:rsidRPr="005C62F3">
              <w:rPr>
                <w:sz w:val="20"/>
              </w:rPr>
              <w:t>Facilitate public health systems transformation to achieve equity and accountability.</w:t>
            </w:r>
          </w:p>
        </w:tc>
      </w:tr>
      <w:tr w:rsidR="004B20E5" w:rsidRPr="00007A69" w:rsidTr="005C62F3">
        <w:trPr>
          <w:cantSplit/>
        </w:trPr>
        <w:tc>
          <w:tcPr>
            <w:tcW w:w="1472" w:type="pct"/>
            <w:vAlign w:val="center"/>
          </w:tcPr>
          <w:p w:rsidR="004B20E5" w:rsidRPr="005C62F3" w:rsidRDefault="004B20E5" w:rsidP="00733660">
            <w:pPr>
              <w:rPr>
                <w:sz w:val="20"/>
                <w:szCs w:val="20"/>
              </w:rPr>
            </w:pPr>
            <w:r w:rsidRPr="005C62F3">
              <w:rPr>
                <w:sz w:val="20"/>
                <w:szCs w:val="20"/>
              </w:rPr>
              <w:t>Assure health equity and health reform goal attainment through robust systems and resources for monitoring, protecting, and promoting the health and well-being of the entire Massachusetts population.</w:t>
            </w:r>
          </w:p>
        </w:tc>
        <w:tc>
          <w:tcPr>
            <w:tcW w:w="3528" w:type="pct"/>
            <w:gridSpan w:val="2"/>
          </w:tcPr>
          <w:p w:rsidR="004B20E5" w:rsidRDefault="004B20E5" w:rsidP="00CB2B0E">
            <w:pPr>
              <w:pStyle w:val="objstmtintable"/>
            </w:pPr>
            <w:r w:rsidRPr="00007A69">
              <w:t>Systems Measure 1:</w:t>
            </w:r>
            <w:r w:rsidR="0072161F">
              <w:t xml:space="preserve"> </w:t>
            </w:r>
            <w:r w:rsidRPr="00007A69">
              <w:t>By December 31, 2015, create a Public Health Data Warehouse to</w:t>
            </w:r>
            <w:r w:rsidR="004D5A79">
              <w:t xml:space="preserve"> </w:t>
            </w:r>
            <w:r w:rsidRPr="00007A69">
              <w:t>maintain and improve surveillance capacity</w:t>
            </w:r>
            <w:r w:rsidR="0072161F">
              <w:t>,</w:t>
            </w:r>
            <w:r>
              <w:t xml:space="preserve"> and</w:t>
            </w:r>
            <w:r w:rsidR="0072161F">
              <w:t xml:space="preserve"> </w:t>
            </w:r>
            <w:r w:rsidRPr="00007A69">
              <w:t>increase the accessibility of data for</w:t>
            </w:r>
            <w:r>
              <w:t xml:space="preserve"> state and</w:t>
            </w:r>
            <w:r w:rsidRPr="00007A69">
              <w:t xml:space="preserve"> local public health activities, for evaluation of key public health initiatives, and for the SHIP objectives</w:t>
            </w:r>
            <w:r>
              <w:t>.</w:t>
            </w:r>
          </w:p>
          <w:p w:rsidR="004B20E5" w:rsidRPr="00007A69" w:rsidRDefault="00F03799" w:rsidP="00CB2B0E">
            <w:pPr>
              <w:pStyle w:val="objstmtintable"/>
            </w:pPr>
            <w:r>
              <w:rPr>
                <w:noProof/>
              </w:rPr>
              <w:drawing>
                <wp:inline distT="0" distB="0" distL="0" distR="0" wp14:anchorId="500E0DFC" wp14:editId="463B4F91">
                  <wp:extent cx="171450" cy="171450"/>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l="17612" t="18253" r="18530" b="29434"/>
                          <a:stretch>
                            <a:fillRect/>
                          </a:stretch>
                        </pic:blipFill>
                        <pic:spPr bwMode="auto">
                          <a:xfrm>
                            <a:off x="0" y="0"/>
                            <a:ext cx="171450" cy="171450"/>
                          </a:xfrm>
                          <a:prstGeom prst="rect">
                            <a:avLst/>
                          </a:prstGeom>
                          <a:noFill/>
                          <a:ln>
                            <a:noFill/>
                          </a:ln>
                        </pic:spPr>
                      </pic:pic>
                    </a:graphicData>
                  </a:graphic>
                </wp:inline>
              </w:drawing>
            </w:r>
          </w:p>
        </w:tc>
      </w:tr>
      <w:tr w:rsidR="004B20E5" w:rsidRPr="00007A69" w:rsidTr="005C62F3">
        <w:trPr>
          <w:cantSplit/>
        </w:trPr>
        <w:tc>
          <w:tcPr>
            <w:tcW w:w="1472" w:type="pct"/>
            <w:vAlign w:val="center"/>
          </w:tcPr>
          <w:p w:rsidR="004B20E5" w:rsidRPr="005C62F3" w:rsidRDefault="004B20E5" w:rsidP="00733660">
            <w:pPr>
              <w:rPr>
                <w:sz w:val="20"/>
                <w:szCs w:val="20"/>
              </w:rPr>
            </w:pPr>
          </w:p>
        </w:tc>
        <w:tc>
          <w:tcPr>
            <w:tcW w:w="3528" w:type="pct"/>
            <w:gridSpan w:val="2"/>
          </w:tcPr>
          <w:p w:rsidR="004B20E5" w:rsidRPr="00007A69" w:rsidRDefault="004B20E5" w:rsidP="00CB2B0E">
            <w:pPr>
              <w:pStyle w:val="objstmtintable"/>
            </w:pPr>
            <w:r w:rsidRPr="00007A69">
              <w:t>Systems Measure 2: By December 31, 2015, enhance the capacity of local health departments to respond to public health needs.</w:t>
            </w:r>
          </w:p>
        </w:tc>
      </w:tr>
      <w:tr w:rsidR="004B20E5" w:rsidRPr="00007A69" w:rsidTr="005C62F3">
        <w:trPr>
          <w:cantSplit/>
        </w:trPr>
        <w:tc>
          <w:tcPr>
            <w:tcW w:w="1472" w:type="pct"/>
            <w:vAlign w:val="center"/>
          </w:tcPr>
          <w:p w:rsidR="004B20E5" w:rsidRPr="005C62F3" w:rsidRDefault="004B20E5" w:rsidP="00733660">
            <w:pPr>
              <w:rPr>
                <w:sz w:val="20"/>
                <w:szCs w:val="20"/>
              </w:rPr>
            </w:pPr>
          </w:p>
        </w:tc>
        <w:tc>
          <w:tcPr>
            <w:tcW w:w="3528" w:type="pct"/>
            <w:gridSpan w:val="2"/>
          </w:tcPr>
          <w:p w:rsidR="004B20E5" w:rsidRPr="00007A69" w:rsidRDefault="004B20E5" w:rsidP="00CB2B0E">
            <w:pPr>
              <w:pStyle w:val="objstmtintable"/>
            </w:pPr>
            <w:r w:rsidRPr="00007A69">
              <w:t>Systems Measure 3:</w:t>
            </w:r>
            <w:r w:rsidR="0072161F">
              <w:t xml:space="preserve"> </w:t>
            </w:r>
            <w:r w:rsidRPr="00007A69">
              <w:t>By December 31, 2015, establish and maintain a system to support and provide technical assistance to a network of community based collaborative partnerships across Massachusetts to promote public health.</w:t>
            </w:r>
          </w:p>
          <w:p w:rsidR="004B20E5" w:rsidRPr="00007A69" w:rsidRDefault="00F03799" w:rsidP="00CB2B0E">
            <w:pPr>
              <w:pStyle w:val="objstmtintable"/>
            </w:pPr>
            <w:r>
              <w:rPr>
                <w:noProof/>
              </w:rPr>
              <w:drawing>
                <wp:inline distT="0" distB="0" distL="0" distR="0" wp14:anchorId="6C685167" wp14:editId="7907D38D">
                  <wp:extent cx="171450" cy="171450"/>
                  <wp:effectExtent l="0" t="0" r="0" b="0"/>
                  <wp:docPr id="1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l="17612" t="18253" r="18530" b="29434"/>
                          <a:stretch>
                            <a:fillRect/>
                          </a:stretch>
                        </pic:blipFill>
                        <pic:spPr bwMode="auto">
                          <a:xfrm>
                            <a:off x="0" y="0"/>
                            <a:ext cx="171450" cy="171450"/>
                          </a:xfrm>
                          <a:prstGeom prst="rect">
                            <a:avLst/>
                          </a:prstGeom>
                          <a:noFill/>
                          <a:ln>
                            <a:noFill/>
                          </a:ln>
                        </pic:spPr>
                      </pic:pic>
                    </a:graphicData>
                  </a:graphic>
                </wp:inline>
              </w:drawing>
            </w:r>
          </w:p>
        </w:tc>
      </w:tr>
      <w:tr w:rsidR="004B20E5" w:rsidRPr="00007A69" w:rsidTr="005C62F3">
        <w:trPr>
          <w:cantSplit/>
        </w:trPr>
        <w:tc>
          <w:tcPr>
            <w:tcW w:w="1472" w:type="pct"/>
            <w:vAlign w:val="center"/>
          </w:tcPr>
          <w:p w:rsidR="004B20E5" w:rsidRPr="005C62F3" w:rsidRDefault="004B20E5" w:rsidP="00733660">
            <w:pPr>
              <w:rPr>
                <w:sz w:val="20"/>
                <w:szCs w:val="20"/>
              </w:rPr>
            </w:pPr>
          </w:p>
        </w:tc>
        <w:tc>
          <w:tcPr>
            <w:tcW w:w="3528" w:type="pct"/>
            <w:gridSpan w:val="2"/>
          </w:tcPr>
          <w:p w:rsidR="004B20E5" w:rsidRPr="00007A69" w:rsidRDefault="004B20E5" w:rsidP="00CB2B0E">
            <w:pPr>
              <w:pStyle w:val="objstmtintable"/>
            </w:pPr>
            <w:r w:rsidRPr="00007A69">
              <w:t>Systems Measure 4:  By June 30, 2017, establish six regional health and medical coordinating coalitions that will support and enhance the ability of the Commonwealth to prepare for, respond to, recover from, and mitigate the impact of public health and medical threats, emergencies and disasters, including acts of terrorism.</w:t>
            </w:r>
          </w:p>
        </w:tc>
      </w:tr>
      <w:tr w:rsidR="004B20E5" w:rsidRPr="00007A69" w:rsidTr="005C62F3">
        <w:trPr>
          <w:cantSplit/>
        </w:trPr>
        <w:tc>
          <w:tcPr>
            <w:tcW w:w="1472" w:type="pct"/>
            <w:vAlign w:val="center"/>
          </w:tcPr>
          <w:p w:rsidR="004B20E5" w:rsidRPr="005C62F3" w:rsidRDefault="004B20E5" w:rsidP="00733660">
            <w:pPr>
              <w:rPr>
                <w:sz w:val="20"/>
                <w:szCs w:val="20"/>
              </w:rPr>
            </w:pPr>
          </w:p>
        </w:tc>
        <w:tc>
          <w:tcPr>
            <w:tcW w:w="3528" w:type="pct"/>
            <w:gridSpan w:val="2"/>
          </w:tcPr>
          <w:p w:rsidR="004B20E5" w:rsidRPr="00007A69" w:rsidRDefault="00F03799" w:rsidP="00CB2B0E">
            <w:pPr>
              <w:pStyle w:val="objstmtintable"/>
            </w:pPr>
            <w:r>
              <w:rPr>
                <w:noProof/>
              </w:rPr>
              <w:drawing>
                <wp:anchor distT="0" distB="0" distL="114300" distR="114300" simplePos="0" relativeHeight="251651072" behindDoc="0" locked="0" layoutInCell="1" allowOverlap="1" wp14:anchorId="3C4BC13B" wp14:editId="4140DBC3">
                  <wp:simplePos x="0" y="0"/>
                  <wp:positionH relativeFrom="column">
                    <wp:posOffset>635</wp:posOffset>
                  </wp:positionH>
                  <wp:positionV relativeFrom="paragraph">
                    <wp:posOffset>580390</wp:posOffset>
                  </wp:positionV>
                  <wp:extent cx="182880" cy="182880"/>
                  <wp:effectExtent l="0" t="0" r="7620" b="7620"/>
                  <wp:wrapThrough wrapText="bothSides">
                    <wp:wrapPolygon edited="0">
                      <wp:start x="2250" y="0"/>
                      <wp:lineTo x="0" y="2250"/>
                      <wp:lineTo x="0" y="15750"/>
                      <wp:lineTo x="2250" y="20250"/>
                      <wp:lineTo x="20250" y="20250"/>
                      <wp:lineTo x="20250" y="0"/>
                      <wp:lineTo x="2250" y="0"/>
                    </wp:wrapPolygon>
                  </wp:wrapThrough>
                  <wp:docPr id="3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rPr>
                <w:noProof/>
              </w:rPr>
              <w:t>Systems Measure 5</w:t>
            </w:r>
            <w:r w:rsidR="004B20E5" w:rsidRPr="00007A69">
              <w:t>:</w:t>
            </w:r>
            <w:r w:rsidR="0072161F">
              <w:t xml:space="preserve"> </w:t>
            </w:r>
            <w:r w:rsidR="004B20E5" w:rsidRPr="00007A69">
              <w:t xml:space="preserve">Develop a Public Health Workforce Development Plan </w:t>
            </w:r>
            <w:r w:rsidR="004B20E5">
              <w:t xml:space="preserve">(e.g., PM/QI including regulatory oversight) </w:t>
            </w:r>
            <w:r w:rsidR="004B20E5" w:rsidRPr="00007A69">
              <w:t>to increase public health workforce capacity for Massachusetts, including quantity, quality, and diversity of workforce, by December 2015.</w:t>
            </w:r>
          </w:p>
        </w:tc>
      </w:tr>
      <w:tr w:rsidR="004B20E5" w:rsidRPr="00007A69" w:rsidTr="005C62F3">
        <w:trPr>
          <w:cantSplit/>
        </w:trPr>
        <w:tc>
          <w:tcPr>
            <w:tcW w:w="1472" w:type="pct"/>
            <w:vAlign w:val="center"/>
          </w:tcPr>
          <w:p w:rsidR="004B20E5" w:rsidRPr="005C62F3" w:rsidRDefault="004B20E5" w:rsidP="00733660">
            <w:pPr>
              <w:rPr>
                <w:sz w:val="20"/>
                <w:szCs w:val="20"/>
              </w:rPr>
            </w:pPr>
          </w:p>
        </w:tc>
        <w:tc>
          <w:tcPr>
            <w:tcW w:w="3528" w:type="pct"/>
            <w:gridSpan w:val="2"/>
          </w:tcPr>
          <w:p w:rsidR="004B20E5" w:rsidRPr="00007A69" w:rsidRDefault="004B20E5" w:rsidP="00CB2B0E">
            <w:pPr>
              <w:pStyle w:val="objstmtintable"/>
            </w:pPr>
            <w:r w:rsidRPr="00007A69">
              <w:t>Systems Measure 6:</w:t>
            </w:r>
            <w:r w:rsidR="0072161F">
              <w:t xml:space="preserve"> </w:t>
            </w:r>
            <w:r w:rsidRPr="00007A69">
              <w:t>Increase Massachusetts’ public health licensing and regulatory enforcement capacity</w:t>
            </w:r>
            <w:r>
              <w:t xml:space="preserve"> (e.g., Health Planning, DON) by December 2015</w:t>
            </w:r>
            <w:r w:rsidRPr="00007A69">
              <w:t>.</w:t>
            </w:r>
          </w:p>
        </w:tc>
      </w:tr>
      <w:tr w:rsidR="004B20E5" w:rsidRPr="00007A69" w:rsidTr="005C62F3">
        <w:trPr>
          <w:cantSplit/>
        </w:trPr>
        <w:tc>
          <w:tcPr>
            <w:tcW w:w="5000" w:type="pct"/>
            <w:gridSpan w:val="3"/>
            <w:shd w:val="clear" w:color="auto" w:fill="F2F2F2"/>
            <w:vAlign w:val="center"/>
          </w:tcPr>
          <w:p w:rsidR="004B20E5" w:rsidRPr="005C62F3" w:rsidRDefault="004B20E5" w:rsidP="00CB2B0E">
            <w:pPr>
              <w:pStyle w:val="GoalStatement"/>
              <w:rPr>
                <w:sz w:val="20"/>
              </w:rPr>
            </w:pPr>
            <w:r w:rsidRPr="005C62F3">
              <w:rPr>
                <w:sz w:val="20"/>
              </w:rPr>
              <w:lastRenderedPageBreak/>
              <w:t>Part II:  Health Issues/Topics</w:t>
            </w:r>
          </w:p>
        </w:tc>
      </w:tr>
      <w:tr w:rsidR="004B20E5" w:rsidRPr="00007A69" w:rsidTr="005C62F3">
        <w:trPr>
          <w:cantSplit/>
        </w:trPr>
        <w:tc>
          <w:tcPr>
            <w:tcW w:w="5000" w:type="pct"/>
            <w:gridSpan w:val="3"/>
            <w:shd w:val="clear" w:color="auto" w:fill="F2F2F2"/>
            <w:vAlign w:val="center"/>
          </w:tcPr>
          <w:p w:rsidR="004B20E5" w:rsidRPr="005C62F3" w:rsidRDefault="004B20E5" w:rsidP="00CB2B0E">
            <w:pPr>
              <w:pStyle w:val="GoalStatement"/>
              <w:rPr>
                <w:sz w:val="20"/>
              </w:rPr>
            </w:pPr>
            <w:r w:rsidRPr="005C62F3">
              <w:rPr>
                <w:sz w:val="20"/>
              </w:rPr>
              <w:t>Domain1:  Active Living, Healthy Eating, and Tobacco-Free Living</w:t>
            </w:r>
          </w:p>
          <w:p w:rsidR="004B20E5" w:rsidRPr="005C62F3" w:rsidRDefault="004B20E5" w:rsidP="00CB2B0E">
            <w:pPr>
              <w:pStyle w:val="GoalStatement"/>
              <w:rPr>
                <w:sz w:val="20"/>
              </w:rPr>
            </w:pPr>
            <w:r w:rsidRPr="005C62F3">
              <w:rPr>
                <w:sz w:val="20"/>
              </w:rPr>
              <w:t>Ensure that all Massachusetts residents minimize risk for disease by eating a nutritious diet, engaging in adequate physical activity, maintaining a healthy weight, and eliminating tobacco use and exposure.</w:t>
            </w:r>
          </w:p>
        </w:tc>
      </w:tr>
      <w:tr w:rsidR="004B20E5" w:rsidRPr="00007A69" w:rsidTr="005C62F3">
        <w:trPr>
          <w:cantSplit/>
        </w:trPr>
        <w:tc>
          <w:tcPr>
            <w:tcW w:w="1472" w:type="pct"/>
            <w:vAlign w:val="center"/>
          </w:tcPr>
          <w:p w:rsidR="004B20E5" w:rsidRPr="005C62F3" w:rsidRDefault="004B20E5" w:rsidP="00733660">
            <w:pPr>
              <w:rPr>
                <w:sz w:val="20"/>
                <w:szCs w:val="20"/>
              </w:rPr>
            </w:pPr>
            <w:r w:rsidRPr="005C62F3">
              <w:rPr>
                <w:sz w:val="20"/>
                <w:szCs w:val="20"/>
              </w:rPr>
              <w:t>Standard 1A:</w:t>
            </w:r>
          </w:p>
          <w:p w:rsidR="004B20E5" w:rsidRPr="005C62F3" w:rsidRDefault="004B20E5" w:rsidP="00733660">
            <w:pPr>
              <w:rPr>
                <w:sz w:val="20"/>
                <w:szCs w:val="20"/>
              </w:rPr>
            </w:pPr>
            <w:r w:rsidRPr="005C62F3">
              <w:rPr>
                <w:sz w:val="20"/>
                <w:szCs w:val="20"/>
              </w:rPr>
              <w:t>Ensure that all MA residents eat a nutritious diet.</w:t>
            </w:r>
          </w:p>
        </w:tc>
        <w:tc>
          <w:tcPr>
            <w:tcW w:w="3528" w:type="pct"/>
            <w:gridSpan w:val="2"/>
          </w:tcPr>
          <w:p w:rsidR="004B20E5" w:rsidRPr="00007A69" w:rsidRDefault="004B20E5" w:rsidP="00CB2B0E">
            <w:pPr>
              <w:pStyle w:val="objstmtintable"/>
            </w:pPr>
            <w:r w:rsidRPr="00007A69">
              <w:t xml:space="preserve">Measure 1.1:  </w:t>
            </w:r>
            <w:r w:rsidRPr="00007A69">
              <w:tab/>
              <w:t xml:space="preserve">Increase the </w:t>
            </w:r>
            <w:r w:rsidR="00270A2E">
              <w:t xml:space="preserve">relative </w:t>
            </w:r>
            <w:r w:rsidRPr="00007A69">
              <w:t>percentage of adults, adolescents, and children that report consuming 5 servings of fruits and vegetables daily by 2%.</w:t>
            </w:r>
          </w:p>
          <w:p w:rsidR="004B20E5" w:rsidRPr="00007A69" w:rsidRDefault="004B20E5" w:rsidP="00CB2B0E">
            <w:pPr>
              <w:pStyle w:val="objstmtintable"/>
            </w:pPr>
            <w:r w:rsidRPr="00007A69">
              <w:t>Measure 1.2:</w:t>
            </w:r>
            <w:r w:rsidRPr="00007A69">
              <w:tab/>
              <w:t xml:space="preserve">Increase the </w:t>
            </w:r>
            <w:r w:rsidRPr="005C62F3">
              <w:rPr>
                <w:szCs w:val="18"/>
              </w:rPr>
              <w:t>relative percentage</w:t>
            </w:r>
            <w:r w:rsidR="0072161F">
              <w:rPr>
                <w:szCs w:val="18"/>
              </w:rPr>
              <w:t xml:space="preserve"> </w:t>
            </w:r>
            <w:r w:rsidRPr="00007A69">
              <w:t xml:space="preserve">of adolescents and children who report consuming no more than </w:t>
            </w:r>
            <w:r>
              <w:t>one</w:t>
            </w:r>
            <w:r w:rsidRPr="00007A69">
              <w:t xml:space="preserve"> sugar-sweetened beverage daily by 2%.</w:t>
            </w:r>
          </w:p>
        </w:tc>
      </w:tr>
      <w:tr w:rsidR="004B20E5" w:rsidRPr="00007A69" w:rsidTr="005C62F3">
        <w:trPr>
          <w:cantSplit/>
        </w:trPr>
        <w:tc>
          <w:tcPr>
            <w:tcW w:w="1472" w:type="pct"/>
            <w:vAlign w:val="center"/>
          </w:tcPr>
          <w:p w:rsidR="004B20E5" w:rsidRPr="005C62F3" w:rsidRDefault="004B20E5" w:rsidP="00733660">
            <w:pPr>
              <w:rPr>
                <w:sz w:val="20"/>
                <w:szCs w:val="20"/>
              </w:rPr>
            </w:pPr>
            <w:r w:rsidRPr="005C62F3">
              <w:rPr>
                <w:sz w:val="20"/>
                <w:szCs w:val="20"/>
              </w:rPr>
              <w:t>Standard 1B:</w:t>
            </w:r>
          </w:p>
          <w:p w:rsidR="004B20E5" w:rsidRPr="005C62F3" w:rsidRDefault="004B20E5" w:rsidP="00733660">
            <w:pPr>
              <w:rPr>
                <w:sz w:val="20"/>
                <w:szCs w:val="20"/>
              </w:rPr>
            </w:pPr>
            <w:r w:rsidRPr="005C62F3">
              <w:rPr>
                <w:sz w:val="20"/>
                <w:szCs w:val="20"/>
              </w:rPr>
              <w:t>Ensure that all MA residents engage in adequate physical activity.</w:t>
            </w:r>
          </w:p>
        </w:tc>
        <w:tc>
          <w:tcPr>
            <w:tcW w:w="3528" w:type="pct"/>
            <w:gridSpan w:val="2"/>
          </w:tcPr>
          <w:p w:rsidR="004B20E5" w:rsidRPr="00007A69" w:rsidRDefault="004B20E5" w:rsidP="00CB2B0E">
            <w:pPr>
              <w:pStyle w:val="objstmtintable"/>
            </w:pPr>
            <w:r w:rsidRPr="00007A69">
              <w:t xml:space="preserve">Measure 1.3:  </w:t>
            </w:r>
            <w:r w:rsidRPr="00007A69">
              <w:tab/>
              <w:t xml:space="preserve">Increase the </w:t>
            </w:r>
            <w:r w:rsidRPr="005C62F3">
              <w:rPr>
                <w:szCs w:val="18"/>
              </w:rPr>
              <w:t xml:space="preserve">relative </w:t>
            </w:r>
            <w:r w:rsidRPr="00007A69">
              <w:t>percent</w:t>
            </w:r>
            <w:r>
              <w:t>age</w:t>
            </w:r>
            <w:r w:rsidRPr="00007A69">
              <w:t xml:space="preserve"> of adults, adolescents, and children who engage in daily moderate to vigorous physical activity as per CDC recommendations by 3%. </w:t>
            </w:r>
          </w:p>
        </w:tc>
      </w:tr>
      <w:tr w:rsidR="004B20E5" w:rsidRPr="00007A69" w:rsidTr="005C62F3">
        <w:trPr>
          <w:cantSplit/>
        </w:trPr>
        <w:tc>
          <w:tcPr>
            <w:tcW w:w="1472" w:type="pct"/>
            <w:vAlign w:val="center"/>
          </w:tcPr>
          <w:p w:rsidR="004B20E5" w:rsidRPr="005C62F3" w:rsidRDefault="004B20E5" w:rsidP="00733660">
            <w:pPr>
              <w:rPr>
                <w:sz w:val="20"/>
                <w:szCs w:val="20"/>
              </w:rPr>
            </w:pPr>
            <w:r w:rsidRPr="005C62F3">
              <w:rPr>
                <w:sz w:val="20"/>
                <w:szCs w:val="20"/>
              </w:rPr>
              <w:t>Standard1C:</w:t>
            </w:r>
          </w:p>
          <w:p w:rsidR="004B20E5" w:rsidRPr="005C62F3" w:rsidRDefault="004B20E5" w:rsidP="00733660">
            <w:pPr>
              <w:rPr>
                <w:sz w:val="20"/>
                <w:szCs w:val="20"/>
              </w:rPr>
            </w:pPr>
            <w:r w:rsidRPr="005C62F3">
              <w:rPr>
                <w:sz w:val="20"/>
                <w:szCs w:val="20"/>
              </w:rPr>
              <w:t>Support all MA residents in leading tobacco-free lives.</w:t>
            </w:r>
          </w:p>
        </w:tc>
        <w:tc>
          <w:tcPr>
            <w:tcW w:w="3528" w:type="pct"/>
            <w:gridSpan w:val="2"/>
          </w:tcPr>
          <w:p w:rsidR="004B20E5" w:rsidRPr="00007A69" w:rsidRDefault="004B20E5" w:rsidP="00CB2B0E">
            <w:pPr>
              <w:pStyle w:val="objstmtintable"/>
            </w:pPr>
            <w:r w:rsidRPr="00007A69">
              <w:t>Measure 1.4:</w:t>
            </w:r>
            <w:r w:rsidRPr="00007A69">
              <w:tab/>
              <w:t xml:space="preserve">Reduce the </w:t>
            </w:r>
            <w:r w:rsidRPr="005C62F3">
              <w:rPr>
                <w:szCs w:val="18"/>
              </w:rPr>
              <w:t xml:space="preserve">relative </w:t>
            </w:r>
            <w:r w:rsidRPr="00007A69">
              <w:t xml:space="preserve">percentage of adults who are current smokers by </w:t>
            </w:r>
            <w:r w:rsidRPr="005C62F3">
              <w:rPr>
                <w:szCs w:val="18"/>
              </w:rPr>
              <w:t>10</w:t>
            </w:r>
            <w:r w:rsidRPr="00007A69">
              <w:t>%.</w:t>
            </w:r>
            <w:r w:rsidRPr="00007A69">
              <w:tab/>
            </w:r>
          </w:p>
          <w:p w:rsidR="004B20E5" w:rsidRPr="00007A69" w:rsidRDefault="004B20E5" w:rsidP="00CB2B0E">
            <w:pPr>
              <w:pStyle w:val="objstmtintable"/>
            </w:pPr>
            <w:r w:rsidRPr="00007A69">
              <w:t>Measure 1.5:</w:t>
            </w:r>
            <w:r w:rsidRPr="00007A69">
              <w:tab/>
              <w:t xml:space="preserve">Reduce the </w:t>
            </w:r>
            <w:r w:rsidRPr="005C62F3">
              <w:rPr>
                <w:szCs w:val="18"/>
              </w:rPr>
              <w:t xml:space="preserve">relative </w:t>
            </w:r>
            <w:r w:rsidRPr="00007A69">
              <w:t xml:space="preserve">percentage of tobacco use among high school students by </w:t>
            </w:r>
            <w:r w:rsidRPr="005C62F3">
              <w:rPr>
                <w:szCs w:val="18"/>
              </w:rPr>
              <w:t>10</w:t>
            </w:r>
            <w:r w:rsidRPr="00007A69">
              <w:t>%.</w:t>
            </w:r>
          </w:p>
          <w:p w:rsidR="004B20E5" w:rsidRPr="00007A69" w:rsidRDefault="004B20E5" w:rsidP="00CB2B0E">
            <w:pPr>
              <w:pStyle w:val="objstmtintable"/>
            </w:pPr>
            <w:r w:rsidRPr="00007A69">
              <w:t>Measure 1.6:</w:t>
            </w:r>
            <w:r w:rsidRPr="00007A69">
              <w:tab/>
            </w:r>
            <w:r w:rsidRPr="005C62F3">
              <w:rPr>
                <w:szCs w:val="18"/>
              </w:rPr>
              <w:t xml:space="preserve">Reduce the relative percentage of adults who report </w:t>
            </w:r>
            <w:r w:rsidRPr="00007A69">
              <w:t xml:space="preserve">exposure to secondhand smoke of more than 1 hour per week by </w:t>
            </w:r>
            <w:r w:rsidRPr="005C62F3">
              <w:rPr>
                <w:szCs w:val="18"/>
              </w:rPr>
              <w:t>10</w:t>
            </w:r>
            <w:r w:rsidRPr="00007A69">
              <w:t>%.</w:t>
            </w:r>
          </w:p>
        </w:tc>
      </w:tr>
      <w:tr w:rsidR="004B20E5" w:rsidRPr="00007A69" w:rsidTr="005C62F3">
        <w:trPr>
          <w:cantSplit/>
        </w:trPr>
        <w:tc>
          <w:tcPr>
            <w:tcW w:w="5000" w:type="pct"/>
            <w:gridSpan w:val="3"/>
            <w:shd w:val="clear" w:color="auto" w:fill="F2F2F2"/>
            <w:vAlign w:val="center"/>
          </w:tcPr>
          <w:p w:rsidR="004B20E5" w:rsidRPr="005C62F3" w:rsidRDefault="004B20E5" w:rsidP="00CB2B0E">
            <w:pPr>
              <w:pStyle w:val="GoalStatement"/>
              <w:rPr>
                <w:sz w:val="20"/>
              </w:rPr>
            </w:pPr>
            <w:r w:rsidRPr="005C62F3">
              <w:rPr>
                <w:sz w:val="20"/>
              </w:rPr>
              <w:t>Domain 2:  Chronic Disease Prevention and Control</w:t>
            </w:r>
          </w:p>
          <w:p w:rsidR="004B20E5" w:rsidRPr="005C62F3" w:rsidRDefault="004B20E5" w:rsidP="00CB2B0E">
            <w:pPr>
              <w:pStyle w:val="GoalStatement"/>
              <w:rPr>
                <w:sz w:val="20"/>
              </w:rPr>
            </w:pPr>
            <w:r w:rsidRPr="005C62F3">
              <w:rPr>
                <w:sz w:val="20"/>
              </w:rPr>
              <w:t>Reduce the incidence and impact of chronic disease to optimize the health and quality of life of all populations across the lifespan.</w:t>
            </w:r>
          </w:p>
        </w:tc>
      </w:tr>
      <w:tr w:rsidR="004B20E5" w:rsidRPr="00007A69" w:rsidTr="005C62F3">
        <w:trPr>
          <w:cantSplit/>
        </w:trPr>
        <w:tc>
          <w:tcPr>
            <w:tcW w:w="1472" w:type="pct"/>
            <w:vAlign w:val="center"/>
          </w:tcPr>
          <w:p w:rsidR="004B20E5" w:rsidRPr="005C62F3" w:rsidRDefault="004B20E5" w:rsidP="00733660">
            <w:pPr>
              <w:rPr>
                <w:sz w:val="20"/>
                <w:szCs w:val="20"/>
              </w:rPr>
            </w:pPr>
            <w:r w:rsidRPr="005C62F3">
              <w:rPr>
                <w:sz w:val="20"/>
                <w:szCs w:val="20"/>
              </w:rPr>
              <w:t>Standard 2A:</w:t>
            </w:r>
          </w:p>
          <w:p w:rsidR="004B20E5" w:rsidRPr="005C62F3" w:rsidRDefault="004B20E5" w:rsidP="00733660">
            <w:pPr>
              <w:rPr>
                <w:sz w:val="20"/>
                <w:szCs w:val="20"/>
              </w:rPr>
            </w:pPr>
            <w:r w:rsidRPr="005C62F3">
              <w:rPr>
                <w:sz w:val="20"/>
                <w:szCs w:val="20"/>
              </w:rPr>
              <w:t>Improve participation in recommended cancer screenings.</w:t>
            </w:r>
          </w:p>
        </w:tc>
        <w:tc>
          <w:tcPr>
            <w:tcW w:w="3528" w:type="pct"/>
            <w:gridSpan w:val="2"/>
          </w:tcPr>
          <w:p w:rsidR="004B20E5" w:rsidRPr="00007A69" w:rsidRDefault="00F03799" w:rsidP="00CB2B0E">
            <w:pPr>
              <w:pStyle w:val="objstmtintable"/>
            </w:pPr>
            <w:r>
              <w:rPr>
                <w:noProof/>
              </w:rPr>
              <w:drawing>
                <wp:anchor distT="0" distB="0" distL="114300" distR="114300" simplePos="0" relativeHeight="251669504" behindDoc="0" locked="0" layoutInCell="1" allowOverlap="1" wp14:anchorId="703B8DD2" wp14:editId="37BCA428">
                  <wp:simplePos x="0" y="0"/>
                  <wp:positionH relativeFrom="column">
                    <wp:posOffset>-6985</wp:posOffset>
                  </wp:positionH>
                  <wp:positionV relativeFrom="paragraph">
                    <wp:posOffset>559435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 xml:space="preserve">Measure 2.1:  </w:t>
            </w:r>
            <w:r w:rsidR="004B20E5" w:rsidRPr="00007A69">
              <w:tab/>
              <w:t xml:space="preserve">Increase the </w:t>
            </w:r>
            <w:r w:rsidR="004B20E5" w:rsidRPr="005C62F3">
              <w:rPr>
                <w:szCs w:val="18"/>
              </w:rPr>
              <w:t>relative percentage</w:t>
            </w:r>
            <w:r w:rsidR="0072161F">
              <w:rPr>
                <w:szCs w:val="18"/>
              </w:rPr>
              <w:t xml:space="preserve"> </w:t>
            </w:r>
            <w:r w:rsidR="004B20E5" w:rsidRPr="00007A69">
              <w:t xml:space="preserve">of Massachusetts men 40 years and older who talked to their doctor, nurse, or other health professional about the advantages and disadvantages of the prostate-specific antigen (PSA) </w:t>
            </w:r>
            <w:r w:rsidR="004B20E5" w:rsidRPr="005C62F3">
              <w:rPr>
                <w:szCs w:val="18"/>
              </w:rPr>
              <w:t>by 10</w:t>
            </w:r>
            <w:r w:rsidR="004B20E5" w:rsidRPr="00007A69">
              <w:t xml:space="preserve">%.  </w:t>
            </w:r>
          </w:p>
          <w:p w:rsidR="004B20E5" w:rsidRPr="007C5CE9" w:rsidRDefault="00F03799" w:rsidP="00CB2B0E">
            <w:pPr>
              <w:pStyle w:val="objstmtintable"/>
            </w:pPr>
            <w:r>
              <w:rPr>
                <w:noProof/>
              </w:rPr>
              <w:drawing>
                <wp:anchor distT="0" distB="0" distL="114300" distR="114300" simplePos="0" relativeHeight="251670528" behindDoc="0" locked="0" layoutInCell="1" allowOverlap="1" wp14:anchorId="5AF2578A" wp14:editId="1E152E23">
                  <wp:simplePos x="0" y="0"/>
                  <wp:positionH relativeFrom="column">
                    <wp:posOffset>-17780</wp:posOffset>
                  </wp:positionH>
                  <wp:positionV relativeFrom="paragraph">
                    <wp:posOffset>149860</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 xml:space="preserve">Measure 2.2:  </w:t>
            </w:r>
            <w:r w:rsidR="004B20E5" w:rsidRPr="00007A69">
              <w:tab/>
              <w:t>Increase screening rates for colorectal cancer for Massachusetts adults age 50-75 years to 80%.</w:t>
            </w:r>
          </w:p>
        </w:tc>
      </w:tr>
      <w:tr w:rsidR="004B20E5" w:rsidRPr="00007A69" w:rsidTr="005C62F3">
        <w:trPr>
          <w:cantSplit/>
        </w:trPr>
        <w:tc>
          <w:tcPr>
            <w:tcW w:w="1472" w:type="pct"/>
            <w:vAlign w:val="center"/>
          </w:tcPr>
          <w:p w:rsidR="004B20E5" w:rsidRPr="005C62F3" w:rsidRDefault="004B20E5" w:rsidP="00733660">
            <w:pPr>
              <w:rPr>
                <w:sz w:val="20"/>
                <w:szCs w:val="20"/>
              </w:rPr>
            </w:pPr>
            <w:r w:rsidRPr="005C62F3">
              <w:rPr>
                <w:sz w:val="20"/>
                <w:szCs w:val="20"/>
              </w:rPr>
              <w:t>Standard 2B:</w:t>
            </w:r>
          </w:p>
          <w:p w:rsidR="004B20E5" w:rsidRPr="005C62F3" w:rsidRDefault="004B20E5" w:rsidP="00733660">
            <w:pPr>
              <w:rPr>
                <w:sz w:val="20"/>
                <w:szCs w:val="20"/>
              </w:rPr>
            </w:pPr>
            <w:r w:rsidRPr="005C62F3">
              <w:rPr>
                <w:sz w:val="20"/>
                <w:szCs w:val="20"/>
              </w:rPr>
              <w:t xml:space="preserve">Improve prevention, management and control of chronic disease and associated risk factors. </w:t>
            </w:r>
          </w:p>
        </w:tc>
        <w:tc>
          <w:tcPr>
            <w:tcW w:w="3528" w:type="pct"/>
            <w:gridSpan w:val="2"/>
          </w:tcPr>
          <w:p w:rsidR="00170A28" w:rsidRPr="00365AE9" w:rsidRDefault="004B20E5" w:rsidP="00170A28">
            <w:pPr>
              <w:tabs>
                <w:tab w:val="left" w:pos="900"/>
              </w:tabs>
              <w:spacing w:before="160" w:after="80"/>
              <w:outlineLvl w:val="1"/>
              <w:rPr>
                <w:rFonts w:cs="Arial"/>
                <w:iCs/>
                <w:sz w:val="20"/>
                <w:szCs w:val="20"/>
              </w:rPr>
            </w:pPr>
            <w:r w:rsidRPr="00365AE9">
              <w:rPr>
                <w:sz w:val="20"/>
                <w:szCs w:val="20"/>
              </w:rPr>
              <w:t>Measure 2.3:</w:t>
            </w:r>
            <w:r w:rsidRPr="00007A69">
              <w:t xml:space="preserve">  </w:t>
            </w:r>
            <w:r>
              <w:tab/>
            </w:r>
            <w:r w:rsidR="00170A28">
              <w:rPr>
                <w:rFonts w:cs="Arial"/>
                <w:i/>
                <w:iCs/>
                <w:sz w:val="20"/>
                <w:szCs w:val="20"/>
              </w:rPr>
              <w:t xml:space="preserve"> </w:t>
            </w:r>
            <w:r w:rsidR="00170A28" w:rsidRPr="00365AE9">
              <w:rPr>
                <w:rFonts w:cs="Arial"/>
                <w:iCs/>
                <w:sz w:val="20"/>
                <w:szCs w:val="20"/>
              </w:rPr>
              <w:t>Increase the percentage of adults with hypertension who have their hypertension under control</w:t>
            </w:r>
            <w:r w:rsidR="004259D3">
              <w:rPr>
                <w:rFonts w:cs="Arial"/>
                <w:iCs/>
                <w:sz w:val="20"/>
                <w:szCs w:val="20"/>
              </w:rPr>
              <w:t xml:space="preserve"> by 2.5%.  </w:t>
            </w:r>
          </w:p>
          <w:p w:rsidR="004B20E5" w:rsidRPr="00007A69" w:rsidRDefault="004B20E5" w:rsidP="00CB2B0E">
            <w:pPr>
              <w:pStyle w:val="objstmtintable"/>
            </w:pPr>
            <w:r w:rsidRPr="00007A69">
              <w:t xml:space="preserve">Measure 2.4:  </w:t>
            </w:r>
            <w:r w:rsidRPr="00007A69">
              <w:tab/>
            </w:r>
            <w:r w:rsidRPr="005C62F3">
              <w:rPr>
                <w:szCs w:val="18"/>
              </w:rPr>
              <w:t>Decrease the relative percentage of adults with diabetes that have an A1c value greater than 9.0% by 2.5</w:t>
            </w:r>
            <w:r w:rsidRPr="00007A69">
              <w:t>%.</w:t>
            </w:r>
          </w:p>
          <w:p w:rsidR="004B20E5" w:rsidRPr="005C62F3" w:rsidRDefault="00F03799" w:rsidP="00CB2B0E">
            <w:pPr>
              <w:pStyle w:val="objstmtintable"/>
              <w:rPr>
                <w:szCs w:val="18"/>
              </w:rPr>
            </w:pPr>
            <w:r>
              <w:rPr>
                <w:noProof/>
              </w:rPr>
              <w:drawing>
                <wp:anchor distT="0" distB="0" distL="114300" distR="114300" simplePos="0" relativeHeight="251672576" behindDoc="0" locked="0" layoutInCell="1" allowOverlap="1" wp14:anchorId="2D97C8DC" wp14:editId="33017916">
                  <wp:simplePos x="0" y="0"/>
                  <wp:positionH relativeFrom="column">
                    <wp:posOffset>-6985</wp:posOffset>
                  </wp:positionH>
                  <wp:positionV relativeFrom="paragraph">
                    <wp:posOffset>222885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 xml:space="preserve">Measure 2.5:  </w:t>
            </w:r>
            <w:r w:rsidR="004B20E5" w:rsidRPr="00007A69">
              <w:tab/>
            </w:r>
            <w:r w:rsidR="004B20E5" w:rsidRPr="005C62F3">
              <w:rPr>
                <w:szCs w:val="18"/>
              </w:rPr>
              <w:t>Reduce the at-risk rate of pediatric asthma hospitalizations by 1.5% and the disparity among Black Non-Hispanics by an additional 1%.</w:t>
            </w:r>
          </w:p>
          <w:p w:rsidR="004B20E5" w:rsidRPr="00007A69" w:rsidRDefault="004B20E5" w:rsidP="00CB2B0E">
            <w:pPr>
              <w:pStyle w:val="objstmtintable"/>
            </w:pPr>
            <w:r w:rsidRPr="00007A69">
              <w:t>Measure 2.6:</w:t>
            </w:r>
            <w:r w:rsidRPr="00007A69">
              <w:tab/>
              <w:t xml:space="preserve">Decrease </w:t>
            </w:r>
            <w:r w:rsidRPr="005C62F3">
              <w:rPr>
                <w:szCs w:val="18"/>
              </w:rPr>
              <w:t xml:space="preserve">relative percentage of </w:t>
            </w:r>
            <w:r w:rsidRPr="00007A69">
              <w:t>obesity among Massachusetts adults and youth by 5%.</w:t>
            </w:r>
          </w:p>
        </w:tc>
      </w:tr>
      <w:tr w:rsidR="004B20E5" w:rsidRPr="00007A69" w:rsidTr="005C62F3">
        <w:trPr>
          <w:gridAfter w:val="1"/>
          <w:wAfter w:w="26" w:type="dxa"/>
          <w:cantSplit/>
        </w:trPr>
        <w:tc>
          <w:tcPr>
            <w:tcW w:w="4987" w:type="pct"/>
            <w:gridSpan w:val="2"/>
            <w:shd w:val="clear" w:color="auto" w:fill="F2F2F2"/>
            <w:vAlign w:val="center"/>
          </w:tcPr>
          <w:p w:rsidR="004B20E5" w:rsidRPr="005C62F3" w:rsidRDefault="004B20E5" w:rsidP="00CB2B0E">
            <w:pPr>
              <w:pStyle w:val="GoalStatement"/>
              <w:rPr>
                <w:rFonts w:cs="Times New Roman"/>
                <w:sz w:val="20"/>
              </w:rPr>
            </w:pPr>
            <w:r w:rsidRPr="005C62F3">
              <w:rPr>
                <w:sz w:val="20"/>
              </w:rPr>
              <w:lastRenderedPageBreak/>
              <w:t>Domain 3:   Infectious Disease Prevention and Control</w:t>
            </w:r>
          </w:p>
          <w:p w:rsidR="004B20E5" w:rsidRPr="005C62F3" w:rsidRDefault="004B20E5" w:rsidP="00CB2B0E">
            <w:pPr>
              <w:pStyle w:val="GoalStatement"/>
              <w:rPr>
                <w:sz w:val="20"/>
              </w:rPr>
            </w:pPr>
            <w:r w:rsidRPr="005C62F3">
              <w:rPr>
                <w:sz w:val="20"/>
              </w:rPr>
              <w:t xml:space="preserve">Reduce morbidity and mortality related to infectious disease. </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3A:</w:t>
            </w:r>
          </w:p>
          <w:p w:rsidR="004B20E5" w:rsidRPr="005C62F3" w:rsidRDefault="004B20E5" w:rsidP="00733660">
            <w:pPr>
              <w:rPr>
                <w:sz w:val="20"/>
                <w:szCs w:val="20"/>
              </w:rPr>
            </w:pPr>
            <w:r w:rsidRPr="005C62F3">
              <w:rPr>
                <w:sz w:val="20"/>
                <w:szCs w:val="20"/>
              </w:rPr>
              <w:t>Reduce morbidity related to vaccine preventable infections.</w:t>
            </w:r>
          </w:p>
        </w:tc>
        <w:tc>
          <w:tcPr>
            <w:tcW w:w="3515" w:type="pct"/>
          </w:tcPr>
          <w:p w:rsidR="004B20E5" w:rsidRPr="00007A69" w:rsidRDefault="00F03799" w:rsidP="00CB2B0E">
            <w:pPr>
              <w:pStyle w:val="objstmtintable"/>
            </w:pPr>
            <w:r>
              <w:rPr>
                <w:noProof/>
              </w:rPr>
              <w:drawing>
                <wp:anchor distT="0" distB="0" distL="114300" distR="114300" simplePos="0" relativeHeight="251673600" behindDoc="0" locked="0" layoutInCell="1" allowOverlap="1" wp14:anchorId="5A8F20AD" wp14:editId="3FE564F7">
                  <wp:simplePos x="0" y="0"/>
                  <wp:positionH relativeFrom="column">
                    <wp:posOffset>-6985</wp:posOffset>
                  </wp:positionH>
                  <wp:positionV relativeFrom="paragraph">
                    <wp:posOffset>339725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Measure 3.1:</w:t>
            </w:r>
            <w:r w:rsidR="004B20E5" w:rsidRPr="00007A69">
              <w:tab/>
              <w:t xml:space="preserve">Reduce the incidence of selected vaccine preventable diseases/increase immunization rates for selected vaccine preventable </w:t>
            </w:r>
            <w:r w:rsidR="004B20E5" w:rsidRPr="005C62F3">
              <w:rPr>
                <w:szCs w:val="18"/>
              </w:rPr>
              <w:t>diseases</w:t>
            </w:r>
            <w:r w:rsidR="004B20E5" w:rsidRPr="00007A69">
              <w:t>.</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3B:</w:t>
            </w:r>
          </w:p>
          <w:p w:rsidR="004B20E5" w:rsidRPr="005C62F3" w:rsidRDefault="004B20E5" w:rsidP="00733660">
            <w:pPr>
              <w:rPr>
                <w:sz w:val="20"/>
                <w:szCs w:val="20"/>
              </w:rPr>
            </w:pPr>
            <w:r w:rsidRPr="005C62F3">
              <w:rPr>
                <w:sz w:val="20"/>
                <w:szCs w:val="20"/>
              </w:rPr>
              <w:t xml:space="preserve">Reduce the incidence of </w:t>
            </w:r>
            <w:r w:rsidR="003120E8" w:rsidRPr="005C62F3">
              <w:rPr>
                <w:sz w:val="20"/>
                <w:szCs w:val="20"/>
              </w:rPr>
              <w:t>tick-borne</w:t>
            </w:r>
            <w:r w:rsidRPr="005C62F3">
              <w:rPr>
                <w:sz w:val="20"/>
                <w:szCs w:val="20"/>
              </w:rPr>
              <w:t xml:space="preserve"> infections among MA residents.</w:t>
            </w:r>
          </w:p>
        </w:tc>
        <w:tc>
          <w:tcPr>
            <w:tcW w:w="3515" w:type="pct"/>
          </w:tcPr>
          <w:p w:rsidR="004B20E5" w:rsidRPr="00007A69" w:rsidRDefault="004B20E5" w:rsidP="00CB2B0E">
            <w:pPr>
              <w:pStyle w:val="objstmtintable"/>
            </w:pPr>
            <w:r w:rsidRPr="00007A69">
              <w:t>Measure 3.2:</w:t>
            </w:r>
            <w:r w:rsidRPr="00007A69">
              <w:tab/>
            </w:r>
            <w:r w:rsidRPr="005C62F3">
              <w:rPr>
                <w:szCs w:val="18"/>
              </w:rPr>
              <w:t>Decrease by 10% Lyme disease reported in children under the age of 19.</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3C:</w:t>
            </w:r>
          </w:p>
          <w:p w:rsidR="004B20E5" w:rsidRPr="005C62F3" w:rsidRDefault="004B20E5" w:rsidP="00733660">
            <w:pPr>
              <w:rPr>
                <w:sz w:val="20"/>
                <w:szCs w:val="20"/>
              </w:rPr>
            </w:pPr>
            <w:r w:rsidRPr="005C62F3">
              <w:rPr>
                <w:sz w:val="20"/>
                <w:szCs w:val="20"/>
              </w:rPr>
              <w:t>Decrease morbidity related to sexually transmitted infections.</w:t>
            </w:r>
          </w:p>
        </w:tc>
        <w:tc>
          <w:tcPr>
            <w:tcW w:w="3515" w:type="pct"/>
          </w:tcPr>
          <w:p w:rsidR="004B20E5" w:rsidRPr="00007A69" w:rsidRDefault="00F03799" w:rsidP="00CB2B0E">
            <w:pPr>
              <w:pStyle w:val="objstmtintable"/>
            </w:pPr>
            <w:r>
              <w:rPr>
                <w:noProof/>
              </w:rPr>
              <w:drawing>
                <wp:anchor distT="0" distB="0" distL="114300" distR="114300" simplePos="0" relativeHeight="251652096" behindDoc="0" locked="0" layoutInCell="1" allowOverlap="1" wp14:anchorId="5E5F2295" wp14:editId="02BE9995">
                  <wp:simplePos x="0" y="0"/>
                  <wp:positionH relativeFrom="column">
                    <wp:posOffset>-4445</wp:posOffset>
                  </wp:positionH>
                  <wp:positionV relativeFrom="paragraph">
                    <wp:posOffset>362585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2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Measure 3.3:</w:t>
            </w:r>
            <w:r w:rsidR="004B20E5" w:rsidRPr="00007A69">
              <w:tab/>
              <w:t xml:space="preserve">Decrease the incidence of sexually transmitted infections (chlamydia, gonorrhea, and syphilis) in adolescents and high risk adult </w:t>
            </w:r>
            <w:r w:rsidR="004B20E5" w:rsidRPr="005C62F3">
              <w:rPr>
                <w:szCs w:val="18"/>
              </w:rPr>
              <w:t>populations</w:t>
            </w:r>
            <w:r w:rsidR="004B20E5">
              <w:rPr>
                <w:noProof/>
              </w:rPr>
              <w:t>.</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3D:</w:t>
            </w:r>
          </w:p>
          <w:p w:rsidR="004B20E5" w:rsidRPr="005C62F3" w:rsidRDefault="004B20E5" w:rsidP="00733660">
            <w:pPr>
              <w:rPr>
                <w:sz w:val="20"/>
                <w:szCs w:val="20"/>
              </w:rPr>
            </w:pPr>
            <w:r w:rsidRPr="005C62F3">
              <w:rPr>
                <w:sz w:val="20"/>
                <w:szCs w:val="20"/>
              </w:rPr>
              <w:t>Reduce morbidity and mortality related to HIV/AIDS.</w:t>
            </w:r>
          </w:p>
        </w:tc>
        <w:tc>
          <w:tcPr>
            <w:tcW w:w="3515" w:type="pct"/>
          </w:tcPr>
          <w:p w:rsidR="004B20E5" w:rsidRPr="00007A69" w:rsidRDefault="00F03799" w:rsidP="00CB2B0E">
            <w:pPr>
              <w:pStyle w:val="objstmtintable"/>
            </w:pPr>
            <w:r>
              <w:rPr>
                <w:noProof/>
              </w:rPr>
              <w:drawing>
                <wp:anchor distT="0" distB="0" distL="114300" distR="114300" simplePos="0" relativeHeight="251653120" behindDoc="0" locked="0" layoutInCell="1" allowOverlap="1" wp14:anchorId="6516885F" wp14:editId="2C7A9AE7">
                  <wp:simplePos x="0" y="0"/>
                  <wp:positionH relativeFrom="column">
                    <wp:posOffset>0</wp:posOffset>
                  </wp:positionH>
                  <wp:positionV relativeFrom="paragraph">
                    <wp:posOffset>483235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2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Measure 3.4:</w:t>
            </w:r>
            <w:r w:rsidR="004B20E5" w:rsidRPr="00007A69">
              <w:tab/>
            </w:r>
            <w:r w:rsidR="004B20E5" w:rsidRPr="005C62F3">
              <w:rPr>
                <w:szCs w:val="18"/>
              </w:rPr>
              <w:t>Decrease the incidence of newly diagnosed HIV infections overall and among men who have sex with men (MSM) to meet multiple specified targets, and reduce racial and ethnic HIV infection disparities by 20%.</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3E:</w:t>
            </w:r>
          </w:p>
          <w:p w:rsidR="004B20E5" w:rsidRPr="005C62F3" w:rsidRDefault="004B20E5" w:rsidP="00733660">
            <w:pPr>
              <w:rPr>
                <w:sz w:val="20"/>
                <w:szCs w:val="20"/>
              </w:rPr>
            </w:pPr>
            <w:r w:rsidRPr="005C62F3">
              <w:rPr>
                <w:sz w:val="20"/>
                <w:szCs w:val="20"/>
              </w:rPr>
              <w:t>Reduce mortality related to viral hepatitis.</w:t>
            </w:r>
          </w:p>
        </w:tc>
        <w:tc>
          <w:tcPr>
            <w:tcW w:w="3515" w:type="pct"/>
          </w:tcPr>
          <w:p w:rsidR="004B20E5" w:rsidRPr="00007A69" w:rsidRDefault="004B20E5" w:rsidP="00CB2B0E">
            <w:pPr>
              <w:pStyle w:val="objstmtintable"/>
            </w:pPr>
            <w:r w:rsidRPr="00007A69">
              <w:t xml:space="preserve">Measure 3.5:  </w:t>
            </w:r>
            <w:r>
              <w:tab/>
            </w:r>
            <w:r w:rsidRPr="00007A69">
              <w:t>Increase the average time between diagnosis of hepatitis C virus (HCV) infection and death due to hepatitis C vir</w:t>
            </w:r>
            <w:r>
              <w:t>us infection from 3 years to 4 years.</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3F:</w:t>
            </w:r>
          </w:p>
          <w:p w:rsidR="004B20E5" w:rsidRPr="005C62F3" w:rsidRDefault="004B20E5" w:rsidP="00733660">
            <w:pPr>
              <w:rPr>
                <w:sz w:val="20"/>
                <w:szCs w:val="20"/>
              </w:rPr>
            </w:pPr>
            <w:r w:rsidRPr="005C62F3">
              <w:rPr>
                <w:sz w:val="20"/>
                <w:szCs w:val="20"/>
              </w:rPr>
              <w:t>Reduce morbidity related to healthcare acquired infections.</w:t>
            </w:r>
          </w:p>
        </w:tc>
        <w:tc>
          <w:tcPr>
            <w:tcW w:w="3515" w:type="pct"/>
          </w:tcPr>
          <w:p w:rsidR="004B20E5" w:rsidRPr="00007A69" w:rsidRDefault="004B20E5" w:rsidP="00CB2B0E">
            <w:pPr>
              <w:pStyle w:val="objstmtintable"/>
            </w:pPr>
            <w:r w:rsidRPr="00007A69">
              <w:t>Measure 3.6:</w:t>
            </w:r>
            <w:r w:rsidRPr="00007A69">
              <w:tab/>
            </w:r>
            <w:r w:rsidRPr="005C62F3">
              <w:rPr>
                <w:szCs w:val="18"/>
              </w:rPr>
              <w:t>Reduce standard infection ratios (SIR) to 1.00 or below for CLABSI’s, SSI’s and CAUTI’s, in acute care hospitals through application of evidence-based interventions</w:t>
            </w:r>
            <w:r w:rsidRPr="00007A69">
              <w:t xml:space="preserve">. </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3G</w:t>
            </w:r>
          </w:p>
          <w:p w:rsidR="004B20E5" w:rsidRPr="005C62F3" w:rsidRDefault="004B20E5" w:rsidP="00733660">
            <w:pPr>
              <w:rPr>
                <w:i/>
                <w:sz w:val="20"/>
                <w:szCs w:val="20"/>
              </w:rPr>
            </w:pPr>
            <w:r w:rsidRPr="005C62F3">
              <w:rPr>
                <w:sz w:val="20"/>
                <w:szCs w:val="20"/>
              </w:rPr>
              <w:t>Reduce morbidity related to foodborne infections.</w:t>
            </w:r>
          </w:p>
        </w:tc>
        <w:tc>
          <w:tcPr>
            <w:tcW w:w="3515" w:type="pct"/>
          </w:tcPr>
          <w:p w:rsidR="004B20E5" w:rsidRPr="00007A69" w:rsidRDefault="004B20E5" w:rsidP="00CB2B0E">
            <w:pPr>
              <w:pStyle w:val="objstmtintable"/>
            </w:pPr>
            <w:r w:rsidRPr="00007A69">
              <w:t>Measure 3.7:</w:t>
            </w:r>
            <w:r w:rsidRPr="00007A69">
              <w:tab/>
            </w:r>
            <w:r w:rsidRPr="005C62F3">
              <w:rPr>
                <w:szCs w:val="18"/>
              </w:rPr>
              <w:t>Limit the yearly increase in campylobacter cases to less than 1% and maintain reported cases of salmonella at fewer than 1,200 per year.</w:t>
            </w:r>
          </w:p>
        </w:tc>
      </w:tr>
      <w:tr w:rsidR="004B20E5" w:rsidRPr="00007A69" w:rsidTr="005C62F3">
        <w:trPr>
          <w:gridAfter w:val="1"/>
          <w:wAfter w:w="26" w:type="dxa"/>
          <w:cantSplit/>
        </w:trPr>
        <w:tc>
          <w:tcPr>
            <w:tcW w:w="4987" w:type="pct"/>
            <w:gridSpan w:val="2"/>
            <w:shd w:val="clear" w:color="auto" w:fill="F2F2F2"/>
            <w:vAlign w:val="center"/>
          </w:tcPr>
          <w:p w:rsidR="004B20E5" w:rsidRPr="005C62F3" w:rsidRDefault="004B20E5" w:rsidP="00CB2B0E">
            <w:pPr>
              <w:pStyle w:val="GoalStatement"/>
              <w:rPr>
                <w:rFonts w:cs="Times New Roman"/>
                <w:sz w:val="20"/>
              </w:rPr>
            </w:pPr>
            <w:r w:rsidRPr="005C62F3">
              <w:rPr>
                <w:sz w:val="20"/>
              </w:rPr>
              <w:t>Domain 4:  Substance Abuse Prevention, Intervention, Treatment and Recovery</w:t>
            </w:r>
          </w:p>
          <w:p w:rsidR="004B20E5" w:rsidRPr="005C62F3" w:rsidRDefault="004B20E5" w:rsidP="00CB2B0E">
            <w:pPr>
              <w:pStyle w:val="GoalStatement"/>
              <w:rPr>
                <w:sz w:val="20"/>
              </w:rPr>
            </w:pPr>
            <w:r w:rsidRPr="005C62F3">
              <w:rPr>
                <w:sz w:val="20"/>
              </w:rPr>
              <w:t>Promote mental and emotional health and reduce drug and alcohol abuse through prevention, treatment, and integration of care.</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4A:</w:t>
            </w:r>
          </w:p>
          <w:p w:rsidR="004B20E5" w:rsidRPr="005C62F3" w:rsidRDefault="004B20E5" w:rsidP="00733660">
            <w:pPr>
              <w:rPr>
                <w:sz w:val="20"/>
                <w:szCs w:val="20"/>
              </w:rPr>
            </w:pPr>
            <w:r w:rsidRPr="005C62F3">
              <w:rPr>
                <w:sz w:val="20"/>
                <w:szCs w:val="20"/>
              </w:rPr>
              <w:t>Prevent the development of alcohol and substance use disorders.</w:t>
            </w:r>
          </w:p>
        </w:tc>
        <w:tc>
          <w:tcPr>
            <w:tcW w:w="3515" w:type="pct"/>
          </w:tcPr>
          <w:p w:rsidR="004B20E5" w:rsidRPr="00007A69" w:rsidRDefault="004B20E5" w:rsidP="00CB2B0E">
            <w:pPr>
              <w:pStyle w:val="objstmtintable"/>
            </w:pPr>
            <w:r w:rsidRPr="00007A69">
              <w:t>Measure 4.1:</w:t>
            </w:r>
            <w:r w:rsidRPr="00007A69">
              <w:tab/>
              <w:t xml:space="preserve">Reduce the </w:t>
            </w:r>
            <w:r w:rsidRPr="005C62F3">
              <w:rPr>
                <w:szCs w:val="18"/>
              </w:rPr>
              <w:t xml:space="preserve">relative </w:t>
            </w:r>
            <w:r w:rsidRPr="00007A69">
              <w:t>percentage of youth who report having tried alcohol for the first time before age 13 by 5%.</w:t>
            </w:r>
          </w:p>
          <w:p w:rsidR="004B20E5" w:rsidRPr="00007A69" w:rsidRDefault="004B20E5" w:rsidP="00CB2B0E">
            <w:pPr>
              <w:pStyle w:val="objstmtintable"/>
            </w:pPr>
            <w:r w:rsidRPr="00007A69">
              <w:t>Measure 4.2:</w:t>
            </w:r>
            <w:r w:rsidRPr="00007A69">
              <w:tab/>
              <w:t xml:space="preserve">Increase the annual number of healthcare providers trained by </w:t>
            </w:r>
            <w:r w:rsidR="001D686E">
              <w:t>M</w:t>
            </w:r>
            <w:r w:rsidRPr="00007A69">
              <w:t>DPH/BSAS to incorporate screening and intervention for unhealthy substance use by 5%.</w:t>
            </w:r>
          </w:p>
          <w:p w:rsidR="004B20E5" w:rsidRPr="00007A69" w:rsidRDefault="004B20E5" w:rsidP="00CB2B0E">
            <w:pPr>
              <w:pStyle w:val="objstmtintable"/>
            </w:pPr>
            <w:r w:rsidRPr="00007A69">
              <w:t>Measure 4.3:</w:t>
            </w:r>
            <w:r w:rsidRPr="00007A69">
              <w:tab/>
              <w:t>Reduce a specified multiple provider episode (MPE) rate in the state by 20% (i.e., the number of individuals who receive at least one Schedule II and/or III prescription opi</w:t>
            </w:r>
            <w:r w:rsidR="0072161F">
              <w:t>oid</w:t>
            </w:r>
            <w:r w:rsidRPr="00007A69">
              <w:t xml:space="preserve"> from 4 </w:t>
            </w:r>
            <w:r w:rsidR="00E718C6">
              <w:t xml:space="preserve">or more </w:t>
            </w:r>
            <w:r w:rsidRPr="00007A69">
              <w:t xml:space="preserve">different prescribers and 4 </w:t>
            </w:r>
            <w:r w:rsidR="00E718C6">
              <w:t xml:space="preserve">or more </w:t>
            </w:r>
            <w:r w:rsidRPr="00007A69">
              <w:t>different pharmacies during the calendar year divided by the state population).</w:t>
            </w:r>
          </w:p>
          <w:p w:rsidR="004B20E5" w:rsidRPr="00007A69" w:rsidRDefault="004B20E5" w:rsidP="00E718C6">
            <w:pPr>
              <w:pStyle w:val="objstmtintable"/>
            </w:pPr>
            <w:r w:rsidRPr="00007A69">
              <w:t>Measure 4.4:</w:t>
            </w:r>
            <w:r w:rsidRPr="00007A69">
              <w:tab/>
              <w:t xml:space="preserve">Reduce the number of individuals identified per year </w:t>
            </w:r>
            <w:r w:rsidR="00E718C6">
              <w:t xml:space="preserve">with combined opioid prescriptions for </w:t>
            </w:r>
            <w:r w:rsidRPr="00007A69">
              <w:t xml:space="preserve">an average morphine milligram equivalent (MME) greater than 100 mg per day by </w:t>
            </w:r>
            <w:r w:rsidRPr="005C62F3">
              <w:rPr>
                <w:szCs w:val="18"/>
              </w:rPr>
              <w:t>10</w:t>
            </w:r>
            <w:r w:rsidRPr="00007A69">
              <w:t>%.</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lastRenderedPageBreak/>
              <w:t>Standard 4B:</w:t>
            </w:r>
          </w:p>
          <w:p w:rsidR="004B20E5" w:rsidRPr="005C62F3" w:rsidRDefault="004B20E5" w:rsidP="00733660">
            <w:pPr>
              <w:rPr>
                <w:sz w:val="20"/>
                <w:szCs w:val="20"/>
              </w:rPr>
            </w:pPr>
            <w:r w:rsidRPr="005C62F3">
              <w:rPr>
                <w:sz w:val="20"/>
                <w:szCs w:val="20"/>
              </w:rPr>
              <w:t>Strengthen local capacity to prevent substance abuse.</w:t>
            </w:r>
          </w:p>
        </w:tc>
        <w:tc>
          <w:tcPr>
            <w:tcW w:w="3515" w:type="pct"/>
          </w:tcPr>
          <w:p w:rsidR="004B20E5" w:rsidRPr="00007A69" w:rsidRDefault="004B20E5" w:rsidP="00CB2B0E">
            <w:pPr>
              <w:pStyle w:val="objstmtintable"/>
            </w:pPr>
            <w:r w:rsidRPr="00007A69">
              <w:t>Measure 4.5:</w:t>
            </w:r>
            <w:r w:rsidRPr="00007A69">
              <w:tab/>
              <w:t>Ensure that 100% of BSAS-funded prevention coalitions and the integrated communities and municipalities use the Strategic Prevention Framework (SPF</w:t>
            </w:r>
            <w:r>
              <w:t>).</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4C:</w:t>
            </w:r>
          </w:p>
          <w:p w:rsidR="004B20E5" w:rsidRPr="005C62F3" w:rsidRDefault="004B20E5" w:rsidP="00733660">
            <w:pPr>
              <w:rPr>
                <w:sz w:val="20"/>
                <w:szCs w:val="20"/>
              </w:rPr>
            </w:pPr>
            <w:r w:rsidRPr="005C62F3">
              <w:rPr>
                <w:sz w:val="20"/>
                <w:szCs w:val="20"/>
              </w:rPr>
              <w:t>Improve diversity among individuals served.</w:t>
            </w:r>
          </w:p>
        </w:tc>
        <w:tc>
          <w:tcPr>
            <w:tcW w:w="3515" w:type="pct"/>
          </w:tcPr>
          <w:p w:rsidR="004B20E5" w:rsidRPr="00007A69" w:rsidRDefault="00F03799" w:rsidP="00CB2B0E">
            <w:pPr>
              <w:pStyle w:val="objstmtintable"/>
            </w:pPr>
            <w:r>
              <w:rPr>
                <w:noProof/>
              </w:rPr>
              <w:drawing>
                <wp:anchor distT="0" distB="0" distL="114300" distR="114300" simplePos="0" relativeHeight="251654144" behindDoc="0" locked="0" layoutInCell="1" allowOverlap="1" wp14:anchorId="76955A18" wp14:editId="5AAE442D">
                  <wp:simplePos x="0" y="0"/>
                  <wp:positionH relativeFrom="column">
                    <wp:posOffset>3810</wp:posOffset>
                  </wp:positionH>
                  <wp:positionV relativeFrom="paragraph">
                    <wp:posOffset>370205</wp:posOffset>
                  </wp:positionV>
                  <wp:extent cx="182880" cy="182880"/>
                  <wp:effectExtent l="0" t="0" r="7620" b="7620"/>
                  <wp:wrapThrough wrapText="bothSides">
                    <wp:wrapPolygon edited="0">
                      <wp:start x="2250" y="0"/>
                      <wp:lineTo x="0" y="2250"/>
                      <wp:lineTo x="0" y="15750"/>
                      <wp:lineTo x="2250" y="20250"/>
                      <wp:lineTo x="20250" y="20250"/>
                      <wp:lineTo x="20250" y="0"/>
                      <wp:lineTo x="225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Measure 4.6:</w:t>
            </w:r>
            <w:r w:rsidR="004B20E5" w:rsidRPr="00007A69">
              <w:tab/>
            </w:r>
            <w:r w:rsidR="004B20E5" w:rsidRPr="005C62F3">
              <w:rPr>
                <w:szCs w:val="18"/>
              </w:rPr>
              <w:t xml:space="preserve">Increase the relative percentage </w:t>
            </w:r>
            <w:r w:rsidR="004B20E5" w:rsidRPr="00007A69">
              <w:t xml:space="preserve">of non-white opioid addicted individuals enrolled in </w:t>
            </w:r>
            <w:r w:rsidR="001D686E">
              <w:t>M</w:t>
            </w:r>
            <w:r w:rsidR="004B20E5" w:rsidRPr="00007A69">
              <w:t>DPH/BSAS-funded medication assisted treatment programs by 5%.</w:t>
            </w:r>
          </w:p>
        </w:tc>
      </w:tr>
      <w:tr w:rsidR="004B20E5" w:rsidRPr="00007A69" w:rsidTr="005C62F3">
        <w:trPr>
          <w:gridAfter w:val="1"/>
          <w:wAfter w:w="26" w:type="dxa"/>
          <w:cantSplit/>
        </w:trPr>
        <w:tc>
          <w:tcPr>
            <w:tcW w:w="4987" w:type="pct"/>
            <w:gridSpan w:val="2"/>
            <w:shd w:val="clear" w:color="auto" w:fill="F2F2F2"/>
            <w:vAlign w:val="center"/>
          </w:tcPr>
          <w:p w:rsidR="004B20E5" w:rsidRPr="005C62F3" w:rsidRDefault="004B20E5" w:rsidP="00CB2B0E">
            <w:pPr>
              <w:pStyle w:val="GoalStatement"/>
              <w:rPr>
                <w:sz w:val="20"/>
              </w:rPr>
            </w:pPr>
            <w:r w:rsidRPr="005C62F3">
              <w:rPr>
                <w:sz w:val="20"/>
              </w:rPr>
              <w:t>Domain 5:  Injury, Suicide and Violence Prevention</w:t>
            </w:r>
          </w:p>
          <w:p w:rsidR="004B20E5" w:rsidRPr="005C62F3" w:rsidRDefault="004B20E5" w:rsidP="00CB2B0E">
            <w:pPr>
              <w:pStyle w:val="GoalStatement"/>
              <w:rPr>
                <w:sz w:val="20"/>
              </w:rPr>
            </w:pPr>
            <w:r w:rsidRPr="005C62F3">
              <w:rPr>
                <w:sz w:val="20"/>
              </w:rPr>
              <w:t>Prevent injuries, suicide and violence and promote trauma-informed care across all settings, particularly in clinical and public health services.</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5A:</w:t>
            </w:r>
          </w:p>
          <w:p w:rsidR="004B20E5" w:rsidRPr="005C62F3" w:rsidRDefault="004B20E5" w:rsidP="00733660">
            <w:pPr>
              <w:rPr>
                <w:sz w:val="20"/>
                <w:szCs w:val="20"/>
              </w:rPr>
            </w:pPr>
            <w:r w:rsidRPr="005C62F3">
              <w:rPr>
                <w:sz w:val="20"/>
                <w:szCs w:val="20"/>
              </w:rPr>
              <w:t>Reduce unintentional injury.</w:t>
            </w:r>
          </w:p>
        </w:tc>
        <w:tc>
          <w:tcPr>
            <w:tcW w:w="3515" w:type="pct"/>
          </w:tcPr>
          <w:p w:rsidR="004B20E5" w:rsidRPr="00007A69" w:rsidRDefault="004B20E5" w:rsidP="00CB2B0E">
            <w:pPr>
              <w:pStyle w:val="objstmtintable"/>
            </w:pPr>
            <w:r w:rsidRPr="00007A69">
              <w:t>Measure 5.1:</w:t>
            </w:r>
            <w:r w:rsidRPr="00007A69">
              <w:tab/>
              <w:t xml:space="preserve">Stabilize the rate </w:t>
            </w:r>
            <w:r w:rsidRPr="005C62F3">
              <w:rPr>
                <w:szCs w:val="18"/>
              </w:rPr>
              <w:t xml:space="preserve">of </w:t>
            </w:r>
            <w:r w:rsidRPr="00007A69">
              <w:t>fatal poisonings, with particular focus on opioid related poisonings.</w:t>
            </w:r>
          </w:p>
          <w:p w:rsidR="004B20E5" w:rsidRPr="005C62F3" w:rsidRDefault="004B20E5" w:rsidP="00CB2B0E">
            <w:pPr>
              <w:pStyle w:val="objstmtintable"/>
              <w:rPr>
                <w:szCs w:val="22"/>
              </w:rPr>
            </w:pPr>
            <w:r w:rsidRPr="00007A69">
              <w:t>Measure 5.2:</w:t>
            </w:r>
            <w:r w:rsidRPr="00007A69">
              <w:tab/>
              <w:t>Prevent an increase in the rate of unintentional fall deaths among residents ages 65+ years</w:t>
            </w:r>
            <w:r>
              <w:t>.</w:t>
            </w:r>
          </w:p>
          <w:p w:rsidR="004B20E5" w:rsidRPr="00007A69" w:rsidRDefault="004B20E5" w:rsidP="00CB2B0E">
            <w:pPr>
              <w:pStyle w:val="objstmtintable"/>
            </w:pPr>
            <w:r w:rsidRPr="00007A69">
              <w:t>Measure 5.3:</w:t>
            </w:r>
            <w:r w:rsidRPr="00007A69">
              <w:tab/>
              <w:t>Decrease the rate of unintentional motor vehicle traffic deaths among MA residents by 5%.</w:t>
            </w:r>
          </w:p>
          <w:p w:rsidR="004B20E5" w:rsidRPr="00007A69" w:rsidRDefault="004B20E5" w:rsidP="00CB2B0E">
            <w:pPr>
              <w:pStyle w:val="objstmtintable"/>
            </w:pPr>
            <w:r w:rsidRPr="00007A69">
              <w:t>Measure 5.4:</w:t>
            </w:r>
            <w:r w:rsidRPr="00007A69">
              <w:tab/>
              <w:t>Reduce the rate of unintentional injury deaths among residents ages 0-19 years by 10%.</w:t>
            </w:r>
          </w:p>
        </w:tc>
      </w:tr>
      <w:tr w:rsidR="004B20E5" w:rsidRPr="007C74EB"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5B:</w:t>
            </w:r>
          </w:p>
          <w:p w:rsidR="004B20E5" w:rsidRPr="005C62F3" w:rsidRDefault="004B20E5" w:rsidP="00733660">
            <w:pPr>
              <w:rPr>
                <w:sz w:val="20"/>
                <w:szCs w:val="20"/>
              </w:rPr>
            </w:pPr>
            <w:r w:rsidRPr="005C62F3">
              <w:rPr>
                <w:sz w:val="20"/>
                <w:szCs w:val="20"/>
              </w:rPr>
              <w:t>Reduce suicides and suicidal behavior for all ages.</w:t>
            </w:r>
          </w:p>
        </w:tc>
        <w:tc>
          <w:tcPr>
            <w:tcW w:w="3515" w:type="pct"/>
          </w:tcPr>
          <w:p w:rsidR="004B20E5" w:rsidRPr="005C62F3" w:rsidRDefault="004B20E5" w:rsidP="00CB2B0E">
            <w:pPr>
              <w:pStyle w:val="objstmtintable"/>
              <w:rPr>
                <w:szCs w:val="22"/>
              </w:rPr>
            </w:pPr>
            <w:r w:rsidRPr="00007A69">
              <w:t>Measure 5.5:</w:t>
            </w:r>
            <w:r w:rsidRPr="00007A69">
              <w:tab/>
              <w:t>Prevent an increase in the age adjusted rate of suicide among MA residents, particularly those most at risk.</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noProof/>
                <w:sz w:val="20"/>
                <w:szCs w:val="20"/>
              </w:rPr>
              <w:t>Standard</w:t>
            </w:r>
            <w:r w:rsidRPr="005C62F3">
              <w:rPr>
                <w:sz w:val="20"/>
                <w:szCs w:val="20"/>
              </w:rPr>
              <w:t xml:space="preserve"> 5C:</w:t>
            </w:r>
          </w:p>
          <w:p w:rsidR="004B20E5" w:rsidRPr="005C62F3" w:rsidRDefault="004B20E5" w:rsidP="00733660">
            <w:pPr>
              <w:rPr>
                <w:sz w:val="20"/>
                <w:szCs w:val="20"/>
              </w:rPr>
            </w:pPr>
            <w:r w:rsidRPr="005C62F3">
              <w:rPr>
                <w:sz w:val="20"/>
                <w:szCs w:val="20"/>
              </w:rPr>
              <w:t>Reduce work-related injury and violence.</w:t>
            </w:r>
          </w:p>
        </w:tc>
        <w:tc>
          <w:tcPr>
            <w:tcW w:w="3515" w:type="pct"/>
          </w:tcPr>
          <w:p w:rsidR="004B20E5" w:rsidRPr="00007A69" w:rsidRDefault="00F03799" w:rsidP="006F7CD2">
            <w:pPr>
              <w:pStyle w:val="objstmtintable"/>
            </w:pPr>
            <w:r>
              <w:rPr>
                <w:noProof/>
              </w:rPr>
              <w:drawing>
                <wp:anchor distT="0" distB="0" distL="114300" distR="114300" simplePos="0" relativeHeight="251655168" behindDoc="0" locked="0" layoutInCell="1" allowOverlap="1" wp14:anchorId="6A7A5D1E" wp14:editId="735341E1">
                  <wp:simplePos x="0" y="0"/>
                  <wp:positionH relativeFrom="column">
                    <wp:posOffset>5080</wp:posOffset>
                  </wp:positionH>
                  <wp:positionV relativeFrom="paragraph">
                    <wp:posOffset>369570</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Measure 5.6:</w:t>
            </w:r>
            <w:r w:rsidR="004B20E5" w:rsidRPr="00007A69">
              <w:tab/>
              <w:t xml:space="preserve">Reduce rates of work-related injuries among public and private sector employees, particularly those at greatest risk, to meet multiple specified targets.  </w:t>
            </w:r>
          </w:p>
        </w:tc>
      </w:tr>
      <w:tr w:rsidR="004B20E5" w:rsidRPr="007C74EB" w:rsidTr="005C62F3">
        <w:trPr>
          <w:gridAfter w:val="1"/>
          <w:wAfter w:w="26" w:type="dxa"/>
          <w:cantSplit/>
        </w:trPr>
        <w:tc>
          <w:tcPr>
            <w:tcW w:w="1472" w:type="pct"/>
            <w:vAlign w:val="center"/>
          </w:tcPr>
          <w:p w:rsidR="004B20E5" w:rsidRPr="005C62F3" w:rsidRDefault="004B20E5" w:rsidP="00733660">
            <w:pPr>
              <w:rPr>
                <w:sz w:val="20"/>
                <w:szCs w:val="20"/>
              </w:rPr>
            </w:pPr>
            <w:r w:rsidRPr="005C62F3">
              <w:rPr>
                <w:noProof/>
                <w:sz w:val="20"/>
                <w:szCs w:val="20"/>
              </w:rPr>
              <w:t>Standard</w:t>
            </w:r>
            <w:r w:rsidRPr="005C62F3">
              <w:rPr>
                <w:sz w:val="20"/>
                <w:szCs w:val="20"/>
              </w:rPr>
              <w:t xml:space="preserve"> 5D:</w:t>
            </w:r>
          </w:p>
          <w:p w:rsidR="004B20E5" w:rsidRPr="005C62F3" w:rsidRDefault="004B20E5" w:rsidP="00733660">
            <w:pPr>
              <w:rPr>
                <w:sz w:val="20"/>
                <w:szCs w:val="20"/>
              </w:rPr>
            </w:pPr>
            <w:r w:rsidRPr="005C62F3">
              <w:rPr>
                <w:sz w:val="20"/>
                <w:szCs w:val="20"/>
              </w:rPr>
              <w:t>Reduce gender based and youth violence.</w:t>
            </w:r>
          </w:p>
        </w:tc>
        <w:tc>
          <w:tcPr>
            <w:tcW w:w="3515" w:type="pct"/>
          </w:tcPr>
          <w:p w:rsidR="004B20E5" w:rsidRDefault="00F03799" w:rsidP="00CB2B0E">
            <w:pPr>
              <w:pStyle w:val="objstmtintable"/>
            </w:pPr>
            <w:r>
              <w:rPr>
                <w:noProof/>
              </w:rPr>
              <w:drawing>
                <wp:anchor distT="0" distB="0" distL="114300" distR="114300" simplePos="0" relativeHeight="251656192" behindDoc="0" locked="0" layoutInCell="1" allowOverlap="1" wp14:anchorId="5C1349DA" wp14:editId="6B05066F">
                  <wp:simplePos x="0" y="0"/>
                  <wp:positionH relativeFrom="column">
                    <wp:posOffset>6985</wp:posOffset>
                  </wp:positionH>
                  <wp:positionV relativeFrom="paragraph">
                    <wp:posOffset>333375</wp:posOffset>
                  </wp:positionV>
                  <wp:extent cx="182880" cy="182880"/>
                  <wp:effectExtent l="0" t="0" r="7620" b="7620"/>
                  <wp:wrapThrough wrapText="bothSides">
                    <wp:wrapPolygon edited="0">
                      <wp:start x="2250" y="0"/>
                      <wp:lineTo x="0" y="2250"/>
                      <wp:lineTo x="0" y="15750"/>
                      <wp:lineTo x="2250" y="20250"/>
                      <wp:lineTo x="20250" y="20250"/>
                      <wp:lineTo x="20250" y="0"/>
                      <wp:lineTo x="225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Measure 5.7:</w:t>
            </w:r>
            <w:r w:rsidR="004B20E5" w:rsidRPr="00007A69">
              <w:tab/>
              <w:t xml:space="preserve">Reduce sexual and domestic violence, with particular focus </w:t>
            </w:r>
            <w:r w:rsidR="004B20E5">
              <w:t xml:space="preserve">on </w:t>
            </w:r>
            <w:r w:rsidR="004B20E5" w:rsidRPr="00007A69">
              <w:t>disparate populations, to m</w:t>
            </w:r>
            <w:r w:rsidR="004B20E5">
              <w:t>eet multiple specified targets.</w:t>
            </w:r>
          </w:p>
          <w:p w:rsidR="004B20E5" w:rsidRPr="005C62F3" w:rsidRDefault="00F03799" w:rsidP="00CB2B0E">
            <w:pPr>
              <w:pStyle w:val="objstmtintable"/>
              <w:rPr>
                <w:szCs w:val="22"/>
              </w:rPr>
            </w:pPr>
            <w:r>
              <w:rPr>
                <w:noProof/>
              </w:rPr>
              <w:drawing>
                <wp:anchor distT="0" distB="0" distL="114300" distR="114300" simplePos="0" relativeHeight="251657216" behindDoc="0" locked="0" layoutInCell="1" allowOverlap="1" wp14:anchorId="3AD4D326" wp14:editId="11B53857">
                  <wp:simplePos x="0" y="0"/>
                  <wp:positionH relativeFrom="column">
                    <wp:posOffset>12065</wp:posOffset>
                  </wp:positionH>
                  <wp:positionV relativeFrom="paragraph">
                    <wp:posOffset>247015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Measure 5.8:</w:t>
            </w:r>
            <w:r w:rsidR="004B20E5" w:rsidRPr="00007A69">
              <w:tab/>
              <w:t>Reduce fatal violence among youth age 15-24 with particular focus on disparate populations, to meet multiple specified targets.</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5E</w:t>
            </w:r>
          </w:p>
          <w:p w:rsidR="004B20E5" w:rsidRPr="005C62F3" w:rsidRDefault="004B20E5" w:rsidP="00733660">
            <w:pPr>
              <w:rPr>
                <w:sz w:val="20"/>
                <w:szCs w:val="20"/>
              </w:rPr>
            </w:pPr>
            <w:r w:rsidRPr="005C62F3">
              <w:rPr>
                <w:sz w:val="20"/>
                <w:szCs w:val="20"/>
              </w:rPr>
              <w:t>Reduce health care facility severe reportable events.</w:t>
            </w:r>
          </w:p>
        </w:tc>
        <w:tc>
          <w:tcPr>
            <w:tcW w:w="3515" w:type="pct"/>
          </w:tcPr>
          <w:p w:rsidR="004B20E5" w:rsidRPr="00007A69" w:rsidRDefault="004B20E5" w:rsidP="00CB2B0E">
            <w:pPr>
              <w:pStyle w:val="objstmtintable"/>
            </w:pPr>
            <w:r w:rsidRPr="00007A69">
              <w:t>Measure 5.9</w:t>
            </w:r>
            <w:r w:rsidRPr="00007A69">
              <w:tab/>
              <w:t xml:space="preserve">Reduce the hospital-acquired pressure ulcer prevalence in acute and non-acute care hospitals by </w:t>
            </w:r>
            <w:r w:rsidRPr="005C62F3">
              <w:rPr>
                <w:szCs w:val="18"/>
              </w:rPr>
              <w:t>10</w:t>
            </w:r>
            <w:r w:rsidRPr="00007A69">
              <w:t>%.</w:t>
            </w:r>
          </w:p>
          <w:p w:rsidR="004B20E5" w:rsidRPr="00007A69" w:rsidRDefault="004B20E5" w:rsidP="00CB2B0E">
            <w:pPr>
              <w:pStyle w:val="objstmtintable"/>
            </w:pPr>
            <w:r w:rsidRPr="00007A69">
              <w:t>Measure 5.10</w:t>
            </w:r>
            <w:r w:rsidRPr="00007A69">
              <w:tab/>
              <w:t xml:space="preserve">Reduce the prevalence of falls with serious injury or death in acute and non-acute care hospitals by </w:t>
            </w:r>
            <w:r w:rsidRPr="005C62F3">
              <w:rPr>
                <w:szCs w:val="18"/>
              </w:rPr>
              <w:t>1%</w:t>
            </w:r>
            <w:r w:rsidRPr="00007A69">
              <w:t>.</w:t>
            </w:r>
          </w:p>
          <w:p w:rsidR="004B20E5" w:rsidRPr="00007A69" w:rsidRDefault="004B20E5" w:rsidP="00CB2B0E">
            <w:pPr>
              <w:pStyle w:val="objstmtintable"/>
            </w:pPr>
            <w:r w:rsidRPr="00007A69">
              <w:t>Measure 5.11</w:t>
            </w:r>
            <w:r w:rsidRPr="00007A69">
              <w:tab/>
              <w:t xml:space="preserve">Reduce the prevalence of wrong site or side procedures and surgeries in acute and non-acute care hospitals and ambulatory surgical centers by </w:t>
            </w:r>
            <w:r w:rsidRPr="005C62F3">
              <w:rPr>
                <w:szCs w:val="18"/>
              </w:rPr>
              <w:t>10</w:t>
            </w:r>
            <w:r w:rsidRPr="00007A69">
              <w:t>%. </w:t>
            </w:r>
          </w:p>
        </w:tc>
      </w:tr>
      <w:tr w:rsidR="004B20E5" w:rsidRPr="00007A69" w:rsidTr="005C62F3">
        <w:trPr>
          <w:gridAfter w:val="1"/>
          <w:wAfter w:w="26" w:type="dxa"/>
          <w:cantSplit/>
        </w:trPr>
        <w:tc>
          <w:tcPr>
            <w:tcW w:w="4987" w:type="pct"/>
            <w:gridSpan w:val="2"/>
            <w:shd w:val="clear" w:color="auto" w:fill="F2F2F2"/>
            <w:vAlign w:val="center"/>
          </w:tcPr>
          <w:p w:rsidR="004B20E5" w:rsidRPr="005C62F3" w:rsidRDefault="004B20E5" w:rsidP="00CB2B0E">
            <w:pPr>
              <w:pStyle w:val="GoalStatement"/>
              <w:rPr>
                <w:rFonts w:cs="Times New Roman"/>
                <w:sz w:val="20"/>
              </w:rPr>
            </w:pPr>
            <w:r w:rsidRPr="005C62F3">
              <w:rPr>
                <w:sz w:val="20"/>
              </w:rPr>
              <w:t>Domain 6:  Maternal, Child, and Family Health Promotion</w:t>
            </w:r>
          </w:p>
          <w:p w:rsidR="004B20E5" w:rsidRPr="005C62F3" w:rsidRDefault="004B20E5" w:rsidP="00CB2B0E">
            <w:pPr>
              <w:pStyle w:val="GoalStatement"/>
              <w:rPr>
                <w:sz w:val="20"/>
              </w:rPr>
            </w:pPr>
            <w:r w:rsidRPr="005C62F3">
              <w:rPr>
                <w:sz w:val="20"/>
              </w:rPr>
              <w:t>Ensure the health and well-being of women, children and families.</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6A:</w:t>
            </w:r>
          </w:p>
          <w:p w:rsidR="004B20E5" w:rsidRPr="005C62F3" w:rsidRDefault="004B20E5" w:rsidP="00733660">
            <w:pPr>
              <w:rPr>
                <w:sz w:val="20"/>
                <w:szCs w:val="20"/>
              </w:rPr>
            </w:pPr>
            <w:r w:rsidRPr="005C62F3">
              <w:rPr>
                <w:sz w:val="20"/>
                <w:szCs w:val="20"/>
              </w:rPr>
              <w:t>Reduce teen births</w:t>
            </w:r>
            <w:r w:rsidR="0072161F">
              <w:rPr>
                <w:sz w:val="20"/>
                <w:szCs w:val="20"/>
              </w:rPr>
              <w:t xml:space="preserve"> </w:t>
            </w:r>
            <w:r w:rsidRPr="005C62F3">
              <w:rPr>
                <w:sz w:val="20"/>
                <w:szCs w:val="20"/>
              </w:rPr>
              <w:t>in communities with the highest rates.</w:t>
            </w:r>
          </w:p>
        </w:tc>
        <w:tc>
          <w:tcPr>
            <w:tcW w:w="3515" w:type="pct"/>
          </w:tcPr>
          <w:p w:rsidR="004B20E5" w:rsidRPr="00007A69" w:rsidRDefault="00F03799" w:rsidP="00CB2B0E">
            <w:pPr>
              <w:pStyle w:val="objstmtintable"/>
            </w:pPr>
            <w:r>
              <w:rPr>
                <w:noProof/>
              </w:rPr>
              <w:drawing>
                <wp:anchor distT="0" distB="0" distL="114300" distR="114300" simplePos="0" relativeHeight="251658240" behindDoc="0" locked="0" layoutInCell="1" allowOverlap="1" wp14:anchorId="703F2BC8" wp14:editId="427F911D">
                  <wp:simplePos x="0" y="0"/>
                  <wp:positionH relativeFrom="column">
                    <wp:posOffset>-4445</wp:posOffset>
                  </wp:positionH>
                  <wp:positionV relativeFrom="paragraph">
                    <wp:posOffset>229235</wp:posOffset>
                  </wp:positionV>
                  <wp:extent cx="182880" cy="182880"/>
                  <wp:effectExtent l="0" t="0" r="7620" b="7620"/>
                  <wp:wrapThrough wrapText="bothSides">
                    <wp:wrapPolygon edited="0">
                      <wp:start x="2250" y="0"/>
                      <wp:lineTo x="0" y="2250"/>
                      <wp:lineTo x="0" y="15750"/>
                      <wp:lineTo x="2250" y="20250"/>
                      <wp:lineTo x="20250" y="20250"/>
                      <wp:lineTo x="20250" y="0"/>
                      <wp:lineTo x="225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Measure 6.1:</w:t>
            </w:r>
            <w:r w:rsidR="004B20E5" w:rsidRPr="00007A69">
              <w:tab/>
              <w:t>Reduce the teen birth rate in the highest need communities by 10%.</w:t>
            </w:r>
          </w:p>
        </w:tc>
      </w:tr>
      <w:tr w:rsidR="004B20E5" w:rsidRPr="00007A69" w:rsidTr="005C62F3">
        <w:trPr>
          <w:gridAfter w:val="1"/>
          <w:wAfter w:w="26" w:type="dxa"/>
          <w:cantSplit/>
          <w:trHeight w:val="2177"/>
        </w:trPr>
        <w:tc>
          <w:tcPr>
            <w:tcW w:w="1472" w:type="pct"/>
            <w:vAlign w:val="center"/>
          </w:tcPr>
          <w:p w:rsidR="004B20E5" w:rsidRPr="005C62F3" w:rsidRDefault="004B20E5" w:rsidP="00733660">
            <w:pPr>
              <w:rPr>
                <w:sz w:val="20"/>
                <w:szCs w:val="20"/>
              </w:rPr>
            </w:pPr>
            <w:r w:rsidRPr="005C62F3">
              <w:rPr>
                <w:sz w:val="20"/>
                <w:szCs w:val="20"/>
              </w:rPr>
              <w:lastRenderedPageBreak/>
              <w:t>Standard 6B:</w:t>
            </w:r>
          </w:p>
          <w:p w:rsidR="004B20E5" w:rsidRPr="005C62F3" w:rsidRDefault="004B20E5" w:rsidP="00733660">
            <w:pPr>
              <w:rPr>
                <w:sz w:val="20"/>
                <w:szCs w:val="20"/>
              </w:rPr>
            </w:pPr>
            <w:r w:rsidRPr="005C62F3">
              <w:rPr>
                <w:sz w:val="20"/>
                <w:szCs w:val="20"/>
              </w:rPr>
              <w:t>Improve maternal health and infant outcomes.</w:t>
            </w:r>
          </w:p>
        </w:tc>
        <w:tc>
          <w:tcPr>
            <w:tcW w:w="3515" w:type="pct"/>
          </w:tcPr>
          <w:p w:rsidR="004B20E5" w:rsidRPr="00007A69" w:rsidRDefault="00F03799" w:rsidP="00CB2B0E">
            <w:pPr>
              <w:pStyle w:val="objstmtintable"/>
            </w:pPr>
            <w:r>
              <w:rPr>
                <w:noProof/>
              </w:rPr>
              <w:drawing>
                <wp:anchor distT="0" distB="0" distL="114300" distR="114300" simplePos="0" relativeHeight="251659264" behindDoc="0" locked="0" layoutInCell="1" allowOverlap="1" wp14:anchorId="32EEF04F" wp14:editId="1385DA52">
                  <wp:simplePos x="0" y="0"/>
                  <wp:positionH relativeFrom="column">
                    <wp:posOffset>0</wp:posOffset>
                  </wp:positionH>
                  <wp:positionV relativeFrom="paragraph">
                    <wp:posOffset>228600</wp:posOffset>
                  </wp:positionV>
                  <wp:extent cx="182880" cy="182880"/>
                  <wp:effectExtent l="0" t="0" r="7620" b="7620"/>
                  <wp:wrapThrough wrapText="bothSides">
                    <wp:wrapPolygon edited="0">
                      <wp:start x="2250" y="0"/>
                      <wp:lineTo x="0" y="2250"/>
                      <wp:lineTo x="0" y="15750"/>
                      <wp:lineTo x="2250" y="20250"/>
                      <wp:lineTo x="20250" y="20250"/>
                      <wp:lineTo x="20250" y="0"/>
                      <wp:lineTo x="225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Measure 6.2:</w:t>
            </w:r>
            <w:r w:rsidR="004B20E5" w:rsidRPr="00007A69">
              <w:tab/>
            </w:r>
            <w:r w:rsidR="004B20E5" w:rsidRPr="005C62F3">
              <w:rPr>
                <w:szCs w:val="18"/>
              </w:rPr>
              <w:t xml:space="preserve">Reduce the relative percentage of infants with low birth weight births by 5% and premature births by </w:t>
            </w:r>
            <w:r w:rsidR="007509D9">
              <w:rPr>
                <w:szCs w:val="18"/>
              </w:rPr>
              <w:t>5</w:t>
            </w:r>
            <w:r w:rsidR="004B20E5" w:rsidRPr="005C62F3">
              <w:rPr>
                <w:szCs w:val="18"/>
              </w:rPr>
              <w:t>%.</w:t>
            </w:r>
          </w:p>
          <w:p w:rsidR="004B20E5" w:rsidRPr="00007A69" w:rsidRDefault="004B20E5" w:rsidP="00CB2B0E">
            <w:pPr>
              <w:pStyle w:val="objstmtintable"/>
            </w:pPr>
          </w:p>
          <w:p w:rsidR="004B20E5" w:rsidRPr="00007A69" w:rsidRDefault="00F03799" w:rsidP="00CB2B0E">
            <w:pPr>
              <w:pStyle w:val="objstmtintable"/>
            </w:pPr>
            <w:r>
              <w:rPr>
                <w:noProof/>
              </w:rPr>
              <w:drawing>
                <wp:anchor distT="0" distB="0" distL="114300" distR="114300" simplePos="0" relativeHeight="251660288" behindDoc="0" locked="0" layoutInCell="1" allowOverlap="1" wp14:anchorId="11154A8B" wp14:editId="78D9664C">
                  <wp:simplePos x="0" y="0"/>
                  <wp:positionH relativeFrom="column">
                    <wp:posOffset>-6985</wp:posOffset>
                  </wp:positionH>
                  <wp:positionV relativeFrom="paragraph">
                    <wp:posOffset>211455</wp:posOffset>
                  </wp:positionV>
                  <wp:extent cx="182880" cy="182880"/>
                  <wp:effectExtent l="0" t="0" r="7620" b="7620"/>
                  <wp:wrapThrough wrapText="bothSides">
                    <wp:wrapPolygon edited="0">
                      <wp:start x="2250" y="0"/>
                      <wp:lineTo x="0" y="2250"/>
                      <wp:lineTo x="0" y="15750"/>
                      <wp:lineTo x="2250" y="20250"/>
                      <wp:lineTo x="20250" y="20250"/>
                      <wp:lineTo x="20250" y="0"/>
                      <wp:lineTo x="225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Measure 6.3:</w:t>
            </w:r>
            <w:r w:rsidR="004B20E5" w:rsidRPr="00007A69">
              <w:tab/>
              <w:t>Increase the proportion of infants who are breastfed to meet multiple specified targets.</w:t>
            </w:r>
          </w:p>
          <w:p w:rsidR="004B20E5" w:rsidRPr="00007A69" w:rsidRDefault="004B20E5" w:rsidP="00CB2B0E">
            <w:pPr>
              <w:pStyle w:val="objstmtintable"/>
            </w:pPr>
          </w:p>
          <w:p w:rsidR="004B20E5" w:rsidRPr="00007A69" w:rsidRDefault="004B20E5" w:rsidP="00CB2B0E">
            <w:pPr>
              <w:pStyle w:val="objstmtintable"/>
            </w:pPr>
            <w:r w:rsidRPr="00007A69">
              <w:t>Measure 6.4:</w:t>
            </w:r>
            <w:r w:rsidRPr="00007A69">
              <w:tab/>
              <w:t xml:space="preserve">Increase the proportion of pregnant women who receive </w:t>
            </w:r>
            <w:r w:rsidR="009170FB">
              <w:t>teeth cleaning</w:t>
            </w:r>
            <w:r w:rsidRPr="00007A69">
              <w:t xml:space="preserve"> before and during </w:t>
            </w:r>
            <w:r w:rsidRPr="005C62F3">
              <w:rPr>
                <w:szCs w:val="18"/>
              </w:rPr>
              <w:t>pregnancy by 5%</w:t>
            </w:r>
            <w:r w:rsidRPr="00007A69">
              <w:t>.</w:t>
            </w:r>
          </w:p>
        </w:tc>
      </w:tr>
      <w:tr w:rsidR="004B20E5" w:rsidRPr="007C74EB"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6C:</w:t>
            </w:r>
          </w:p>
          <w:p w:rsidR="004B20E5" w:rsidRPr="005C62F3" w:rsidRDefault="004B20E5" w:rsidP="00733660">
            <w:pPr>
              <w:rPr>
                <w:sz w:val="20"/>
                <w:szCs w:val="20"/>
              </w:rPr>
            </w:pPr>
            <w:r w:rsidRPr="005C62F3">
              <w:rPr>
                <w:sz w:val="20"/>
                <w:szCs w:val="20"/>
              </w:rPr>
              <w:t>Ensure positive early childhood health and development.</w:t>
            </w:r>
          </w:p>
        </w:tc>
        <w:tc>
          <w:tcPr>
            <w:tcW w:w="3515" w:type="pct"/>
          </w:tcPr>
          <w:p w:rsidR="004B20E5" w:rsidRPr="00007A69" w:rsidRDefault="004B20E5" w:rsidP="00CB2B0E">
            <w:pPr>
              <w:pStyle w:val="objstmtintable"/>
            </w:pPr>
            <w:r w:rsidRPr="00007A69">
              <w:t>Measure 6.5:</w:t>
            </w:r>
            <w:r w:rsidRPr="00007A69">
              <w:tab/>
            </w:r>
            <w:r w:rsidRPr="005C62F3">
              <w:rPr>
                <w:szCs w:val="18"/>
              </w:rPr>
              <w:t>Increase the relative percentage of children and adolescents who have a Medical Home by 10%, especially children and youth with special health care needs.</w:t>
            </w:r>
          </w:p>
          <w:p w:rsidR="004B20E5" w:rsidRPr="007C74EB" w:rsidRDefault="00F03799" w:rsidP="00CB2B0E">
            <w:pPr>
              <w:pStyle w:val="objstmtintable"/>
            </w:pPr>
            <w:r>
              <w:rPr>
                <w:noProof/>
              </w:rPr>
              <w:drawing>
                <wp:anchor distT="0" distB="0" distL="114300" distR="114300" simplePos="0" relativeHeight="251661312" behindDoc="0" locked="0" layoutInCell="1" allowOverlap="1" wp14:anchorId="47366D77" wp14:editId="0E1251D0">
                  <wp:simplePos x="0" y="0"/>
                  <wp:positionH relativeFrom="column">
                    <wp:posOffset>0</wp:posOffset>
                  </wp:positionH>
                  <wp:positionV relativeFrom="paragraph">
                    <wp:posOffset>276225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Measure 6.6:</w:t>
            </w:r>
            <w:r w:rsidR="004B20E5" w:rsidRPr="00007A69">
              <w:tab/>
              <w:t>Develop consensus definitions and comprehensive data sources to identify and measure positive early childhood health and development.</w:t>
            </w:r>
          </w:p>
        </w:tc>
      </w:tr>
      <w:tr w:rsidR="004B20E5" w:rsidRPr="00007A69" w:rsidTr="005C62F3">
        <w:trPr>
          <w:gridAfter w:val="1"/>
          <w:wAfter w:w="26" w:type="dxa"/>
          <w:cantSplit/>
          <w:trHeight w:val="908"/>
        </w:trPr>
        <w:tc>
          <w:tcPr>
            <w:tcW w:w="4987" w:type="pct"/>
            <w:gridSpan w:val="2"/>
            <w:shd w:val="clear" w:color="auto" w:fill="F2F2F2"/>
            <w:vAlign w:val="center"/>
          </w:tcPr>
          <w:p w:rsidR="004B20E5" w:rsidRPr="005C62F3" w:rsidRDefault="004B20E5" w:rsidP="00CB2B0E">
            <w:pPr>
              <w:pStyle w:val="GoalStatement"/>
              <w:rPr>
                <w:sz w:val="20"/>
              </w:rPr>
            </w:pPr>
            <w:r w:rsidRPr="005C62F3">
              <w:rPr>
                <w:sz w:val="20"/>
              </w:rPr>
              <w:t xml:space="preserve">Domain 7:  </w:t>
            </w:r>
            <w:r w:rsidR="00CC4FA8">
              <w:rPr>
                <w:sz w:val="20"/>
              </w:rPr>
              <w:t>Environmental Risk Factors and Health</w:t>
            </w:r>
          </w:p>
          <w:p w:rsidR="004B20E5" w:rsidRPr="005C62F3" w:rsidRDefault="004B20E5" w:rsidP="00CB2B0E">
            <w:pPr>
              <w:pStyle w:val="GoalStatement"/>
              <w:rPr>
                <w:sz w:val="20"/>
              </w:rPr>
            </w:pPr>
            <w:r w:rsidRPr="005C62F3">
              <w:rPr>
                <w:sz w:val="20"/>
              </w:rPr>
              <w:t>Prevent and reduce environmental risk factors (or hazards) in home, school, work and community environments to achieve optimal health and wellbeing.</w:t>
            </w:r>
          </w:p>
        </w:tc>
      </w:tr>
      <w:tr w:rsidR="004B20E5" w:rsidRPr="00007A69" w:rsidTr="005C62F3">
        <w:trPr>
          <w:gridAfter w:val="1"/>
          <w:wAfter w:w="26" w:type="dxa"/>
          <w:cantSplit/>
          <w:trHeight w:val="1403"/>
        </w:trPr>
        <w:tc>
          <w:tcPr>
            <w:tcW w:w="1472" w:type="pct"/>
            <w:vAlign w:val="center"/>
          </w:tcPr>
          <w:p w:rsidR="004B20E5" w:rsidRPr="005C62F3" w:rsidRDefault="004B20E5" w:rsidP="00733660">
            <w:pPr>
              <w:rPr>
                <w:sz w:val="20"/>
                <w:szCs w:val="20"/>
              </w:rPr>
            </w:pPr>
            <w:r w:rsidRPr="005C62F3">
              <w:rPr>
                <w:sz w:val="20"/>
                <w:szCs w:val="20"/>
              </w:rPr>
              <w:t>Standard 7A:</w:t>
            </w:r>
          </w:p>
          <w:p w:rsidR="004B20E5" w:rsidRPr="005C62F3" w:rsidRDefault="004B20E5" w:rsidP="00733660">
            <w:pPr>
              <w:rPr>
                <w:sz w:val="20"/>
                <w:szCs w:val="20"/>
              </w:rPr>
            </w:pPr>
            <w:r w:rsidRPr="005C62F3">
              <w:rPr>
                <w:sz w:val="20"/>
                <w:szCs w:val="20"/>
              </w:rPr>
              <w:t>Reduce exposure to lead in children and adults to prevent deleterious health impacts.</w:t>
            </w:r>
          </w:p>
        </w:tc>
        <w:tc>
          <w:tcPr>
            <w:tcW w:w="3515" w:type="pct"/>
          </w:tcPr>
          <w:p w:rsidR="004B20E5" w:rsidRDefault="00F03799" w:rsidP="00CB2B0E">
            <w:pPr>
              <w:pStyle w:val="objstmtintable"/>
            </w:pPr>
            <w:r>
              <w:rPr>
                <w:noProof/>
              </w:rPr>
              <w:drawing>
                <wp:anchor distT="0" distB="0" distL="114300" distR="114300" simplePos="0" relativeHeight="251662336" behindDoc="0" locked="0" layoutInCell="1" allowOverlap="1" wp14:anchorId="6FD95B65" wp14:editId="009432CC">
                  <wp:simplePos x="0" y="0"/>
                  <wp:positionH relativeFrom="column">
                    <wp:posOffset>0</wp:posOffset>
                  </wp:positionH>
                  <wp:positionV relativeFrom="paragraph">
                    <wp:posOffset>334010</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Measure 7.1:</w:t>
            </w:r>
            <w:r w:rsidR="004B20E5" w:rsidRPr="00007A69">
              <w:tab/>
              <w:t>Increase blood level screening rates in high-risk communities (as defined by low socioeconomic status, percent old housing sto</w:t>
            </w:r>
            <w:r w:rsidR="004B20E5">
              <w:t xml:space="preserve">ck, and other factors) by 10% (relative). </w:t>
            </w:r>
          </w:p>
          <w:p w:rsidR="004B20E5" w:rsidRPr="00007A69" w:rsidRDefault="00F03799" w:rsidP="00CB2B0E">
            <w:pPr>
              <w:pStyle w:val="objstmtintable"/>
            </w:pPr>
            <w:r>
              <w:rPr>
                <w:noProof/>
              </w:rPr>
              <w:drawing>
                <wp:anchor distT="0" distB="0" distL="114300" distR="114300" simplePos="0" relativeHeight="251663360" behindDoc="0" locked="0" layoutInCell="1" allowOverlap="1" wp14:anchorId="506D6E63" wp14:editId="1130A13D">
                  <wp:simplePos x="0" y="0"/>
                  <wp:positionH relativeFrom="column">
                    <wp:posOffset>1905</wp:posOffset>
                  </wp:positionH>
                  <wp:positionV relativeFrom="paragraph">
                    <wp:posOffset>193675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t>Measure</w:t>
            </w:r>
            <w:r w:rsidR="004B20E5" w:rsidRPr="00007A69">
              <w:t>: 7.2:</w:t>
            </w:r>
            <w:r w:rsidR="004B20E5" w:rsidRPr="00007A69">
              <w:tab/>
              <w:t>Reduce the prevalence rate of blood lead levels of &gt; 25 µg/dL in persons 16 years or older by 5</w:t>
            </w:r>
            <w:r w:rsidR="004B20E5" w:rsidRPr="005C62F3">
              <w:rPr>
                <w:szCs w:val="18"/>
              </w:rPr>
              <w:t>% (relative)</w:t>
            </w:r>
            <w:r w:rsidR="004B20E5">
              <w:t xml:space="preserve">. </w:t>
            </w:r>
            <w:r w:rsidR="004B20E5" w:rsidRPr="00007A69">
              <w:t xml:space="preserve">(Consistent with HP 2020 objective OSH-7) </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7B:</w:t>
            </w:r>
          </w:p>
          <w:p w:rsidR="004B20E5" w:rsidRPr="005C62F3" w:rsidRDefault="004B20E5" w:rsidP="00733660">
            <w:pPr>
              <w:rPr>
                <w:sz w:val="20"/>
                <w:szCs w:val="20"/>
              </w:rPr>
            </w:pPr>
            <w:r w:rsidRPr="005C62F3">
              <w:rPr>
                <w:sz w:val="20"/>
                <w:szCs w:val="20"/>
              </w:rPr>
              <w:t>Improve indoor environmental quality in homes and public buildings to reduce respiratory symptoms and diseases.</w:t>
            </w:r>
          </w:p>
        </w:tc>
        <w:tc>
          <w:tcPr>
            <w:tcW w:w="3515" w:type="pct"/>
          </w:tcPr>
          <w:p w:rsidR="004B20E5" w:rsidRPr="00007A69" w:rsidRDefault="004B20E5" w:rsidP="00CB2B0E">
            <w:pPr>
              <w:pStyle w:val="objstmtintable"/>
            </w:pPr>
            <w:r w:rsidRPr="00007A69">
              <w:t>Measure 7.3:</w:t>
            </w:r>
            <w:r w:rsidRPr="00007A69">
              <w:tab/>
              <w:t xml:space="preserve">Implement steps to improve indoor environmental quality by providing Division of Capital Asset Management and Maintenance (DCAMM) pre-occupancy assessments within an average of two weeks of inspection. </w:t>
            </w:r>
          </w:p>
          <w:p w:rsidR="004B20E5" w:rsidRPr="00007A69" w:rsidRDefault="004B20E5" w:rsidP="00CB2B0E">
            <w:pPr>
              <w:pStyle w:val="objstmtintable"/>
            </w:pPr>
            <w:r w:rsidRPr="00007A69">
              <w:t>Measure 7.4:</w:t>
            </w:r>
            <w:r w:rsidRPr="00007A69">
              <w:tab/>
              <w:t xml:space="preserve">Reduce the number of avoidable complaints of poor housing conditions by increasing the number of local inspectors trained by 10%.  </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7C:</w:t>
            </w:r>
          </w:p>
          <w:p w:rsidR="004B20E5" w:rsidRPr="005C62F3" w:rsidRDefault="004B20E5" w:rsidP="00733660">
            <w:pPr>
              <w:rPr>
                <w:sz w:val="20"/>
                <w:szCs w:val="20"/>
              </w:rPr>
            </w:pPr>
            <w:r w:rsidRPr="005C62F3">
              <w:rPr>
                <w:sz w:val="20"/>
                <w:szCs w:val="20"/>
              </w:rPr>
              <w:t>Reduce foodborne illness.</w:t>
            </w:r>
          </w:p>
        </w:tc>
        <w:tc>
          <w:tcPr>
            <w:tcW w:w="3515" w:type="pct"/>
          </w:tcPr>
          <w:p w:rsidR="004B20E5" w:rsidRPr="00007A69" w:rsidRDefault="004B20E5" w:rsidP="00CB2B0E">
            <w:pPr>
              <w:pStyle w:val="objstmtintable"/>
            </w:pPr>
            <w:r w:rsidRPr="00007A69">
              <w:t>Measure 7.5:</w:t>
            </w:r>
            <w:r w:rsidRPr="00007A69">
              <w:tab/>
              <w:t>Reduce the number of foodborne illness outbreaks by increasing the number of mandatory local health inspections of retail food establishments.</w:t>
            </w:r>
          </w:p>
        </w:tc>
      </w:tr>
      <w:tr w:rsidR="004B20E5" w:rsidRPr="00007A69" w:rsidTr="005C62F3">
        <w:trPr>
          <w:gridAfter w:val="1"/>
          <w:wAfter w:w="26" w:type="dxa"/>
          <w:cantSplit/>
        </w:trPr>
        <w:tc>
          <w:tcPr>
            <w:tcW w:w="1472" w:type="pct"/>
            <w:vAlign w:val="center"/>
          </w:tcPr>
          <w:p w:rsidR="004B20E5" w:rsidRPr="005C62F3" w:rsidRDefault="004B20E5" w:rsidP="00733660">
            <w:pPr>
              <w:rPr>
                <w:sz w:val="20"/>
                <w:szCs w:val="20"/>
              </w:rPr>
            </w:pPr>
            <w:r w:rsidRPr="005C62F3">
              <w:rPr>
                <w:sz w:val="20"/>
                <w:szCs w:val="20"/>
              </w:rPr>
              <w:t>Standard 7D:</w:t>
            </w:r>
          </w:p>
          <w:p w:rsidR="004B20E5" w:rsidRPr="005C62F3" w:rsidRDefault="004B20E5" w:rsidP="00733660">
            <w:pPr>
              <w:rPr>
                <w:sz w:val="20"/>
                <w:szCs w:val="20"/>
              </w:rPr>
            </w:pPr>
            <w:r w:rsidRPr="005C62F3">
              <w:rPr>
                <w:sz w:val="20"/>
                <w:szCs w:val="20"/>
              </w:rPr>
              <w:t>Increase the capacity of local and state health officials to address environmental health issues through enhanced training.</w:t>
            </w:r>
          </w:p>
        </w:tc>
        <w:tc>
          <w:tcPr>
            <w:tcW w:w="3515" w:type="pct"/>
          </w:tcPr>
          <w:p w:rsidR="004B20E5" w:rsidRPr="00007A69" w:rsidRDefault="00F03799" w:rsidP="00130D8A">
            <w:pPr>
              <w:pStyle w:val="objstmtintable"/>
              <w:rPr>
                <w:noProof/>
              </w:rPr>
            </w:pPr>
            <w:r>
              <w:rPr>
                <w:noProof/>
              </w:rPr>
              <w:drawing>
                <wp:anchor distT="0" distB="0" distL="114300" distR="114300" simplePos="0" relativeHeight="251676672" behindDoc="0" locked="0" layoutInCell="1" allowOverlap="1" wp14:anchorId="11A654DD" wp14:editId="35126280">
                  <wp:simplePos x="0" y="0"/>
                  <wp:positionH relativeFrom="column">
                    <wp:posOffset>-3175</wp:posOffset>
                  </wp:positionH>
                  <wp:positionV relativeFrom="paragraph">
                    <wp:posOffset>264795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Measure 7.6:</w:t>
            </w:r>
            <w:r w:rsidR="004B20E5" w:rsidRPr="00007A69">
              <w:tab/>
              <w:t>Enhance local and state capacity for climate change/adaptation by increasing the number of local health officials trained by 10% annually.</w:t>
            </w:r>
          </w:p>
          <w:p w:rsidR="004B20E5" w:rsidRPr="00007A69" w:rsidRDefault="00F03799" w:rsidP="00130D8A">
            <w:pPr>
              <w:pStyle w:val="objstmtintable"/>
            </w:pPr>
            <w:r>
              <w:rPr>
                <w:noProof/>
              </w:rPr>
              <w:drawing>
                <wp:anchor distT="0" distB="0" distL="114300" distR="114300" simplePos="0" relativeHeight="251677696" behindDoc="0" locked="0" layoutInCell="1" allowOverlap="1" wp14:anchorId="1D599587" wp14:editId="10CA2B65">
                  <wp:simplePos x="0" y="0"/>
                  <wp:positionH relativeFrom="column">
                    <wp:posOffset>-3175</wp:posOffset>
                  </wp:positionH>
                  <wp:positionV relativeFrom="paragraph">
                    <wp:posOffset>264160</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rsidRPr="00007A69">
              <w:t>Measure 7.7:</w:t>
            </w:r>
            <w:r w:rsidR="004B20E5" w:rsidRPr="00007A69">
              <w:tab/>
              <w:t xml:space="preserve">Enhance local capacity to respond to environmental health inquiries by use of the Environmental Public Health </w:t>
            </w:r>
            <w:r w:rsidR="004B20E5">
              <w:t>Tracking (EPHT) network by 10%.</w:t>
            </w:r>
          </w:p>
        </w:tc>
      </w:tr>
    </w:tbl>
    <w:p w:rsidR="004B20E5" w:rsidRDefault="004B20E5" w:rsidP="000A7CF2">
      <w:pPr>
        <w:pStyle w:val="BodyText"/>
      </w:pPr>
    </w:p>
    <w:p w:rsidR="004B20E5" w:rsidRDefault="004B20E5" w:rsidP="000A7CF2">
      <w:pPr>
        <w:pStyle w:val="BodyText"/>
      </w:pPr>
      <w:r w:rsidRPr="0046149F">
        <w:t xml:space="preserve">The narrative introduction to each </w:t>
      </w:r>
      <w:r>
        <w:t>domain</w:t>
      </w:r>
      <w:r w:rsidRPr="0046149F">
        <w:t xml:space="preserve"> includes a statement of its overarching goal; a brief introduction to the </w:t>
      </w:r>
      <w:r>
        <w:t>domain</w:t>
      </w:r>
      <w:r w:rsidRPr="0046149F">
        <w:t xml:space="preserve"> including a summary of why it is important for the </w:t>
      </w:r>
      <w:r>
        <w:t xml:space="preserve">Commonwealth, its impact, </w:t>
      </w:r>
      <w:r>
        <w:lastRenderedPageBreak/>
        <w:t>and what we can do</w:t>
      </w:r>
      <w:r w:rsidRPr="0046149F">
        <w:t xml:space="preserve">; and a listing </w:t>
      </w:r>
      <w:r>
        <w:t xml:space="preserve">of </w:t>
      </w:r>
      <w:r w:rsidRPr="0046149F">
        <w:t xml:space="preserve">the </w:t>
      </w:r>
      <w:r>
        <w:t xml:space="preserve">standards, measures, outcome indicators, </w:t>
      </w:r>
      <w:r w:rsidRPr="0046149F">
        <w:t xml:space="preserve">strategies, and partners for implementation. </w:t>
      </w:r>
      <w:r>
        <w:t xml:space="preserve">  Where specific references/citations are not noted, the data source is the Health of Massachusetts report published in 2010.</w:t>
      </w:r>
      <w:r w:rsidRPr="00925017">
        <w:rPr>
          <w:rStyle w:val="EndnoteReference"/>
        </w:rPr>
        <w:endnoteReference w:id="6"/>
      </w:r>
    </w:p>
    <w:p w:rsidR="004B20E5" w:rsidRDefault="004B20E5" w:rsidP="000A7CF2">
      <w:pPr>
        <w:pStyle w:val="BodyText"/>
      </w:pPr>
    </w:p>
    <w:p w:rsidR="004B20E5" w:rsidRPr="001C59DE" w:rsidRDefault="004B20E5" w:rsidP="000A7CF2">
      <w:pPr>
        <w:pStyle w:val="Heading2"/>
      </w:pPr>
      <w:bookmarkStart w:id="39" w:name="_Toc371587207"/>
      <w:bookmarkStart w:id="40" w:name="_Toc391388776"/>
      <w:bookmarkStart w:id="41" w:name="_Toc398819269"/>
      <w:r w:rsidRPr="001C59DE">
        <w:t>Relationship Between the SHIP and Other Guiding Documents and Initiatives</w:t>
      </w:r>
      <w:bookmarkEnd w:id="39"/>
      <w:bookmarkEnd w:id="40"/>
      <w:bookmarkEnd w:id="41"/>
    </w:p>
    <w:p w:rsidR="004B20E5" w:rsidRPr="001C59DE" w:rsidRDefault="004B20E5" w:rsidP="000A7CF2">
      <w:pPr>
        <w:pStyle w:val="BodyText"/>
      </w:pPr>
      <w:r w:rsidRPr="001C59DE">
        <w:t xml:space="preserve">The Massachusetts SHIP is closely aligned with the National Prevention Strategy, Healthy People 2020 objectives, the Community Guide, the Centers for Disease Control and Prevention public health priorities (Winnable Battles), and with other existing Commonwealth of Massachusetts and </w:t>
      </w:r>
      <w:r w:rsidR="001D686E">
        <w:t>M</w:t>
      </w:r>
      <w:r w:rsidRPr="001C59DE">
        <w:t>DPH Plans.</w:t>
      </w:r>
    </w:p>
    <w:p w:rsidR="004B20E5" w:rsidRPr="0046149F" w:rsidRDefault="004B20E5" w:rsidP="000A7CF2">
      <w:pPr>
        <w:pStyle w:val="BodyText"/>
      </w:pPr>
      <w:r w:rsidRPr="001C59DE">
        <w:t xml:space="preserve">The SHIP was designed to complement and build upon other guiding documents, plans, initiatives, and coalitions already in place to improve the public health of the residents of Massachusetts.  Rather than conflicting with or duplicating the recommendations and actions of existing frameworks and coalitions, the participants in the SHIP development process identified potential partners and existing networks and resources wherever possible.  Those engaged in this process recognize that compiling partners, resources, and initiatives in a common database is an ongoing effort that is critical for successful implementation and sustainability.  </w:t>
      </w:r>
      <w:r w:rsidR="001D686E">
        <w:t>M</w:t>
      </w:r>
      <w:r w:rsidRPr="001C59DE">
        <w:t>DPH has assumed the role of convening partners and organizing available data to support collective action.</w:t>
      </w:r>
    </w:p>
    <w:p w:rsidR="004B20E5" w:rsidRPr="0046149F" w:rsidRDefault="004B20E5" w:rsidP="00004336">
      <w:pPr>
        <w:rPr>
          <w:rFonts w:cs="Arial"/>
        </w:rPr>
      </w:pPr>
    </w:p>
    <w:p w:rsidR="004B20E5" w:rsidRDefault="004B20E5">
      <w:pPr>
        <w:spacing w:after="200" w:line="276" w:lineRule="auto"/>
        <w:rPr>
          <w:rFonts w:cs="Arial"/>
          <w:b/>
          <w:bCs/>
          <w:color w:val="000000"/>
          <w:sz w:val="24"/>
        </w:rPr>
      </w:pPr>
      <w:r>
        <w:br w:type="page"/>
      </w:r>
    </w:p>
    <w:p w:rsidR="004B20E5" w:rsidRDefault="004B20E5" w:rsidP="00AD1242"/>
    <w:p w:rsidR="004B20E5" w:rsidRDefault="004B20E5" w:rsidP="00AD1242"/>
    <w:p w:rsidR="004B20E5" w:rsidRDefault="004B20E5" w:rsidP="00AD1242"/>
    <w:p w:rsidR="004B20E5" w:rsidRDefault="004B20E5" w:rsidP="00AD1242"/>
    <w:p w:rsidR="004B20E5" w:rsidRDefault="004B20E5" w:rsidP="00AD1242"/>
    <w:p w:rsidR="004B20E5" w:rsidRDefault="004B20E5" w:rsidP="00AD1242"/>
    <w:p w:rsidR="004B20E5" w:rsidRDefault="004B20E5" w:rsidP="00AD1242"/>
    <w:p w:rsidR="004B20E5" w:rsidRDefault="004B20E5" w:rsidP="00AD1242"/>
    <w:p w:rsidR="004B20E5" w:rsidRDefault="004B20E5" w:rsidP="00AD1242"/>
    <w:p w:rsidR="004B20E5" w:rsidRDefault="004B20E5" w:rsidP="00AD1242"/>
    <w:p w:rsidR="004B20E5" w:rsidRDefault="004B20E5" w:rsidP="00AD1242"/>
    <w:p w:rsidR="004B20E5" w:rsidRDefault="004B20E5" w:rsidP="00AD1242"/>
    <w:p w:rsidR="004B20E5" w:rsidRDefault="004B20E5" w:rsidP="00AD1242"/>
    <w:p w:rsidR="004B20E5" w:rsidRDefault="004B20E5" w:rsidP="00AD1242"/>
    <w:p w:rsidR="004B20E5" w:rsidRDefault="004B20E5" w:rsidP="00F83EAC">
      <w:pPr>
        <w:pStyle w:val="Heading1"/>
        <w:sectPr w:rsidR="004B20E5" w:rsidSect="000D3A34">
          <w:headerReference w:type="even" r:id="rId15"/>
          <w:headerReference w:type="default" r:id="rId16"/>
          <w:headerReference w:type="first" r:id="rId17"/>
          <w:footnotePr>
            <w:numFmt w:val="lowerRoman"/>
          </w:footnotePr>
          <w:endnotePr>
            <w:numFmt w:val="decimal"/>
          </w:endnotePr>
          <w:type w:val="continuous"/>
          <w:pgSz w:w="12240" w:h="15840" w:code="1"/>
          <w:pgMar w:top="1080" w:right="1080" w:bottom="1080" w:left="1080" w:header="648" w:footer="504" w:gutter="0"/>
          <w:cols w:space="720"/>
          <w:docGrid w:linePitch="360"/>
        </w:sectPr>
      </w:pPr>
      <w:bookmarkStart w:id="42" w:name="_Toc398819270"/>
      <w:r>
        <w:t>The Plan</w:t>
      </w:r>
      <w:bookmarkEnd w:id="42"/>
    </w:p>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A204E6"/>
    <w:p w:rsidR="004B20E5" w:rsidRDefault="004B20E5" w:rsidP="00F83EAC">
      <w:pPr>
        <w:pStyle w:val="Heading1"/>
        <w:sectPr w:rsidR="004B20E5" w:rsidSect="000D3A34">
          <w:endnotePr>
            <w:numFmt w:val="decimal"/>
          </w:endnotePr>
          <w:pgSz w:w="12240" w:h="15840" w:code="1"/>
          <w:pgMar w:top="1080" w:right="1080" w:bottom="1080" w:left="1080" w:header="648" w:footer="504" w:gutter="0"/>
          <w:cols w:space="720"/>
          <w:docGrid w:linePitch="360"/>
        </w:sectPr>
      </w:pPr>
      <w:bookmarkStart w:id="43" w:name="_Toc398819271"/>
      <w:r>
        <w:t>Part I:  Public Health System Transformation</w:t>
      </w:r>
      <w:bookmarkEnd w:id="43"/>
    </w:p>
    <w:p w:rsidR="004B20E5" w:rsidRDefault="004B20E5" w:rsidP="00AD1242">
      <w:pPr>
        <w:spacing w:after="200" w:line="276" w:lineRule="auto"/>
        <w:rPr>
          <w:rFonts w:cs="Arial"/>
        </w:rPr>
      </w:pPr>
    </w:p>
    <w:p w:rsidR="004B20E5" w:rsidRDefault="004B20E5">
      <w:pPr>
        <w:pStyle w:val="Heading2"/>
      </w:pPr>
      <w:bookmarkStart w:id="44" w:name="_Toc398819272"/>
      <w:r w:rsidRPr="00577423">
        <w:t>Health Systems Infrastructure</w:t>
      </w:r>
      <w:bookmarkEnd w:id="44"/>
    </w:p>
    <w:p w:rsidR="004B20E5" w:rsidRPr="00F446EB" w:rsidRDefault="004B20E5" w:rsidP="00CB2B0E">
      <w:pPr>
        <w:pStyle w:val="GoalStatement"/>
      </w:pPr>
      <w:r w:rsidRPr="00F446EB">
        <w:t>Facilitate public health systems transformation to achieve equity and accountability.</w:t>
      </w:r>
    </w:p>
    <w:p w:rsidR="004B20E5" w:rsidRDefault="004B20E5" w:rsidP="002269B5"/>
    <w:p w:rsidR="004B20E5" w:rsidRDefault="004B20E5" w:rsidP="00CB2B0E">
      <w:pPr>
        <w:pStyle w:val="GoalStatement"/>
      </w:pPr>
      <w:r>
        <w:t>Systems Standard</w:t>
      </w:r>
      <w:r w:rsidRPr="00577423">
        <w:t>:</w:t>
      </w:r>
      <w:r w:rsidR="00600296">
        <w:t xml:space="preserve"> </w:t>
      </w:r>
      <w:r w:rsidRPr="00577423">
        <w:t xml:space="preserve">Assure </w:t>
      </w:r>
      <w:r>
        <w:t xml:space="preserve">health equity and health reform goal attainment through </w:t>
      </w:r>
      <w:r w:rsidRPr="00577423">
        <w:t xml:space="preserve">robust systems and resources for monitoring, protecting, and promoting the health </w:t>
      </w:r>
      <w:r>
        <w:t xml:space="preserve">and well-being </w:t>
      </w:r>
      <w:r w:rsidRPr="00577423">
        <w:t>of the entire Massachusetts population</w:t>
      </w:r>
      <w:r>
        <w:t>.</w:t>
      </w:r>
    </w:p>
    <w:p w:rsidR="004B20E5" w:rsidRPr="00647E3F" w:rsidRDefault="004B20E5" w:rsidP="00647E3F">
      <w:pPr>
        <w:pStyle w:val="BodyText"/>
      </w:pPr>
    </w:p>
    <w:p w:rsidR="004B20E5" w:rsidRPr="00647E3F" w:rsidRDefault="004B20E5" w:rsidP="00647E3F">
      <w:pPr>
        <w:pStyle w:val="BodyText"/>
      </w:pPr>
      <w:r w:rsidRPr="00647E3F">
        <w:rPr>
          <w:b/>
        </w:rPr>
        <w:t>Burden (Where We Are):</w:t>
      </w:r>
      <w:r w:rsidRPr="00647E3F">
        <w:t xml:space="preserve"> Everyone deserves access to a robust, comprehensive public health infrastructure.  While primary responsibility for assuring public health rests with the public sector—state, local, and tribal government—public health infrastructure is a shared public and private responsibility.</w:t>
      </w:r>
      <w:r w:rsidR="00600296">
        <w:t xml:space="preserve"> </w:t>
      </w:r>
      <w:r w:rsidRPr="00647E3F">
        <w:t xml:space="preserve">A robust public health and </w:t>
      </w:r>
      <w:r>
        <w:t xml:space="preserve">prevention oriented </w:t>
      </w:r>
      <w:r w:rsidRPr="00647E3F">
        <w:t xml:space="preserve">health </w:t>
      </w:r>
      <w:r>
        <w:t xml:space="preserve">care </w:t>
      </w:r>
      <w:r w:rsidRPr="00647E3F">
        <w:t xml:space="preserve">infrastructure is an essential success factor for achieving measurable gains in any of the health topic </w:t>
      </w:r>
      <w:r>
        <w:t>focus</w:t>
      </w:r>
      <w:r w:rsidRPr="00647E3F">
        <w:t xml:space="preserve"> areas outlined in the SHIP.  </w:t>
      </w:r>
    </w:p>
    <w:p w:rsidR="004B20E5" w:rsidRPr="002A36A0" w:rsidRDefault="004B20E5" w:rsidP="002A36A0">
      <w:pPr>
        <w:pStyle w:val="BodyText"/>
      </w:pPr>
      <w:r w:rsidRPr="00647E3F">
        <w:rPr>
          <w:b/>
        </w:rPr>
        <w:t>Result (How This Affects Us):</w:t>
      </w:r>
      <w:r w:rsidRPr="00647E3F">
        <w:t>  </w:t>
      </w:r>
      <w:r w:rsidRPr="002A36A0">
        <w:t>Public health is often said to operate “in the shadows,” because much of the work necessary to protect people and prevent injury and disease happens out of public view</w:t>
      </w:r>
      <w:r>
        <w:t>.</w:t>
      </w:r>
      <w:r w:rsidRPr="002A36A0">
        <w:t xml:space="preserve">  Whether we know it or not, </w:t>
      </w:r>
      <w:r>
        <w:t>our lives all depend</w:t>
      </w:r>
      <w:r w:rsidRPr="002A36A0">
        <w:t xml:space="preserve"> on public health infrastructure—the underlying systems and resources required for assessing population health, developing protective policies, and assuring healthy individuals, families, communities, schools, and workplaces.  Public health infrastructure includes:</w:t>
      </w:r>
    </w:p>
    <w:p w:rsidR="004B20E5" w:rsidRPr="002A36A0" w:rsidRDefault="004B20E5" w:rsidP="002A36A0">
      <w:pPr>
        <w:pStyle w:val="ListParagraph"/>
      </w:pPr>
      <w:r w:rsidRPr="002A36A0">
        <w:t>Health information technology, data systems, research, evaluation, and reporting systems;</w:t>
      </w:r>
    </w:p>
    <w:p w:rsidR="004B20E5" w:rsidRPr="002A36A0" w:rsidRDefault="004B20E5" w:rsidP="002A36A0">
      <w:pPr>
        <w:pStyle w:val="ListParagraph"/>
      </w:pPr>
      <w:r w:rsidRPr="002A36A0">
        <w:t>Health needs assessment and improvement planning;</w:t>
      </w:r>
    </w:p>
    <w:p w:rsidR="004B20E5" w:rsidRPr="002A36A0" w:rsidRDefault="004B20E5" w:rsidP="002A36A0">
      <w:pPr>
        <w:pStyle w:val="ListParagraph"/>
      </w:pPr>
      <w:r w:rsidRPr="002A36A0">
        <w:t>Disease surveillance, investigation, monitoring, and response;</w:t>
      </w:r>
    </w:p>
    <w:p w:rsidR="004B20E5" w:rsidRPr="002A36A0" w:rsidRDefault="004B20E5" w:rsidP="002A36A0">
      <w:pPr>
        <w:pStyle w:val="ListParagraph"/>
      </w:pPr>
      <w:r w:rsidRPr="002A36A0">
        <w:t>Laboratory services;</w:t>
      </w:r>
    </w:p>
    <w:p w:rsidR="004B20E5" w:rsidRPr="002A36A0" w:rsidRDefault="004B20E5" w:rsidP="002A36A0">
      <w:pPr>
        <w:pStyle w:val="ListParagraph"/>
      </w:pPr>
      <w:r w:rsidRPr="002A36A0">
        <w:t>Emergency preparedness and response;</w:t>
      </w:r>
    </w:p>
    <w:p w:rsidR="004B20E5" w:rsidRPr="002A36A0" w:rsidRDefault="004B20E5" w:rsidP="002A36A0">
      <w:pPr>
        <w:pStyle w:val="ListParagraph"/>
      </w:pPr>
      <w:r w:rsidRPr="002A36A0">
        <w:t>Regulatory licensing, inspection and enforcement;</w:t>
      </w:r>
    </w:p>
    <w:p w:rsidR="004B20E5" w:rsidRPr="002A36A0" w:rsidRDefault="004B20E5" w:rsidP="002A36A0">
      <w:pPr>
        <w:pStyle w:val="ListParagraph"/>
      </w:pPr>
      <w:r w:rsidRPr="002A36A0">
        <w:t>Public education, information, and risk communication;</w:t>
      </w:r>
    </w:p>
    <w:p w:rsidR="004B20E5" w:rsidRPr="002A36A0" w:rsidRDefault="004B20E5" w:rsidP="002A36A0">
      <w:pPr>
        <w:pStyle w:val="ListParagraph"/>
      </w:pPr>
      <w:r w:rsidRPr="002A36A0">
        <w:t xml:space="preserve">Policy development and advocacy; </w:t>
      </w:r>
    </w:p>
    <w:p w:rsidR="004B20E5" w:rsidRPr="002A36A0" w:rsidRDefault="004B20E5" w:rsidP="002A36A0">
      <w:pPr>
        <w:pStyle w:val="ListParagraph"/>
      </w:pPr>
      <w:r w:rsidRPr="002A36A0">
        <w:t>Workforce development;</w:t>
      </w:r>
    </w:p>
    <w:p w:rsidR="004B20E5" w:rsidRPr="002A36A0" w:rsidRDefault="004B20E5" w:rsidP="002A36A0">
      <w:pPr>
        <w:pStyle w:val="ListParagraph"/>
      </w:pPr>
      <w:r w:rsidRPr="002A36A0">
        <w:t>Governance and financial management; and</w:t>
      </w:r>
    </w:p>
    <w:p w:rsidR="004B20E5" w:rsidRPr="002A36A0" w:rsidRDefault="004B20E5" w:rsidP="002A36A0">
      <w:pPr>
        <w:pStyle w:val="ListParagraph"/>
      </w:pPr>
      <w:r w:rsidRPr="002A36A0">
        <w:t>Performance management and quality improvement systems</w:t>
      </w:r>
      <w:r>
        <w:t>.</w:t>
      </w:r>
    </w:p>
    <w:p w:rsidR="004B20E5" w:rsidRPr="00647E3F" w:rsidRDefault="004B20E5" w:rsidP="00647E3F">
      <w:pPr>
        <w:pStyle w:val="BodyText"/>
        <w:rPr>
          <w:b/>
        </w:rPr>
      </w:pPr>
      <w:r w:rsidRPr="00647E3F">
        <w:rPr>
          <w:b/>
        </w:rPr>
        <w:t xml:space="preserve">Action (What We Can Do):  </w:t>
      </w:r>
      <w:r w:rsidRPr="00647E3F">
        <w:t>Achievi</w:t>
      </w:r>
      <w:r w:rsidRPr="00647E3F">
        <w:rPr>
          <w:rStyle w:val="bodytextchar0"/>
        </w:rPr>
        <w:t xml:space="preserve">ng the goals of the Massachusetts </w:t>
      </w:r>
      <w:r>
        <w:rPr>
          <w:rStyle w:val="bodytextchar0"/>
        </w:rPr>
        <w:t>SHIP</w:t>
      </w:r>
      <w:r w:rsidRPr="00647E3F">
        <w:rPr>
          <w:rStyle w:val="bodytextchar0"/>
        </w:rPr>
        <w:t xml:space="preserve"> for all health </w:t>
      </w:r>
      <w:r>
        <w:rPr>
          <w:rStyle w:val="bodytextchar0"/>
        </w:rPr>
        <w:t>topic focus</w:t>
      </w:r>
      <w:r w:rsidRPr="00647E3F">
        <w:rPr>
          <w:rStyle w:val="bodytextchar0"/>
        </w:rPr>
        <w:t xml:space="preserve"> areas requires strengthening and sustaining our public health infrastructure</w:t>
      </w:r>
      <w:r>
        <w:rPr>
          <w:rStyle w:val="bodytextchar0"/>
        </w:rPr>
        <w:t xml:space="preserve"> and ensuring its capacity to be informed by and to adapt to the cultural and linguistic diversity in the state</w:t>
      </w:r>
      <w:r w:rsidRPr="00647E3F">
        <w:rPr>
          <w:rStyle w:val="bodytextchar0"/>
        </w:rPr>
        <w:t xml:space="preserve">.  The following </w:t>
      </w:r>
      <w:r>
        <w:rPr>
          <w:rStyle w:val="bodytextchar0"/>
        </w:rPr>
        <w:t>measures</w:t>
      </w:r>
      <w:r w:rsidR="00600296">
        <w:rPr>
          <w:rStyle w:val="bodytextchar0"/>
        </w:rPr>
        <w:t xml:space="preserve"> </w:t>
      </w:r>
      <w:r w:rsidRPr="00647E3F">
        <w:rPr>
          <w:rStyle w:val="bodytextchar0"/>
        </w:rPr>
        <w:t>and strategies underscore the importance of underlying systems and capacities to protect the population</w:t>
      </w:r>
      <w:r>
        <w:rPr>
          <w:rStyle w:val="bodytextchar0"/>
        </w:rPr>
        <w:t>,</w:t>
      </w:r>
      <w:r w:rsidRPr="00647E3F">
        <w:rPr>
          <w:rStyle w:val="bodytextchar0"/>
        </w:rPr>
        <w:t xml:space="preserve"> prevent in</w:t>
      </w:r>
      <w:r w:rsidRPr="00647E3F">
        <w:t>jury and disease</w:t>
      </w:r>
      <w:r>
        <w:t>, and foster improvements in health outcomes</w:t>
      </w:r>
      <w:r w:rsidRPr="00647E3F">
        <w:t>.</w:t>
      </w:r>
    </w:p>
    <w:p w:rsidR="004B20E5" w:rsidRPr="00577423" w:rsidRDefault="004B20E5" w:rsidP="00AD1242">
      <w:pPr>
        <w:rPr>
          <w:rFonts w:ascii="Calibri" w:hAnsi="Calibri" w:cs="Arial"/>
          <w:sz w:val="24"/>
          <w:szCs w:val="24"/>
        </w:rPr>
      </w:pPr>
    </w:p>
    <w:p w:rsidR="004B20E5" w:rsidRDefault="004B20E5" w:rsidP="00920900">
      <w:r>
        <w:br w:type="page"/>
      </w:r>
    </w:p>
    <w:p w:rsidR="004B20E5" w:rsidRPr="002276C8" w:rsidRDefault="004B20E5" w:rsidP="002276C8">
      <w:pPr>
        <w:keepNext/>
        <w:shd w:val="clear" w:color="auto" w:fill="DBE5F1"/>
        <w:spacing w:before="120" w:after="120"/>
        <w:ind w:left="1620" w:hanging="1620"/>
        <w:rPr>
          <w:rFonts w:cs="Arial"/>
          <w:b/>
          <w:szCs w:val="24"/>
        </w:rPr>
      </w:pPr>
      <w:r w:rsidRPr="002276C8">
        <w:rPr>
          <w:rFonts w:cs="Arial"/>
          <w:b/>
          <w:szCs w:val="24"/>
        </w:rPr>
        <w:lastRenderedPageBreak/>
        <w:t>Systems Measure 1:</w:t>
      </w:r>
    </w:p>
    <w:p w:rsidR="004B20E5" w:rsidRPr="002276C8" w:rsidRDefault="004B20E5" w:rsidP="00CB2B0E">
      <w:pPr>
        <w:pStyle w:val="ObjectiveStmtsubbullet"/>
      </w:pPr>
      <w:r>
        <w:tab/>
      </w:r>
      <w:r w:rsidRPr="002276C8">
        <w:t>By December 31, 2015, create a Public Health Data Warehouse to:</w:t>
      </w:r>
      <w:r w:rsidR="00600296">
        <w:t xml:space="preserve"> </w:t>
      </w:r>
      <w:r w:rsidRPr="002276C8">
        <w:t>maintain and improve surveillance capacity</w:t>
      </w:r>
      <w:r>
        <w:t xml:space="preserve"> and </w:t>
      </w:r>
      <w:r w:rsidRPr="002276C8">
        <w:t xml:space="preserve">increase the accessibility of data for </w:t>
      </w:r>
      <w:r>
        <w:t xml:space="preserve">state and </w:t>
      </w:r>
      <w:r w:rsidRPr="002276C8">
        <w:t>local public health activities, for evaluation of key public health initiatives, and for the SHIP objectives</w:t>
      </w:r>
    </w:p>
    <w:p w:rsidR="004B20E5" w:rsidRPr="002276C8" w:rsidRDefault="00F03799" w:rsidP="002276C8">
      <w:pPr>
        <w:rPr>
          <w:rFonts w:ascii="Calibri" w:hAnsi="Calibri" w:cs="Arial"/>
          <w:sz w:val="24"/>
          <w:szCs w:val="24"/>
        </w:rPr>
      </w:pPr>
      <w:r>
        <w:rPr>
          <w:noProof/>
        </w:rPr>
        <w:drawing>
          <wp:inline distT="0" distB="0" distL="0" distR="0" wp14:anchorId="36EF82E1" wp14:editId="1D7CCCA1">
            <wp:extent cx="171450" cy="171450"/>
            <wp:effectExtent l="0" t="0" r="0" b="0"/>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a:extLst>
                        <a:ext uri="{28A0092B-C50C-407E-A947-70E740481C1C}">
                          <a14:useLocalDpi xmlns:a14="http://schemas.microsoft.com/office/drawing/2010/main" val="0"/>
                        </a:ext>
                      </a:extLst>
                    </a:blip>
                    <a:srcRect l="17612" t="18253" r="18530" b="29434"/>
                    <a:stretch>
                      <a:fillRect/>
                    </a:stretch>
                  </pic:blipFill>
                  <pic:spPr bwMode="auto">
                    <a:xfrm>
                      <a:off x="0" y="0"/>
                      <a:ext cx="171450" cy="171450"/>
                    </a:xfrm>
                    <a:prstGeom prst="rect">
                      <a:avLst/>
                    </a:prstGeom>
                    <a:noFill/>
                    <a:ln>
                      <a:noFill/>
                    </a:ln>
                  </pic:spPr>
                </pic:pic>
              </a:graphicData>
            </a:graphic>
          </wp:inline>
        </w:drawing>
      </w:r>
    </w:p>
    <w:p w:rsidR="004B20E5" w:rsidRPr="007C27A3" w:rsidRDefault="004B20E5" w:rsidP="007C27A3">
      <w:pPr>
        <w:pStyle w:val="TableTenEssenHlthFunct"/>
      </w:pPr>
      <w:r>
        <w:t>Monitor Health to Identify and Solve Community Health Problems</w:t>
      </w:r>
    </w:p>
    <w:p w:rsidR="004B20E5" w:rsidRPr="002276C8" w:rsidRDefault="004B20E5" w:rsidP="004F2B25">
      <w:pPr>
        <w:pStyle w:val="TableStrategiesunderHealthFunctions"/>
      </w:pPr>
      <w:r w:rsidRPr="002276C8">
        <w:t>S.1.1</w:t>
      </w:r>
      <w:r w:rsidRPr="002276C8">
        <w:tab/>
        <w:t>Increase the use of clinical information systems, evolving regi</w:t>
      </w:r>
      <w:r>
        <w:t xml:space="preserve">stries, and surveys </w:t>
      </w:r>
      <w:r w:rsidRPr="002276C8">
        <w:t>for public health purposes such as assessment, planning, evaluation and dissemination.</w:t>
      </w:r>
    </w:p>
    <w:p w:rsidR="004B20E5" w:rsidRPr="002276C8" w:rsidRDefault="004B20E5" w:rsidP="004F2B25">
      <w:pPr>
        <w:pStyle w:val="TableStrategiesunderHealthFunctions"/>
      </w:pPr>
      <w:r w:rsidRPr="002276C8">
        <w:t>S.1.2</w:t>
      </w:r>
      <w:r w:rsidRPr="002276C8">
        <w:tab/>
        <w:t>Sustain and enhance personnel, informatics systems, information technologies, and telecommunications systems that support comprehensive surveillance of health outcomes and factors associated with these health outcomes.</w:t>
      </w:r>
    </w:p>
    <w:p w:rsidR="004B20E5" w:rsidRPr="002276C8" w:rsidRDefault="004B20E5" w:rsidP="004F2B25">
      <w:pPr>
        <w:pStyle w:val="TableStrategiesunderHealthFunctions"/>
      </w:pPr>
      <w:r w:rsidRPr="002276C8">
        <w:t>S.1.3</w:t>
      </w:r>
      <w:r w:rsidRPr="002276C8">
        <w:tab/>
        <w:t>Continually evaluate the security of surveillance systems to</w:t>
      </w:r>
      <w:r>
        <w:t xml:space="preserve"> ensure </w:t>
      </w:r>
      <w:r w:rsidRPr="002276C8">
        <w:t>individual privacy and confidentiality.</w:t>
      </w:r>
    </w:p>
    <w:p w:rsidR="004B20E5" w:rsidRPr="002276C8" w:rsidRDefault="004B20E5" w:rsidP="004F2B25">
      <w:pPr>
        <w:pStyle w:val="TableStrategiesunderHealthFunctions"/>
      </w:pPr>
      <w:r w:rsidRPr="002276C8">
        <w:t xml:space="preserve">S.1.4 </w:t>
      </w:r>
      <w:r w:rsidRPr="002276C8">
        <w:tab/>
        <w:t>Develop, adopt, and disseminate standards for the collection of data describing race, ethnicity, gender identity, language, socioeconomic status, sexual orientation, disability, and other relevant social determinant domains associated with health outcomes.</w:t>
      </w:r>
    </w:p>
    <w:p w:rsidR="004B20E5" w:rsidRPr="002276C8" w:rsidRDefault="004B20E5" w:rsidP="004F2B25">
      <w:pPr>
        <w:pStyle w:val="TableStrategiesunderHealthFunctions"/>
      </w:pPr>
      <w:r w:rsidRPr="002276C8">
        <w:t>S.1.5</w:t>
      </w:r>
      <w:r w:rsidRPr="002276C8">
        <w:tab/>
        <w:t>Promote the use of mathematical modeling techniques to increase the speed that data is release</w:t>
      </w:r>
      <w:r>
        <w:t>d</w:t>
      </w:r>
      <w:r w:rsidRPr="002276C8">
        <w:t xml:space="preserve"> to stakeholders and the public.</w:t>
      </w:r>
    </w:p>
    <w:p w:rsidR="004B20E5" w:rsidRPr="004F2B25" w:rsidRDefault="004B20E5" w:rsidP="007C27A3">
      <w:pPr>
        <w:pStyle w:val="TableTenEssenHlthFunct"/>
      </w:pPr>
      <w:r w:rsidRPr="004F2B25">
        <w:t xml:space="preserve">Inform, Educate, and Empower People About Health Issues </w:t>
      </w:r>
    </w:p>
    <w:p w:rsidR="004B20E5" w:rsidRPr="002276C8" w:rsidRDefault="004B20E5" w:rsidP="004F2B25">
      <w:pPr>
        <w:pStyle w:val="TableStrategiesunderHealthFunctions"/>
      </w:pPr>
      <w:r w:rsidRPr="002276C8">
        <w:t>S.1.</w:t>
      </w:r>
      <w:r>
        <w:t>6</w:t>
      </w:r>
      <w:r w:rsidRPr="002276C8">
        <w:tab/>
        <w:t xml:space="preserve">Publicize access to </w:t>
      </w:r>
      <w:r>
        <w:t xml:space="preserve">culturally and linguistically appropriate </w:t>
      </w:r>
      <w:r w:rsidRPr="002276C8">
        <w:t>services as they become available through phased implementation of system development.</w:t>
      </w:r>
    </w:p>
    <w:p w:rsidR="004B20E5" w:rsidRPr="002276C8" w:rsidRDefault="004B20E5" w:rsidP="004F2B25">
      <w:pPr>
        <w:pStyle w:val="TableStrategiesunderHealthFunctions"/>
      </w:pPr>
      <w:r w:rsidRPr="002276C8">
        <w:t>S.1.</w:t>
      </w:r>
      <w:r>
        <w:t>7</w:t>
      </w:r>
      <w:r w:rsidRPr="002276C8">
        <w:tab/>
        <w:t xml:space="preserve">Provide technical assistance with adequate staffing to promote system utilization by public and private stakeholders, including but not limited to local public health authorities, academics, community based organizations, and service providers. </w:t>
      </w:r>
    </w:p>
    <w:p w:rsidR="004B20E5" w:rsidRPr="002276C8" w:rsidRDefault="004B20E5" w:rsidP="004F2B25">
      <w:pPr>
        <w:pStyle w:val="TableStrategiesunderHealthFunctions"/>
      </w:pPr>
      <w:r w:rsidRPr="002276C8">
        <w:t>S.1.</w:t>
      </w:r>
      <w:r>
        <w:t>8</w:t>
      </w:r>
      <w:r w:rsidRPr="002276C8">
        <w:tab/>
        <w:t>Enhance user friendly, easily accessible, web-based data query system (like MassCHIP) to disseminate data identified in the plan for research, public information, and community planning at actionable geographic and population sub-group levels.</w:t>
      </w:r>
    </w:p>
    <w:p w:rsidR="004B20E5" w:rsidRPr="002276C8" w:rsidRDefault="004B20E5" w:rsidP="004F2B25">
      <w:pPr>
        <w:pStyle w:val="TableStrategiesunderHealthFunctions"/>
      </w:pPr>
      <w:r w:rsidRPr="002276C8">
        <w:t>S.1.</w:t>
      </w:r>
      <w:r>
        <w:t>9</w:t>
      </w:r>
      <w:r w:rsidRPr="002276C8">
        <w:tab/>
        <w:t xml:space="preserve">Provide mapping, </w:t>
      </w:r>
      <w:r>
        <w:t>small area estimates, standard</w:t>
      </w:r>
      <w:r w:rsidRPr="002276C8">
        <w:t xml:space="preserve"> community health assessment/indicator tools, and data visualization capacity.</w:t>
      </w:r>
    </w:p>
    <w:p w:rsidR="004B20E5" w:rsidRPr="006144DD" w:rsidRDefault="004B20E5" w:rsidP="004F2B25">
      <w:pPr>
        <w:pStyle w:val="TableStrategiesunderHealthFunctions"/>
      </w:pPr>
      <w:r w:rsidRPr="006144DD">
        <w:t>S.1.10</w:t>
      </w:r>
      <w:r w:rsidRPr="006144DD">
        <w:tab/>
        <w:t>Align current public health measures that are tracked in public-facing dashboards (like EHSResults) with those measures listed in the SHIP.</w:t>
      </w:r>
    </w:p>
    <w:p w:rsidR="004B20E5" w:rsidRPr="006144DD" w:rsidRDefault="004B20E5" w:rsidP="004F2B25">
      <w:pPr>
        <w:pStyle w:val="TableStrategiesunderHealthFunctions"/>
      </w:pPr>
      <w:r w:rsidRPr="006144DD">
        <w:t>S.1.11</w:t>
      </w:r>
      <w:r w:rsidRPr="006144DD">
        <w:tab/>
        <w:t>Release basic summary public health reports to the public no later than one year after the change in the calendar year.</w:t>
      </w:r>
    </w:p>
    <w:p w:rsidR="004B20E5" w:rsidRPr="006144DD" w:rsidRDefault="004B20E5" w:rsidP="007C27A3">
      <w:pPr>
        <w:pStyle w:val="TableTenEssenHlthFunct"/>
      </w:pPr>
      <w:r>
        <w:t>Mobilize Community Partnerships to Identify and Solve Health Problems</w:t>
      </w:r>
    </w:p>
    <w:p w:rsidR="004B20E5" w:rsidRPr="006144DD" w:rsidRDefault="004B20E5" w:rsidP="004F2B25">
      <w:pPr>
        <w:pStyle w:val="TableStrategiesunderHealthFunctions"/>
      </w:pPr>
      <w:r w:rsidRPr="006144DD">
        <w:t>S.1.12</w:t>
      </w:r>
      <w:r w:rsidRPr="006144DD">
        <w:tab/>
        <w:t>Highlight achievements of Prevention and Wellness Trust Fund investments.</w:t>
      </w:r>
    </w:p>
    <w:p w:rsidR="004B20E5" w:rsidRPr="006144DD" w:rsidRDefault="004B20E5" w:rsidP="007C27A3">
      <w:pPr>
        <w:pStyle w:val="TableTenEssenHlthFunct"/>
      </w:pPr>
      <w:r>
        <w:t xml:space="preserve">Develop Policies and Plans That Support Individual and Community Health Efforts </w:t>
      </w:r>
    </w:p>
    <w:p w:rsidR="004B20E5" w:rsidRPr="006144DD" w:rsidRDefault="004B20E5" w:rsidP="004F2B25">
      <w:pPr>
        <w:pStyle w:val="TableStrategiesunderHealthFunctions"/>
      </w:pPr>
      <w:r w:rsidRPr="006144DD">
        <w:t>S.1.13</w:t>
      </w:r>
      <w:r w:rsidRPr="006144DD">
        <w:tab/>
        <w:t xml:space="preserve">Establish data sharing agreements and parameters within the context of applicable privacy laws and regulations. </w:t>
      </w:r>
    </w:p>
    <w:p w:rsidR="004B20E5" w:rsidRPr="006144DD" w:rsidRDefault="004B20E5" w:rsidP="004F2B25">
      <w:pPr>
        <w:pStyle w:val="TableStrategiesunderHealthFunctions"/>
      </w:pPr>
      <w:r w:rsidRPr="006144DD">
        <w:t>S.1.14</w:t>
      </w:r>
      <w:r w:rsidRPr="006144DD">
        <w:tab/>
        <w:t>Establish cost sharing authority and protocols for public and private sector institutional users.</w:t>
      </w:r>
    </w:p>
    <w:p w:rsidR="004B20E5" w:rsidRPr="006144DD" w:rsidRDefault="004B20E5" w:rsidP="004F2B25">
      <w:pPr>
        <w:pStyle w:val="TableStrategiesunderHealthFunctions"/>
      </w:pPr>
      <w:r w:rsidRPr="006144DD">
        <w:t>S.1.15</w:t>
      </w:r>
      <w:r w:rsidRPr="006144DD">
        <w:tab/>
        <w:t>Align available information technology</w:t>
      </w:r>
      <w:r w:rsidR="004D5A79">
        <w:t xml:space="preserve"> </w:t>
      </w:r>
      <w:r w:rsidRPr="006144DD">
        <w:t>(IT) resources.</w:t>
      </w:r>
    </w:p>
    <w:p w:rsidR="004B20E5" w:rsidRPr="006144DD" w:rsidRDefault="004B20E5" w:rsidP="004F2B25">
      <w:pPr>
        <w:pStyle w:val="TableStrategiesunderHealthFunctions"/>
      </w:pPr>
      <w:r w:rsidRPr="006144DD">
        <w:t>S.1.16</w:t>
      </w:r>
      <w:r w:rsidRPr="006144DD">
        <w:tab/>
        <w:t>Develop an ethnical framework for data collection and reporting in cooperation with stakeholders from fields such as law, health ethics, health equity, biostatistics, IT security, and consumer advocacy and protection.</w:t>
      </w:r>
      <w:r>
        <w:t xml:space="preserve">  The framework should appropriately balance the risks of data security concerns with the risks of not fully utilizing data to improve the health of the citizens of MA.</w:t>
      </w:r>
    </w:p>
    <w:p w:rsidR="004B20E5" w:rsidRPr="002276C8" w:rsidRDefault="004B20E5" w:rsidP="004F2B25">
      <w:pPr>
        <w:pStyle w:val="TableStrategiesunderHealthFunctions"/>
      </w:pPr>
      <w:r w:rsidRPr="006144DD">
        <w:t>S.1.17</w:t>
      </w:r>
      <w:r w:rsidRPr="006144DD">
        <w:tab/>
        <w:t>Develop new evidence-based consensus measures addressing objectives and strategies for health priority areas across the SHIP not covered by current public health measures, and advocate for their use by all appropriate stakeholders.</w:t>
      </w:r>
    </w:p>
    <w:p w:rsidR="004B20E5" w:rsidRPr="002276C8" w:rsidRDefault="004B20E5" w:rsidP="004F2B25">
      <w:pPr>
        <w:pStyle w:val="TableStrategiesunderHealthFunctions"/>
      </w:pPr>
      <w:r w:rsidRPr="002276C8">
        <w:t>S.1.1</w:t>
      </w:r>
      <w:r>
        <w:t>8</w:t>
      </w:r>
      <w:r w:rsidRPr="002276C8">
        <w:tab/>
        <w:t xml:space="preserve">Apply Quality Improvement processes to assess and implement opportunities to ensure accelerated approval of research subject to Institutional Review Board </w:t>
      </w:r>
      <w:r w:rsidRPr="002276C8">
        <w:lastRenderedPageBreak/>
        <w:t>(IRB) requirements of M.G.L. c. 111, section 24A, including submission, review, revision, and approval.</w:t>
      </w:r>
    </w:p>
    <w:p w:rsidR="004B20E5" w:rsidRPr="002276C8" w:rsidRDefault="004B20E5" w:rsidP="004F2B25">
      <w:pPr>
        <w:pStyle w:val="TableStrategiesunderHealthFunctions"/>
      </w:pPr>
      <w:r w:rsidRPr="002276C8">
        <w:t>S.1.1</w:t>
      </w:r>
      <w:r>
        <w:t>9</w:t>
      </w:r>
      <w:r w:rsidRPr="002276C8">
        <w:tab/>
        <w:t>Continue to evolve technical capabilities to automate surveillance data collection and reporting to improve their timeliness, completeness, and utility.</w:t>
      </w:r>
    </w:p>
    <w:p w:rsidR="004B20E5" w:rsidRPr="002276C8" w:rsidRDefault="004B20E5" w:rsidP="004F2B25">
      <w:pPr>
        <w:pStyle w:val="TableStrategiesunderHealthFunctions"/>
      </w:pPr>
      <w:r w:rsidRPr="002276C8">
        <w:t>S.1.</w:t>
      </w:r>
      <w:r>
        <w:t>20</w:t>
      </w:r>
      <w:r w:rsidRPr="002276C8">
        <w:tab/>
        <w:t>Develop, adopt, and disseminate standards for the collection of data describing race, ethnicity, gender identity, language, socioeconomic status, sexual orientation, disability, and other relevant social determinant domains.</w:t>
      </w:r>
    </w:p>
    <w:p w:rsidR="004B20E5" w:rsidRPr="002276C8" w:rsidRDefault="004B20E5" w:rsidP="004F2B25">
      <w:pPr>
        <w:pStyle w:val="TableStrategiesunderHealthFunctions"/>
      </w:pPr>
      <w:r w:rsidRPr="002276C8">
        <w:t>S.1.</w:t>
      </w:r>
      <w:r>
        <w:t>21</w:t>
      </w:r>
      <w:r w:rsidRPr="002276C8">
        <w:tab/>
        <w:t xml:space="preserve">Develop a governance plan for the Public Health Data Warehouse that ensures broad data access across </w:t>
      </w:r>
      <w:r w:rsidR="001D686E">
        <w:t>M</w:t>
      </w:r>
      <w:r w:rsidRPr="002276C8">
        <w:t>DPH as well as for partners representing the public, local health departments, other governmental entities, and public health researchers.</w:t>
      </w:r>
    </w:p>
    <w:p w:rsidR="004B20E5" w:rsidRPr="004F2B25" w:rsidRDefault="004B20E5" w:rsidP="007C27A3">
      <w:pPr>
        <w:pStyle w:val="TableTenEssenHlthFunct"/>
      </w:pPr>
      <w:r>
        <w:t>Assure a Competent Public and Personal Healthcare Workforce</w:t>
      </w:r>
    </w:p>
    <w:p w:rsidR="004B20E5" w:rsidRPr="002276C8" w:rsidRDefault="004B20E5" w:rsidP="004F2B25">
      <w:pPr>
        <w:pStyle w:val="TableStrategiesunderHealthFunctions"/>
      </w:pPr>
      <w:r w:rsidRPr="002276C8">
        <w:t>S.1.</w:t>
      </w:r>
      <w:r>
        <w:t>22</w:t>
      </w:r>
      <w:r w:rsidRPr="002276C8">
        <w:tab/>
        <w:t>Sustain or enhance capacity of local health departments, other governmental entities, and private sector and academic partners to contribute to surveillance data gathering and interpretation.</w:t>
      </w:r>
    </w:p>
    <w:p w:rsidR="004B20E5" w:rsidRPr="004F2B25" w:rsidRDefault="004B20E5" w:rsidP="007C27A3">
      <w:pPr>
        <w:pStyle w:val="TableTenEssenHlthFunct"/>
      </w:pPr>
      <w:r>
        <w:t>Evaluate Effectiveness, Accessibility, and Quality of Health Services</w:t>
      </w:r>
    </w:p>
    <w:p w:rsidR="004B20E5" w:rsidRPr="002276C8" w:rsidRDefault="004B20E5" w:rsidP="004F2B25">
      <w:pPr>
        <w:pStyle w:val="TableStrategiesunderHealthFunctions"/>
      </w:pPr>
      <w:r w:rsidRPr="002276C8">
        <w:t>S.1.</w:t>
      </w:r>
      <w:r>
        <w:t>23</w:t>
      </w:r>
      <w:r w:rsidRPr="002276C8">
        <w:tab/>
        <w:t xml:space="preserve">Support and monitor use of proven best practices in implementation of the federal </w:t>
      </w:r>
      <w:r w:rsidRPr="008E386F">
        <w:t xml:space="preserve">CLAS (Culturally and Linguistically Appropriate Services) </w:t>
      </w:r>
      <w:r w:rsidRPr="002276C8">
        <w:t>Standards for all public health domains and health care stakeholders across all jurisdictions and organizational types.</w:t>
      </w:r>
    </w:p>
    <w:p w:rsidR="004B20E5" w:rsidRPr="002276C8" w:rsidRDefault="004B20E5" w:rsidP="004F2B25">
      <w:pPr>
        <w:pStyle w:val="TableStrategiesunderHealthFunctions"/>
      </w:pPr>
      <w:r w:rsidRPr="002276C8">
        <w:t>S.1.</w:t>
      </w:r>
      <w:r>
        <w:t>24</w:t>
      </w:r>
      <w:r w:rsidRPr="002276C8">
        <w:tab/>
        <w:t>Support and monitor coordinated research and evaluation, including community-based participatory research, to understand and disseminate effective strategies for ending health disparities.</w:t>
      </w:r>
    </w:p>
    <w:p w:rsidR="004B20E5" w:rsidRDefault="004B20E5" w:rsidP="00D00411">
      <w:pPr>
        <w:pStyle w:val="TableStrategiesunderHealthFunctions"/>
      </w:pPr>
    </w:p>
    <w:p w:rsidR="004B20E5" w:rsidRPr="007C27A3" w:rsidRDefault="004B20E5" w:rsidP="007C27A3">
      <w:pPr>
        <w:pStyle w:val="ObjectiveStatement"/>
      </w:pPr>
      <w:r w:rsidRPr="007C27A3">
        <w:t xml:space="preserve">Systems </w:t>
      </w:r>
      <w:r>
        <w:t>Measure</w:t>
      </w:r>
      <w:r w:rsidRPr="007C27A3">
        <w:t>2:</w:t>
      </w:r>
    </w:p>
    <w:p w:rsidR="004B20E5" w:rsidRPr="00CE2869" w:rsidRDefault="004B20E5" w:rsidP="00EF6E42">
      <w:pPr>
        <w:pStyle w:val="ObjectiveStatement"/>
        <w:rPr>
          <w:b w:val="0"/>
          <w:i/>
        </w:rPr>
      </w:pPr>
      <w:r>
        <w:tab/>
        <w:t xml:space="preserve">By December 31, 2015, enhance the capacity of local health departments to respond to public health needs.   </w:t>
      </w:r>
    </w:p>
    <w:p w:rsidR="004B20E5" w:rsidRDefault="004B20E5" w:rsidP="007C27A3">
      <w:pPr>
        <w:pStyle w:val="TableTenEssenHlthFunct"/>
      </w:pPr>
      <w:r>
        <w:t>Monitor Health to Identify and Solve Community Health Problems</w:t>
      </w:r>
    </w:p>
    <w:p w:rsidR="004B20E5" w:rsidRDefault="004B20E5" w:rsidP="007C27A3">
      <w:pPr>
        <w:pStyle w:val="TableStrategiesunderHealthFunctions"/>
      </w:pPr>
      <w:r>
        <w:t>S.2.1</w:t>
      </w:r>
      <w:r>
        <w:tab/>
        <w:t>Promote and support local health departments in conducting an analysis of the public health needs of the population in their municipality or health</w:t>
      </w:r>
      <w:r w:rsidR="00600296">
        <w:t xml:space="preserve"> </w:t>
      </w:r>
      <w:r>
        <w:t>district.</w:t>
      </w:r>
    </w:p>
    <w:p w:rsidR="004B20E5" w:rsidRDefault="004B20E5" w:rsidP="007C27A3">
      <w:pPr>
        <w:pStyle w:val="TableStrategiesunderHealthFunctions"/>
      </w:pPr>
      <w:r>
        <w:t>S.2.2</w:t>
      </w:r>
      <w:r>
        <w:tab/>
        <w:t>Promote collaboration between local health departments and regional health districts and health care organizations evaluating local public health needs.</w:t>
      </w:r>
    </w:p>
    <w:p w:rsidR="004B20E5" w:rsidRPr="007C27A3" w:rsidRDefault="004B20E5" w:rsidP="007C27A3">
      <w:pPr>
        <w:pStyle w:val="TableTenEssenHlthFunct"/>
      </w:pPr>
      <w:r>
        <w:t>Assure a Competent Public and Personal Healthcare Workforce</w:t>
      </w:r>
    </w:p>
    <w:p w:rsidR="004B20E5" w:rsidRDefault="004B20E5" w:rsidP="007C27A3">
      <w:pPr>
        <w:pStyle w:val="TableStrategiesunderHealthFunctions"/>
        <w:rPr>
          <w:iCs/>
        </w:rPr>
      </w:pPr>
      <w:r>
        <w:t>S.2.3</w:t>
      </w:r>
      <w:r>
        <w:tab/>
      </w:r>
      <w:r w:rsidRPr="007C27A3">
        <w:rPr>
          <w:iCs/>
        </w:rPr>
        <w:t>Strengthen and sustain the capacity of local boards o</w:t>
      </w:r>
      <w:r>
        <w:rPr>
          <w:iCs/>
        </w:rPr>
        <w:t xml:space="preserve">f health to prepare for and </w:t>
      </w:r>
      <w:r w:rsidRPr="007C27A3">
        <w:rPr>
          <w:iCs/>
        </w:rPr>
        <w:t>respond to public health issues and emergenci</w:t>
      </w:r>
      <w:r>
        <w:rPr>
          <w:iCs/>
        </w:rPr>
        <w:t xml:space="preserve">es and to promote the health of </w:t>
      </w:r>
      <w:r w:rsidRPr="007C27A3">
        <w:rPr>
          <w:iCs/>
        </w:rPr>
        <w:t>residents of the Commonwealth through prov</w:t>
      </w:r>
      <w:r>
        <w:rPr>
          <w:iCs/>
        </w:rPr>
        <w:t>ision of training and technical assistance.</w:t>
      </w:r>
    </w:p>
    <w:p w:rsidR="004B20E5" w:rsidRPr="007C27A3" w:rsidRDefault="004B20E5" w:rsidP="007C27A3">
      <w:pPr>
        <w:pStyle w:val="TableStrategiesunderHealthFunctions"/>
        <w:rPr>
          <w:iCs/>
        </w:rPr>
      </w:pPr>
      <w:r>
        <w:t>S.2.4</w:t>
      </w:r>
      <w:r>
        <w:tab/>
        <w:t>Convene ad hoc workgroups and other appropriate entities to identify and coordinate planning and program implementation to sustain the Office of Local and Regional Health.</w:t>
      </w:r>
    </w:p>
    <w:p w:rsidR="004B20E5" w:rsidRPr="007C27A3" w:rsidRDefault="004B20E5" w:rsidP="007C27A3">
      <w:pPr>
        <w:pStyle w:val="TableTenEssenHlthFunct"/>
      </w:pPr>
      <w:r>
        <w:t>Evaluate Effectiveness, Accessibility, and Quality of Health Services</w:t>
      </w:r>
    </w:p>
    <w:p w:rsidR="004B20E5" w:rsidRPr="007C27A3" w:rsidRDefault="004B20E5" w:rsidP="007C27A3">
      <w:pPr>
        <w:pStyle w:val="TableStrategiesunderHealthFunctions"/>
      </w:pPr>
      <w:r w:rsidRPr="007C27A3">
        <w:t>S.2.5</w:t>
      </w:r>
      <w:r w:rsidRPr="007C27A3">
        <w:tab/>
        <w:t>Provide technical assistance to local health departments and regional</w:t>
      </w:r>
      <w:r>
        <w:t xml:space="preserve"> health districts </w:t>
      </w:r>
      <w:r w:rsidRPr="007C27A3">
        <w:t xml:space="preserve">in applying for national public health accreditation.  </w:t>
      </w:r>
    </w:p>
    <w:p w:rsidR="004B20E5" w:rsidRDefault="004B20E5" w:rsidP="00160117">
      <w:pPr>
        <w:tabs>
          <w:tab w:val="left" w:pos="720"/>
        </w:tabs>
        <w:ind w:left="173"/>
        <w:rPr>
          <w:rFonts w:ascii="Calibri" w:hAnsi="Calibri" w:cs="Arial"/>
          <w:sz w:val="24"/>
          <w:szCs w:val="24"/>
        </w:rPr>
      </w:pPr>
      <w:r>
        <w:rPr>
          <w:rFonts w:ascii="Calibri" w:hAnsi="Calibri" w:cs="Arial"/>
          <w:sz w:val="24"/>
          <w:szCs w:val="24"/>
        </w:rPr>
        <w:br w:type="page"/>
      </w:r>
    </w:p>
    <w:p w:rsidR="004B20E5" w:rsidRDefault="004B20E5" w:rsidP="00160117">
      <w:pPr>
        <w:tabs>
          <w:tab w:val="left" w:pos="720"/>
        </w:tabs>
        <w:ind w:left="173"/>
        <w:rPr>
          <w:rFonts w:ascii="Calibri" w:hAnsi="Calibri" w:cs="Arial"/>
          <w:sz w:val="24"/>
          <w:szCs w:val="24"/>
        </w:rPr>
      </w:pPr>
    </w:p>
    <w:p w:rsidR="004B20E5" w:rsidRDefault="004B20E5" w:rsidP="00CB2B0E">
      <w:pPr>
        <w:pStyle w:val="ObjectiveStatement"/>
      </w:pPr>
      <w:r>
        <w:t>Systems Measure 3:</w:t>
      </w:r>
      <w:r>
        <w:br/>
      </w:r>
      <w:r w:rsidRPr="00CE2869">
        <w:t xml:space="preserve">By December 31, 2015, establish and maintain a </w:t>
      </w:r>
      <w:r>
        <w:t xml:space="preserve">system to support and provide technical assistance to a </w:t>
      </w:r>
      <w:r w:rsidRPr="00CE2869">
        <w:t xml:space="preserve">network of </w:t>
      </w:r>
      <w:r>
        <w:t xml:space="preserve">community based </w:t>
      </w:r>
      <w:r w:rsidRPr="00CE2869">
        <w:t>collaborative partnerships across Massachusetts to promote public health</w:t>
      </w:r>
      <w:r>
        <w:t>.</w:t>
      </w:r>
    </w:p>
    <w:p w:rsidR="004B20E5" w:rsidRPr="00F22266" w:rsidRDefault="00F03799" w:rsidP="002276C8">
      <w:pPr>
        <w:pStyle w:val="BodyText"/>
      </w:pPr>
      <w:r>
        <w:rPr>
          <w:noProof/>
        </w:rPr>
        <w:drawing>
          <wp:inline distT="0" distB="0" distL="0" distR="0" wp14:anchorId="57C2FCA0" wp14:editId="6E62728B">
            <wp:extent cx="17145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l="17612" t="18253" r="18530" b="29434"/>
                    <a:stretch>
                      <a:fillRect/>
                    </a:stretch>
                  </pic:blipFill>
                  <pic:spPr bwMode="auto">
                    <a:xfrm>
                      <a:off x="0" y="0"/>
                      <a:ext cx="171450" cy="171450"/>
                    </a:xfrm>
                    <a:prstGeom prst="rect">
                      <a:avLst/>
                    </a:prstGeom>
                    <a:noFill/>
                    <a:ln>
                      <a:noFill/>
                    </a:ln>
                  </pic:spPr>
                </pic:pic>
              </a:graphicData>
            </a:graphic>
          </wp:inline>
        </w:drawing>
      </w:r>
    </w:p>
    <w:p w:rsidR="004B20E5" w:rsidRDefault="004B20E5" w:rsidP="007C27A3">
      <w:pPr>
        <w:pStyle w:val="TableTenEssenHlthFunct"/>
      </w:pPr>
      <w:r>
        <w:t>Monitor Health to Identify and Solve Community Health Problems</w:t>
      </w:r>
    </w:p>
    <w:p w:rsidR="004B20E5" w:rsidRDefault="004B20E5" w:rsidP="002276C8">
      <w:pPr>
        <w:pStyle w:val="TableStrategiesunderHealthFunctions"/>
      </w:pPr>
      <w:r>
        <w:t>S.3.1</w:t>
      </w:r>
      <w:r>
        <w:tab/>
        <w:t>Promote and support community health coalitions in conducting Community Health Assessments to inform them about the state of health and needs of the population in their community or area of concern.</w:t>
      </w:r>
    </w:p>
    <w:p w:rsidR="004B20E5" w:rsidRDefault="004B20E5" w:rsidP="002276C8">
      <w:pPr>
        <w:pStyle w:val="TableStrategiesunderHealthFunctions"/>
      </w:pPr>
      <w:r>
        <w:t>S.3.2</w:t>
      </w:r>
      <w:r>
        <w:tab/>
        <w:t>Promote collaboration between community health coalitions and health care organizations around the conduct of community health assessments.</w:t>
      </w:r>
    </w:p>
    <w:p w:rsidR="004B20E5" w:rsidRDefault="004B20E5" w:rsidP="007C27A3">
      <w:pPr>
        <w:pStyle w:val="TableTenEssenHlthFunct"/>
      </w:pPr>
      <w:r>
        <w:t>Mobilize Community Partnerships to Identify and Solve Health Problems</w:t>
      </w:r>
    </w:p>
    <w:p w:rsidR="004B20E5" w:rsidRDefault="004B20E5" w:rsidP="002276C8">
      <w:pPr>
        <w:pStyle w:val="TableStrategiesunderHealthFunctions"/>
      </w:pPr>
      <w:r>
        <w:t>S.3.3</w:t>
      </w:r>
      <w:r w:rsidRPr="00577423">
        <w:tab/>
        <w:t xml:space="preserve">Convene cross sector councils, </w:t>
      </w:r>
      <w:r w:rsidRPr="00CA4605">
        <w:t>ad hoc</w:t>
      </w:r>
      <w:r w:rsidRPr="00577423">
        <w:t xml:space="preserve"> work groups, and other appropriate entities to coordinate planning, policy development, and program implementation among state agencies, in cooperation with municipalities and private sector partners, to</w:t>
      </w:r>
      <w:r w:rsidR="00600296">
        <w:t xml:space="preserve"> </w:t>
      </w:r>
      <w:r>
        <w:t>support all aspects of the SHIP.</w:t>
      </w:r>
    </w:p>
    <w:p w:rsidR="004B20E5" w:rsidRDefault="004B20E5" w:rsidP="007C27A3">
      <w:pPr>
        <w:pStyle w:val="TableTenEssenHlthFunct"/>
      </w:pPr>
      <w:r>
        <w:t xml:space="preserve">Develop Policies and Plans That Support Individual and Community Health Efforts </w:t>
      </w:r>
    </w:p>
    <w:p w:rsidR="004B20E5" w:rsidRDefault="004B20E5" w:rsidP="002276C8">
      <w:pPr>
        <w:pStyle w:val="TableStrategiesunderHealthFunctions"/>
      </w:pPr>
      <w:r>
        <w:t>S.3.4</w:t>
      </w:r>
      <w:r w:rsidRPr="00577423">
        <w:tab/>
      </w:r>
      <w:r>
        <w:t>C</w:t>
      </w:r>
      <w:r w:rsidRPr="00577423">
        <w:t>oordinate policies involving Community Benefits and Determination of Need community health initiatives, in cooperation with hospitals, HMOs, and community heath coalitions.</w:t>
      </w:r>
    </w:p>
    <w:p w:rsidR="004B20E5" w:rsidRDefault="004B20E5" w:rsidP="002276C8">
      <w:pPr>
        <w:pStyle w:val="TableStrategiesunderHealthFunctions"/>
      </w:pPr>
      <w:r>
        <w:t>S.3.5</w:t>
      </w:r>
      <w:r>
        <w:tab/>
        <w:t xml:space="preserve">Develop standards for planning, implementing and evaluating </w:t>
      </w:r>
      <w:r w:rsidRPr="00577423">
        <w:t>Determination of Need community health initiatives, in cooperation with hospitals, and community heath coalitions</w:t>
      </w:r>
      <w:r>
        <w:t xml:space="preserve">, based on researched best practices and the findings of the HIA study conducted in 2014 by </w:t>
      </w:r>
      <w:r w:rsidR="001D686E">
        <w:t>M</w:t>
      </w:r>
      <w:r>
        <w:t>DPH.</w:t>
      </w:r>
    </w:p>
    <w:p w:rsidR="004B20E5" w:rsidRDefault="004B20E5" w:rsidP="007C27A3">
      <w:pPr>
        <w:pStyle w:val="TableTenEssenHlthFunct"/>
      </w:pPr>
      <w:r>
        <w:t>Assure a Competent Public and Personal Healthcare Workforce</w:t>
      </w:r>
    </w:p>
    <w:p w:rsidR="004B20E5" w:rsidRPr="00DD0889" w:rsidRDefault="004B20E5" w:rsidP="002276C8">
      <w:pPr>
        <w:pStyle w:val="TableStrategiesunderHealthFunctions"/>
      </w:pPr>
      <w:r>
        <w:t>S.3.6</w:t>
      </w:r>
      <w:r w:rsidRPr="00577423">
        <w:tab/>
        <w:t xml:space="preserve">Coordinate training and technical assistance, including integrated web-based and data services, to support municipalities, community health coalitions, professional provider associations, </w:t>
      </w:r>
      <w:r>
        <w:t xml:space="preserve">community health workers, </w:t>
      </w:r>
      <w:r w:rsidRPr="00577423">
        <w:t>and other partnerships invol</w:t>
      </w:r>
      <w:r>
        <w:t xml:space="preserve">ving the state health department </w:t>
      </w:r>
      <w:r w:rsidRPr="00577423">
        <w:t>.</w:t>
      </w:r>
    </w:p>
    <w:p w:rsidR="004B20E5" w:rsidRDefault="004B20E5" w:rsidP="002276C8"/>
    <w:p w:rsidR="004B20E5" w:rsidRDefault="004B20E5" w:rsidP="00CB2B0E">
      <w:pPr>
        <w:pStyle w:val="ObjectiveStatement"/>
      </w:pPr>
      <w:r w:rsidRPr="008E386F">
        <w:t xml:space="preserve">Systems Measure 4:  </w:t>
      </w:r>
    </w:p>
    <w:p w:rsidR="004B20E5" w:rsidRDefault="004B20E5" w:rsidP="00CB2B0E">
      <w:pPr>
        <w:pStyle w:val="ObjectiveStatement"/>
      </w:pPr>
      <w:r>
        <w:tab/>
      </w:r>
      <w:r w:rsidRPr="001A53BD">
        <w:t>By June 30, 2017, establish six regional health and medical coordinating coalitions that will support and enhance the ability of the Commonwealth to prepare for, respond to, recover from, and mitigate the impact of public health and medical threats, emergencies and disasters, including acts of terrorism</w:t>
      </w:r>
      <w:r>
        <w:t>.</w:t>
      </w:r>
    </w:p>
    <w:p w:rsidR="004B20E5" w:rsidRPr="001A53BD" w:rsidRDefault="004B20E5" w:rsidP="00A1040D">
      <w:pPr>
        <w:ind w:left="2790" w:hanging="810"/>
        <w:rPr>
          <w:rFonts w:cs="Arial"/>
          <w:sz w:val="20"/>
        </w:rPr>
      </w:pPr>
    </w:p>
    <w:p w:rsidR="004B20E5" w:rsidRPr="001A53BD" w:rsidRDefault="004B20E5" w:rsidP="007C27A3">
      <w:pPr>
        <w:pStyle w:val="TableTenEssenHlthFunct"/>
      </w:pPr>
      <w:r>
        <w:t>Mobilize Community Partnerships to Identify and Solve Health Problems</w:t>
      </w:r>
    </w:p>
    <w:p w:rsidR="004B20E5" w:rsidRPr="001A53BD" w:rsidRDefault="004B20E5" w:rsidP="00A1040D">
      <w:pPr>
        <w:ind w:left="2790" w:hanging="810"/>
        <w:rPr>
          <w:rFonts w:cs="Arial"/>
          <w:sz w:val="20"/>
        </w:rPr>
      </w:pPr>
      <w:r w:rsidRPr="001A53BD">
        <w:rPr>
          <w:rFonts w:cs="Arial"/>
          <w:sz w:val="20"/>
        </w:rPr>
        <w:t>S.4.</w:t>
      </w:r>
      <w:r>
        <w:rPr>
          <w:rFonts w:cs="Arial"/>
          <w:sz w:val="20"/>
        </w:rPr>
        <w:t>1</w:t>
      </w:r>
      <w:r w:rsidRPr="001A53BD">
        <w:rPr>
          <w:rFonts w:cs="Arial"/>
          <w:sz w:val="20"/>
        </w:rPr>
        <w:tab/>
        <w:t>Ensure that all-hazards plans include policies and procedures to assure access to care following emergencies and disasters for all residents, and specifically address populations with access and functional needs, including but not limited to health vulnerabilities such as chronic disease or poor health status; limited access to local health resources; limited English proficiency; poverty;  reduced ability to move or walk independently or respond quickly to directions during an emergency; and reduced ability to hear, speak, understand, or remember.</w:t>
      </w:r>
    </w:p>
    <w:p w:rsidR="004B20E5" w:rsidRPr="001A53BD" w:rsidRDefault="004B20E5" w:rsidP="00A1040D">
      <w:pPr>
        <w:ind w:left="2790" w:hanging="810"/>
        <w:rPr>
          <w:rFonts w:cs="Arial"/>
          <w:sz w:val="20"/>
        </w:rPr>
      </w:pPr>
      <w:r>
        <w:rPr>
          <w:rFonts w:cs="Arial"/>
          <w:sz w:val="20"/>
        </w:rPr>
        <w:t>S.4.2</w:t>
      </w:r>
      <w:r w:rsidRPr="001A53BD">
        <w:rPr>
          <w:rFonts w:cs="Arial"/>
          <w:sz w:val="20"/>
        </w:rPr>
        <w:tab/>
        <w:t xml:space="preserve">Sustain and enhance partnerships among local public health, hospitals, community health centers and ambulatory care practices, emergency medical services, long term care facilities, and other health and medical stakeholders to ensure collaborative planning.  </w:t>
      </w:r>
    </w:p>
    <w:p w:rsidR="004B20E5" w:rsidRPr="001A53BD" w:rsidRDefault="004B20E5" w:rsidP="007C27A3">
      <w:pPr>
        <w:pStyle w:val="TableTenEssenHlthFunct"/>
      </w:pPr>
      <w:r>
        <w:t xml:space="preserve">Develop Policies and Plans That Support Individual and Community Health Efforts </w:t>
      </w:r>
    </w:p>
    <w:p w:rsidR="004B20E5" w:rsidRPr="001A53BD" w:rsidRDefault="004B20E5" w:rsidP="00A1040D">
      <w:pPr>
        <w:ind w:left="2790" w:hanging="810"/>
        <w:rPr>
          <w:rFonts w:cs="Arial"/>
          <w:sz w:val="20"/>
        </w:rPr>
      </w:pPr>
      <w:r w:rsidRPr="001A53BD">
        <w:rPr>
          <w:rFonts w:cs="Arial"/>
          <w:sz w:val="20"/>
        </w:rPr>
        <w:t>S.4.</w:t>
      </w:r>
      <w:r>
        <w:rPr>
          <w:rFonts w:cs="Arial"/>
          <w:sz w:val="20"/>
        </w:rPr>
        <w:t>3</w:t>
      </w:r>
      <w:r w:rsidRPr="001A53BD">
        <w:rPr>
          <w:rFonts w:cs="Arial"/>
          <w:sz w:val="20"/>
        </w:rPr>
        <w:tab/>
        <w:t xml:space="preserve">Support the development of capabilities-based local, regional, and state all-hazards plans that address potential hazards, vulnerabilities, and risks to public </w:t>
      </w:r>
      <w:r w:rsidRPr="001A53BD">
        <w:rPr>
          <w:rFonts w:cs="Arial"/>
          <w:sz w:val="20"/>
        </w:rPr>
        <w:lastRenderedPageBreak/>
        <w:t>health, medical, and mental/behavioral health services and systems identified through jurisdictional risk assessments.</w:t>
      </w:r>
    </w:p>
    <w:p w:rsidR="004B20E5" w:rsidRPr="001A53BD" w:rsidRDefault="004B20E5" w:rsidP="00A1040D">
      <w:pPr>
        <w:ind w:left="2790" w:hanging="810"/>
        <w:rPr>
          <w:rFonts w:cs="Arial"/>
          <w:sz w:val="20"/>
        </w:rPr>
      </w:pPr>
      <w:r w:rsidRPr="001A53BD">
        <w:rPr>
          <w:rFonts w:cs="Arial"/>
          <w:sz w:val="20"/>
        </w:rPr>
        <w:t>S.4.</w:t>
      </w:r>
      <w:r>
        <w:rPr>
          <w:rFonts w:cs="Arial"/>
          <w:sz w:val="20"/>
        </w:rPr>
        <w:t>4</w:t>
      </w:r>
      <w:r w:rsidRPr="001A53BD">
        <w:rPr>
          <w:rFonts w:cs="Arial"/>
          <w:sz w:val="20"/>
        </w:rPr>
        <w:tab/>
        <w:t>Ensure that local, regional, and state plans prioritize and address the rebuilding of public health, medical, and mental/behavioral health services and systems following a disaster to at least a level of functioning comparable to pre-disaster levels, and to improved levels where possible.</w:t>
      </w:r>
    </w:p>
    <w:p w:rsidR="004B20E5" w:rsidRPr="001A53BD" w:rsidRDefault="004B20E5" w:rsidP="007C27A3">
      <w:pPr>
        <w:pStyle w:val="TableTenEssenHlthFunct"/>
      </w:pPr>
      <w:r>
        <w:t>Engagement with Governing Entities</w:t>
      </w:r>
    </w:p>
    <w:p w:rsidR="004B20E5" w:rsidRPr="001A53BD" w:rsidRDefault="004B20E5" w:rsidP="00A1040D">
      <w:pPr>
        <w:ind w:left="2790" w:hanging="810"/>
        <w:rPr>
          <w:rFonts w:cs="Arial"/>
          <w:sz w:val="20"/>
        </w:rPr>
      </w:pPr>
      <w:r w:rsidRPr="001A53BD">
        <w:rPr>
          <w:rFonts w:cs="Arial"/>
          <w:sz w:val="20"/>
        </w:rPr>
        <w:t>S.4.5</w:t>
      </w:r>
      <w:r w:rsidRPr="001A53BD">
        <w:rPr>
          <w:rFonts w:cs="Arial"/>
          <w:sz w:val="20"/>
        </w:rPr>
        <w:tab/>
        <w:t>Support the development of a regional capacity to coordinate a response to impacts from public health and medical threats, emergencies or disasters through the formation of multi-disciplinary regional healthcare coalitions.</w:t>
      </w:r>
    </w:p>
    <w:p w:rsidR="004B20E5" w:rsidRPr="001A53BD" w:rsidRDefault="004B20E5" w:rsidP="00A1040D">
      <w:pPr>
        <w:ind w:left="2790" w:hanging="810"/>
        <w:rPr>
          <w:rFonts w:cs="Arial"/>
          <w:sz w:val="20"/>
        </w:rPr>
      </w:pPr>
      <w:r w:rsidRPr="001A53BD">
        <w:rPr>
          <w:rFonts w:cs="Arial"/>
          <w:sz w:val="20"/>
        </w:rPr>
        <w:t>S.4.6</w:t>
      </w:r>
      <w:r w:rsidRPr="001A53BD">
        <w:rPr>
          <w:rFonts w:cs="Arial"/>
          <w:sz w:val="20"/>
        </w:rPr>
        <w:tab/>
        <w:t>Ensure a robust IT infrastructure to support critical information sharing during emergencies and disasters through platforms including but not limited to the Health and Homeland Alert Network, MAVEN, and WebEOC</w:t>
      </w:r>
      <w:r>
        <w:rPr>
          <w:rFonts w:cs="Arial"/>
          <w:sz w:val="20"/>
        </w:rPr>
        <w:t>.</w:t>
      </w:r>
    </w:p>
    <w:p w:rsidR="004B20E5" w:rsidRPr="008624C7" w:rsidRDefault="004B20E5" w:rsidP="00A1040D"/>
    <w:p w:rsidR="004B20E5" w:rsidRDefault="004B20E5" w:rsidP="00CB2B0E">
      <w:pPr>
        <w:pStyle w:val="ObjectiveStatement"/>
      </w:pPr>
      <w:r>
        <w:rPr>
          <w:noProof/>
        </w:rPr>
        <w:t>Systems Measure 5</w:t>
      </w:r>
      <w:r w:rsidRPr="00577423">
        <w:t>:</w:t>
      </w:r>
    </w:p>
    <w:p w:rsidR="004B20E5" w:rsidRPr="00577423" w:rsidRDefault="00F03799" w:rsidP="00CB2B0E">
      <w:pPr>
        <w:pStyle w:val="ObjectiveStatement"/>
      </w:pPr>
      <w:r>
        <w:rPr>
          <w:noProof/>
        </w:rPr>
        <w:drawing>
          <wp:anchor distT="0" distB="0" distL="114300" distR="114300" simplePos="0" relativeHeight="251641856" behindDoc="0" locked="0" layoutInCell="1" allowOverlap="1" wp14:anchorId="51D13854" wp14:editId="626AD5D7">
            <wp:simplePos x="0" y="0"/>
            <wp:positionH relativeFrom="column">
              <wp:posOffset>10160</wp:posOffset>
            </wp:positionH>
            <wp:positionV relativeFrom="paragraph">
              <wp:posOffset>663575</wp:posOffset>
            </wp:positionV>
            <wp:extent cx="182880" cy="182880"/>
            <wp:effectExtent l="0" t="0" r="7620" b="7620"/>
            <wp:wrapThrough wrapText="bothSides">
              <wp:wrapPolygon edited="0">
                <wp:start x="2250" y="0"/>
                <wp:lineTo x="0" y="2250"/>
                <wp:lineTo x="0" y="15750"/>
                <wp:lineTo x="2250" y="20250"/>
                <wp:lineTo x="20250" y="20250"/>
                <wp:lineTo x="20250" y="0"/>
                <wp:lineTo x="2250" y="0"/>
              </wp:wrapPolygon>
            </wp:wrapThrough>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4B20E5">
        <w:tab/>
        <w:t>Develop a Public Health Workforce Development Plan (e.g., PM/QI including regulatory oversight) to increase public health workforce capacity for Massachusetts, including quantity, quality, and diversity of workforce, by December 2015.</w:t>
      </w:r>
    </w:p>
    <w:p w:rsidR="004B20E5" w:rsidRDefault="004B20E5" w:rsidP="00AD1242">
      <w:pPr>
        <w:tabs>
          <w:tab w:val="left" w:pos="720"/>
        </w:tabs>
        <w:ind w:left="720" w:hanging="720"/>
        <w:rPr>
          <w:rFonts w:ascii="Calibri" w:hAnsi="Calibri" w:cs="Arial"/>
          <w:sz w:val="24"/>
          <w:szCs w:val="24"/>
        </w:rPr>
      </w:pPr>
    </w:p>
    <w:p w:rsidR="004B20E5" w:rsidRPr="00D00411" w:rsidRDefault="004B20E5" w:rsidP="007C27A3">
      <w:pPr>
        <w:pStyle w:val="TableTenEssenHlthFunct"/>
      </w:pPr>
      <w:r>
        <w:t>Mobilize Community Partnerships to Identify and Solve Health Problems</w:t>
      </w:r>
    </w:p>
    <w:p w:rsidR="004B20E5" w:rsidRPr="00D00411" w:rsidRDefault="004B20E5" w:rsidP="00D00411">
      <w:pPr>
        <w:pStyle w:val="TableStrategiesunderHealthFunctions"/>
      </w:pPr>
      <w:r>
        <w:t>S.5.1</w:t>
      </w:r>
      <w:r w:rsidRPr="00D00411">
        <w:tab/>
      </w:r>
      <w:r>
        <w:t>Develop</w:t>
      </w:r>
      <w:r w:rsidR="00600296">
        <w:t xml:space="preserve"> </w:t>
      </w:r>
      <w:r w:rsidRPr="00D00411">
        <w:t>collaboration</w:t>
      </w:r>
      <w:r>
        <w:t>s</w:t>
      </w:r>
      <w:r w:rsidR="00600296">
        <w:t xml:space="preserve"> </w:t>
      </w:r>
      <w:r w:rsidRPr="00D00411">
        <w:t xml:space="preserve">among Schools of Public Health, </w:t>
      </w:r>
      <w:r w:rsidR="001D686E">
        <w:t>M</w:t>
      </w:r>
      <w:r w:rsidRPr="00D00411">
        <w:t>DPH,</w:t>
      </w:r>
      <w:r>
        <w:t xml:space="preserve"> health researchers,</w:t>
      </w:r>
      <w:r w:rsidRPr="00D00411">
        <w:t xml:space="preserve"> local health departments, and community based public health and health care organizations to promote public health as an occupation and to provide trainings and other resources that support and develop public health employees, with an emphasis on the core competencies for public health.</w:t>
      </w:r>
    </w:p>
    <w:p w:rsidR="004B20E5" w:rsidRPr="00D00411" w:rsidRDefault="004B20E5" w:rsidP="00D00411">
      <w:pPr>
        <w:pStyle w:val="TableStrategiesunderHealthFunctions"/>
      </w:pPr>
      <w:r>
        <w:t>S.5.2</w:t>
      </w:r>
      <w:r w:rsidRPr="00D00411">
        <w:tab/>
        <w:t xml:space="preserve">Collaborate on a broad-based assessment of the </w:t>
      </w:r>
      <w:r>
        <w:t xml:space="preserve">state </w:t>
      </w:r>
      <w:r w:rsidRPr="00D00411">
        <w:t xml:space="preserve">public </w:t>
      </w:r>
      <w:r>
        <w:t xml:space="preserve">health </w:t>
      </w:r>
      <w:r w:rsidRPr="00D00411">
        <w:t>workforce in Massachusetts to identify training gaps within the core competencies and to identify future workforce recruitment and retention needs.</w:t>
      </w:r>
    </w:p>
    <w:p w:rsidR="004B20E5" w:rsidRDefault="004B20E5" w:rsidP="007C27A3">
      <w:pPr>
        <w:pStyle w:val="TableTenEssenHlthFunct"/>
      </w:pPr>
      <w:r>
        <w:t>Assure a Competent Public and Personal Healthcare Workforce</w:t>
      </w:r>
    </w:p>
    <w:p w:rsidR="004B20E5" w:rsidRDefault="004B20E5" w:rsidP="00D00411">
      <w:pPr>
        <w:pStyle w:val="TableStrategiesunderHealthFunctions"/>
      </w:pPr>
      <w:r>
        <w:t>S.5.3</w:t>
      </w:r>
      <w:r w:rsidRPr="00577423">
        <w:tab/>
        <w:t xml:space="preserve">Strengthen the </w:t>
      </w:r>
      <w:r>
        <w:t>Commonwealth’s</w:t>
      </w:r>
      <w:r w:rsidRPr="00577423">
        <w:t xml:space="preserve"> core competency training infrastructure for Community Health Workers. </w:t>
      </w:r>
    </w:p>
    <w:p w:rsidR="004B20E5" w:rsidRPr="00DD0889" w:rsidRDefault="004B20E5" w:rsidP="00D00411">
      <w:pPr>
        <w:pStyle w:val="TableStrategiesunderHealthFunctions"/>
      </w:pPr>
      <w:r>
        <w:t>S.5.4</w:t>
      </w:r>
      <w:r>
        <w:tab/>
        <w:t>Strengthen training and workforce development opportunities for local public health employees.</w:t>
      </w:r>
    </w:p>
    <w:p w:rsidR="004B20E5" w:rsidRPr="00577423" w:rsidRDefault="004B20E5" w:rsidP="006E1C1C">
      <w:pPr>
        <w:pStyle w:val="TableStrategiesunderHealthFunctions"/>
      </w:pPr>
      <w:r>
        <w:t>S.5.5</w:t>
      </w:r>
      <w:r w:rsidRPr="00577423">
        <w:tab/>
        <w:t xml:space="preserve">Validate that members of the public health workforce </w:t>
      </w:r>
      <w:r>
        <w:t xml:space="preserve">at all jurisdictional levels </w:t>
      </w:r>
      <w:r w:rsidRPr="00577423">
        <w:t>meet regulatory qualifications for their positions, job classifications, and licensure.</w:t>
      </w:r>
    </w:p>
    <w:p w:rsidR="004B20E5" w:rsidRPr="00577423" w:rsidRDefault="004B20E5" w:rsidP="006E1C1C">
      <w:pPr>
        <w:pStyle w:val="TableStrategiesunderHealthFunctions"/>
      </w:pPr>
      <w:r>
        <w:t>S.5.6</w:t>
      </w:r>
      <w:r w:rsidRPr="00577423">
        <w:tab/>
      </w:r>
      <w:r>
        <w:t>Develop performance management and quality improvement plans that include quality improvement goals, objectives, and measures with time-framed targets, available training, identification of projects, and quality improvement/performance management systems and structures.</w:t>
      </w:r>
    </w:p>
    <w:p w:rsidR="004B20E5" w:rsidRPr="00DD0889" w:rsidRDefault="004B20E5" w:rsidP="006E1C1C">
      <w:pPr>
        <w:pStyle w:val="TableStrategiesunderHealthFunctions"/>
      </w:pPr>
      <w:r>
        <w:t>S.5.7</w:t>
      </w:r>
      <w:r w:rsidRPr="00577423">
        <w:tab/>
        <w:t>Assure appropriate training</w:t>
      </w:r>
      <w:r>
        <w:t xml:space="preserve"> for state public health workforce</w:t>
      </w:r>
      <w:r w:rsidRPr="00577423">
        <w:t xml:space="preserve"> to improve skills and maintain conformity with evolving best practices</w:t>
      </w:r>
      <w:r>
        <w:t xml:space="preserve"> including Performance Management and Quality Improvement training.</w:t>
      </w:r>
    </w:p>
    <w:p w:rsidR="004B20E5" w:rsidRDefault="004B20E5" w:rsidP="00AD1242">
      <w:pPr>
        <w:tabs>
          <w:tab w:val="left" w:pos="720"/>
        </w:tabs>
        <w:ind w:left="720" w:hanging="720"/>
        <w:rPr>
          <w:rFonts w:ascii="Calibri" w:hAnsi="Calibri" w:cs="Arial"/>
          <w:sz w:val="24"/>
          <w:szCs w:val="24"/>
        </w:rPr>
      </w:pPr>
    </w:p>
    <w:p w:rsidR="004B20E5" w:rsidRDefault="004B20E5" w:rsidP="00CB2B0E">
      <w:pPr>
        <w:pStyle w:val="ObjectiveStatement"/>
      </w:pPr>
      <w:r>
        <w:t>Systems Measure 6</w:t>
      </w:r>
      <w:r w:rsidRPr="00577423">
        <w:t>:</w:t>
      </w:r>
    </w:p>
    <w:p w:rsidR="004B20E5" w:rsidRPr="00DA4519" w:rsidRDefault="004B20E5" w:rsidP="00CB2B0E">
      <w:pPr>
        <w:pStyle w:val="ObjectiveStatement"/>
        <w:rPr>
          <w:szCs w:val="22"/>
        </w:rPr>
      </w:pPr>
      <w:r>
        <w:rPr>
          <w:bCs/>
        </w:rPr>
        <w:tab/>
      </w:r>
      <w:r>
        <w:t>Increase Massachusetts’</w:t>
      </w:r>
      <w:r w:rsidRPr="00577423">
        <w:t xml:space="preserve"> public health licensing and regulatory enforcement </w:t>
      </w:r>
      <w:r w:rsidRPr="00600296">
        <w:rPr>
          <w:szCs w:val="22"/>
        </w:rPr>
        <w:t>capacity (</w:t>
      </w:r>
      <w:r w:rsidRPr="000F6D24">
        <w:rPr>
          <w:szCs w:val="22"/>
        </w:rPr>
        <w:t>e.g., Health Planning, DON)</w:t>
      </w:r>
      <w:r w:rsidR="00600296">
        <w:rPr>
          <w:szCs w:val="22"/>
        </w:rPr>
        <w:t xml:space="preserve"> </w:t>
      </w:r>
      <w:r w:rsidRPr="00600296">
        <w:rPr>
          <w:szCs w:val="22"/>
        </w:rPr>
        <w:t>by</w:t>
      </w:r>
      <w:r w:rsidRPr="00DA4519">
        <w:rPr>
          <w:szCs w:val="22"/>
        </w:rPr>
        <w:t xml:space="preserve"> December 2015.</w:t>
      </w:r>
    </w:p>
    <w:p w:rsidR="004B20E5" w:rsidRDefault="004B20E5" w:rsidP="007C27A3">
      <w:pPr>
        <w:pStyle w:val="TableTenEssenHlthFunct"/>
      </w:pPr>
    </w:p>
    <w:p w:rsidR="004B20E5" w:rsidRDefault="004B20E5" w:rsidP="007C27A3">
      <w:pPr>
        <w:pStyle w:val="TableTenEssenHlthFunct"/>
      </w:pPr>
      <w:r>
        <w:t xml:space="preserve">Develop Policies and Plans That Support Individual and Community Health Efforts </w:t>
      </w:r>
    </w:p>
    <w:p w:rsidR="004B20E5" w:rsidRPr="00577423" w:rsidRDefault="004B20E5" w:rsidP="00D00411">
      <w:pPr>
        <w:pStyle w:val="TableStrategiesunderHealthFunctions"/>
      </w:pPr>
      <w:r>
        <w:t>S.6.1</w:t>
      </w:r>
      <w:r w:rsidRPr="00577423">
        <w:tab/>
        <w:t xml:space="preserve">Assure adequate resources to support </w:t>
      </w:r>
      <w:r>
        <w:t xml:space="preserve">state </w:t>
      </w:r>
      <w:r w:rsidRPr="00577423">
        <w:t xml:space="preserve">regulatory enforcement operations. </w:t>
      </w:r>
    </w:p>
    <w:p w:rsidR="004B20E5" w:rsidRDefault="004B20E5" w:rsidP="00D00411">
      <w:pPr>
        <w:pStyle w:val="TableStrategiesunderHealthFunctions"/>
      </w:pPr>
      <w:r>
        <w:t>S.6.2</w:t>
      </w:r>
      <w:r w:rsidRPr="00577423">
        <w:tab/>
        <w:t>Document and disseminate policies, procedures, algorithms, and communication protocols for notifying appropriate parties when corrective action is taken against a licensed or certif</w:t>
      </w:r>
      <w:r>
        <w:t>ied public health professional.</w:t>
      </w:r>
    </w:p>
    <w:p w:rsidR="004B20E5" w:rsidRPr="00DD0889" w:rsidRDefault="004B20E5" w:rsidP="00D00411">
      <w:pPr>
        <w:pStyle w:val="TableStrategiesunderHealthFunctions"/>
      </w:pPr>
      <w:r>
        <w:lastRenderedPageBreak/>
        <w:t>S.6.3</w:t>
      </w:r>
      <w:r>
        <w:tab/>
        <w:t>Develop and disseminate policies and procedures for identifying reliably when corrective/enforcement action should be taken regarding a certified or licensed health care facility.</w:t>
      </w:r>
    </w:p>
    <w:p w:rsidR="004B20E5" w:rsidRDefault="004B20E5" w:rsidP="00AD1242">
      <w:pPr>
        <w:rPr>
          <w:rFonts w:ascii="Calibri" w:hAnsi="Calibri" w:cs="Arial"/>
          <w:sz w:val="24"/>
          <w:szCs w:val="24"/>
        </w:rPr>
      </w:pPr>
    </w:p>
    <w:p w:rsidR="004B20E5" w:rsidRPr="00571897" w:rsidRDefault="004B20E5" w:rsidP="00571897">
      <w:pPr>
        <w:pStyle w:val="PartnersTitle"/>
      </w:pPr>
      <w:r w:rsidRPr="00571897">
        <w:t>Partners/Resources for Health Systems Infrastructure</w:t>
      </w:r>
    </w:p>
    <w:p w:rsidR="004B20E5" w:rsidRPr="00AF0910" w:rsidRDefault="004B20E5" w:rsidP="00AD1242">
      <w:pPr>
        <w:pStyle w:val="Partners"/>
      </w:pPr>
      <w:r w:rsidRPr="00AF0910">
        <w:t>Boards of health/local health departments</w:t>
      </w:r>
    </w:p>
    <w:p w:rsidR="00FE7DCD" w:rsidRDefault="00FE7DCD" w:rsidP="00AD1242">
      <w:pPr>
        <w:pStyle w:val="Partners"/>
      </w:pPr>
      <w:r>
        <w:t>Coalition for Local Public Health</w:t>
      </w:r>
    </w:p>
    <w:p w:rsidR="00B869A2" w:rsidRDefault="00B869A2" w:rsidP="00AD1242">
      <w:pPr>
        <w:pStyle w:val="Partners"/>
      </w:pPr>
      <w:r>
        <w:t>Community Health Coalitions</w:t>
      </w:r>
    </w:p>
    <w:p w:rsidR="004B20E5" w:rsidRDefault="004B20E5" w:rsidP="00AD1242">
      <w:pPr>
        <w:pStyle w:val="Partners"/>
      </w:pPr>
      <w:r w:rsidRPr="00AF0910">
        <w:t>Educational institutions</w:t>
      </w:r>
      <w:r w:rsidR="00B869A2">
        <w:t>, including Schools of Public Health</w:t>
      </w:r>
    </w:p>
    <w:p w:rsidR="00FE7DCD" w:rsidRDefault="00FE7DCD" w:rsidP="00AD1242">
      <w:pPr>
        <w:pStyle w:val="Partners"/>
      </w:pPr>
      <w:r>
        <w:t>Healthcare Providers</w:t>
      </w:r>
    </w:p>
    <w:p w:rsidR="004B20E5" w:rsidRPr="00AF0910" w:rsidRDefault="004B20E5" w:rsidP="00AD1242">
      <w:pPr>
        <w:pStyle w:val="Partners"/>
      </w:pPr>
      <w:r w:rsidRPr="00AF0910">
        <w:t>Health insurers/life insurers</w:t>
      </w:r>
    </w:p>
    <w:p w:rsidR="004B20E5" w:rsidRPr="00AF0910" w:rsidRDefault="004B20E5" w:rsidP="00AD1242">
      <w:pPr>
        <w:pStyle w:val="Partners"/>
      </w:pPr>
      <w:r w:rsidRPr="00AF0910">
        <w:t>IT community</w:t>
      </w:r>
    </w:p>
    <w:p w:rsidR="004B20E5" w:rsidRDefault="004B20E5" w:rsidP="00AD1242">
      <w:pPr>
        <w:pStyle w:val="Partners"/>
      </w:pPr>
      <w:r w:rsidRPr="00AF0910">
        <w:t>Legislature</w:t>
      </w:r>
    </w:p>
    <w:p w:rsidR="00FE7DCD" w:rsidRPr="00AF0910" w:rsidRDefault="00FE7DCD" w:rsidP="00AD1242">
      <w:pPr>
        <w:pStyle w:val="Partners"/>
      </w:pPr>
      <w:r>
        <w:t>M</w:t>
      </w:r>
      <w:r w:rsidR="00B869A2">
        <w:t>A Emergency Management Agency (MEMA)</w:t>
      </w:r>
    </w:p>
    <w:p w:rsidR="004B20E5" w:rsidRDefault="004B20E5" w:rsidP="00AD1242">
      <w:pPr>
        <w:pStyle w:val="Partners"/>
      </w:pPr>
      <w:r w:rsidRPr="00AF0910">
        <w:t>Occupational health</w:t>
      </w:r>
    </w:p>
    <w:p w:rsidR="004B20E5" w:rsidRPr="00AF0910" w:rsidRDefault="004B20E5" w:rsidP="00AD1242">
      <w:pPr>
        <w:pStyle w:val="Partners"/>
      </w:pPr>
      <w:r w:rsidRPr="00AF0910">
        <w:t>Regional and municipal planning entities</w:t>
      </w:r>
    </w:p>
    <w:p w:rsidR="004B20E5" w:rsidRDefault="004B20E5" w:rsidP="00AD1242">
      <w:pPr>
        <w:ind w:left="720" w:hanging="720"/>
        <w:rPr>
          <w:rFonts w:ascii="Calibri" w:hAnsi="Calibri" w:cs="Arial"/>
          <w:sz w:val="24"/>
          <w:szCs w:val="24"/>
        </w:rPr>
      </w:pPr>
    </w:p>
    <w:p w:rsidR="004B20E5" w:rsidRPr="00577423" w:rsidRDefault="004B20E5" w:rsidP="00AD1242">
      <w:pPr>
        <w:tabs>
          <w:tab w:val="left" w:pos="720"/>
        </w:tabs>
        <w:rPr>
          <w:rFonts w:ascii="Calibri" w:hAnsi="Calibri" w:cs="Arial"/>
          <w:sz w:val="24"/>
          <w:szCs w:val="24"/>
        </w:rPr>
      </w:pPr>
    </w:p>
    <w:p w:rsidR="004B20E5" w:rsidRDefault="004B20E5" w:rsidP="00F83EAC">
      <w:pPr>
        <w:pStyle w:val="Heading1"/>
        <w:sectPr w:rsidR="004B20E5" w:rsidSect="000D3A34">
          <w:headerReference w:type="even" r:id="rId18"/>
          <w:headerReference w:type="default" r:id="rId19"/>
          <w:headerReference w:type="first" r:id="rId20"/>
          <w:endnotePr>
            <w:numFmt w:val="decimal"/>
          </w:endnotePr>
          <w:pgSz w:w="12240" w:h="15840" w:code="1"/>
          <w:pgMar w:top="1080" w:right="1080" w:bottom="1080" w:left="1080" w:header="648" w:footer="504" w:gutter="0"/>
          <w:cols w:space="720"/>
          <w:docGrid w:linePitch="360"/>
        </w:sectPr>
      </w:pPr>
    </w:p>
    <w:p w:rsidR="004B20E5" w:rsidRDefault="004B20E5" w:rsidP="00FB1235"/>
    <w:p w:rsidR="004B20E5" w:rsidRDefault="004B20E5" w:rsidP="00FB1235"/>
    <w:p w:rsidR="004B20E5" w:rsidRDefault="004B20E5" w:rsidP="00FB1235"/>
    <w:p w:rsidR="004B20E5" w:rsidRDefault="004B20E5" w:rsidP="00FB1235"/>
    <w:p w:rsidR="004B20E5" w:rsidRDefault="004B20E5" w:rsidP="00FB1235"/>
    <w:p w:rsidR="004B20E5" w:rsidRDefault="004B20E5" w:rsidP="00FB1235"/>
    <w:p w:rsidR="004B20E5" w:rsidRDefault="004B20E5" w:rsidP="00FB1235"/>
    <w:p w:rsidR="004B20E5" w:rsidRDefault="004B20E5" w:rsidP="00FB1235"/>
    <w:p w:rsidR="004B20E5" w:rsidRDefault="004B20E5" w:rsidP="00FB1235"/>
    <w:p w:rsidR="004B20E5" w:rsidRDefault="004B20E5" w:rsidP="00FB1235"/>
    <w:p w:rsidR="004B20E5" w:rsidRDefault="004B20E5" w:rsidP="00FB1235"/>
    <w:p w:rsidR="004B20E5" w:rsidRDefault="004B20E5" w:rsidP="00FB1235"/>
    <w:p w:rsidR="004B20E5" w:rsidRDefault="004B20E5" w:rsidP="00FB1235"/>
    <w:p w:rsidR="004B20E5" w:rsidRDefault="004B20E5" w:rsidP="00FB1235"/>
    <w:p w:rsidR="004B20E5" w:rsidRDefault="004B20E5" w:rsidP="00FB1235"/>
    <w:p w:rsidR="004B20E5" w:rsidRDefault="004B20E5" w:rsidP="00FB1235"/>
    <w:p w:rsidR="004B20E5" w:rsidRDefault="004B20E5" w:rsidP="00FB1235"/>
    <w:p w:rsidR="004B20E5" w:rsidRDefault="004B20E5" w:rsidP="00FB1235"/>
    <w:p w:rsidR="004B20E5" w:rsidRDefault="004B20E5" w:rsidP="00FB1235"/>
    <w:p w:rsidR="004B20E5" w:rsidRDefault="004B20E5" w:rsidP="00F83EAC">
      <w:pPr>
        <w:pStyle w:val="Heading1"/>
        <w:sectPr w:rsidR="004B20E5" w:rsidSect="000D3A34">
          <w:headerReference w:type="even" r:id="rId21"/>
          <w:headerReference w:type="default" r:id="rId22"/>
          <w:headerReference w:type="first" r:id="rId23"/>
          <w:endnotePr>
            <w:numFmt w:val="decimal"/>
          </w:endnotePr>
          <w:pgSz w:w="12240" w:h="15840" w:code="1"/>
          <w:pgMar w:top="1080" w:right="1080" w:bottom="1080" w:left="1080" w:header="648" w:footer="504" w:gutter="0"/>
          <w:cols w:space="720"/>
          <w:docGrid w:linePitch="360"/>
        </w:sectPr>
      </w:pPr>
      <w:bookmarkStart w:id="45" w:name="_Toc398819273"/>
      <w:r>
        <w:t>Part II:  Health Issues/Topics</w:t>
      </w:r>
      <w:bookmarkEnd w:id="45"/>
    </w:p>
    <w:p w:rsidR="004B20E5" w:rsidRPr="00F446EB" w:rsidRDefault="004B20E5" w:rsidP="00107245">
      <w:pPr>
        <w:pStyle w:val="Heading2"/>
      </w:pPr>
      <w:bookmarkStart w:id="46" w:name="_Toc372645016"/>
      <w:bookmarkStart w:id="47" w:name="_Toc398819274"/>
      <w:r>
        <w:lastRenderedPageBreak/>
        <w:t>Domain1</w:t>
      </w:r>
      <w:r w:rsidRPr="00E74638">
        <w:t xml:space="preserve">:  </w:t>
      </w:r>
      <w:bookmarkEnd w:id="46"/>
      <w:r>
        <w:t>Active Living, Healthy Eating, and Tobacco-Free Living</w:t>
      </w:r>
      <w:bookmarkEnd w:id="47"/>
    </w:p>
    <w:p w:rsidR="004B20E5" w:rsidRPr="00F446EB" w:rsidRDefault="004B20E5" w:rsidP="00CB2B0E">
      <w:pPr>
        <w:pStyle w:val="GoalStatement"/>
      </w:pPr>
      <w:r w:rsidRPr="00F446EB">
        <w:t>Ensure that all Massachusetts residents minimize risk for disease by eating a nutritious diet, engaging in adequate physical activity, maintaining a healthy weight, and eliminating tobacco use and exposure.</w:t>
      </w:r>
    </w:p>
    <w:p w:rsidR="004B20E5" w:rsidRDefault="004B20E5" w:rsidP="00CB2B0E">
      <w:pPr>
        <w:pStyle w:val="GoalStatement"/>
      </w:pPr>
    </w:p>
    <w:p w:rsidR="004B20E5" w:rsidRDefault="004B20E5" w:rsidP="00CB2B0E">
      <w:pPr>
        <w:pStyle w:val="GoalStatement"/>
      </w:pPr>
      <w:r>
        <w:t>Why This Domain Is Important for Massachusetts:</w:t>
      </w:r>
    </w:p>
    <w:p w:rsidR="004B20E5" w:rsidRDefault="004B20E5" w:rsidP="002269B5">
      <w:pPr>
        <w:pStyle w:val="BodyText"/>
      </w:pPr>
      <w:r w:rsidRPr="002269B5">
        <w:rPr>
          <w:b/>
        </w:rPr>
        <w:t>Burden (Where We Are):</w:t>
      </w:r>
      <w:r>
        <w:t xml:space="preserve">Obesity and tobacco use/exposure are the two key modifiable risk factors (e.g., factors that contribute to a person’s overall likelihood of developing chronic disease that leads to poor quality of life, disability, and death) for preventable death and disease in Massachusetts.  </w:t>
      </w:r>
    </w:p>
    <w:p w:rsidR="004B20E5" w:rsidRDefault="004B20E5" w:rsidP="00F1693E">
      <w:pPr>
        <w:pStyle w:val="BodyText"/>
      </w:pPr>
      <w:r>
        <w:t>A</w:t>
      </w:r>
      <w:r w:rsidRPr="004F2263">
        <w:t>lthough Massachusetts ranks second in the country, behind Vermont, for having the lowest percentage of adults who are overweight or obese, according to the 2010 Health In Massachusetts report, more than half of Massachusetts adults, or approximately three million people, are either overweight or obese.  In addition, approximately 25% of high school youth are either overweight, or at risk of becoming overweight.  Using current data sources, a conservative estimate of annual obesity-related healthcare expenditures for Massachusetts is $3.5 billion.</w:t>
      </w:r>
    </w:p>
    <w:p w:rsidR="004B20E5" w:rsidRDefault="004B20E5" w:rsidP="002269B5">
      <w:pPr>
        <w:pStyle w:val="BodyText"/>
      </w:pPr>
      <w:r>
        <w:t>T</w:t>
      </w:r>
      <w:r w:rsidRPr="008C30B0">
        <w:t>obacco use is the leading cause of preventable death and disease in Massachusetts.</w:t>
      </w:r>
      <w:r w:rsidR="000E1F7B">
        <w:t xml:space="preserve"> </w:t>
      </w:r>
      <w:r>
        <w:t>Although t</w:t>
      </w:r>
      <w:r w:rsidRPr="00056C92">
        <w:t>he</w:t>
      </w:r>
      <w:r>
        <w:t xml:space="preserve"> adult </w:t>
      </w:r>
      <w:r w:rsidRPr="00056C92">
        <w:t>smoking rate</w:t>
      </w:r>
      <w:r>
        <w:t xml:space="preserve"> is16% (2012), ranking Massachusetts as the 7</w:t>
      </w:r>
      <w:r w:rsidRPr="008D481F">
        <w:rPr>
          <w:vertAlign w:val="superscript"/>
        </w:rPr>
        <w:t>th</w:t>
      </w:r>
      <w:r>
        <w:t xml:space="preserve"> lowest in the U.S., a</w:t>
      </w:r>
      <w:r w:rsidRPr="008C30B0">
        <w:t xml:space="preserve">pproximately 7,800 Massachusetts residents die each year from tobacco-related causes, including cancers of the lung, larynx, throat, esophagus and mouth; heart disease and stroke; and emphysema and other respiratory diseases.  </w:t>
      </w:r>
      <w:r>
        <w:t xml:space="preserve">These adverse outcomes are experienced most </w:t>
      </w:r>
      <w:r w:rsidRPr="008C30B0">
        <w:t xml:space="preserve">among low socio-economic groups, people with </w:t>
      </w:r>
      <w:r>
        <w:t>mental illness</w:t>
      </w:r>
      <w:r w:rsidRPr="008C30B0">
        <w:t>, people with disabilities, and the LGBT (lesbian, gay, bisexua</w:t>
      </w:r>
      <w:r>
        <w:t>l, and transgender) population.</w:t>
      </w:r>
      <w:r w:rsidR="000E1F7B">
        <w:t xml:space="preserve"> </w:t>
      </w:r>
      <w:r>
        <w:t xml:space="preserve">The percentage of Massachusetts high school students who smoke cigarettes is 11% (2013). </w:t>
      </w:r>
      <w:r w:rsidRPr="008C30B0">
        <w:t>The smoking rate by race/ethnicity is 16% for whites, 1</w:t>
      </w:r>
      <w:r>
        <w:t>8</w:t>
      </w:r>
      <w:r w:rsidRPr="008C30B0">
        <w:t>% for blacks, and 1</w:t>
      </w:r>
      <w:r>
        <w:t>7</w:t>
      </w:r>
      <w:r w:rsidRPr="008C30B0">
        <w:t xml:space="preserve">% for Hispanics.  The smoking rate among young adults, age </w:t>
      </w:r>
      <w:r>
        <w:t>25</w:t>
      </w:r>
      <w:r w:rsidRPr="008C30B0">
        <w:t>-</w:t>
      </w:r>
      <w:r>
        <w:t>3</w:t>
      </w:r>
      <w:r w:rsidRPr="008C30B0">
        <w:t>4, is the highest of any age group (2</w:t>
      </w:r>
      <w:r>
        <w:t>4</w:t>
      </w:r>
      <w:r w:rsidRPr="008C30B0">
        <w:t xml:space="preserve">%).  </w:t>
      </w:r>
    </w:p>
    <w:p w:rsidR="004B20E5" w:rsidRDefault="004B20E5" w:rsidP="00F1693E">
      <w:pPr>
        <w:pStyle w:val="BodyText"/>
      </w:pPr>
      <w:r w:rsidRPr="002269B5">
        <w:rPr>
          <w:b/>
        </w:rPr>
        <w:t>Result (How This Affects Us):</w:t>
      </w:r>
      <w:r w:rsidRPr="004F2263">
        <w:t>People who are overweight or obese are more likely to have type 2 diabetes, heart disease, stroke, gall bladder disease, and musculoskeletal disorders. Overweight and obesity are also associated with some forms of cancer, and many other health problems that interfere with daily living and reduce the quality of life.</w:t>
      </w:r>
      <w:r w:rsidRPr="00925017">
        <w:rPr>
          <w:rStyle w:val="EndnoteReference"/>
        </w:rPr>
        <w:endnoteReference w:id="7"/>
      </w:r>
      <w:r w:rsidRPr="002269B5">
        <w:t>Those least likely to meet physical activi</w:t>
      </w:r>
      <w:r>
        <w:t>ty guidelines include Hispanics and Asians</w:t>
      </w:r>
      <w:r w:rsidRPr="002269B5">
        <w:t xml:space="preserve"> and those with less than a High School education</w:t>
      </w:r>
      <w:r>
        <w:t>.</w:t>
      </w:r>
      <w:r w:rsidRPr="00925017">
        <w:rPr>
          <w:rStyle w:val="EndnoteReference"/>
        </w:rPr>
        <w:endnoteReference w:id="8"/>
      </w:r>
      <w:r w:rsidRPr="002269B5">
        <w:t xml:space="preserve"> Groups with the highest adult obesity rates include American Indians,</w:t>
      </w:r>
      <w:r w:rsidRPr="00925017">
        <w:rPr>
          <w:rStyle w:val="EndnoteReference"/>
        </w:rPr>
        <w:endnoteReference w:id="9"/>
      </w:r>
      <w:r w:rsidRPr="002269B5">
        <w:t xml:space="preserve"> Black</w:t>
      </w:r>
      <w:r>
        <w:t>s</w:t>
      </w:r>
      <w:r w:rsidRPr="002269B5">
        <w:t>, Hispanic</w:t>
      </w:r>
      <w:r>
        <w:t>s</w:t>
      </w:r>
      <w:r w:rsidRPr="002269B5">
        <w:t xml:space="preserve">, those with less than a high school education, and </w:t>
      </w:r>
      <w:r>
        <w:t>people with disabilities</w:t>
      </w:r>
      <w:r w:rsidRPr="002269B5">
        <w:t>.</w:t>
      </w:r>
    </w:p>
    <w:p w:rsidR="004B20E5" w:rsidRPr="002269B5" w:rsidRDefault="004B20E5" w:rsidP="00D63A21">
      <w:pPr>
        <w:pStyle w:val="BodyText"/>
        <w:rPr>
          <w:b/>
        </w:rPr>
      </w:pPr>
      <w:r>
        <w:t>T</w:t>
      </w:r>
      <w:r w:rsidRPr="008C30B0">
        <w:t>obacco kills more people in Massachusetts than motor vehicle crashes, AIDS, homicides, suicides and poisonings combined.  Tobacco imposes a heavy financial burden on the Commonwealth, costing Massachusetts an estimated $6.0 billion annually - $4.3 billion in excess health care costs and $1.7 billion in lost productivity.</w:t>
      </w:r>
    </w:p>
    <w:p w:rsidR="004B20E5" w:rsidRPr="00506475" w:rsidRDefault="004B20E5" w:rsidP="00F1693E">
      <w:pPr>
        <w:pStyle w:val="BodyText"/>
      </w:pPr>
      <w:r w:rsidRPr="002269B5">
        <w:rPr>
          <w:b/>
        </w:rPr>
        <w:t>Action (What We Can Do):</w:t>
      </w:r>
      <w:r>
        <w:t>D</w:t>
      </w:r>
      <w:r w:rsidRPr="00F346A4">
        <w:t xml:space="preserve">eveloping and supporting policies that promote health as a central focus of a community’s culture and norms, and </w:t>
      </w:r>
      <w:r>
        <w:t>creating</w:t>
      </w:r>
      <w:r w:rsidRPr="00F346A4">
        <w:t xml:space="preserve"> environments where healthy choices and behaviors are </w:t>
      </w:r>
      <w:r>
        <w:t xml:space="preserve">the easy, </w:t>
      </w:r>
      <w:r w:rsidRPr="00F346A4">
        <w:t>default choices</w:t>
      </w:r>
      <w:r>
        <w:t>,</w:t>
      </w:r>
      <w:r w:rsidR="00415A27">
        <w:t xml:space="preserve"> </w:t>
      </w:r>
      <w:r>
        <w:t>improve</w:t>
      </w:r>
      <w:r w:rsidRPr="00F346A4">
        <w:t xml:space="preserve"> health outcomes across a range of health conditions</w:t>
      </w:r>
      <w:r>
        <w:t xml:space="preserve">.  </w:t>
      </w:r>
    </w:p>
    <w:p w:rsidR="004B20E5" w:rsidRPr="00506475" w:rsidRDefault="004B20E5" w:rsidP="00506475">
      <w:pPr>
        <w:pStyle w:val="BodyText"/>
      </w:pPr>
      <w:r w:rsidRPr="004F2263">
        <w:t>A balanced diet low in saturated fats and added sugars, but rich in fiber from fruits, vegetables, and whole grains, protects and promotes good health and may help control overweight and obesity.</w:t>
      </w:r>
      <w:r w:rsidRPr="00925017">
        <w:rPr>
          <w:rStyle w:val="EndnoteReference"/>
        </w:rPr>
        <w:endnoteReference w:id="10"/>
      </w:r>
      <w:r w:rsidRPr="00B4794A">
        <w:rPr>
          <w:vertAlign w:val="superscript"/>
        </w:rPr>
        <w:t>,</w:t>
      </w:r>
      <w:r w:rsidRPr="00925017">
        <w:rPr>
          <w:rStyle w:val="EndnoteReference"/>
        </w:rPr>
        <w:endnoteReference w:id="11"/>
      </w:r>
      <w:r w:rsidRPr="00B4794A">
        <w:rPr>
          <w:vertAlign w:val="superscript"/>
        </w:rPr>
        <w:t>,</w:t>
      </w:r>
      <w:r w:rsidRPr="00925017">
        <w:rPr>
          <w:rStyle w:val="EndnoteReference"/>
        </w:rPr>
        <w:endnoteReference w:id="12"/>
      </w:r>
      <w:r w:rsidRPr="004F2263">
        <w:t>Also, regular physical activity reduces a person’s risk for obesity and overweight, and adds many other health benefits, including reduced risk of chronic disease morbidity, fall-related injuries, and all-cause mortality.</w:t>
      </w:r>
      <w:r w:rsidRPr="00925017">
        <w:rPr>
          <w:rStyle w:val="EndnoteReference"/>
        </w:rPr>
        <w:endnoteReference w:id="13"/>
      </w:r>
      <w:r>
        <w:rPr>
          <w:shd w:val="clear" w:color="auto" w:fill="FFFFFF"/>
        </w:rPr>
        <w:t>We</w:t>
      </w:r>
      <w:r w:rsidRPr="00506475">
        <w:rPr>
          <w:shd w:val="clear" w:color="auto" w:fill="FFFFFF"/>
        </w:rPr>
        <w:t xml:space="preserve"> are committed to developing improved data colle</w:t>
      </w:r>
      <w:r>
        <w:rPr>
          <w:shd w:val="clear" w:color="auto" w:fill="FFFFFF"/>
        </w:rPr>
        <w:t>ction in this domain as outlined in Part One of this SHIP in order to more accurately monitor and address disparities for obesity and overweight.</w:t>
      </w:r>
    </w:p>
    <w:p w:rsidR="004B20E5" w:rsidRPr="00506475" w:rsidRDefault="004B20E5" w:rsidP="002269B5">
      <w:pPr>
        <w:pStyle w:val="BodyText"/>
      </w:pPr>
      <w:r w:rsidRPr="008C30B0">
        <w:t>Thanks to aggressive public education campaigns, policy</w:t>
      </w:r>
      <w:r w:rsidR="00415A27">
        <w:t xml:space="preserve"> </w:t>
      </w:r>
      <w:r w:rsidRPr="008C30B0">
        <w:t>initiatives and targeted regulatory changes, far fewer adults smoke today than they</w:t>
      </w:r>
      <w:r w:rsidR="00415A27">
        <w:t xml:space="preserve"> </w:t>
      </w:r>
      <w:r w:rsidRPr="008C30B0">
        <w:t xml:space="preserve">did twenty years ago.  </w:t>
      </w:r>
      <w:r>
        <w:t xml:space="preserve">Recent findings have shown that current </w:t>
      </w:r>
      <w:r>
        <w:lastRenderedPageBreak/>
        <w:t xml:space="preserve">smoking decreased among MH recipients by approximately 10% in the first 2.5 years since </w:t>
      </w:r>
      <w:r w:rsidRPr="008C30B0">
        <w:t>tobacco cessation was incorporated into the benefit</w:t>
      </w:r>
      <w:r w:rsidR="00415A27">
        <w:t xml:space="preserve"> </w:t>
      </w:r>
      <w:r w:rsidRPr="008C30B0">
        <w:t>package in July 2006.</w:t>
      </w:r>
      <w:r w:rsidRPr="00925017">
        <w:rPr>
          <w:rStyle w:val="EndnoteReference"/>
        </w:rPr>
        <w:endnoteReference w:id="14"/>
      </w:r>
    </w:p>
    <w:p w:rsidR="004B20E5" w:rsidRPr="002269B5" w:rsidRDefault="004B20E5" w:rsidP="002269B5">
      <w:pPr>
        <w:pStyle w:val="BodyText"/>
        <w:rPr>
          <w:b/>
        </w:rPr>
      </w:pPr>
    </w:p>
    <w:p w:rsidR="004B20E5" w:rsidRDefault="004B20E5" w:rsidP="00CB2B0E">
      <w:pPr>
        <w:pStyle w:val="StandardStatement"/>
      </w:pPr>
      <w:r>
        <w:t>Standard 1A:  Ensure that all MA residents eat a nutritious diet.</w:t>
      </w:r>
    </w:p>
    <w:p w:rsidR="004B20E5" w:rsidRPr="00185A56" w:rsidRDefault="004B20E5" w:rsidP="00185A56">
      <w:pPr>
        <w:pStyle w:val="BodyText"/>
      </w:pPr>
    </w:p>
    <w:p w:rsidR="004B20E5" w:rsidRDefault="004B20E5" w:rsidP="00CB2B0E">
      <w:pPr>
        <w:pStyle w:val="ObjectiveStatement"/>
      </w:pPr>
      <w:r>
        <w:t xml:space="preserve">Measure </w:t>
      </w:r>
      <w:r w:rsidRPr="00D80BE9">
        <w:t>1.1</w:t>
      </w:r>
      <w:r>
        <w:t xml:space="preserve">:  </w:t>
      </w:r>
      <w:r>
        <w:tab/>
      </w:r>
      <w:r w:rsidRPr="00185A56">
        <w:t xml:space="preserve">Increase the </w:t>
      </w:r>
      <w:r>
        <w:t xml:space="preserve">relative </w:t>
      </w:r>
      <w:r w:rsidRPr="00185A56">
        <w:t>percentage of adults, adolescents, and children that report</w:t>
      </w:r>
      <w:r w:rsidRPr="00D80BE9">
        <w:t xml:space="preserve"> consum</w:t>
      </w:r>
      <w:r>
        <w:t>ing</w:t>
      </w:r>
      <w:r w:rsidR="00415A27">
        <w:t xml:space="preserve"> </w:t>
      </w:r>
      <w:r>
        <w:t>5</w:t>
      </w:r>
      <w:r w:rsidRPr="00D80BE9">
        <w:t xml:space="preserve"> servings of fruits and vegetables daily</w:t>
      </w:r>
      <w:r w:rsidR="00415A27">
        <w:t xml:space="preserve"> </w:t>
      </w:r>
      <w:r w:rsidRPr="00185A56">
        <w:t>by 2%</w:t>
      </w:r>
      <w:r w:rsidRPr="00D80BE9">
        <w:t>.</w:t>
      </w:r>
    </w:p>
    <w:p w:rsidR="004B20E5" w:rsidRPr="00F67FD0" w:rsidRDefault="004B20E5" w:rsidP="00F67FD0">
      <w:pPr>
        <w:pStyle w:val="BodyText"/>
      </w:pP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5346A9">
        <w:trPr>
          <w:cantSplit/>
        </w:trPr>
        <w:tc>
          <w:tcPr>
            <w:tcW w:w="1329" w:type="pct"/>
            <w:tcBorders>
              <w:top w:val="single" w:sz="4" w:space="0" w:color="auto"/>
              <w:bottom w:val="single" w:sz="4" w:space="0" w:color="auto"/>
            </w:tcBorders>
            <w:vAlign w:val="center"/>
          </w:tcPr>
          <w:p w:rsidR="004B20E5" w:rsidRPr="00666093" w:rsidRDefault="004B20E5" w:rsidP="008C43E1">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5346A9">
            <w:pPr>
              <w:pStyle w:val="TableTitleBaseline2020Target"/>
            </w:pPr>
            <w:r w:rsidRPr="009171C7">
              <w:t>Baseline</w:t>
            </w:r>
          </w:p>
        </w:tc>
        <w:tc>
          <w:tcPr>
            <w:tcW w:w="905" w:type="pct"/>
            <w:tcBorders>
              <w:top w:val="single" w:sz="4" w:space="0" w:color="auto"/>
              <w:bottom w:val="single" w:sz="4" w:space="0" w:color="auto"/>
            </w:tcBorders>
            <w:vAlign w:val="center"/>
          </w:tcPr>
          <w:p w:rsidR="004B20E5" w:rsidRPr="00666093" w:rsidRDefault="004B20E5" w:rsidP="005346A9">
            <w:pPr>
              <w:pStyle w:val="TableTitleBaseline2020Target"/>
            </w:pPr>
            <w:r w:rsidRPr="009171C7">
              <w:t>2020 Target</w:t>
            </w:r>
          </w:p>
        </w:tc>
        <w:tc>
          <w:tcPr>
            <w:tcW w:w="1861" w:type="pct"/>
            <w:tcBorders>
              <w:top w:val="single" w:sz="4" w:space="0" w:color="auto"/>
              <w:bottom w:val="single" w:sz="4" w:space="0" w:color="auto"/>
            </w:tcBorders>
            <w:vAlign w:val="center"/>
          </w:tcPr>
          <w:p w:rsidR="004B20E5" w:rsidRPr="00666093" w:rsidRDefault="004B20E5" w:rsidP="005346A9">
            <w:pPr>
              <w:pStyle w:val="TableTitleTargetDataSource"/>
            </w:pPr>
            <w:r w:rsidRPr="009171C7">
              <w:t>Data Source</w:t>
            </w:r>
          </w:p>
        </w:tc>
      </w:tr>
      <w:tr w:rsidR="004B20E5" w:rsidRPr="00666093" w:rsidTr="005346A9">
        <w:trPr>
          <w:cantSplit/>
        </w:trPr>
        <w:tc>
          <w:tcPr>
            <w:tcW w:w="1329" w:type="pct"/>
            <w:tcBorders>
              <w:top w:val="single" w:sz="4" w:space="0" w:color="auto"/>
              <w:bottom w:val="single" w:sz="4" w:space="0" w:color="auto"/>
            </w:tcBorders>
            <w:vAlign w:val="center"/>
          </w:tcPr>
          <w:p w:rsidR="004B20E5" w:rsidRPr="00666093" w:rsidRDefault="004B20E5" w:rsidP="005346A9">
            <w:pPr>
              <w:pStyle w:val="TableOutcomeMeasure"/>
            </w:pPr>
            <w:r w:rsidRPr="009171C7">
              <w:t>Adults</w:t>
            </w:r>
            <w:r>
              <w:t xml:space="preserve"> 5+ servings</w:t>
            </w:r>
          </w:p>
        </w:tc>
        <w:tc>
          <w:tcPr>
            <w:tcW w:w="905" w:type="pct"/>
            <w:tcBorders>
              <w:top w:val="single" w:sz="4" w:space="0" w:color="auto"/>
              <w:bottom w:val="single" w:sz="4" w:space="0" w:color="auto"/>
            </w:tcBorders>
            <w:vAlign w:val="center"/>
          </w:tcPr>
          <w:p w:rsidR="004B20E5" w:rsidRPr="00666093" w:rsidRDefault="004B20E5" w:rsidP="005346A9">
            <w:pPr>
              <w:pStyle w:val="TableBaseline2020Target"/>
            </w:pPr>
            <w:r w:rsidRPr="009171C7">
              <w:t>18.8%</w:t>
            </w:r>
          </w:p>
        </w:tc>
        <w:tc>
          <w:tcPr>
            <w:tcW w:w="905" w:type="pct"/>
            <w:tcBorders>
              <w:top w:val="single" w:sz="4" w:space="0" w:color="auto"/>
              <w:bottom w:val="single" w:sz="4" w:space="0" w:color="auto"/>
            </w:tcBorders>
            <w:vAlign w:val="center"/>
          </w:tcPr>
          <w:p w:rsidR="004B20E5" w:rsidRPr="00666093" w:rsidRDefault="004B20E5" w:rsidP="005346A9">
            <w:pPr>
              <w:pStyle w:val="TableBaseline2020Target"/>
            </w:pPr>
            <w:r>
              <w:t>19.2%</w:t>
            </w:r>
          </w:p>
        </w:tc>
        <w:tc>
          <w:tcPr>
            <w:tcW w:w="1861" w:type="pct"/>
            <w:tcBorders>
              <w:top w:val="single" w:sz="4" w:space="0" w:color="auto"/>
              <w:bottom w:val="single" w:sz="4" w:space="0" w:color="auto"/>
            </w:tcBorders>
            <w:vAlign w:val="center"/>
          </w:tcPr>
          <w:p w:rsidR="004B20E5" w:rsidRPr="00391134" w:rsidRDefault="004B20E5" w:rsidP="00F67FD0">
            <w:pPr>
              <w:pStyle w:val="TableDataSource"/>
            </w:pPr>
            <w:r w:rsidRPr="00391134">
              <w:t>MDPH BRFSS 201</w:t>
            </w:r>
            <w:r>
              <w:t>1</w:t>
            </w:r>
          </w:p>
        </w:tc>
      </w:tr>
      <w:tr w:rsidR="004B20E5" w:rsidRPr="00666093" w:rsidTr="005346A9">
        <w:trPr>
          <w:cantSplit/>
        </w:trPr>
        <w:tc>
          <w:tcPr>
            <w:tcW w:w="1329" w:type="pct"/>
            <w:tcBorders>
              <w:top w:val="single" w:sz="4" w:space="0" w:color="auto"/>
              <w:bottom w:val="single" w:sz="4" w:space="0" w:color="auto"/>
            </w:tcBorders>
            <w:vAlign w:val="center"/>
          </w:tcPr>
          <w:p w:rsidR="004B20E5" w:rsidRPr="009171C7" w:rsidRDefault="004B20E5" w:rsidP="00F67FD0">
            <w:pPr>
              <w:pStyle w:val="TableOutcomeMeasure"/>
            </w:pPr>
            <w:r w:rsidRPr="009171C7">
              <w:t>Adolescents</w:t>
            </w:r>
            <w:r>
              <w:t xml:space="preserve"> (High School) 3+ servings</w:t>
            </w:r>
          </w:p>
        </w:tc>
        <w:tc>
          <w:tcPr>
            <w:tcW w:w="905" w:type="pct"/>
            <w:tcBorders>
              <w:top w:val="single" w:sz="4" w:space="0" w:color="auto"/>
              <w:bottom w:val="single" w:sz="4" w:space="0" w:color="auto"/>
            </w:tcBorders>
            <w:vAlign w:val="center"/>
          </w:tcPr>
          <w:p w:rsidR="004B20E5" w:rsidRPr="009171C7" w:rsidRDefault="004B20E5" w:rsidP="00F67FD0">
            <w:pPr>
              <w:pStyle w:val="TableBaseline2020Target"/>
            </w:pPr>
            <w:r>
              <w:t>22.5% (Fruit)</w:t>
            </w:r>
          </w:p>
        </w:tc>
        <w:tc>
          <w:tcPr>
            <w:tcW w:w="905" w:type="pct"/>
            <w:tcBorders>
              <w:top w:val="single" w:sz="4" w:space="0" w:color="auto"/>
              <w:bottom w:val="single" w:sz="4" w:space="0" w:color="auto"/>
            </w:tcBorders>
            <w:vAlign w:val="center"/>
          </w:tcPr>
          <w:p w:rsidR="004B20E5" w:rsidRDefault="004B20E5" w:rsidP="00F67FD0">
            <w:pPr>
              <w:pStyle w:val="TableBaseline2020Target"/>
            </w:pPr>
            <w:r>
              <w:t>23%</w:t>
            </w:r>
          </w:p>
        </w:tc>
        <w:tc>
          <w:tcPr>
            <w:tcW w:w="1861" w:type="pct"/>
            <w:tcBorders>
              <w:top w:val="single" w:sz="4" w:space="0" w:color="auto"/>
              <w:bottom w:val="single" w:sz="4" w:space="0" w:color="auto"/>
            </w:tcBorders>
            <w:vAlign w:val="center"/>
          </w:tcPr>
          <w:p w:rsidR="004B20E5" w:rsidRPr="00391134" w:rsidRDefault="004B20E5" w:rsidP="00F67FD0">
            <w:pPr>
              <w:pStyle w:val="TableDataSource"/>
            </w:pPr>
            <w:r w:rsidRPr="00391134">
              <w:t>MDPH Y</w:t>
            </w:r>
            <w:r>
              <w:t>HS2013</w:t>
            </w:r>
          </w:p>
        </w:tc>
      </w:tr>
      <w:tr w:rsidR="004B20E5" w:rsidRPr="00666093" w:rsidTr="005346A9">
        <w:trPr>
          <w:cantSplit/>
        </w:trPr>
        <w:tc>
          <w:tcPr>
            <w:tcW w:w="1329" w:type="pct"/>
            <w:tcBorders>
              <w:top w:val="single" w:sz="4" w:space="0" w:color="auto"/>
              <w:bottom w:val="single" w:sz="4" w:space="0" w:color="auto"/>
            </w:tcBorders>
            <w:vAlign w:val="center"/>
          </w:tcPr>
          <w:p w:rsidR="004B20E5" w:rsidRPr="009171C7" w:rsidRDefault="004B20E5" w:rsidP="00F67FD0">
            <w:pPr>
              <w:pStyle w:val="TableOutcomeMeasure"/>
            </w:pPr>
            <w:r w:rsidRPr="009171C7">
              <w:t>Adolescents</w:t>
            </w:r>
            <w:r>
              <w:t xml:space="preserve"> (High School) 3+ servings</w:t>
            </w:r>
          </w:p>
        </w:tc>
        <w:tc>
          <w:tcPr>
            <w:tcW w:w="905" w:type="pct"/>
            <w:tcBorders>
              <w:top w:val="single" w:sz="4" w:space="0" w:color="auto"/>
              <w:bottom w:val="single" w:sz="4" w:space="0" w:color="auto"/>
            </w:tcBorders>
            <w:vAlign w:val="center"/>
          </w:tcPr>
          <w:p w:rsidR="004B20E5" w:rsidRPr="009171C7" w:rsidRDefault="004B20E5" w:rsidP="00F67FD0">
            <w:pPr>
              <w:pStyle w:val="TableBaseline2020Target"/>
            </w:pPr>
            <w:r>
              <w:t>14.6% (Vegetables)</w:t>
            </w:r>
          </w:p>
        </w:tc>
        <w:tc>
          <w:tcPr>
            <w:tcW w:w="905" w:type="pct"/>
            <w:tcBorders>
              <w:top w:val="single" w:sz="4" w:space="0" w:color="auto"/>
              <w:bottom w:val="single" w:sz="4" w:space="0" w:color="auto"/>
            </w:tcBorders>
            <w:vAlign w:val="center"/>
          </w:tcPr>
          <w:p w:rsidR="004B20E5" w:rsidRDefault="004B20E5" w:rsidP="00F67FD0">
            <w:pPr>
              <w:pStyle w:val="TableBaseline2020Target"/>
            </w:pPr>
            <w:r>
              <w:t>14.9%</w:t>
            </w:r>
          </w:p>
        </w:tc>
        <w:tc>
          <w:tcPr>
            <w:tcW w:w="1861" w:type="pct"/>
            <w:tcBorders>
              <w:top w:val="single" w:sz="4" w:space="0" w:color="auto"/>
              <w:bottom w:val="single" w:sz="4" w:space="0" w:color="auto"/>
            </w:tcBorders>
            <w:vAlign w:val="center"/>
          </w:tcPr>
          <w:p w:rsidR="004B20E5" w:rsidRPr="00391134" w:rsidRDefault="004B20E5" w:rsidP="00F67FD0">
            <w:pPr>
              <w:pStyle w:val="TableDataSource"/>
            </w:pPr>
            <w:r w:rsidRPr="00391134">
              <w:t>MDPH Y</w:t>
            </w:r>
            <w:r>
              <w:t>HS2013</w:t>
            </w:r>
          </w:p>
        </w:tc>
      </w:tr>
      <w:tr w:rsidR="004B20E5" w:rsidRPr="00666093" w:rsidTr="005346A9">
        <w:trPr>
          <w:cantSplit/>
        </w:trPr>
        <w:tc>
          <w:tcPr>
            <w:tcW w:w="1329" w:type="pct"/>
            <w:tcBorders>
              <w:top w:val="single" w:sz="4" w:space="0" w:color="auto"/>
              <w:bottom w:val="single" w:sz="4" w:space="0" w:color="auto"/>
            </w:tcBorders>
            <w:vAlign w:val="center"/>
          </w:tcPr>
          <w:p w:rsidR="004B20E5" w:rsidRPr="009171C7" w:rsidRDefault="004B20E5" w:rsidP="00F67FD0">
            <w:pPr>
              <w:pStyle w:val="TableOutcomeMeasure"/>
            </w:pPr>
            <w:r w:rsidRPr="009171C7">
              <w:t>Children</w:t>
            </w:r>
            <w:r>
              <w:t xml:space="preserve"> (Middle School) 3+ servings</w:t>
            </w:r>
          </w:p>
        </w:tc>
        <w:tc>
          <w:tcPr>
            <w:tcW w:w="905" w:type="pct"/>
            <w:tcBorders>
              <w:top w:val="single" w:sz="4" w:space="0" w:color="auto"/>
              <w:bottom w:val="single" w:sz="4" w:space="0" w:color="auto"/>
            </w:tcBorders>
            <w:vAlign w:val="center"/>
          </w:tcPr>
          <w:p w:rsidR="004B20E5" w:rsidRDefault="004B20E5" w:rsidP="00F67FD0">
            <w:pPr>
              <w:pStyle w:val="TableBaseline2020Target"/>
            </w:pPr>
            <w:r>
              <w:t>28.7% (Fruit)</w:t>
            </w:r>
          </w:p>
        </w:tc>
        <w:tc>
          <w:tcPr>
            <w:tcW w:w="905" w:type="pct"/>
            <w:tcBorders>
              <w:top w:val="single" w:sz="4" w:space="0" w:color="auto"/>
              <w:bottom w:val="single" w:sz="4" w:space="0" w:color="auto"/>
            </w:tcBorders>
            <w:vAlign w:val="center"/>
          </w:tcPr>
          <w:p w:rsidR="004B20E5" w:rsidRDefault="004B20E5" w:rsidP="00F67FD0">
            <w:pPr>
              <w:pStyle w:val="TableBaseline2020Target"/>
            </w:pPr>
            <w:r>
              <w:t>29.3%</w:t>
            </w:r>
          </w:p>
        </w:tc>
        <w:tc>
          <w:tcPr>
            <w:tcW w:w="1861" w:type="pct"/>
            <w:tcBorders>
              <w:top w:val="single" w:sz="4" w:space="0" w:color="auto"/>
              <w:bottom w:val="single" w:sz="4" w:space="0" w:color="auto"/>
            </w:tcBorders>
            <w:vAlign w:val="center"/>
          </w:tcPr>
          <w:p w:rsidR="004B20E5" w:rsidRPr="00391134" w:rsidRDefault="004B20E5" w:rsidP="00F67FD0">
            <w:pPr>
              <w:pStyle w:val="TableDataSource"/>
            </w:pPr>
            <w:r w:rsidRPr="00391134">
              <w:t xml:space="preserve">MDPH </w:t>
            </w:r>
            <w:r>
              <w:t>YHS2013</w:t>
            </w:r>
          </w:p>
        </w:tc>
      </w:tr>
      <w:tr w:rsidR="004B20E5" w:rsidRPr="00666093" w:rsidTr="005346A9">
        <w:trPr>
          <w:cantSplit/>
        </w:trPr>
        <w:tc>
          <w:tcPr>
            <w:tcW w:w="1329" w:type="pct"/>
            <w:tcBorders>
              <w:top w:val="single" w:sz="4" w:space="0" w:color="auto"/>
              <w:bottom w:val="single" w:sz="4" w:space="0" w:color="auto"/>
            </w:tcBorders>
            <w:vAlign w:val="center"/>
          </w:tcPr>
          <w:p w:rsidR="004B20E5" w:rsidRPr="009171C7" w:rsidRDefault="004B20E5" w:rsidP="00F67FD0">
            <w:pPr>
              <w:pStyle w:val="TableOutcomeMeasure"/>
            </w:pPr>
            <w:r w:rsidRPr="009171C7">
              <w:t>Children</w:t>
            </w:r>
            <w:r>
              <w:t xml:space="preserve"> (Middle School) 3+ servings</w:t>
            </w:r>
          </w:p>
        </w:tc>
        <w:tc>
          <w:tcPr>
            <w:tcW w:w="905" w:type="pct"/>
            <w:tcBorders>
              <w:top w:val="single" w:sz="4" w:space="0" w:color="auto"/>
              <w:bottom w:val="single" w:sz="4" w:space="0" w:color="auto"/>
            </w:tcBorders>
            <w:vAlign w:val="center"/>
          </w:tcPr>
          <w:p w:rsidR="004B20E5" w:rsidRDefault="004B20E5" w:rsidP="00F67FD0">
            <w:pPr>
              <w:pStyle w:val="TableBaseline2020Target"/>
            </w:pPr>
            <w:r>
              <w:t>20% (Vegetables)</w:t>
            </w:r>
          </w:p>
        </w:tc>
        <w:tc>
          <w:tcPr>
            <w:tcW w:w="905" w:type="pct"/>
            <w:tcBorders>
              <w:top w:val="single" w:sz="4" w:space="0" w:color="auto"/>
              <w:bottom w:val="single" w:sz="4" w:space="0" w:color="auto"/>
            </w:tcBorders>
            <w:vAlign w:val="center"/>
          </w:tcPr>
          <w:p w:rsidR="004B20E5" w:rsidRDefault="004B20E5" w:rsidP="00F67FD0">
            <w:pPr>
              <w:pStyle w:val="TableBaseline2020Target"/>
            </w:pPr>
            <w:r>
              <w:t>20.4%</w:t>
            </w:r>
          </w:p>
        </w:tc>
        <w:tc>
          <w:tcPr>
            <w:tcW w:w="1861" w:type="pct"/>
            <w:tcBorders>
              <w:top w:val="single" w:sz="4" w:space="0" w:color="auto"/>
              <w:bottom w:val="single" w:sz="4" w:space="0" w:color="auto"/>
            </w:tcBorders>
            <w:vAlign w:val="center"/>
          </w:tcPr>
          <w:p w:rsidR="004B20E5" w:rsidRPr="00391134" w:rsidRDefault="004B20E5" w:rsidP="00F67FD0">
            <w:pPr>
              <w:pStyle w:val="TableDataSource"/>
            </w:pPr>
            <w:r w:rsidRPr="00391134">
              <w:t xml:space="preserve">MDPH </w:t>
            </w:r>
            <w:r>
              <w:t>YHS2013</w:t>
            </w:r>
          </w:p>
        </w:tc>
      </w:tr>
    </w:tbl>
    <w:p w:rsidR="004B20E5" w:rsidRDefault="004B20E5" w:rsidP="009429D1">
      <w:pPr>
        <w:pStyle w:val="StrategiesCategoryTitles"/>
      </w:pPr>
    </w:p>
    <w:tbl>
      <w:tblPr>
        <w:tblW w:w="4108" w:type="pct"/>
        <w:tblInd w:w="1755" w:type="dxa"/>
        <w:tblBorders>
          <w:top w:val="single" w:sz="4" w:space="0" w:color="auto"/>
          <w:bottom w:val="single" w:sz="4" w:space="0" w:color="auto"/>
          <w:insideH w:val="single" w:sz="4" w:space="0" w:color="FFFFFF"/>
          <w:insideV w:val="single" w:sz="4" w:space="0" w:color="FFFFFF"/>
        </w:tblBorders>
        <w:tblLayout w:type="fixed"/>
        <w:tblLook w:val="00A0" w:firstRow="1" w:lastRow="0" w:firstColumn="1" w:lastColumn="0" w:noHBand="0" w:noVBand="0"/>
      </w:tblPr>
      <w:tblGrid>
        <w:gridCol w:w="2248"/>
        <w:gridCol w:w="6211"/>
      </w:tblGrid>
      <w:tr w:rsidR="004B20E5" w:rsidRPr="00666093" w:rsidDel="00F67FD0" w:rsidTr="00A4466A">
        <w:trPr>
          <w:cantSplit/>
        </w:trPr>
        <w:tc>
          <w:tcPr>
            <w:tcW w:w="1329" w:type="pct"/>
            <w:tcBorders>
              <w:top w:val="single" w:sz="4" w:space="0" w:color="auto"/>
            </w:tcBorders>
          </w:tcPr>
          <w:p w:rsidR="004B20E5" w:rsidRPr="009171C7" w:rsidDel="00F67FD0" w:rsidRDefault="004B20E5" w:rsidP="00A4466A">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A4466A">
            <w:pPr>
              <w:pStyle w:val="TableOutcomeMeasure"/>
            </w:pPr>
            <w:r>
              <w:t>Adults who report consuming 5 or more servings of fruits and vegetables daily; high school students and middle school students who report consuming 3 or more servings of fruits in the previous day or vegetables in the previous day</w:t>
            </w:r>
          </w:p>
        </w:tc>
      </w:tr>
      <w:tr w:rsidR="004B20E5" w:rsidRPr="00666093" w:rsidDel="00F67FD0" w:rsidTr="00A4466A">
        <w:trPr>
          <w:cantSplit/>
        </w:trPr>
        <w:tc>
          <w:tcPr>
            <w:tcW w:w="1329" w:type="pct"/>
          </w:tcPr>
          <w:p w:rsidR="004B20E5" w:rsidRPr="009171C7" w:rsidDel="00F67FD0" w:rsidRDefault="004B20E5" w:rsidP="008D481F">
            <w:pPr>
              <w:pStyle w:val="TableTitleNumeratoretc"/>
            </w:pPr>
            <w:r w:rsidRPr="00A367E5">
              <w:t>Denominator</w:t>
            </w:r>
            <w:r>
              <w:t>:</w:t>
            </w:r>
          </w:p>
        </w:tc>
        <w:tc>
          <w:tcPr>
            <w:tcW w:w="3671" w:type="pct"/>
            <w:vAlign w:val="center"/>
          </w:tcPr>
          <w:p w:rsidR="004B20E5" w:rsidRPr="00391134" w:rsidDel="00F67FD0" w:rsidRDefault="004B20E5" w:rsidP="008D481F">
            <w:pPr>
              <w:pStyle w:val="TableOutcomeMeasure"/>
            </w:pPr>
            <w:r>
              <w:t>All high school students or middle school students reporting on the question; all adults reporting sufficient information on intake of fruit and vegetables during the series of fruit and vegetable questions to calculate servings per day</w:t>
            </w:r>
          </w:p>
        </w:tc>
      </w:tr>
      <w:tr w:rsidR="004B20E5" w:rsidRPr="00666093" w:rsidDel="00F67FD0" w:rsidTr="00A4466A">
        <w:trPr>
          <w:cantSplit/>
        </w:trPr>
        <w:tc>
          <w:tcPr>
            <w:tcW w:w="1329" w:type="pct"/>
          </w:tcPr>
          <w:p w:rsidR="004B20E5" w:rsidRPr="009171C7" w:rsidDel="00F67FD0" w:rsidRDefault="004B20E5" w:rsidP="008D481F">
            <w:pPr>
              <w:pStyle w:val="TableTitleNumeratoretc"/>
            </w:pPr>
            <w:r w:rsidRPr="00A367E5">
              <w:t>Exclusions</w:t>
            </w:r>
            <w:r>
              <w:t>:</w:t>
            </w:r>
          </w:p>
        </w:tc>
        <w:tc>
          <w:tcPr>
            <w:tcW w:w="3671" w:type="pct"/>
            <w:vAlign w:val="center"/>
          </w:tcPr>
          <w:p w:rsidR="004B20E5" w:rsidRPr="00391134" w:rsidDel="00F67FD0" w:rsidRDefault="004B20E5" w:rsidP="008D481F">
            <w:pPr>
              <w:pStyle w:val="TableOutcomeMeasure"/>
            </w:pPr>
            <w:r>
              <w:t>All adults reporting insufficient information on the series of fruit and vegetable questions to calculate servings per day</w:t>
            </w:r>
          </w:p>
        </w:tc>
      </w:tr>
      <w:tr w:rsidR="004B20E5" w:rsidRPr="00666093" w:rsidDel="00F67FD0" w:rsidTr="00A4466A">
        <w:trPr>
          <w:cantSplit/>
        </w:trPr>
        <w:tc>
          <w:tcPr>
            <w:tcW w:w="1329" w:type="pct"/>
          </w:tcPr>
          <w:p w:rsidR="004B20E5" w:rsidRPr="009171C7" w:rsidDel="00F67FD0" w:rsidRDefault="004B20E5" w:rsidP="00A4466A">
            <w:pPr>
              <w:pStyle w:val="TableTitleNumeratoretc"/>
            </w:pPr>
            <w:r w:rsidRPr="00F67FD0">
              <w:t>Timeframe</w:t>
            </w:r>
            <w:r>
              <w:t>:</w:t>
            </w:r>
          </w:p>
        </w:tc>
        <w:tc>
          <w:tcPr>
            <w:tcW w:w="3671" w:type="pct"/>
            <w:vAlign w:val="center"/>
          </w:tcPr>
          <w:p w:rsidR="004B20E5" w:rsidRPr="00391134" w:rsidDel="00F67FD0" w:rsidRDefault="004B20E5" w:rsidP="00A4466A">
            <w:pPr>
              <w:pStyle w:val="TableOutcomeMeasure"/>
            </w:pPr>
            <w:r>
              <w:t>Annual</w:t>
            </w:r>
          </w:p>
        </w:tc>
      </w:tr>
      <w:tr w:rsidR="004B20E5" w:rsidRPr="00666093" w:rsidDel="00F67FD0" w:rsidTr="004C0088">
        <w:trPr>
          <w:cantSplit/>
        </w:trPr>
        <w:tc>
          <w:tcPr>
            <w:tcW w:w="1329" w:type="pct"/>
            <w:tcBorders>
              <w:bottom w:val="single" w:sz="4" w:space="0" w:color="auto"/>
            </w:tcBorders>
          </w:tcPr>
          <w:p w:rsidR="004B20E5" w:rsidRPr="009171C7" w:rsidDel="00F67FD0" w:rsidRDefault="004B20E5" w:rsidP="004C0088">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9429D1">
            <w:pPr>
              <w:pStyle w:val="TableOutcomeMeasure"/>
            </w:pPr>
            <w:r>
              <w:t>The nutrition questions from the CDC Core BRFSS are asked every other year by randomized telephone survey. YHS is a paper survey conducted every other year (odd years) in school classrooms.</w:t>
            </w:r>
          </w:p>
        </w:tc>
      </w:tr>
    </w:tbl>
    <w:p w:rsidR="004B20E5" w:rsidRDefault="004B20E5" w:rsidP="006256D0">
      <w:pPr>
        <w:pStyle w:val="StrategiesCategoryTitles"/>
      </w:pPr>
    </w:p>
    <w:p w:rsidR="004B20E5" w:rsidRDefault="004B20E5" w:rsidP="007C27A3">
      <w:pPr>
        <w:pStyle w:val="TableTenEssenHlthFunct"/>
      </w:pPr>
      <w:r>
        <w:t>Monitor Health to Identify and Solve Community Health Problems</w:t>
      </w:r>
    </w:p>
    <w:p w:rsidR="004B20E5" w:rsidRPr="006256D0" w:rsidRDefault="004B20E5" w:rsidP="00D00411">
      <w:pPr>
        <w:pStyle w:val="TableStrategiesunderHealthFunctions"/>
      </w:pPr>
      <w:r>
        <w:t>1.1.1</w:t>
      </w:r>
      <w:r>
        <w:tab/>
        <w:t>Continue to implement YHS, YRBS, School Health Profiles, and nutrition module of BRFSS according to current schedule.</w:t>
      </w:r>
    </w:p>
    <w:p w:rsidR="004B20E5" w:rsidRDefault="004B20E5" w:rsidP="007C27A3">
      <w:pPr>
        <w:pStyle w:val="TableTenEssenHlthFunct"/>
      </w:pPr>
      <w:r>
        <w:t>Diagnose and Investigate Health Problems and Hazards in the Community</w:t>
      </w:r>
    </w:p>
    <w:p w:rsidR="004B20E5" w:rsidRDefault="004B20E5" w:rsidP="00D00411">
      <w:pPr>
        <w:pStyle w:val="TableStrategiesunderHealthFunctions"/>
      </w:pPr>
      <w:r w:rsidRPr="00B35010">
        <w:t>1.1.</w:t>
      </w:r>
      <w:r>
        <w:t>2</w:t>
      </w:r>
      <w:r w:rsidRPr="00B35010">
        <w:tab/>
      </w:r>
      <w:r>
        <w:t xml:space="preserve">Conduct environmental scan of fruit and vegetable pricing in different communities with an emphasis on </w:t>
      </w:r>
      <w:r w:rsidRPr="00B35010">
        <w:t>low-income neighborhoods</w:t>
      </w:r>
      <w:r>
        <w:t>, analyze results.</w:t>
      </w:r>
    </w:p>
    <w:p w:rsidR="004B20E5" w:rsidRPr="006256D0" w:rsidRDefault="004B20E5" w:rsidP="00D00411">
      <w:pPr>
        <w:pStyle w:val="TableStrategiesunderHealthFunctions"/>
      </w:pPr>
      <w:r>
        <w:t>1.1.3</w:t>
      </w:r>
      <w:r>
        <w:tab/>
        <w:t>Work with local health officials to ensure regular inspections of farmer’s markets.</w:t>
      </w:r>
    </w:p>
    <w:p w:rsidR="004B20E5" w:rsidRDefault="004B20E5" w:rsidP="007C27A3">
      <w:pPr>
        <w:pStyle w:val="TableTenEssenHlthFunct"/>
      </w:pPr>
      <w:r>
        <w:t>Mobilize Community Partnerships to Identify and Solve Health Problems</w:t>
      </w:r>
    </w:p>
    <w:p w:rsidR="004B20E5" w:rsidRPr="00586773" w:rsidRDefault="004B20E5" w:rsidP="00D00411">
      <w:pPr>
        <w:pStyle w:val="TableStrategiesunderHealthFunctions"/>
      </w:pPr>
      <w:r w:rsidRPr="00586773">
        <w:t>1.1.</w:t>
      </w:r>
      <w:r>
        <w:t>4</w:t>
      </w:r>
      <w:r w:rsidRPr="00586773">
        <w:tab/>
        <w:t>Expand the number and utilization of community gardens</w:t>
      </w:r>
      <w:r>
        <w:t xml:space="preserve"> as measured by the number of municipalities with community garden programs in place.</w:t>
      </w:r>
    </w:p>
    <w:p w:rsidR="004B20E5" w:rsidRDefault="004B20E5" w:rsidP="00D00411">
      <w:pPr>
        <w:pStyle w:val="TableStrategiesunderHealthFunctions"/>
      </w:pPr>
      <w:r w:rsidRPr="00586773">
        <w:t>1.1.</w:t>
      </w:r>
      <w:r>
        <w:t>5</w:t>
      </w:r>
      <w:r w:rsidRPr="00586773">
        <w:tab/>
        <w:t xml:space="preserve">Expand and evaluate farmer’s market </w:t>
      </w:r>
      <w:r w:rsidRPr="00100E8A">
        <w:t>Supplemental Nutrition Assistance Program (SNAP)</w:t>
      </w:r>
      <w:r w:rsidRPr="00586773">
        <w:t xml:space="preserve"> participation, </w:t>
      </w:r>
      <w:r>
        <w:t>as measured by the number</w:t>
      </w:r>
      <w:r w:rsidR="00415A27">
        <w:t xml:space="preserve"> </w:t>
      </w:r>
      <w:r>
        <w:t>of farmers markets that accept SNAP as a form of payment.</w:t>
      </w:r>
    </w:p>
    <w:p w:rsidR="004B20E5" w:rsidRPr="006256D0" w:rsidRDefault="004B20E5" w:rsidP="00D00411">
      <w:pPr>
        <w:pStyle w:val="TableStrategiesunderHealthFunctions"/>
      </w:pPr>
      <w:r>
        <w:t>1.1.6</w:t>
      </w:r>
      <w:r>
        <w:tab/>
        <w:t>Assist food retailers and vendors to offer more healthy food options.</w:t>
      </w:r>
    </w:p>
    <w:p w:rsidR="004B20E5" w:rsidRDefault="004B20E5" w:rsidP="007C27A3">
      <w:pPr>
        <w:pStyle w:val="TableTenEssenHlthFunct"/>
      </w:pPr>
      <w:r>
        <w:br w:type="page"/>
      </w:r>
    </w:p>
    <w:p w:rsidR="004B20E5" w:rsidRDefault="004B20E5" w:rsidP="007C27A3">
      <w:pPr>
        <w:pStyle w:val="TableTenEssenHlthFunct"/>
      </w:pPr>
      <w:r w:rsidRPr="00891892">
        <w:lastRenderedPageBreak/>
        <w:t>Develop Policies and Plans That Support Individual and Community Health Efforts</w:t>
      </w:r>
    </w:p>
    <w:p w:rsidR="004B20E5" w:rsidRPr="00586773" w:rsidRDefault="004B20E5" w:rsidP="00D00411">
      <w:pPr>
        <w:pStyle w:val="TableStrategiesunderHealthFunctions"/>
      </w:pPr>
      <w:r w:rsidRPr="00586773">
        <w:t>1.1.</w:t>
      </w:r>
      <w:r>
        <w:t>7</w:t>
      </w:r>
      <w:r w:rsidRPr="00586773">
        <w:tab/>
        <w:t>Double the value of SNAP benefits for authorized purchases of fruits and vegetables at all merchants</w:t>
      </w:r>
      <w:r>
        <w:t xml:space="preserve"> as measured by the number of farmers markets that have match program</w:t>
      </w:r>
      <w:r w:rsidR="00317533">
        <w:t>s</w:t>
      </w:r>
      <w:r>
        <w:t>.</w:t>
      </w:r>
    </w:p>
    <w:p w:rsidR="004B20E5" w:rsidRDefault="004B20E5" w:rsidP="00D00411">
      <w:pPr>
        <w:pStyle w:val="TableStrategiesunderHealthFunctions"/>
      </w:pPr>
      <w:r w:rsidRPr="00B35010">
        <w:t>1.1.</w:t>
      </w:r>
      <w:r>
        <w:t>8</w:t>
      </w:r>
      <w:r w:rsidRPr="00B35010">
        <w:tab/>
      </w:r>
      <w:r>
        <w:t xml:space="preserve">Pass and implement a statewide policy to eliminate the tax exemption for candy and </w:t>
      </w:r>
      <w:r w:rsidRPr="00B35010">
        <w:t>sugar-sweetened beverages</w:t>
      </w:r>
      <w:r>
        <w:t>.</w:t>
      </w:r>
    </w:p>
    <w:p w:rsidR="004B20E5" w:rsidRDefault="004B20E5" w:rsidP="007C27A3">
      <w:pPr>
        <w:pStyle w:val="TableTenEssenHlthFunct"/>
      </w:pPr>
      <w:r>
        <w:t>Enforce Laws and Regulations That Protect Health and Ensure Safety</w:t>
      </w:r>
    </w:p>
    <w:p w:rsidR="004B20E5" w:rsidRPr="006256D0" w:rsidRDefault="004B20E5" w:rsidP="00D00411">
      <w:pPr>
        <w:pStyle w:val="TableStrategiesunderHealthFunctions"/>
      </w:pPr>
      <w:r w:rsidRPr="00B35010">
        <w:t>1.1.</w:t>
      </w:r>
      <w:r>
        <w:t>9</w:t>
      </w:r>
      <w:r w:rsidRPr="00B35010">
        <w:tab/>
        <w:t xml:space="preserve">Expand </w:t>
      </w:r>
      <w:r>
        <w:t xml:space="preserve">affordable </w:t>
      </w:r>
      <w:r w:rsidRPr="00B35010">
        <w:t>healthy food options</w:t>
      </w:r>
      <w:r>
        <w:t>, including fruits and vegetables,</w:t>
      </w:r>
      <w:r w:rsidRPr="00B35010">
        <w:t xml:space="preserve"> in schools</w:t>
      </w:r>
      <w:r>
        <w:t xml:space="preserve"> and early care and education programs as measured by the number of Local Educational Agencies (LEA) that are in compliance with the MA Competitive Foods Regulations.</w:t>
      </w:r>
    </w:p>
    <w:p w:rsidR="004B20E5" w:rsidRDefault="004B20E5" w:rsidP="007C27A3">
      <w:pPr>
        <w:pStyle w:val="TableTenEssenHlthFunct"/>
      </w:pPr>
      <w:r>
        <w:t>Assure a Competent Public and Personal Healthcare Workforce</w:t>
      </w:r>
    </w:p>
    <w:p w:rsidR="004B20E5" w:rsidRPr="00586773" w:rsidRDefault="004B20E5" w:rsidP="00D00411">
      <w:pPr>
        <w:pStyle w:val="TableStrategiesunderHealthFunctions"/>
      </w:pPr>
      <w:r w:rsidRPr="00586773">
        <w:t>1.1.</w:t>
      </w:r>
      <w:r>
        <w:t>10</w:t>
      </w:r>
      <w:r w:rsidRPr="00586773">
        <w:tab/>
        <w:t>Provide technical assistance to state agency staff responsible for food procurement to increase healthy food options.</w:t>
      </w:r>
    </w:p>
    <w:p w:rsidR="004B20E5" w:rsidRPr="00B35010" w:rsidRDefault="004B20E5" w:rsidP="00D00411">
      <w:pPr>
        <w:pStyle w:val="TableStrategiesunderHealthFunctions"/>
      </w:pPr>
      <w:r>
        <w:t>1.1.11</w:t>
      </w:r>
      <w:r>
        <w:tab/>
        <w:t>Develop and provide training for, and track participation of, school food service workers to increase their ability to prepare and offer fruits and vegetables in an appetizing, affordable manner.</w:t>
      </w:r>
    </w:p>
    <w:p w:rsidR="004B20E5" w:rsidRDefault="004B20E5" w:rsidP="007C27A3">
      <w:pPr>
        <w:pStyle w:val="TableTenEssenHlthFunct"/>
      </w:pPr>
      <w:r>
        <w:t>Maintain Administrative Management Capacity</w:t>
      </w:r>
    </w:p>
    <w:p w:rsidR="004B20E5" w:rsidRPr="00586773" w:rsidRDefault="004B20E5" w:rsidP="00D00411">
      <w:pPr>
        <w:pStyle w:val="TableStrategiesunderHealthFunctions"/>
      </w:pPr>
      <w:r w:rsidRPr="00586773">
        <w:t>1.1.</w:t>
      </w:r>
      <w:r>
        <w:t>12</w:t>
      </w:r>
      <w:r w:rsidRPr="00586773">
        <w:tab/>
        <w:t xml:space="preserve">Evaluate the Healthy </w:t>
      </w:r>
      <w:r>
        <w:t xml:space="preserve">Market </w:t>
      </w:r>
      <w:r w:rsidRPr="00586773">
        <w:t>initiative</w:t>
      </w:r>
      <w:r>
        <w:t xml:space="preserve"> as measured by the number of corner stores that meet MDPH Healthy Market Criteria and expand if effective.</w:t>
      </w:r>
    </w:p>
    <w:p w:rsidR="004B20E5" w:rsidRPr="006256D0" w:rsidRDefault="004B20E5" w:rsidP="00D00411">
      <w:pPr>
        <w:pStyle w:val="TableStrategiesunderHealthFunctions"/>
      </w:pPr>
      <w:r>
        <w:t>1.1.13</w:t>
      </w:r>
      <w:r>
        <w:tab/>
        <w:t xml:space="preserve">Develop new measurement tools allowing for more robust healthy eating measurement (specifically </w:t>
      </w:r>
      <w:r w:rsidR="00AC3C28">
        <w:t>Policy, Systems, and Environmental</w:t>
      </w:r>
      <w:r>
        <w:t xml:space="preserve"> </w:t>
      </w:r>
      <w:r w:rsidR="00AC3C28">
        <w:t xml:space="preserve">(PSE) </w:t>
      </w:r>
      <w:r>
        <w:t>strategies and behaviors specifically associated with obesity).</w:t>
      </w:r>
    </w:p>
    <w:p w:rsidR="004B20E5" w:rsidRDefault="004B20E5" w:rsidP="006F356A">
      <w:pPr>
        <w:pStyle w:val="StrategiesCategoryTitles"/>
      </w:pPr>
    </w:p>
    <w:p w:rsidR="004B20E5" w:rsidRDefault="004B20E5" w:rsidP="00CB2B0E">
      <w:pPr>
        <w:pStyle w:val="ObjectiveStatement"/>
      </w:pPr>
      <w:r>
        <w:t>Measure 1.2:</w:t>
      </w:r>
      <w:r>
        <w:tab/>
        <w:t>Increase the relative percentage of adolescents and children who report consuming no more than one sugar-sweetened beverage daily</w:t>
      </w:r>
      <w:r w:rsidR="00921F5C">
        <w:t xml:space="preserve"> </w:t>
      </w:r>
      <w:r>
        <w:t>by 2%.</w:t>
      </w:r>
    </w:p>
    <w:p w:rsidR="004B20E5" w:rsidRDefault="004B20E5" w:rsidP="00CB11E8">
      <w:pPr>
        <w:pStyle w:val="BodyText"/>
      </w:pP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247573">
        <w:trPr>
          <w:cantSplit/>
        </w:trPr>
        <w:tc>
          <w:tcPr>
            <w:tcW w:w="1329" w:type="pct"/>
            <w:tcBorders>
              <w:top w:val="single" w:sz="4" w:space="0" w:color="auto"/>
              <w:bottom w:val="single" w:sz="4" w:space="0" w:color="auto"/>
            </w:tcBorders>
            <w:vAlign w:val="center"/>
          </w:tcPr>
          <w:p w:rsidR="004B20E5" w:rsidRPr="00666093" w:rsidRDefault="004B20E5" w:rsidP="008C43E1">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247573">
            <w:pPr>
              <w:pStyle w:val="TableTitleBaseline2020Target"/>
            </w:pPr>
            <w:r w:rsidRPr="009171C7">
              <w:t>Baseline</w:t>
            </w:r>
          </w:p>
        </w:tc>
        <w:tc>
          <w:tcPr>
            <w:tcW w:w="905" w:type="pct"/>
            <w:tcBorders>
              <w:top w:val="single" w:sz="4" w:space="0" w:color="auto"/>
              <w:bottom w:val="single" w:sz="4" w:space="0" w:color="auto"/>
            </w:tcBorders>
            <w:vAlign w:val="center"/>
          </w:tcPr>
          <w:p w:rsidR="004B20E5" w:rsidRPr="00666093" w:rsidRDefault="004B20E5" w:rsidP="00247573">
            <w:pPr>
              <w:pStyle w:val="TableTitleBaseline2020Target"/>
            </w:pPr>
            <w:r w:rsidRPr="009171C7">
              <w:t>2020 Target</w:t>
            </w:r>
          </w:p>
        </w:tc>
        <w:tc>
          <w:tcPr>
            <w:tcW w:w="1861" w:type="pct"/>
            <w:tcBorders>
              <w:top w:val="single" w:sz="4" w:space="0" w:color="auto"/>
              <w:bottom w:val="single" w:sz="4" w:space="0" w:color="auto"/>
            </w:tcBorders>
            <w:vAlign w:val="center"/>
          </w:tcPr>
          <w:p w:rsidR="004B20E5" w:rsidRPr="00666093" w:rsidRDefault="004B20E5" w:rsidP="00247573">
            <w:pPr>
              <w:pStyle w:val="TableTitleTargetDataSource"/>
            </w:pPr>
            <w:r w:rsidRPr="009171C7">
              <w:t>Data Source</w:t>
            </w:r>
          </w:p>
        </w:tc>
      </w:tr>
      <w:tr w:rsidR="004B20E5" w:rsidRPr="00391134" w:rsidTr="00247573">
        <w:trPr>
          <w:cantSplit/>
        </w:trPr>
        <w:tc>
          <w:tcPr>
            <w:tcW w:w="1329" w:type="pct"/>
            <w:tcBorders>
              <w:top w:val="single" w:sz="4" w:space="0" w:color="auto"/>
              <w:bottom w:val="single" w:sz="4" w:space="0" w:color="auto"/>
            </w:tcBorders>
            <w:vAlign w:val="center"/>
          </w:tcPr>
          <w:p w:rsidR="004B20E5" w:rsidRPr="00666093" w:rsidRDefault="004B20E5" w:rsidP="00247573">
            <w:pPr>
              <w:pStyle w:val="TableOutcomeMeasure"/>
            </w:pPr>
            <w:r w:rsidRPr="009171C7">
              <w:t>Adolescents</w:t>
            </w:r>
            <w:r>
              <w:t xml:space="preserve"> (High School) 0-1 servings</w:t>
            </w:r>
          </w:p>
        </w:tc>
        <w:tc>
          <w:tcPr>
            <w:tcW w:w="905" w:type="pct"/>
            <w:tcBorders>
              <w:top w:val="single" w:sz="4" w:space="0" w:color="auto"/>
              <w:bottom w:val="single" w:sz="4" w:space="0" w:color="auto"/>
            </w:tcBorders>
            <w:vAlign w:val="center"/>
          </w:tcPr>
          <w:p w:rsidR="004B20E5" w:rsidRPr="00666093" w:rsidRDefault="004B20E5" w:rsidP="00247573">
            <w:pPr>
              <w:pStyle w:val="TableBaseline2020Target"/>
            </w:pPr>
            <w:r>
              <w:t>66.4%</w:t>
            </w:r>
          </w:p>
        </w:tc>
        <w:tc>
          <w:tcPr>
            <w:tcW w:w="905" w:type="pct"/>
            <w:tcBorders>
              <w:top w:val="single" w:sz="4" w:space="0" w:color="auto"/>
              <w:bottom w:val="single" w:sz="4" w:space="0" w:color="auto"/>
            </w:tcBorders>
            <w:vAlign w:val="center"/>
          </w:tcPr>
          <w:p w:rsidR="004B20E5" w:rsidRPr="00666093" w:rsidRDefault="004B20E5" w:rsidP="00247573">
            <w:pPr>
              <w:pStyle w:val="TableBaseline2020Target"/>
            </w:pPr>
            <w:r>
              <w:t>67.7%</w:t>
            </w:r>
          </w:p>
        </w:tc>
        <w:tc>
          <w:tcPr>
            <w:tcW w:w="1861" w:type="pct"/>
            <w:tcBorders>
              <w:top w:val="single" w:sz="4" w:space="0" w:color="auto"/>
              <w:bottom w:val="single" w:sz="4" w:space="0" w:color="auto"/>
            </w:tcBorders>
            <w:vAlign w:val="center"/>
          </w:tcPr>
          <w:p w:rsidR="004B20E5" w:rsidRPr="00391134" w:rsidRDefault="004B20E5" w:rsidP="00247573">
            <w:pPr>
              <w:pStyle w:val="TableDataSource"/>
            </w:pPr>
            <w:r w:rsidRPr="00391134">
              <w:t xml:space="preserve">MDPH </w:t>
            </w:r>
            <w:r>
              <w:t>YHS 2013</w:t>
            </w:r>
          </w:p>
        </w:tc>
      </w:tr>
      <w:tr w:rsidR="004B20E5" w:rsidRPr="00391134" w:rsidTr="00247573">
        <w:trPr>
          <w:cantSplit/>
        </w:trPr>
        <w:tc>
          <w:tcPr>
            <w:tcW w:w="1329" w:type="pct"/>
            <w:tcBorders>
              <w:top w:val="single" w:sz="4" w:space="0" w:color="auto"/>
              <w:bottom w:val="single" w:sz="4" w:space="0" w:color="auto"/>
            </w:tcBorders>
            <w:vAlign w:val="center"/>
          </w:tcPr>
          <w:p w:rsidR="004B20E5" w:rsidRPr="009171C7" w:rsidRDefault="004B20E5" w:rsidP="00247573">
            <w:pPr>
              <w:pStyle w:val="TableOutcomeMeasure"/>
            </w:pPr>
            <w:r w:rsidRPr="009171C7">
              <w:t>Children</w:t>
            </w:r>
            <w:r>
              <w:t xml:space="preserve"> (Middle School) 0-1 servings</w:t>
            </w:r>
          </w:p>
        </w:tc>
        <w:tc>
          <w:tcPr>
            <w:tcW w:w="905" w:type="pct"/>
            <w:tcBorders>
              <w:top w:val="single" w:sz="4" w:space="0" w:color="auto"/>
              <w:bottom w:val="single" w:sz="4" w:space="0" w:color="auto"/>
            </w:tcBorders>
            <w:vAlign w:val="center"/>
          </w:tcPr>
          <w:p w:rsidR="004B20E5" w:rsidRPr="009171C7" w:rsidRDefault="004B20E5" w:rsidP="00247573">
            <w:pPr>
              <w:pStyle w:val="TableBaseline2020Target"/>
            </w:pPr>
            <w:r>
              <w:t>64.6%</w:t>
            </w:r>
          </w:p>
        </w:tc>
        <w:tc>
          <w:tcPr>
            <w:tcW w:w="905" w:type="pct"/>
            <w:tcBorders>
              <w:top w:val="single" w:sz="4" w:space="0" w:color="auto"/>
              <w:bottom w:val="single" w:sz="4" w:space="0" w:color="auto"/>
            </w:tcBorders>
            <w:vAlign w:val="center"/>
          </w:tcPr>
          <w:p w:rsidR="004B20E5" w:rsidRDefault="004B20E5" w:rsidP="00247573">
            <w:pPr>
              <w:pStyle w:val="TableBaseline2020Target"/>
            </w:pPr>
            <w:r>
              <w:t>65.9%</w:t>
            </w:r>
          </w:p>
        </w:tc>
        <w:tc>
          <w:tcPr>
            <w:tcW w:w="1861" w:type="pct"/>
            <w:tcBorders>
              <w:top w:val="single" w:sz="4" w:space="0" w:color="auto"/>
              <w:bottom w:val="single" w:sz="4" w:space="0" w:color="auto"/>
            </w:tcBorders>
            <w:vAlign w:val="center"/>
          </w:tcPr>
          <w:p w:rsidR="004B20E5" w:rsidRPr="00391134" w:rsidRDefault="004B20E5" w:rsidP="00247573">
            <w:pPr>
              <w:pStyle w:val="TableDataSource"/>
            </w:pPr>
            <w:r w:rsidRPr="00391134">
              <w:t xml:space="preserve">MDPH </w:t>
            </w:r>
            <w:r>
              <w:t>YHS2013</w:t>
            </w:r>
          </w:p>
        </w:tc>
      </w:tr>
    </w:tbl>
    <w:p w:rsidR="004B20E5" w:rsidRDefault="004B20E5" w:rsidP="006F356A">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A4466A">
        <w:trPr>
          <w:cantSplit/>
        </w:trPr>
        <w:tc>
          <w:tcPr>
            <w:tcW w:w="1329" w:type="pct"/>
            <w:tcBorders>
              <w:top w:val="single" w:sz="4" w:space="0" w:color="auto"/>
            </w:tcBorders>
          </w:tcPr>
          <w:p w:rsidR="004B20E5" w:rsidRPr="009171C7" w:rsidDel="00F67FD0" w:rsidRDefault="004B20E5" w:rsidP="00A4466A">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A4466A">
            <w:pPr>
              <w:pStyle w:val="TableOutcomeMeasure"/>
            </w:pPr>
            <w:r>
              <w:t>High school students and middle school students who report consuming no more than 1 sugar-sweetened beverage in the previous day</w:t>
            </w:r>
          </w:p>
        </w:tc>
      </w:tr>
      <w:tr w:rsidR="004B20E5" w:rsidRPr="00666093" w:rsidDel="00F67FD0" w:rsidTr="00A4466A">
        <w:trPr>
          <w:cantSplit/>
        </w:trPr>
        <w:tc>
          <w:tcPr>
            <w:tcW w:w="1329" w:type="pct"/>
          </w:tcPr>
          <w:p w:rsidR="004B20E5" w:rsidRPr="009171C7" w:rsidDel="00F67FD0" w:rsidRDefault="004B20E5" w:rsidP="00A4466A">
            <w:pPr>
              <w:pStyle w:val="TableTitleNumeratoretc"/>
            </w:pPr>
            <w:r w:rsidRPr="00A367E5">
              <w:t>Denominator</w:t>
            </w:r>
            <w:r>
              <w:t>:</w:t>
            </w:r>
          </w:p>
        </w:tc>
        <w:tc>
          <w:tcPr>
            <w:tcW w:w="3671" w:type="pct"/>
            <w:vAlign w:val="center"/>
          </w:tcPr>
          <w:p w:rsidR="004B20E5" w:rsidRPr="00391134" w:rsidDel="00F67FD0" w:rsidRDefault="004B20E5" w:rsidP="00A4466A">
            <w:pPr>
              <w:pStyle w:val="TableOutcomeMeasure"/>
            </w:pPr>
            <w:r>
              <w:t>All high school and middle school students reporting on the survey question</w:t>
            </w:r>
          </w:p>
        </w:tc>
      </w:tr>
      <w:tr w:rsidR="004B20E5" w:rsidRPr="00666093" w:rsidDel="00F67FD0" w:rsidTr="00A4466A">
        <w:trPr>
          <w:cantSplit/>
        </w:trPr>
        <w:tc>
          <w:tcPr>
            <w:tcW w:w="1329" w:type="pct"/>
          </w:tcPr>
          <w:p w:rsidR="004B20E5" w:rsidRPr="009171C7" w:rsidDel="00F67FD0" w:rsidRDefault="004B20E5" w:rsidP="00A4466A">
            <w:pPr>
              <w:pStyle w:val="TableTitleNumeratoretc"/>
            </w:pPr>
            <w:r w:rsidRPr="00A367E5">
              <w:t>Exclusions</w:t>
            </w:r>
            <w:r>
              <w:t>:</w:t>
            </w:r>
          </w:p>
        </w:tc>
        <w:tc>
          <w:tcPr>
            <w:tcW w:w="3671" w:type="pct"/>
            <w:vAlign w:val="center"/>
          </w:tcPr>
          <w:p w:rsidR="004B20E5" w:rsidRPr="00391134" w:rsidDel="00F67FD0" w:rsidRDefault="004B20E5" w:rsidP="00A4466A">
            <w:pPr>
              <w:pStyle w:val="TableOutcomeMeasure"/>
            </w:pPr>
            <w:r>
              <w:t>N/A</w:t>
            </w:r>
          </w:p>
        </w:tc>
      </w:tr>
      <w:tr w:rsidR="004B20E5" w:rsidRPr="00666093" w:rsidDel="00F67FD0" w:rsidTr="00A4466A">
        <w:trPr>
          <w:cantSplit/>
        </w:trPr>
        <w:tc>
          <w:tcPr>
            <w:tcW w:w="1329" w:type="pct"/>
            <w:vAlign w:val="center"/>
          </w:tcPr>
          <w:p w:rsidR="004B20E5" w:rsidRPr="009171C7" w:rsidDel="00F67FD0" w:rsidRDefault="004B20E5" w:rsidP="00A4466A">
            <w:pPr>
              <w:pStyle w:val="TableTitleNumeratoretc"/>
            </w:pPr>
            <w:r w:rsidRPr="00F67FD0">
              <w:t>Timeframe</w:t>
            </w:r>
            <w:r>
              <w:t>:</w:t>
            </w:r>
          </w:p>
        </w:tc>
        <w:tc>
          <w:tcPr>
            <w:tcW w:w="3671" w:type="pct"/>
            <w:vAlign w:val="center"/>
          </w:tcPr>
          <w:p w:rsidR="004B20E5" w:rsidRPr="00391134" w:rsidDel="00F67FD0" w:rsidRDefault="004B20E5" w:rsidP="00A4466A">
            <w:pPr>
              <w:pStyle w:val="TableOutcomeMeasure"/>
            </w:pPr>
            <w:r>
              <w:t>Annual (odd years)</w:t>
            </w:r>
          </w:p>
        </w:tc>
      </w:tr>
      <w:tr w:rsidR="004B20E5" w:rsidRPr="00666093" w:rsidDel="00F67FD0" w:rsidTr="006256D0">
        <w:trPr>
          <w:cantSplit/>
        </w:trPr>
        <w:tc>
          <w:tcPr>
            <w:tcW w:w="1329" w:type="pct"/>
            <w:tcBorders>
              <w:bottom w:val="single" w:sz="4" w:space="0" w:color="auto"/>
            </w:tcBorders>
            <w:vAlign w:val="center"/>
          </w:tcPr>
          <w:p w:rsidR="004B20E5" w:rsidRPr="009171C7" w:rsidDel="00F67FD0" w:rsidRDefault="004B20E5" w:rsidP="004C0088">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6256D0">
            <w:pPr>
              <w:pStyle w:val="TableOutcomeMeasure"/>
            </w:pPr>
            <w:r>
              <w:t>YHS is a paper survey conducted every other year (odd years) in school classrooms</w:t>
            </w:r>
          </w:p>
        </w:tc>
      </w:tr>
    </w:tbl>
    <w:p w:rsidR="004B20E5" w:rsidRDefault="004B20E5" w:rsidP="006256D0">
      <w:pPr>
        <w:pStyle w:val="StrategiesCategoryTitles"/>
      </w:pPr>
    </w:p>
    <w:p w:rsidR="004B20E5" w:rsidRDefault="004B20E5" w:rsidP="007C27A3">
      <w:pPr>
        <w:pStyle w:val="TableTenEssenHlthFunct"/>
      </w:pPr>
      <w:r>
        <w:t>Monitor Health to Identify and Solve Community Health Problems</w:t>
      </w:r>
    </w:p>
    <w:p w:rsidR="004B20E5" w:rsidRPr="006256D0" w:rsidRDefault="004B20E5" w:rsidP="00D00411">
      <w:pPr>
        <w:pStyle w:val="TableStrategiesunderHealthFunctions"/>
      </w:pPr>
      <w:r>
        <w:t>1.2.1</w:t>
      </w:r>
      <w:r>
        <w:tab/>
        <w:t>Continue to implement YHS and YRBS according to current schedule.</w:t>
      </w:r>
    </w:p>
    <w:p w:rsidR="004B20E5" w:rsidRDefault="004B20E5" w:rsidP="007C27A3">
      <w:pPr>
        <w:pStyle w:val="TableTenEssenHlthFunct"/>
      </w:pPr>
      <w:r>
        <w:t>Mobilize Community Partnerships to Identify and Solve Health Problems</w:t>
      </w:r>
    </w:p>
    <w:p w:rsidR="004B20E5" w:rsidRPr="006256D0" w:rsidRDefault="004B20E5" w:rsidP="00D00411">
      <w:pPr>
        <w:pStyle w:val="TableStrategiesunderHealthFunctions"/>
      </w:pPr>
      <w:r>
        <w:t>1.2.2</w:t>
      </w:r>
      <w:r>
        <w:tab/>
        <w:t>Limit promotion of unhealthy foods and marketing of unhealthy foods in schools (including fast food and sugar sweetened beverages (SSBs)) as measured through YRBS or YHS and the number of LEAs with policies to prohibit marketing of fast food and sugar sweetened beverages.</w:t>
      </w:r>
    </w:p>
    <w:p w:rsidR="004B20E5" w:rsidRDefault="004B20E5" w:rsidP="007C27A3">
      <w:pPr>
        <w:pStyle w:val="TableTenEssenHlthFunct"/>
      </w:pPr>
      <w:r>
        <w:t xml:space="preserve">Develop Policies and Plans That Support Individual and Community Health Efforts </w:t>
      </w:r>
    </w:p>
    <w:p w:rsidR="004B20E5" w:rsidRPr="006256D0" w:rsidRDefault="004B20E5" w:rsidP="00D00411">
      <w:pPr>
        <w:pStyle w:val="TableStrategiesunderHealthFunctions"/>
      </w:pPr>
      <w:r w:rsidRPr="00B35010">
        <w:t>1.</w:t>
      </w:r>
      <w:r>
        <w:t>2.3</w:t>
      </w:r>
      <w:r w:rsidRPr="00B35010">
        <w:tab/>
      </w:r>
      <w:r>
        <w:t xml:space="preserve">Pass and implement a statewide policy to eliminate the tax exemption for candy and </w:t>
      </w:r>
      <w:r w:rsidRPr="00B35010">
        <w:t>sugar-sweetened beverages</w:t>
      </w:r>
      <w:r>
        <w:t>.</w:t>
      </w:r>
    </w:p>
    <w:p w:rsidR="004B20E5" w:rsidRDefault="004B20E5" w:rsidP="007C27A3">
      <w:pPr>
        <w:pStyle w:val="TableTenEssenHlthFunct"/>
      </w:pPr>
      <w:r>
        <w:lastRenderedPageBreak/>
        <w:t>Evaluate Effectiveness, Accessibility, and Quality of Health Services</w:t>
      </w:r>
    </w:p>
    <w:p w:rsidR="004B20E5" w:rsidRPr="00586773" w:rsidRDefault="004B20E5" w:rsidP="00D00411">
      <w:pPr>
        <w:pStyle w:val="TableStrategiesunderHealthFunctions"/>
      </w:pPr>
      <w:r w:rsidRPr="00586773">
        <w:t>1.</w:t>
      </w:r>
      <w:r>
        <w:t>2.4</w:t>
      </w:r>
      <w:r w:rsidRPr="00586773">
        <w:tab/>
        <w:t xml:space="preserve">Evaluate the impact of the Healthy </w:t>
      </w:r>
      <w:r>
        <w:t xml:space="preserve">Market </w:t>
      </w:r>
      <w:r w:rsidRPr="00586773">
        <w:t>initiative</w:t>
      </w:r>
      <w:r>
        <w:t xml:space="preserve"> as measured by the number of corner stores that meet MDPH Healthy Market Criteria and expand if effective.</w:t>
      </w:r>
    </w:p>
    <w:p w:rsidR="004B20E5" w:rsidRDefault="004B20E5" w:rsidP="006256D0">
      <w:pPr>
        <w:pStyle w:val="Strategies"/>
      </w:pPr>
    </w:p>
    <w:p w:rsidR="004B20E5" w:rsidRDefault="004B20E5" w:rsidP="00CB2B0E">
      <w:pPr>
        <w:pStyle w:val="StandardStatement"/>
      </w:pPr>
      <w:r>
        <w:t xml:space="preserve">Standard 1B: </w:t>
      </w:r>
      <w:r>
        <w:tab/>
        <w:t>Ensure that all MA residents engage in adequate physical activity.</w:t>
      </w:r>
    </w:p>
    <w:p w:rsidR="004B20E5" w:rsidRPr="006F356A" w:rsidRDefault="004B20E5" w:rsidP="006F356A">
      <w:pPr>
        <w:pStyle w:val="BodyText"/>
      </w:pPr>
    </w:p>
    <w:p w:rsidR="004B20E5" w:rsidRDefault="004B20E5" w:rsidP="00CB2B0E">
      <w:pPr>
        <w:pStyle w:val="ObjectiveStatement"/>
      </w:pPr>
      <w:r>
        <w:t>Measure 1</w:t>
      </w:r>
      <w:r w:rsidRPr="00E74638">
        <w:t>.</w:t>
      </w:r>
      <w:r>
        <w:t>3</w:t>
      </w:r>
      <w:r w:rsidRPr="00E74638">
        <w:t xml:space="preserve">:  </w:t>
      </w:r>
      <w:r>
        <w:tab/>
      </w:r>
      <w:r w:rsidRPr="006F356A">
        <w:t>Increase</w:t>
      </w:r>
      <w:r>
        <w:t xml:space="preserve"> the relative percentage of adults, adolescents, and children who engage in </w:t>
      </w:r>
      <w:r w:rsidRPr="006F356A">
        <w:t>daily</w:t>
      </w:r>
      <w:r>
        <w:t xml:space="preserve"> moderate to vigorous physical activity as per CDC recommendations</w:t>
      </w:r>
      <w:r w:rsidR="00921F5C">
        <w:t xml:space="preserve"> </w:t>
      </w:r>
      <w:r>
        <w:t xml:space="preserve">by 3%. </w:t>
      </w:r>
    </w:p>
    <w:p w:rsidR="004B20E5" w:rsidRPr="00CB11E8" w:rsidRDefault="004B20E5" w:rsidP="00CB11E8">
      <w:pPr>
        <w:pStyle w:val="BodyText"/>
      </w:pPr>
    </w:p>
    <w:tbl>
      <w:tblPr>
        <w:tblW w:w="4095" w:type="pct"/>
        <w:tblInd w:w="1755" w:type="dxa"/>
        <w:tblLayout w:type="fixed"/>
        <w:tblLook w:val="00A0" w:firstRow="1" w:lastRow="0" w:firstColumn="1" w:lastColumn="0" w:noHBand="0" w:noVBand="0"/>
      </w:tblPr>
      <w:tblGrid>
        <w:gridCol w:w="2250"/>
        <w:gridCol w:w="1531"/>
        <w:gridCol w:w="1531"/>
        <w:gridCol w:w="3120"/>
      </w:tblGrid>
      <w:tr w:rsidR="004B20E5" w:rsidRPr="00666093" w:rsidTr="00A4466A">
        <w:trPr>
          <w:cantSplit/>
        </w:trPr>
        <w:tc>
          <w:tcPr>
            <w:tcW w:w="1334" w:type="pct"/>
            <w:tcBorders>
              <w:top w:val="single" w:sz="4" w:space="0" w:color="auto"/>
              <w:bottom w:val="single" w:sz="4" w:space="0" w:color="auto"/>
            </w:tcBorders>
            <w:vAlign w:val="center"/>
          </w:tcPr>
          <w:p w:rsidR="004B20E5" w:rsidRPr="00666093" w:rsidRDefault="004B20E5" w:rsidP="00CB32A0">
            <w:pPr>
              <w:pStyle w:val="TableTitleTargetDataSource"/>
            </w:pPr>
            <w:r>
              <w:t>Outcome Indicator</w:t>
            </w:r>
          </w:p>
        </w:tc>
        <w:tc>
          <w:tcPr>
            <w:tcW w:w="908" w:type="pct"/>
            <w:tcBorders>
              <w:top w:val="single" w:sz="4" w:space="0" w:color="auto"/>
              <w:bottom w:val="single" w:sz="4" w:space="0" w:color="auto"/>
            </w:tcBorders>
            <w:vAlign w:val="center"/>
          </w:tcPr>
          <w:p w:rsidR="004B20E5" w:rsidRPr="00666093" w:rsidRDefault="004B20E5" w:rsidP="005346A9">
            <w:pPr>
              <w:pStyle w:val="TableTitleBaseline2020Target"/>
            </w:pPr>
            <w:r w:rsidRPr="009171C7">
              <w:t>Baseline</w:t>
            </w:r>
          </w:p>
        </w:tc>
        <w:tc>
          <w:tcPr>
            <w:tcW w:w="908" w:type="pct"/>
            <w:tcBorders>
              <w:top w:val="single" w:sz="4" w:space="0" w:color="auto"/>
              <w:bottom w:val="single" w:sz="4" w:space="0" w:color="auto"/>
            </w:tcBorders>
            <w:vAlign w:val="center"/>
          </w:tcPr>
          <w:p w:rsidR="004B20E5" w:rsidRPr="00666093" w:rsidRDefault="004B20E5" w:rsidP="005346A9">
            <w:pPr>
              <w:pStyle w:val="TableTitleBaseline2020Target"/>
            </w:pPr>
            <w:r w:rsidRPr="009171C7">
              <w:t>2020 Target</w:t>
            </w:r>
          </w:p>
        </w:tc>
        <w:tc>
          <w:tcPr>
            <w:tcW w:w="1851" w:type="pct"/>
            <w:tcBorders>
              <w:top w:val="single" w:sz="4" w:space="0" w:color="auto"/>
              <w:bottom w:val="single" w:sz="4" w:space="0" w:color="auto"/>
            </w:tcBorders>
            <w:vAlign w:val="center"/>
          </w:tcPr>
          <w:p w:rsidR="004B20E5" w:rsidRPr="00666093" w:rsidRDefault="004B20E5" w:rsidP="005346A9">
            <w:pPr>
              <w:pStyle w:val="TableTitleTargetDataSource"/>
            </w:pPr>
            <w:r w:rsidRPr="009171C7">
              <w:t>Data Source</w:t>
            </w:r>
          </w:p>
        </w:tc>
      </w:tr>
      <w:tr w:rsidR="004B20E5" w:rsidRPr="00666093" w:rsidTr="00A4466A">
        <w:trPr>
          <w:cantSplit/>
        </w:trPr>
        <w:tc>
          <w:tcPr>
            <w:tcW w:w="1334" w:type="pct"/>
            <w:tcBorders>
              <w:top w:val="single" w:sz="4" w:space="0" w:color="auto"/>
              <w:bottom w:val="single" w:sz="4" w:space="0" w:color="auto"/>
            </w:tcBorders>
            <w:vAlign w:val="center"/>
          </w:tcPr>
          <w:p w:rsidR="004B20E5" w:rsidRPr="00417CEB" w:rsidRDefault="004B20E5" w:rsidP="00CB11E8">
            <w:pPr>
              <w:pStyle w:val="TableOutcomeMeasure"/>
            </w:pPr>
            <w:r w:rsidRPr="00417CEB">
              <w:t>Adults</w:t>
            </w:r>
          </w:p>
        </w:tc>
        <w:tc>
          <w:tcPr>
            <w:tcW w:w="908" w:type="pct"/>
            <w:tcBorders>
              <w:top w:val="single" w:sz="4" w:space="0" w:color="auto"/>
              <w:bottom w:val="single" w:sz="4" w:space="0" w:color="auto"/>
            </w:tcBorders>
            <w:vAlign w:val="center"/>
          </w:tcPr>
          <w:p w:rsidR="004B20E5" w:rsidRDefault="004B20E5" w:rsidP="00CB11E8">
            <w:pPr>
              <w:pStyle w:val="TableBaseline2020Target"/>
            </w:pPr>
            <w:r>
              <w:t>56.3% 150 min</w:t>
            </w:r>
            <w:r w:rsidRPr="009171C7">
              <w:t>/</w:t>
            </w:r>
            <w:r>
              <w:t>week</w:t>
            </w:r>
          </w:p>
        </w:tc>
        <w:tc>
          <w:tcPr>
            <w:tcW w:w="908" w:type="pct"/>
            <w:tcBorders>
              <w:top w:val="single" w:sz="4" w:space="0" w:color="auto"/>
              <w:bottom w:val="single" w:sz="4" w:space="0" w:color="auto"/>
            </w:tcBorders>
            <w:vAlign w:val="center"/>
          </w:tcPr>
          <w:p w:rsidR="004B20E5" w:rsidRDefault="004B20E5" w:rsidP="00CB11E8">
            <w:pPr>
              <w:pStyle w:val="TableBaseline2020Target"/>
            </w:pPr>
            <w:r>
              <w:t>58%</w:t>
            </w:r>
          </w:p>
        </w:tc>
        <w:tc>
          <w:tcPr>
            <w:tcW w:w="1851" w:type="pct"/>
            <w:tcBorders>
              <w:top w:val="single" w:sz="4" w:space="0" w:color="auto"/>
              <w:bottom w:val="single" w:sz="4" w:space="0" w:color="auto"/>
            </w:tcBorders>
            <w:vAlign w:val="center"/>
          </w:tcPr>
          <w:p w:rsidR="004B20E5" w:rsidRPr="00391134" w:rsidRDefault="004B20E5" w:rsidP="00CB11E8">
            <w:pPr>
              <w:pStyle w:val="TableDataSource"/>
            </w:pPr>
            <w:r w:rsidRPr="00391134">
              <w:t>MDPH BRFSS 2011</w:t>
            </w:r>
          </w:p>
        </w:tc>
      </w:tr>
      <w:tr w:rsidR="004B20E5" w:rsidRPr="00666093" w:rsidTr="00A4466A">
        <w:trPr>
          <w:cantSplit/>
        </w:trPr>
        <w:tc>
          <w:tcPr>
            <w:tcW w:w="1334" w:type="pct"/>
            <w:tcBorders>
              <w:top w:val="single" w:sz="4" w:space="0" w:color="auto"/>
              <w:bottom w:val="single" w:sz="4" w:space="0" w:color="auto"/>
            </w:tcBorders>
            <w:vAlign w:val="center"/>
          </w:tcPr>
          <w:p w:rsidR="004B20E5" w:rsidRPr="00417CEB" w:rsidRDefault="004B20E5" w:rsidP="00A4466A">
            <w:pPr>
              <w:pStyle w:val="TableOutcomeMeasure"/>
            </w:pPr>
            <w:r w:rsidRPr="00417CEB">
              <w:t>Adolescents (High School)</w:t>
            </w:r>
          </w:p>
        </w:tc>
        <w:tc>
          <w:tcPr>
            <w:tcW w:w="908" w:type="pct"/>
            <w:tcBorders>
              <w:top w:val="single" w:sz="4" w:space="0" w:color="auto"/>
              <w:bottom w:val="single" w:sz="4" w:space="0" w:color="auto"/>
            </w:tcBorders>
            <w:vAlign w:val="center"/>
          </w:tcPr>
          <w:p w:rsidR="004B20E5" w:rsidRDefault="004B20E5" w:rsidP="00A4466A">
            <w:pPr>
              <w:pStyle w:val="TableBaseline2020Target"/>
            </w:pPr>
            <w:r>
              <w:t xml:space="preserve">20.7% </w:t>
            </w:r>
            <w:r w:rsidRPr="009171C7">
              <w:t>60 minutes/</w:t>
            </w:r>
            <w:r>
              <w:t xml:space="preserve">7 </w:t>
            </w:r>
            <w:r w:rsidRPr="009171C7">
              <w:t>day</w:t>
            </w:r>
            <w:r>
              <w:t>s/week</w:t>
            </w:r>
          </w:p>
        </w:tc>
        <w:tc>
          <w:tcPr>
            <w:tcW w:w="908" w:type="pct"/>
            <w:tcBorders>
              <w:top w:val="single" w:sz="4" w:space="0" w:color="auto"/>
              <w:bottom w:val="single" w:sz="4" w:space="0" w:color="auto"/>
            </w:tcBorders>
            <w:vAlign w:val="center"/>
          </w:tcPr>
          <w:p w:rsidR="004B20E5" w:rsidRDefault="004B20E5" w:rsidP="00A4466A">
            <w:pPr>
              <w:pStyle w:val="TableBaseline2020Target"/>
            </w:pPr>
            <w:r>
              <w:t>21.3%</w:t>
            </w:r>
          </w:p>
        </w:tc>
        <w:tc>
          <w:tcPr>
            <w:tcW w:w="1851" w:type="pct"/>
            <w:tcBorders>
              <w:top w:val="single" w:sz="4" w:space="0" w:color="auto"/>
              <w:bottom w:val="single" w:sz="4" w:space="0" w:color="auto"/>
            </w:tcBorders>
            <w:vAlign w:val="center"/>
          </w:tcPr>
          <w:p w:rsidR="004B20E5" w:rsidRPr="00391134" w:rsidRDefault="004B20E5" w:rsidP="00A4466A">
            <w:pPr>
              <w:pStyle w:val="TableDataSource"/>
            </w:pPr>
            <w:r w:rsidRPr="00391134">
              <w:t xml:space="preserve">MDPH </w:t>
            </w:r>
            <w:r>
              <w:t>YHS2013</w:t>
            </w:r>
          </w:p>
        </w:tc>
      </w:tr>
      <w:tr w:rsidR="004B20E5" w:rsidRPr="00666093" w:rsidTr="00A4466A">
        <w:trPr>
          <w:cantSplit/>
        </w:trPr>
        <w:tc>
          <w:tcPr>
            <w:tcW w:w="1334" w:type="pct"/>
            <w:tcBorders>
              <w:top w:val="single" w:sz="4" w:space="0" w:color="auto"/>
              <w:bottom w:val="single" w:sz="4" w:space="0" w:color="auto"/>
            </w:tcBorders>
            <w:vAlign w:val="center"/>
          </w:tcPr>
          <w:p w:rsidR="004B20E5" w:rsidRPr="00417CEB" w:rsidRDefault="004B20E5" w:rsidP="00A4466A">
            <w:pPr>
              <w:pStyle w:val="TableOutcomeMeasure"/>
            </w:pPr>
            <w:r w:rsidRPr="00417CEB">
              <w:t>Children (Middle School)</w:t>
            </w:r>
          </w:p>
        </w:tc>
        <w:tc>
          <w:tcPr>
            <w:tcW w:w="908" w:type="pct"/>
            <w:tcBorders>
              <w:top w:val="single" w:sz="4" w:space="0" w:color="auto"/>
              <w:bottom w:val="single" w:sz="4" w:space="0" w:color="auto"/>
            </w:tcBorders>
            <w:vAlign w:val="center"/>
          </w:tcPr>
          <w:p w:rsidR="004B20E5" w:rsidRDefault="004B20E5" w:rsidP="00A4466A">
            <w:pPr>
              <w:pStyle w:val="TableBaseline2020Target"/>
            </w:pPr>
            <w:r>
              <w:t xml:space="preserve">22.6% </w:t>
            </w:r>
            <w:r w:rsidRPr="009171C7">
              <w:t>60 minutes/</w:t>
            </w:r>
            <w:r>
              <w:t xml:space="preserve">7 </w:t>
            </w:r>
            <w:r w:rsidRPr="009171C7">
              <w:t>day</w:t>
            </w:r>
            <w:r>
              <w:t>s/week</w:t>
            </w:r>
          </w:p>
        </w:tc>
        <w:tc>
          <w:tcPr>
            <w:tcW w:w="908" w:type="pct"/>
            <w:tcBorders>
              <w:top w:val="single" w:sz="4" w:space="0" w:color="auto"/>
              <w:bottom w:val="single" w:sz="4" w:space="0" w:color="auto"/>
            </w:tcBorders>
            <w:vAlign w:val="center"/>
          </w:tcPr>
          <w:p w:rsidR="004B20E5" w:rsidRDefault="004B20E5" w:rsidP="00A4466A">
            <w:pPr>
              <w:pStyle w:val="TableBaseline2020Target"/>
            </w:pPr>
            <w:r>
              <w:t>23.3%</w:t>
            </w:r>
          </w:p>
        </w:tc>
        <w:tc>
          <w:tcPr>
            <w:tcW w:w="1851" w:type="pct"/>
            <w:tcBorders>
              <w:top w:val="single" w:sz="4" w:space="0" w:color="auto"/>
              <w:bottom w:val="single" w:sz="4" w:space="0" w:color="auto"/>
            </w:tcBorders>
            <w:vAlign w:val="center"/>
          </w:tcPr>
          <w:p w:rsidR="004B20E5" w:rsidRPr="00391134" w:rsidRDefault="004B20E5" w:rsidP="00A4466A">
            <w:pPr>
              <w:pStyle w:val="TableDataSource"/>
            </w:pPr>
            <w:r w:rsidRPr="00391134">
              <w:t xml:space="preserve">MDPH </w:t>
            </w:r>
            <w:r>
              <w:t>YHS2013</w:t>
            </w:r>
          </w:p>
        </w:tc>
      </w:tr>
    </w:tbl>
    <w:p w:rsidR="004B20E5" w:rsidRDefault="004B20E5" w:rsidP="006256D0">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A4466A">
        <w:trPr>
          <w:cantSplit/>
        </w:trPr>
        <w:tc>
          <w:tcPr>
            <w:tcW w:w="1329" w:type="pct"/>
            <w:tcBorders>
              <w:top w:val="single" w:sz="4" w:space="0" w:color="auto"/>
            </w:tcBorders>
          </w:tcPr>
          <w:p w:rsidR="004B20E5" w:rsidRPr="009171C7" w:rsidDel="00F67FD0" w:rsidRDefault="004B20E5" w:rsidP="00A4466A">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A4466A">
            <w:pPr>
              <w:pStyle w:val="TableOutcomeMeasure"/>
            </w:pPr>
            <w:r>
              <w:t>Adults who report engaging in aerobic physical activity of at least moderate intensity for at least 150 minutes/week; high school students and middle school students who report that they were p</w:t>
            </w:r>
            <w:r w:rsidRPr="00833035">
              <w:t>hysically</w:t>
            </w:r>
            <w:r>
              <w:t xml:space="preserve"> active for at least 60 minutes/</w:t>
            </w:r>
            <w:r w:rsidRPr="00833035">
              <w:t>7 days in the last week</w:t>
            </w:r>
          </w:p>
        </w:tc>
      </w:tr>
      <w:tr w:rsidR="004B20E5" w:rsidRPr="00666093" w:rsidDel="00F67FD0" w:rsidTr="00A4466A">
        <w:trPr>
          <w:cantSplit/>
        </w:trPr>
        <w:tc>
          <w:tcPr>
            <w:tcW w:w="1329" w:type="pct"/>
          </w:tcPr>
          <w:p w:rsidR="004B20E5" w:rsidRPr="009171C7" w:rsidDel="00F67FD0" w:rsidRDefault="004B20E5" w:rsidP="008D481F">
            <w:pPr>
              <w:pStyle w:val="TableTitleNumeratoretc"/>
            </w:pPr>
            <w:r w:rsidRPr="00A367E5">
              <w:t>Denominator</w:t>
            </w:r>
            <w:r>
              <w:t>:</w:t>
            </w:r>
          </w:p>
        </w:tc>
        <w:tc>
          <w:tcPr>
            <w:tcW w:w="3671" w:type="pct"/>
            <w:vAlign w:val="center"/>
          </w:tcPr>
          <w:p w:rsidR="004B20E5" w:rsidRPr="00391134" w:rsidDel="00F67FD0" w:rsidRDefault="004B20E5" w:rsidP="008D481F">
            <w:pPr>
              <w:pStyle w:val="TableOutcomeMeasure"/>
            </w:pPr>
            <w:r>
              <w:t>All high school and middle school students reporting on the survey question; all adults reporting sufficient information for the physical activity questions to calculate minutes per day</w:t>
            </w:r>
          </w:p>
        </w:tc>
      </w:tr>
      <w:tr w:rsidR="004B20E5" w:rsidRPr="00666093" w:rsidDel="00F67FD0" w:rsidTr="00A4466A">
        <w:trPr>
          <w:cantSplit/>
        </w:trPr>
        <w:tc>
          <w:tcPr>
            <w:tcW w:w="1329" w:type="pct"/>
          </w:tcPr>
          <w:p w:rsidR="004B20E5" w:rsidRPr="009171C7" w:rsidDel="00F67FD0" w:rsidRDefault="004B20E5" w:rsidP="008D481F">
            <w:pPr>
              <w:pStyle w:val="TableTitleNumeratoretc"/>
            </w:pPr>
            <w:r w:rsidRPr="00A367E5">
              <w:t>Exclusions</w:t>
            </w:r>
            <w:r>
              <w:t>:</w:t>
            </w:r>
          </w:p>
        </w:tc>
        <w:tc>
          <w:tcPr>
            <w:tcW w:w="3671" w:type="pct"/>
            <w:vAlign w:val="center"/>
          </w:tcPr>
          <w:p w:rsidR="004B20E5" w:rsidRPr="00391134" w:rsidDel="00F67FD0" w:rsidRDefault="004B20E5" w:rsidP="008D481F">
            <w:pPr>
              <w:pStyle w:val="TableOutcomeMeasure"/>
            </w:pPr>
            <w:r>
              <w:t>All adults reporting “don’t know” or “refused” for any exercise in past month; adults reporting insufficient information on the physical activity questions to calculate minutes per day.</w:t>
            </w:r>
          </w:p>
        </w:tc>
      </w:tr>
      <w:tr w:rsidR="004B20E5" w:rsidRPr="00666093" w:rsidDel="00F67FD0" w:rsidTr="00A4466A">
        <w:trPr>
          <w:cantSplit/>
        </w:trPr>
        <w:tc>
          <w:tcPr>
            <w:tcW w:w="1329" w:type="pct"/>
          </w:tcPr>
          <w:p w:rsidR="004B20E5" w:rsidRPr="009171C7" w:rsidDel="00F67FD0" w:rsidRDefault="004B20E5" w:rsidP="00A4466A">
            <w:pPr>
              <w:pStyle w:val="TableTitleNumeratoretc"/>
            </w:pPr>
            <w:r w:rsidRPr="00F67FD0">
              <w:t>Timeframe</w:t>
            </w:r>
            <w:r>
              <w:t>:</w:t>
            </w:r>
          </w:p>
        </w:tc>
        <w:tc>
          <w:tcPr>
            <w:tcW w:w="3671" w:type="pct"/>
            <w:vAlign w:val="center"/>
          </w:tcPr>
          <w:p w:rsidR="004B20E5" w:rsidRPr="00391134" w:rsidDel="00F67FD0" w:rsidRDefault="004B20E5" w:rsidP="00A4466A">
            <w:pPr>
              <w:pStyle w:val="TableOutcomeMeasure"/>
            </w:pPr>
            <w:r>
              <w:t>Annual (BRFSS); Biannual (odd years – YHS)</w:t>
            </w:r>
          </w:p>
        </w:tc>
      </w:tr>
      <w:tr w:rsidR="004B20E5" w:rsidRPr="00666093" w:rsidDel="00F67FD0" w:rsidTr="004C0088">
        <w:trPr>
          <w:cantSplit/>
        </w:trPr>
        <w:tc>
          <w:tcPr>
            <w:tcW w:w="1329" w:type="pct"/>
            <w:tcBorders>
              <w:bottom w:val="single" w:sz="4" w:space="0" w:color="auto"/>
            </w:tcBorders>
          </w:tcPr>
          <w:p w:rsidR="004B20E5" w:rsidRPr="009171C7" w:rsidDel="00F67FD0" w:rsidRDefault="004B20E5" w:rsidP="004C0088">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6256D0">
            <w:pPr>
              <w:pStyle w:val="TableOutcomeMeasure"/>
            </w:pPr>
            <w:r>
              <w:t>The physical activity questions from the CDC Core BRFSS are asked every other year by randomized telephone survey. YHS is a paper survey conducted every other year (odd years) in school classrooms.</w:t>
            </w:r>
          </w:p>
        </w:tc>
      </w:tr>
    </w:tbl>
    <w:p w:rsidR="004B20E5" w:rsidRDefault="004B20E5" w:rsidP="006256D0">
      <w:pPr>
        <w:pStyle w:val="StrategiesCategoryTitles"/>
      </w:pPr>
    </w:p>
    <w:p w:rsidR="004B20E5" w:rsidRDefault="004B20E5" w:rsidP="007C27A3">
      <w:pPr>
        <w:pStyle w:val="TableTenEssenHlthFunct"/>
      </w:pPr>
      <w:r>
        <w:t>Monitor Health to Identify and Solve Community Health Problems</w:t>
      </w:r>
    </w:p>
    <w:p w:rsidR="004B20E5" w:rsidRDefault="004B20E5" w:rsidP="00D00411">
      <w:pPr>
        <w:pStyle w:val="TableStrategiesunderHealthFunctions"/>
      </w:pPr>
      <w:r>
        <w:t xml:space="preserve">1.3.1 </w:t>
      </w:r>
      <w:r>
        <w:tab/>
        <w:t>Continue to implement YHS, YRBS, School Health Profiles, and physical activity module of BRFSS according to current schedule.</w:t>
      </w:r>
    </w:p>
    <w:p w:rsidR="004B20E5" w:rsidRDefault="004B20E5" w:rsidP="007C27A3">
      <w:pPr>
        <w:pStyle w:val="TableTenEssenHlthFunct"/>
      </w:pPr>
      <w:r>
        <w:t>Mobilize Community Partnerships to Identify and Solve Health Problems</w:t>
      </w:r>
    </w:p>
    <w:p w:rsidR="004B20E5" w:rsidRDefault="004B20E5" w:rsidP="00D00411">
      <w:pPr>
        <w:pStyle w:val="TableStrategiesunderHealthFunctions"/>
      </w:pPr>
      <w:r>
        <w:t>1.3.2</w:t>
      </w:r>
      <w:r>
        <w:tab/>
        <w:t>Work with communities, businesses, and local/state agencies to expand active living options (e.g., school site planning, improved transit, bike lanes, bike paths, pedestrian paths, and sidewalks).</w:t>
      </w:r>
    </w:p>
    <w:p w:rsidR="004B20E5" w:rsidRDefault="004B20E5" w:rsidP="00D00411">
      <w:pPr>
        <w:pStyle w:val="TableStrategiesunderHealthFunctions"/>
      </w:pPr>
      <w:r>
        <w:t>1.3.3</w:t>
      </w:r>
      <w:r>
        <w:tab/>
        <w:t>Support Safe Routes to School (SRTS) efforts that lead to actual travel mode shift (e.g., efforts that make infrastructure or systems changes that reduce vehicle trips to school), as measured by self-reported walking and biking to school behavior in My School Commute.</w:t>
      </w:r>
    </w:p>
    <w:p w:rsidR="004B20E5" w:rsidRDefault="004B20E5" w:rsidP="00D00411">
      <w:pPr>
        <w:pStyle w:val="TableStrategiesunderHealthFunctions"/>
      </w:pPr>
      <w:r>
        <w:t>1.3.4</w:t>
      </w:r>
      <w:r>
        <w:tab/>
        <w:t>Support the development of Sustainable Communities and transportation policies that incl</w:t>
      </w:r>
      <w:r w:rsidRPr="00776802">
        <w:t>ude walkable, mixed use villages around mass transit stops, and expansion of mass transit</w:t>
      </w:r>
      <w:r>
        <w:t xml:space="preserve"> for all MA people, including people with disabilities.</w:t>
      </w:r>
    </w:p>
    <w:p w:rsidR="004B20E5" w:rsidRDefault="004B20E5" w:rsidP="007C27A3">
      <w:pPr>
        <w:pStyle w:val="TableTenEssenHlthFunct"/>
      </w:pPr>
      <w:r w:rsidRPr="00891892">
        <w:t>Develop Policies and Plans That Support Individual and Community Health Efforts</w:t>
      </w:r>
    </w:p>
    <w:p w:rsidR="004B20E5" w:rsidRDefault="004B20E5" w:rsidP="00D00411">
      <w:pPr>
        <w:pStyle w:val="TableStrategiesunderHealthFunctions"/>
      </w:pPr>
      <w:r>
        <w:t>1.3.5</w:t>
      </w:r>
      <w:r>
        <w:tab/>
        <w:t>Create and support open, accessible, and safe space</w:t>
      </w:r>
      <w:r w:rsidR="00921F5C">
        <w:t xml:space="preserve"> </w:t>
      </w:r>
      <w:r>
        <w:t>for physical activity and recreation</w:t>
      </w:r>
      <w:r w:rsidR="00921F5C">
        <w:t xml:space="preserve"> </w:t>
      </w:r>
      <w:r>
        <w:t xml:space="preserve">(e.g., number of parks, playgrounds and public pools, acreage of </w:t>
      </w:r>
      <w:r>
        <w:lastRenderedPageBreak/>
        <w:t xml:space="preserve">protected open space, number of communities that have passed the Community Preservation Act). </w:t>
      </w:r>
    </w:p>
    <w:p w:rsidR="004B20E5" w:rsidRDefault="004B20E5" w:rsidP="00D00411">
      <w:pPr>
        <w:pStyle w:val="TableStrategiesunderHealthFunctions"/>
      </w:pPr>
      <w:r>
        <w:t>1.3.6</w:t>
      </w:r>
      <w:r>
        <w:tab/>
        <w:t>Encourage adoption of Complete Streets in all municipalities as measured by the number of municipalities with complete streets policies.</w:t>
      </w:r>
    </w:p>
    <w:p w:rsidR="004B20E5" w:rsidRDefault="004B20E5" w:rsidP="00D00411">
      <w:pPr>
        <w:pStyle w:val="TableStrategiesunderHealthFunctions"/>
      </w:pPr>
      <w:r>
        <w:t>1.3.7</w:t>
      </w:r>
      <w:r>
        <w:tab/>
        <w:t>Identify, promote, and support workplace initiatives that increase physical activity among adults, taking into account the physical demands of work as measured by a statewide worksite survey.</w:t>
      </w:r>
    </w:p>
    <w:p w:rsidR="004B20E5" w:rsidRDefault="004B20E5" w:rsidP="00D00411">
      <w:pPr>
        <w:pStyle w:val="TableStrategiesunderHealthFunctions"/>
      </w:pPr>
      <w:r>
        <w:t>1.3.8</w:t>
      </w:r>
      <w:r>
        <w:tab/>
        <w:t>Identify, promote, and support school-based initiatives that increase physical activity that is accessible and appropriate for adolescents and children as measured by a survey of school wellness policies.</w:t>
      </w:r>
    </w:p>
    <w:p w:rsidR="004B20E5" w:rsidRDefault="004B20E5" w:rsidP="007C27A3">
      <w:pPr>
        <w:pStyle w:val="TableTenEssenHlthFunct"/>
      </w:pPr>
      <w:r>
        <w:t>Enforce Laws and Regulations That Protect Health and Ensure Safety</w:t>
      </w:r>
    </w:p>
    <w:p w:rsidR="004B20E5" w:rsidRPr="006256D0" w:rsidRDefault="004B20E5" w:rsidP="00D00411">
      <w:pPr>
        <w:pStyle w:val="TableStrategiesunderHealthFunctions"/>
      </w:pPr>
      <w:r>
        <w:t>1.3.9</w:t>
      </w:r>
      <w:r>
        <w:tab/>
        <w:t>Encourage MassDOT to fully implement Active Streets Legislation as measured by the appropriation of funds for implementation.</w:t>
      </w:r>
    </w:p>
    <w:p w:rsidR="004B20E5" w:rsidRDefault="004B20E5" w:rsidP="007C27A3">
      <w:pPr>
        <w:pStyle w:val="TableTenEssenHlthFunct"/>
      </w:pPr>
      <w:r>
        <w:t>Evaluate Effectiveness, Accessibility, and Quality of Health Services</w:t>
      </w:r>
    </w:p>
    <w:p w:rsidR="004B20E5" w:rsidRDefault="004B20E5" w:rsidP="00D62046">
      <w:pPr>
        <w:pStyle w:val="TableStrategiesunderHealthFunctions"/>
      </w:pPr>
      <w:r>
        <w:t>1.3.10</w:t>
      </w:r>
      <w:r>
        <w:tab/>
        <w:t>Identify, promote, and support workplace initiatives that increase physical activity among adults, taking into account the physical demands of work as measured by a statewide worksite survey.</w:t>
      </w:r>
    </w:p>
    <w:p w:rsidR="004B20E5" w:rsidRDefault="004B20E5" w:rsidP="00D00411">
      <w:pPr>
        <w:pStyle w:val="TableStrategiesunderHealthFunctions"/>
      </w:pPr>
      <w:r>
        <w:t>1.3.11</w:t>
      </w:r>
      <w:r>
        <w:tab/>
        <w:t>Identify, promote, and support school-based initiatives that increase physical activity among adolescents and children as measured by a survey of school wellness policies.</w:t>
      </w:r>
    </w:p>
    <w:p w:rsidR="004B20E5" w:rsidRPr="006256D0" w:rsidRDefault="004B20E5" w:rsidP="006256D0">
      <w:pPr>
        <w:pStyle w:val="Strategies"/>
      </w:pPr>
    </w:p>
    <w:p w:rsidR="004B20E5" w:rsidRDefault="004B20E5" w:rsidP="00CB2B0E">
      <w:pPr>
        <w:pStyle w:val="StandardStatement"/>
      </w:pPr>
      <w:r>
        <w:t>Standard1C</w:t>
      </w:r>
      <w:r w:rsidRPr="0046149F">
        <w:t>:</w:t>
      </w:r>
      <w:r>
        <w:tab/>
        <w:t>Support all MA residents in leading tobacco-free lives.</w:t>
      </w:r>
    </w:p>
    <w:p w:rsidR="004B20E5" w:rsidRPr="00AA773D" w:rsidRDefault="004B20E5" w:rsidP="00AA773D">
      <w:pPr>
        <w:pStyle w:val="BodyText"/>
      </w:pPr>
    </w:p>
    <w:p w:rsidR="004B20E5" w:rsidRDefault="004B20E5" w:rsidP="00CB2B0E">
      <w:pPr>
        <w:pStyle w:val="ObjectiveStatement"/>
      </w:pPr>
      <w:r>
        <w:t>Measure 1.4:</w:t>
      </w:r>
      <w:r>
        <w:tab/>
        <w:t>Reduce the relative percentage of adults who are current smokers by 10%.</w:t>
      </w:r>
      <w:r>
        <w:tab/>
      </w:r>
    </w:p>
    <w:p w:rsidR="004B20E5" w:rsidRPr="005A4253" w:rsidRDefault="004B20E5" w:rsidP="00E723FC">
      <w:pPr>
        <w:pStyle w:val="StrategiesCategoryTitles"/>
      </w:pP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450DBE">
        <w:trPr>
          <w:cantSplit/>
        </w:trPr>
        <w:tc>
          <w:tcPr>
            <w:tcW w:w="1329" w:type="pct"/>
            <w:tcBorders>
              <w:top w:val="single" w:sz="4" w:space="0" w:color="auto"/>
              <w:bottom w:val="single" w:sz="4" w:space="0" w:color="auto"/>
            </w:tcBorders>
            <w:vAlign w:val="center"/>
          </w:tcPr>
          <w:p w:rsidR="004B20E5" w:rsidRPr="00666093" w:rsidRDefault="004B20E5" w:rsidP="008C43E1">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450DBE">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450DBE">
            <w:pPr>
              <w:pStyle w:val="TableTitleBaseline2020Target"/>
            </w:pPr>
            <w:r w:rsidRPr="00666093">
              <w:t>2020 Target</w:t>
            </w:r>
          </w:p>
        </w:tc>
        <w:tc>
          <w:tcPr>
            <w:tcW w:w="1861" w:type="pct"/>
            <w:tcBorders>
              <w:top w:val="single" w:sz="4" w:space="0" w:color="auto"/>
              <w:bottom w:val="single" w:sz="4" w:space="0" w:color="auto"/>
            </w:tcBorders>
            <w:vAlign w:val="center"/>
          </w:tcPr>
          <w:p w:rsidR="004B20E5" w:rsidRPr="00666093" w:rsidRDefault="004B20E5" w:rsidP="00450DBE">
            <w:pPr>
              <w:pStyle w:val="TableTitleTargetDataSource"/>
            </w:pPr>
            <w:r w:rsidRPr="00666093">
              <w:t>Data Source</w:t>
            </w:r>
          </w:p>
        </w:tc>
      </w:tr>
      <w:tr w:rsidR="004B20E5" w:rsidRPr="00CE317D" w:rsidTr="00450DBE">
        <w:trPr>
          <w:cantSplit/>
        </w:trPr>
        <w:tc>
          <w:tcPr>
            <w:tcW w:w="1329" w:type="pct"/>
            <w:tcBorders>
              <w:top w:val="single" w:sz="4" w:space="0" w:color="auto"/>
              <w:bottom w:val="single" w:sz="4" w:space="0" w:color="auto"/>
            </w:tcBorders>
            <w:vAlign w:val="center"/>
          </w:tcPr>
          <w:p w:rsidR="004B20E5" w:rsidRPr="00645E38" w:rsidRDefault="004B20E5" w:rsidP="00450DBE">
            <w:pPr>
              <w:pStyle w:val="TableOutcomeMeasure"/>
            </w:pPr>
            <w:r>
              <w:t>Adult smokers</w:t>
            </w:r>
          </w:p>
        </w:tc>
        <w:tc>
          <w:tcPr>
            <w:tcW w:w="905" w:type="pct"/>
            <w:tcBorders>
              <w:top w:val="single" w:sz="4" w:space="0" w:color="auto"/>
              <w:bottom w:val="single" w:sz="4" w:space="0" w:color="auto"/>
            </w:tcBorders>
            <w:vAlign w:val="center"/>
          </w:tcPr>
          <w:p w:rsidR="004B20E5" w:rsidRDefault="004B20E5" w:rsidP="00450DBE">
            <w:pPr>
              <w:pStyle w:val="TableBaseline2020Target"/>
            </w:pPr>
            <w:r w:rsidRPr="008650A7">
              <w:t>16.4%</w:t>
            </w:r>
          </w:p>
        </w:tc>
        <w:tc>
          <w:tcPr>
            <w:tcW w:w="905" w:type="pct"/>
            <w:tcBorders>
              <w:top w:val="single" w:sz="4" w:space="0" w:color="auto"/>
              <w:bottom w:val="single" w:sz="4" w:space="0" w:color="auto"/>
            </w:tcBorders>
            <w:vAlign w:val="center"/>
          </w:tcPr>
          <w:p w:rsidR="004B20E5" w:rsidRDefault="004B20E5" w:rsidP="00450DBE">
            <w:pPr>
              <w:pStyle w:val="TableBaseline2020Target"/>
            </w:pPr>
            <w:r w:rsidRPr="008650A7">
              <w:t>11.0%</w:t>
            </w:r>
          </w:p>
        </w:tc>
        <w:tc>
          <w:tcPr>
            <w:tcW w:w="1861" w:type="pct"/>
            <w:tcBorders>
              <w:top w:val="single" w:sz="4" w:space="0" w:color="auto"/>
              <w:bottom w:val="single" w:sz="4" w:space="0" w:color="auto"/>
            </w:tcBorders>
            <w:vAlign w:val="center"/>
          </w:tcPr>
          <w:p w:rsidR="004B20E5" w:rsidRPr="00CE317D" w:rsidRDefault="004B20E5" w:rsidP="00450DBE">
            <w:pPr>
              <w:pStyle w:val="TableDataSource"/>
            </w:pPr>
            <w:r w:rsidRPr="008650A7">
              <w:t>Behavioral Risk Factor Surveillance System (BRFSS)</w:t>
            </w:r>
            <w:r>
              <w:t>, 2012</w:t>
            </w:r>
          </w:p>
        </w:tc>
      </w:tr>
      <w:tr w:rsidR="004B20E5" w:rsidRPr="008650A7" w:rsidTr="00292093">
        <w:trPr>
          <w:cantSplit/>
        </w:trPr>
        <w:tc>
          <w:tcPr>
            <w:tcW w:w="1329" w:type="pct"/>
            <w:tcBorders>
              <w:top w:val="single" w:sz="4" w:space="0" w:color="auto"/>
              <w:bottom w:val="single" w:sz="4" w:space="0" w:color="auto"/>
            </w:tcBorders>
            <w:vAlign w:val="center"/>
          </w:tcPr>
          <w:p w:rsidR="004B20E5" w:rsidRDefault="004B20E5" w:rsidP="003120E8">
            <w:pPr>
              <w:pStyle w:val="TableOutcomeMeasure"/>
            </w:pPr>
            <w:r>
              <w:t xml:space="preserve">Adults with </w:t>
            </w:r>
            <w:r w:rsidR="003120E8">
              <w:t>MassHealth</w:t>
            </w:r>
            <w:r>
              <w:t xml:space="preserve"> Insurance</w:t>
            </w:r>
          </w:p>
        </w:tc>
        <w:tc>
          <w:tcPr>
            <w:tcW w:w="905" w:type="pct"/>
            <w:tcBorders>
              <w:top w:val="single" w:sz="4" w:space="0" w:color="auto"/>
              <w:bottom w:val="single" w:sz="4" w:space="0" w:color="auto"/>
            </w:tcBorders>
            <w:vAlign w:val="center"/>
          </w:tcPr>
          <w:p w:rsidR="004B20E5" w:rsidRPr="008650A7" w:rsidRDefault="004B20E5" w:rsidP="00292093">
            <w:pPr>
              <w:pStyle w:val="TableBaseline2020Target"/>
            </w:pPr>
            <w:r>
              <w:t>32.3%</w:t>
            </w:r>
          </w:p>
        </w:tc>
        <w:tc>
          <w:tcPr>
            <w:tcW w:w="905" w:type="pct"/>
            <w:tcBorders>
              <w:top w:val="single" w:sz="4" w:space="0" w:color="auto"/>
              <w:bottom w:val="single" w:sz="4" w:space="0" w:color="auto"/>
            </w:tcBorders>
            <w:vAlign w:val="center"/>
          </w:tcPr>
          <w:p w:rsidR="004B20E5" w:rsidRPr="008650A7" w:rsidRDefault="004B20E5" w:rsidP="00292093">
            <w:pPr>
              <w:pStyle w:val="TableBaseline2020Target"/>
            </w:pPr>
            <w:r>
              <w:t>29.1%</w:t>
            </w:r>
          </w:p>
        </w:tc>
        <w:tc>
          <w:tcPr>
            <w:tcW w:w="1861" w:type="pct"/>
            <w:tcBorders>
              <w:top w:val="single" w:sz="4" w:space="0" w:color="auto"/>
              <w:bottom w:val="single" w:sz="4" w:space="0" w:color="auto"/>
            </w:tcBorders>
            <w:vAlign w:val="center"/>
          </w:tcPr>
          <w:p w:rsidR="004B20E5" w:rsidRPr="008650A7" w:rsidRDefault="004B20E5" w:rsidP="00292093">
            <w:pPr>
              <w:pStyle w:val="TableDataSource"/>
            </w:pPr>
            <w:r>
              <w:t>Behavioral Risk Factor Surveillance System (BRFSS) 2012</w:t>
            </w:r>
          </w:p>
        </w:tc>
      </w:tr>
    </w:tbl>
    <w:p w:rsidR="004B20E5" w:rsidRDefault="004B20E5" w:rsidP="00EB4CCC">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450DBE">
        <w:trPr>
          <w:cantSplit/>
        </w:trPr>
        <w:tc>
          <w:tcPr>
            <w:tcW w:w="1329" w:type="pct"/>
            <w:tcBorders>
              <w:top w:val="single" w:sz="4" w:space="0" w:color="auto"/>
            </w:tcBorders>
          </w:tcPr>
          <w:p w:rsidR="004B20E5" w:rsidRPr="009171C7" w:rsidDel="00F67FD0" w:rsidRDefault="004B20E5" w:rsidP="00450DBE">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450DBE">
            <w:pPr>
              <w:pStyle w:val="TableOutcomeMeasure"/>
            </w:pPr>
            <w:r w:rsidRPr="005A4253">
              <w:t>Adults who report on survey that they are current smokers</w:t>
            </w:r>
          </w:p>
        </w:tc>
      </w:tr>
      <w:tr w:rsidR="004B20E5" w:rsidRPr="00666093" w:rsidDel="00F67FD0" w:rsidTr="00450DBE">
        <w:trPr>
          <w:cantSplit/>
        </w:trPr>
        <w:tc>
          <w:tcPr>
            <w:tcW w:w="1329" w:type="pct"/>
          </w:tcPr>
          <w:p w:rsidR="004B20E5" w:rsidRPr="009171C7" w:rsidDel="00F67FD0" w:rsidRDefault="004B20E5" w:rsidP="00450DBE">
            <w:pPr>
              <w:pStyle w:val="TableTitleNumeratoretc"/>
            </w:pPr>
            <w:r w:rsidRPr="00A367E5">
              <w:t>Denominator</w:t>
            </w:r>
            <w:r>
              <w:t>:</w:t>
            </w:r>
          </w:p>
        </w:tc>
        <w:tc>
          <w:tcPr>
            <w:tcW w:w="3671" w:type="pct"/>
            <w:vAlign w:val="center"/>
          </w:tcPr>
          <w:p w:rsidR="004B20E5" w:rsidRPr="00391134" w:rsidDel="00F67FD0" w:rsidRDefault="004B20E5" w:rsidP="00450DBE">
            <w:pPr>
              <w:pStyle w:val="TableOutcomeMeasure"/>
            </w:pPr>
            <w:r w:rsidRPr="005A4253">
              <w:t>All adults who report on the survey question</w:t>
            </w:r>
          </w:p>
        </w:tc>
      </w:tr>
      <w:tr w:rsidR="004B20E5" w:rsidRPr="00666093" w:rsidDel="00F67FD0" w:rsidTr="00450DBE">
        <w:trPr>
          <w:cantSplit/>
        </w:trPr>
        <w:tc>
          <w:tcPr>
            <w:tcW w:w="1329" w:type="pct"/>
          </w:tcPr>
          <w:p w:rsidR="004B20E5" w:rsidRPr="009171C7" w:rsidDel="00F67FD0" w:rsidRDefault="004B20E5" w:rsidP="00450DBE">
            <w:pPr>
              <w:pStyle w:val="TableTitleNumeratoretc"/>
            </w:pPr>
            <w:r w:rsidRPr="00A367E5">
              <w:t>Exclusions</w:t>
            </w:r>
            <w:r>
              <w:t>:</w:t>
            </w:r>
          </w:p>
        </w:tc>
        <w:tc>
          <w:tcPr>
            <w:tcW w:w="3671" w:type="pct"/>
            <w:vAlign w:val="center"/>
          </w:tcPr>
          <w:p w:rsidR="004B20E5" w:rsidRPr="00391134" w:rsidDel="00F67FD0" w:rsidRDefault="004B20E5" w:rsidP="00450DBE">
            <w:pPr>
              <w:pStyle w:val="TableOutcomeMeasure"/>
            </w:pPr>
            <w:r w:rsidRPr="005A4253">
              <w:t>None</w:t>
            </w:r>
          </w:p>
        </w:tc>
      </w:tr>
      <w:tr w:rsidR="004B20E5" w:rsidRPr="00666093" w:rsidDel="00F67FD0" w:rsidTr="00450DBE">
        <w:trPr>
          <w:cantSplit/>
        </w:trPr>
        <w:tc>
          <w:tcPr>
            <w:tcW w:w="1329" w:type="pct"/>
          </w:tcPr>
          <w:p w:rsidR="004B20E5" w:rsidRPr="009171C7" w:rsidDel="00F67FD0" w:rsidRDefault="004B20E5" w:rsidP="00450DBE">
            <w:pPr>
              <w:pStyle w:val="TableTitleNumeratoretc"/>
            </w:pPr>
            <w:r w:rsidRPr="00F67FD0">
              <w:t>Timeframe</w:t>
            </w:r>
            <w:r>
              <w:t>:</w:t>
            </w:r>
          </w:p>
        </w:tc>
        <w:tc>
          <w:tcPr>
            <w:tcW w:w="3671" w:type="pct"/>
            <w:vAlign w:val="center"/>
          </w:tcPr>
          <w:p w:rsidR="004B20E5" w:rsidRPr="00391134" w:rsidDel="00F67FD0" w:rsidRDefault="004B20E5" w:rsidP="00450DBE">
            <w:pPr>
              <w:pStyle w:val="TableOutcomeMeasure"/>
            </w:pPr>
            <w:r>
              <w:t>Annual</w:t>
            </w:r>
          </w:p>
        </w:tc>
      </w:tr>
      <w:tr w:rsidR="004B20E5" w:rsidRPr="00666093" w:rsidDel="00F67FD0" w:rsidTr="00450DBE">
        <w:trPr>
          <w:cantSplit/>
        </w:trPr>
        <w:tc>
          <w:tcPr>
            <w:tcW w:w="1329" w:type="pct"/>
            <w:tcBorders>
              <w:bottom w:val="single" w:sz="4" w:space="0" w:color="auto"/>
            </w:tcBorders>
          </w:tcPr>
          <w:p w:rsidR="004B20E5" w:rsidRPr="009171C7" w:rsidDel="00F67FD0" w:rsidRDefault="004B20E5" w:rsidP="00450DBE">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886FCF">
            <w:pPr>
              <w:pStyle w:val="TableOutcomeMeasure"/>
            </w:pPr>
            <w:r>
              <w:t>The BRFSS survey will include two questions on smoking:  1) Have you smoked at least 100 cigarettes in your lifetime; and 2) Do you now smoke cigarettes every day or some days?</w:t>
            </w:r>
          </w:p>
        </w:tc>
      </w:tr>
    </w:tbl>
    <w:p w:rsidR="004B20E5" w:rsidRPr="00EB4CCC" w:rsidRDefault="004B20E5" w:rsidP="00EB4CCC">
      <w:pPr>
        <w:pStyle w:val="Strategi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391134" w:rsidDel="00F67FD0" w:rsidTr="00292093">
        <w:trPr>
          <w:cantSplit/>
        </w:trPr>
        <w:tc>
          <w:tcPr>
            <w:tcW w:w="1329" w:type="pct"/>
            <w:tcBorders>
              <w:top w:val="single" w:sz="4" w:space="0" w:color="auto"/>
              <w:bottom w:val="nil"/>
              <w:right w:val="nil"/>
            </w:tcBorders>
          </w:tcPr>
          <w:p w:rsidR="004B20E5" w:rsidRPr="009171C7" w:rsidDel="00F67FD0" w:rsidRDefault="004B20E5" w:rsidP="00292093">
            <w:pPr>
              <w:pStyle w:val="TableTitleNumeratoretc"/>
            </w:pPr>
            <w:r w:rsidRPr="00A367E5">
              <w:t>Numerator</w:t>
            </w:r>
            <w:r>
              <w:t>:</w:t>
            </w:r>
          </w:p>
        </w:tc>
        <w:tc>
          <w:tcPr>
            <w:tcW w:w="3671" w:type="pct"/>
            <w:tcBorders>
              <w:top w:val="single" w:sz="4" w:space="0" w:color="auto"/>
              <w:left w:val="nil"/>
              <w:bottom w:val="nil"/>
            </w:tcBorders>
            <w:vAlign w:val="center"/>
          </w:tcPr>
          <w:p w:rsidR="004B20E5" w:rsidRPr="00391134" w:rsidDel="00F67FD0" w:rsidRDefault="004B20E5" w:rsidP="00292093">
            <w:pPr>
              <w:pStyle w:val="TableOutcomeMeasure"/>
            </w:pPr>
            <w:r>
              <w:t>Adults who report on survey that they smoked cigarettes every day or some days</w:t>
            </w:r>
          </w:p>
        </w:tc>
      </w:tr>
      <w:tr w:rsidR="004B20E5" w:rsidRPr="00391134" w:rsidDel="00F67FD0" w:rsidTr="00292093">
        <w:trPr>
          <w:cantSplit/>
        </w:trPr>
        <w:tc>
          <w:tcPr>
            <w:tcW w:w="1329" w:type="pct"/>
            <w:tcBorders>
              <w:top w:val="nil"/>
              <w:bottom w:val="nil"/>
              <w:right w:val="nil"/>
            </w:tcBorders>
          </w:tcPr>
          <w:p w:rsidR="004B20E5" w:rsidRPr="009171C7" w:rsidDel="00F67FD0" w:rsidRDefault="004B20E5" w:rsidP="00292093">
            <w:pPr>
              <w:pStyle w:val="TableTitleNumeratoretc"/>
            </w:pPr>
            <w:r w:rsidRPr="00A367E5">
              <w:t>Denominator</w:t>
            </w:r>
            <w:r>
              <w:t>:</w:t>
            </w:r>
          </w:p>
        </w:tc>
        <w:tc>
          <w:tcPr>
            <w:tcW w:w="3671" w:type="pct"/>
            <w:tcBorders>
              <w:top w:val="nil"/>
              <w:left w:val="nil"/>
              <w:bottom w:val="nil"/>
            </w:tcBorders>
            <w:vAlign w:val="center"/>
          </w:tcPr>
          <w:p w:rsidR="004B20E5" w:rsidRPr="00391134" w:rsidDel="00F67FD0" w:rsidRDefault="004B20E5" w:rsidP="00292093">
            <w:pPr>
              <w:pStyle w:val="TableOutcomeMeasure"/>
            </w:pPr>
            <w:r w:rsidRPr="005A4253">
              <w:t>All adults who report on the survey question</w:t>
            </w:r>
          </w:p>
        </w:tc>
      </w:tr>
      <w:tr w:rsidR="004B20E5" w:rsidRPr="00391134" w:rsidDel="00F67FD0" w:rsidTr="00292093">
        <w:trPr>
          <w:cantSplit/>
        </w:trPr>
        <w:tc>
          <w:tcPr>
            <w:tcW w:w="1329" w:type="pct"/>
            <w:tcBorders>
              <w:top w:val="nil"/>
              <w:bottom w:val="nil"/>
              <w:right w:val="nil"/>
            </w:tcBorders>
          </w:tcPr>
          <w:p w:rsidR="004B20E5" w:rsidRPr="009171C7" w:rsidDel="00F67FD0" w:rsidRDefault="004B20E5" w:rsidP="00292093">
            <w:pPr>
              <w:pStyle w:val="TableTitleNumeratoretc"/>
            </w:pPr>
            <w:r w:rsidRPr="00A367E5">
              <w:t>Exclusions</w:t>
            </w:r>
            <w:r>
              <w:t>:</w:t>
            </w:r>
          </w:p>
        </w:tc>
        <w:tc>
          <w:tcPr>
            <w:tcW w:w="3671" w:type="pct"/>
            <w:tcBorders>
              <w:top w:val="nil"/>
              <w:left w:val="nil"/>
              <w:bottom w:val="nil"/>
            </w:tcBorders>
            <w:vAlign w:val="center"/>
          </w:tcPr>
          <w:p w:rsidR="004B20E5" w:rsidRPr="00391134" w:rsidDel="00F67FD0" w:rsidRDefault="004B20E5" w:rsidP="00292093">
            <w:pPr>
              <w:pStyle w:val="TableOutcomeMeasure"/>
            </w:pPr>
            <w:r w:rsidRPr="005A4253">
              <w:t>None</w:t>
            </w:r>
          </w:p>
        </w:tc>
      </w:tr>
      <w:tr w:rsidR="004B20E5" w:rsidRPr="00391134" w:rsidDel="00F67FD0" w:rsidTr="00292093">
        <w:trPr>
          <w:cantSplit/>
        </w:trPr>
        <w:tc>
          <w:tcPr>
            <w:tcW w:w="1329" w:type="pct"/>
            <w:tcBorders>
              <w:top w:val="nil"/>
              <w:bottom w:val="nil"/>
              <w:right w:val="nil"/>
            </w:tcBorders>
          </w:tcPr>
          <w:p w:rsidR="004B20E5" w:rsidRPr="009171C7" w:rsidDel="00F67FD0" w:rsidRDefault="004B20E5" w:rsidP="00292093">
            <w:pPr>
              <w:pStyle w:val="TableTitleNumeratoretc"/>
            </w:pPr>
            <w:r w:rsidRPr="00F67FD0">
              <w:t>Timeframe</w:t>
            </w:r>
            <w:r>
              <w:t>:</w:t>
            </w:r>
          </w:p>
        </w:tc>
        <w:tc>
          <w:tcPr>
            <w:tcW w:w="3671" w:type="pct"/>
            <w:tcBorders>
              <w:top w:val="nil"/>
              <w:left w:val="nil"/>
              <w:bottom w:val="nil"/>
            </w:tcBorders>
            <w:vAlign w:val="center"/>
          </w:tcPr>
          <w:p w:rsidR="004B20E5" w:rsidRPr="00391134" w:rsidDel="00F67FD0" w:rsidRDefault="004B20E5" w:rsidP="00292093">
            <w:pPr>
              <w:pStyle w:val="TableOutcomeMeasure"/>
            </w:pPr>
            <w:r>
              <w:t>Annual</w:t>
            </w:r>
          </w:p>
        </w:tc>
      </w:tr>
      <w:tr w:rsidR="004B20E5" w:rsidRPr="00391134" w:rsidDel="00F67FD0" w:rsidTr="00292093">
        <w:trPr>
          <w:cantSplit/>
        </w:trPr>
        <w:tc>
          <w:tcPr>
            <w:tcW w:w="1329" w:type="pct"/>
            <w:tcBorders>
              <w:top w:val="nil"/>
              <w:bottom w:val="single" w:sz="4" w:space="0" w:color="auto"/>
              <w:right w:val="nil"/>
            </w:tcBorders>
          </w:tcPr>
          <w:p w:rsidR="004B20E5" w:rsidRPr="009171C7" w:rsidDel="00F67FD0" w:rsidRDefault="004B20E5" w:rsidP="00292093">
            <w:pPr>
              <w:pStyle w:val="TableTitleNumeratoretc"/>
            </w:pPr>
            <w:r w:rsidRPr="00F67FD0">
              <w:t>How will this be measured?</w:t>
            </w:r>
          </w:p>
        </w:tc>
        <w:tc>
          <w:tcPr>
            <w:tcW w:w="3671" w:type="pct"/>
            <w:tcBorders>
              <w:top w:val="nil"/>
              <w:left w:val="nil"/>
              <w:bottom w:val="single" w:sz="4" w:space="0" w:color="auto"/>
            </w:tcBorders>
            <w:vAlign w:val="center"/>
          </w:tcPr>
          <w:p w:rsidR="004B20E5" w:rsidRPr="00391134" w:rsidDel="00F67FD0" w:rsidRDefault="004B20E5" w:rsidP="00292093">
            <w:pPr>
              <w:pStyle w:val="TableOutcomeMeasure"/>
            </w:pPr>
            <w:r>
              <w:t>The BRFSS survey includes questions to identify the type of health insurance coverage: private, MassHealth, Medicare, or other. This allows a subgroup analysis on those members who are MassHealth members.</w:t>
            </w:r>
          </w:p>
        </w:tc>
      </w:tr>
    </w:tbl>
    <w:p w:rsidR="004B20E5" w:rsidRPr="00EB4CCC" w:rsidRDefault="004B20E5" w:rsidP="00EB4CCC">
      <w:pPr>
        <w:pStyle w:val="Strategies"/>
      </w:pPr>
    </w:p>
    <w:p w:rsidR="004B20E5" w:rsidRDefault="004B20E5" w:rsidP="007C27A3">
      <w:pPr>
        <w:pStyle w:val="TableTenEssenHlthFunct"/>
      </w:pPr>
      <w:r>
        <w:t xml:space="preserve">Inform, Educate, and Empower People About Health Issues </w:t>
      </w:r>
    </w:p>
    <w:p w:rsidR="004B20E5" w:rsidRDefault="004B20E5" w:rsidP="00C4601C">
      <w:pPr>
        <w:pStyle w:val="TableStrategiesunderHealthFunctions"/>
      </w:pPr>
      <w:r>
        <w:lastRenderedPageBreak/>
        <w:t>1.4.1</w:t>
      </w:r>
      <w:r>
        <w:tab/>
        <w:t>I</w:t>
      </w:r>
      <w:r w:rsidRPr="0006409F">
        <w:t xml:space="preserve">ncrease awareness of effective methods for quitting among </w:t>
      </w:r>
      <w:r>
        <w:t xml:space="preserve">the general public, </w:t>
      </w:r>
      <w:r w:rsidRPr="0006409F">
        <w:t>providers and patients</w:t>
      </w:r>
      <w:r>
        <w:t xml:space="preserve"> through diverse and appropriate messaging.</w:t>
      </w:r>
    </w:p>
    <w:p w:rsidR="004B20E5" w:rsidRDefault="004B20E5" w:rsidP="0076483E">
      <w:pPr>
        <w:pStyle w:val="TableStrategiesunderHealthFunctions"/>
      </w:pPr>
      <w:r>
        <w:t>1.4.2</w:t>
      </w:r>
      <w:r>
        <w:tab/>
      </w:r>
      <w:r w:rsidRPr="0006409F">
        <w:t xml:space="preserve">Utilize </w:t>
      </w:r>
      <w:r>
        <w:t xml:space="preserve">diverse </w:t>
      </w:r>
      <w:r w:rsidRPr="0006409F">
        <w:t xml:space="preserve">national and local media campaigns to increase the reach of the state </w:t>
      </w:r>
      <w:r>
        <w:t>Q</w:t>
      </w:r>
      <w:r w:rsidRPr="0006409F">
        <w:t>uitline.</w:t>
      </w:r>
    </w:p>
    <w:p w:rsidR="004B20E5" w:rsidRPr="006256D0" w:rsidRDefault="004B20E5" w:rsidP="00C4601C">
      <w:pPr>
        <w:pStyle w:val="TableStrategiesunderHealthFunctions"/>
      </w:pPr>
      <w:r>
        <w:t>1.4.3</w:t>
      </w:r>
      <w:r>
        <w:tab/>
        <w:t>Increase awareness of the harm of mentholated cigarettes (these are more widely smoked by Blacks).</w:t>
      </w:r>
    </w:p>
    <w:p w:rsidR="004B20E5" w:rsidRDefault="004B20E5" w:rsidP="007C27A3">
      <w:pPr>
        <w:pStyle w:val="TableTenEssenHlthFunct"/>
      </w:pPr>
      <w:r>
        <w:t xml:space="preserve">Develop Policies and Plans That Support Individual and Community Health Efforts </w:t>
      </w:r>
    </w:p>
    <w:p w:rsidR="004B20E5" w:rsidRPr="0006409F" w:rsidRDefault="004B20E5" w:rsidP="00C4601C">
      <w:pPr>
        <w:pStyle w:val="TableStrategiesunderHealthFunctions"/>
      </w:pPr>
      <w:r>
        <w:t>1.4.4</w:t>
      </w:r>
      <w:r>
        <w:tab/>
      </w:r>
      <w:r w:rsidRPr="0006409F">
        <w:t>Provide recommendations to legislators and/or health care facility administrators on policies to ensure that tobacco users are identified and treated.</w:t>
      </w:r>
    </w:p>
    <w:p w:rsidR="004B20E5" w:rsidRPr="0006409F" w:rsidRDefault="004B20E5" w:rsidP="00C4601C">
      <w:pPr>
        <w:pStyle w:val="TableStrategiesunderHealthFunctions"/>
      </w:pPr>
      <w:r>
        <w:t>1.4.5</w:t>
      </w:r>
      <w:r>
        <w:tab/>
      </w:r>
      <w:r w:rsidRPr="0006409F">
        <w:t xml:space="preserve">Operate and maintain the state tobacco </w:t>
      </w:r>
      <w:r>
        <w:t>Q</w:t>
      </w:r>
      <w:r w:rsidRPr="0006409F">
        <w:t xml:space="preserve">uitline and QuitWorks programs. </w:t>
      </w:r>
    </w:p>
    <w:p w:rsidR="004B20E5" w:rsidRPr="0006409F" w:rsidRDefault="004B20E5" w:rsidP="00C4601C">
      <w:pPr>
        <w:pStyle w:val="TableStrategiesunderHealthFunctions"/>
      </w:pPr>
      <w:r>
        <w:t>1.4.6</w:t>
      </w:r>
      <w:r>
        <w:tab/>
      </w:r>
      <w:r w:rsidRPr="0006409F">
        <w:t>Improve the qual</w:t>
      </w:r>
      <w:r>
        <w:t>ity and cost efficiency of the Q</w:t>
      </w:r>
      <w:r w:rsidRPr="0006409F">
        <w:t xml:space="preserve">uitline. </w:t>
      </w:r>
    </w:p>
    <w:p w:rsidR="004B20E5" w:rsidRDefault="004B20E5" w:rsidP="00C4601C">
      <w:pPr>
        <w:pStyle w:val="TableStrategiesunderHealthFunctions"/>
      </w:pPr>
      <w:r>
        <w:t>1.4.7</w:t>
      </w:r>
      <w:r>
        <w:tab/>
        <w:t>Promote tobacco use screening and cessation activities through meaningful use measures.</w:t>
      </w:r>
    </w:p>
    <w:p w:rsidR="004B20E5" w:rsidRDefault="004B20E5" w:rsidP="00C4601C">
      <w:pPr>
        <w:pStyle w:val="TableStrategiesunderHealthFunctions"/>
      </w:pPr>
      <w:r>
        <w:t>1.4.8</w:t>
      </w:r>
      <w:r>
        <w:tab/>
        <w:t>Increase the adoption of bi-directional electronic referrals to the State Quitline.</w:t>
      </w:r>
    </w:p>
    <w:p w:rsidR="004B20E5" w:rsidRDefault="004B20E5" w:rsidP="00C4601C">
      <w:pPr>
        <w:pStyle w:val="TableStrategiesunderHealthFunctions"/>
      </w:pPr>
      <w:r>
        <w:t>1.4.9</w:t>
      </w:r>
      <w:r>
        <w:tab/>
      </w:r>
      <w:r w:rsidRPr="0046149F">
        <w:t xml:space="preserve">Integrate tobacco control efforts with other substance abuse initiatives. </w:t>
      </w:r>
    </w:p>
    <w:p w:rsidR="004B20E5" w:rsidRPr="006256D0" w:rsidRDefault="004B20E5" w:rsidP="00C4601C">
      <w:pPr>
        <w:pStyle w:val="TableStrategiesunderHealthFunctions"/>
      </w:pPr>
      <w:r>
        <w:t>1.4.10</w:t>
      </w:r>
      <w:r>
        <w:tab/>
        <w:t>Integrate tobacco use screening, advising and referral into all oral health care systems.</w:t>
      </w:r>
    </w:p>
    <w:p w:rsidR="004B20E5" w:rsidRDefault="004B20E5" w:rsidP="007C27A3">
      <w:pPr>
        <w:pStyle w:val="TableTenEssenHlthFunct"/>
      </w:pPr>
      <w:r>
        <w:t>Enforce Laws and Regulations That Protect Health and Ensure Safety</w:t>
      </w:r>
    </w:p>
    <w:p w:rsidR="004B20E5" w:rsidRPr="006256D0" w:rsidRDefault="004B20E5" w:rsidP="00C4601C">
      <w:pPr>
        <w:pStyle w:val="TableStrategiesunderHealthFunctions"/>
      </w:pPr>
      <w:r>
        <w:t>1.4.11</w:t>
      </w:r>
      <w:r>
        <w:tab/>
      </w:r>
      <w:r w:rsidRPr="0006409F">
        <w:t>Monitor regulatory developments with Affordable Care Act and HITECH A</w:t>
      </w:r>
      <w:r>
        <w:t>ct as they relate to providers.</w:t>
      </w:r>
    </w:p>
    <w:p w:rsidR="004B20E5" w:rsidRDefault="004B20E5" w:rsidP="007C27A3">
      <w:pPr>
        <w:pStyle w:val="TableTenEssenHlthFunct"/>
      </w:pPr>
      <w:r>
        <w:t>Link People to Needed Personal Health Services and Health Care</w:t>
      </w:r>
    </w:p>
    <w:p w:rsidR="004B20E5" w:rsidRDefault="004B20E5" w:rsidP="00C4601C">
      <w:pPr>
        <w:pStyle w:val="TableStrategiesunderHealthFunctions"/>
      </w:pPr>
      <w:r>
        <w:t>1.4.12</w:t>
      </w:r>
      <w:r w:rsidRPr="0046149F">
        <w:tab/>
      </w:r>
      <w:r>
        <w:t xml:space="preserve">Enhance access to effective tobacco cessation resources by increasing the number of insurance plans that provide comprehensive tobacco cessation benefit coverage. </w:t>
      </w:r>
    </w:p>
    <w:p w:rsidR="004B20E5" w:rsidRDefault="004B20E5" w:rsidP="00C4601C">
      <w:pPr>
        <w:pStyle w:val="TableStrategiesunderHealthFunctions"/>
      </w:pPr>
      <w:r>
        <w:t>1.4.13</w:t>
      </w:r>
      <w:r>
        <w:tab/>
        <w:t>Enhance access to effective tobacco cessation resources by e</w:t>
      </w:r>
      <w:r w:rsidRPr="00F80304">
        <w:t>nsur</w:t>
      </w:r>
      <w:r>
        <w:t>ing</w:t>
      </w:r>
      <w:r w:rsidRPr="00F80304">
        <w:t xml:space="preserve"> that behavioral health providers and behavioral healthcare is covered within the comprehensive benefits coverage o</w:t>
      </w:r>
      <w:r w:rsidRPr="00D749D6">
        <w:t xml:space="preserve">f health plans. </w:t>
      </w:r>
    </w:p>
    <w:p w:rsidR="004B20E5" w:rsidRDefault="004B20E5" w:rsidP="007C27A3">
      <w:pPr>
        <w:pStyle w:val="TableTenEssenHlthFunct"/>
      </w:pPr>
      <w:r>
        <w:t>Assure a Competent Public and Personal Healthcare Workforce</w:t>
      </w:r>
    </w:p>
    <w:p w:rsidR="004B20E5" w:rsidRPr="00F84765" w:rsidRDefault="004B20E5" w:rsidP="00C4601C">
      <w:pPr>
        <w:pStyle w:val="TableStrategiesunderHealthFunctions"/>
      </w:pPr>
      <w:r>
        <w:t>1.4.14</w:t>
      </w:r>
      <w:r>
        <w:tab/>
      </w:r>
      <w:r w:rsidRPr="00F84765">
        <w:t>Educate community health workers about risks, prevention messages, and resources for cessation.</w:t>
      </w:r>
    </w:p>
    <w:p w:rsidR="004B20E5" w:rsidRPr="006256D0" w:rsidRDefault="004B20E5" w:rsidP="00C4601C">
      <w:pPr>
        <w:pStyle w:val="TableStrategiesunderHealthFunctions"/>
      </w:pPr>
      <w:r>
        <w:t>1.4.15</w:t>
      </w:r>
      <w:r w:rsidRPr="0006409F">
        <w:tab/>
        <w:t>Provide technical assistance and support to interested health care systems that wish to improve their tobacco treatment systems</w:t>
      </w:r>
      <w:r>
        <w:t>.</w:t>
      </w:r>
    </w:p>
    <w:p w:rsidR="004B20E5" w:rsidRPr="005A4253" w:rsidRDefault="004B20E5" w:rsidP="006F356A">
      <w:pPr>
        <w:pStyle w:val="StrategiesCategoryTitles"/>
      </w:pPr>
    </w:p>
    <w:p w:rsidR="004B20E5" w:rsidRDefault="004B20E5" w:rsidP="00CB2B0E">
      <w:pPr>
        <w:pStyle w:val="ObjectiveStatement"/>
      </w:pPr>
      <w:r>
        <w:t>Measure 1.5:</w:t>
      </w:r>
      <w:r>
        <w:tab/>
        <w:t>Reduce the relative percentage of tobacco use among high school students by 10%.</w:t>
      </w:r>
    </w:p>
    <w:p w:rsidR="004B20E5" w:rsidRPr="008650A7" w:rsidRDefault="004B20E5" w:rsidP="0093661D">
      <w:pPr>
        <w:pStyle w:val="StrategiesCategoryTitles"/>
      </w:pPr>
    </w:p>
    <w:tbl>
      <w:tblPr>
        <w:tblW w:w="4095" w:type="pct"/>
        <w:tblInd w:w="1755" w:type="dxa"/>
        <w:tblLayout w:type="fixed"/>
        <w:tblLook w:val="00A0" w:firstRow="1" w:lastRow="0" w:firstColumn="1" w:lastColumn="0" w:noHBand="0" w:noVBand="0"/>
      </w:tblPr>
      <w:tblGrid>
        <w:gridCol w:w="2248"/>
        <w:gridCol w:w="1531"/>
        <w:gridCol w:w="1531"/>
        <w:gridCol w:w="3122"/>
      </w:tblGrid>
      <w:tr w:rsidR="004B20E5" w:rsidRPr="00666093" w:rsidTr="00450DBE">
        <w:trPr>
          <w:cantSplit/>
        </w:trPr>
        <w:tc>
          <w:tcPr>
            <w:tcW w:w="1333" w:type="pct"/>
            <w:tcBorders>
              <w:top w:val="single" w:sz="4" w:space="0" w:color="auto"/>
              <w:bottom w:val="single" w:sz="4" w:space="0" w:color="auto"/>
            </w:tcBorders>
            <w:vAlign w:val="center"/>
          </w:tcPr>
          <w:p w:rsidR="004B20E5" w:rsidRPr="00666093" w:rsidRDefault="004B20E5" w:rsidP="008C43E1">
            <w:pPr>
              <w:pStyle w:val="TableTitleTargetDataSource"/>
            </w:pPr>
            <w:r>
              <w:t>Outcome Indicator</w:t>
            </w:r>
          </w:p>
        </w:tc>
        <w:tc>
          <w:tcPr>
            <w:tcW w:w="908" w:type="pct"/>
            <w:tcBorders>
              <w:top w:val="single" w:sz="4" w:space="0" w:color="auto"/>
              <w:bottom w:val="single" w:sz="4" w:space="0" w:color="auto"/>
            </w:tcBorders>
            <w:vAlign w:val="center"/>
          </w:tcPr>
          <w:p w:rsidR="004B20E5" w:rsidRPr="00666093" w:rsidRDefault="004B20E5" w:rsidP="00450DBE">
            <w:pPr>
              <w:pStyle w:val="TableTitleBaseline2020Target"/>
            </w:pPr>
            <w:r w:rsidRPr="00666093">
              <w:t>Baseline</w:t>
            </w:r>
          </w:p>
        </w:tc>
        <w:tc>
          <w:tcPr>
            <w:tcW w:w="908" w:type="pct"/>
            <w:tcBorders>
              <w:top w:val="single" w:sz="4" w:space="0" w:color="auto"/>
              <w:bottom w:val="single" w:sz="4" w:space="0" w:color="auto"/>
            </w:tcBorders>
            <w:vAlign w:val="center"/>
          </w:tcPr>
          <w:p w:rsidR="004B20E5" w:rsidRPr="00666093" w:rsidRDefault="004B20E5" w:rsidP="00450DBE">
            <w:pPr>
              <w:pStyle w:val="TableTitleBaseline2020Target"/>
            </w:pPr>
            <w:r w:rsidRPr="00666093">
              <w:t>2020 Target</w:t>
            </w:r>
          </w:p>
        </w:tc>
        <w:tc>
          <w:tcPr>
            <w:tcW w:w="1851" w:type="pct"/>
            <w:tcBorders>
              <w:top w:val="single" w:sz="4" w:space="0" w:color="auto"/>
              <w:bottom w:val="single" w:sz="4" w:space="0" w:color="auto"/>
            </w:tcBorders>
            <w:vAlign w:val="center"/>
          </w:tcPr>
          <w:p w:rsidR="004B20E5" w:rsidRPr="00666093" w:rsidRDefault="004B20E5" w:rsidP="00450DBE">
            <w:pPr>
              <w:pStyle w:val="TableTitleTargetDataSource"/>
            </w:pPr>
            <w:r w:rsidRPr="00666093">
              <w:t>Data Source</w:t>
            </w:r>
          </w:p>
        </w:tc>
      </w:tr>
      <w:tr w:rsidR="004B20E5" w:rsidRPr="00666093" w:rsidDel="008650A7" w:rsidTr="00450DBE">
        <w:trPr>
          <w:cantSplit/>
        </w:trPr>
        <w:tc>
          <w:tcPr>
            <w:tcW w:w="1333" w:type="pct"/>
            <w:tcBorders>
              <w:top w:val="single" w:sz="4" w:space="0" w:color="auto"/>
              <w:bottom w:val="single" w:sz="4" w:space="0" w:color="auto"/>
            </w:tcBorders>
            <w:vAlign w:val="center"/>
          </w:tcPr>
          <w:p w:rsidR="004B20E5" w:rsidRPr="009171C7" w:rsidDel="008650A7" w:rsidRDefault="004B20E5" w:rsidP="00450DBE">
            <w:pPr>
              <w:pStyle w:val="TableOutcomeMeasure"/>
            </w:pPr>
            <w:r>
              <w:t>High School Tobacco Use</w:t>
            </w:r>
          </w:p>
        </w:tc>
        <w:tc>
          <w:tcPr>
            <w:tcW w:w="908" w:type="pct"/>
            <w:tcBorders>
              <w:top w:val="single" w:sz="4" w:space="0" w:color="auto"/>
              <w:bottom w:val="single" w:sz="4" w:space="0" w:color="auto"/>
            </w:tcBorders>
            <w:vAlign w:val="center"/>
          </w:tcPr>
          <w:p w:rsidR="004B20E5" w:rsidDel="008650A7" w:rsidRDefault="004B20E5" w:rsidP="00450DBE">
            <w:pPr>
              <w:pStyle w:val="TableBaseline2020Target"/>
            </w:pPr>
            <w:r>
              <w:t>17.1%</w:t>
            </w:r>
          </w:p>
        </w:tc>
        <w:tc>
          <w:tcPr>
            <w:tcW w:w="908" w:type="pct"/>
            <w:tcBorders>
              <w:top w:val="single" w:sz="4" w:space="0" w:color="auto"/>
              <w:bottom w:val="single" w:sz="4" w:space="0" w:color="auto"/>
            </w:tcBorders>
            <w:vAlign w:val="center"/>
          </w:tcPr>
          <w:p w:rsidR="004B20E5" w:rsidDel="008650A7" w:rsidRDefault="004B20E5" w:rsidP="00450DBE">
            <w:pPr>
              <w:pStyle w:val="TableBaseline2020Target"/>
            </w:pPr>
            <w:r>
              <w:t>11.0% (2019)</w:t>
            </w:r>
          </w:p>
        </w:tc>
        <w:tc>
          <w:tcPr>
            <w:tcW w:w="1851" w:type="pct"/>
            <w:tcBorders>
              <w:top w:val="single" w:sz="4" w:space="0" w:color="auto"/>
              <w:bottom w:val="single" w:sz="4" w:space="0" w:color="auto"/>
            </w:tcBorders>
            <w:vAlign w:val="center"/>
          </w:tcPr>
          <w:p w:rsidR="004B20E5" w:rsidRPr="00AA6208" w:rsidDel="008650A7" w:rsidRDefault="004B20E5" w:rsidP="00450DBE">
            <w:pPr>
              <w:pStyle w:val="TableDataSource"/>
            </w:pPr>
            <w:r>
              <w:t>Youth Risk Behavior Surveillance System (2013)</w:t>
            </w:r>
          </w:p>
        </w:tc>
      </w:tr>
    </w:tbl>
    <w:p w:rsidR="004B20E5" w:rsidRDefault="004B20E5" w:rsidP="00CF7F2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450DBE">
        <w:trPr>
          <w:cantSplit/>
        </w:trPr>
        <w:tc>
          <w:tcPr>
            <w:tcW w:w="1329" w:type="pct"/>
            <w:tcBorders>
              <w:top w:val="single" w:sz="4" w:space="0" w:color="auto"/>
            </w:tcBorders>
          </w:tcPr>
          <w:p w:rsidR="004B20E5" w:rsidRPr="009171C7" w:rsidDel="00F67FD0" w:rsidRDefault="004B20E5" w:rsidP="00450DBE">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450DBE">
            <w:pPr>
              <w:pStyle w:val="TableOutcomeMeasure"/>
            </w:pPr>
            <w:r>
              <w:t>High school students who report using cigarettes, smokeless, or cigars</w:t>
            </w:r>
          </w:p>
        </w:tc>
      </w:tr>
      <w:tr w:rsidR="004B20E5" w:rsidRPr="00666093" w:rsidDel="00F67FD0" w:rsidTr="00450DBE">
        <w:trPr>
          <w:cantSplit/>
        </w:trPr>
        <w:tc>
          <w:tcPr>
            <w:tcW w:w="1329" w:type="pct"/>
          </w:tcPr>
          <w:p w:rsidR="004B20E5" w:rsidRPr="009171C7" w:rsidDel="00F67FD0" w:rsidRDefault="004B20E5" w:rsidP="00450DBE">
            <w:pPr>
              <w:pStyle w:val="TableTitleNumeratoretc"/>
            </w:pPr>
            <w:r w:rsidRPr="00A367E5">
              <w:t>Denominator</w:t>
            </w:r>
            <w:r>
              <w:t>:</w:t>
            </w:r>
          </w:p>
        </w:tc>
        <w:tc>
          <w:tcPr>
            <w:tcW w:w="3671" w:type="pct"/>
            <w:vAlign w:val="center"/>
          </w:tcPr>
          <w:p w:rsidR="004B20E5" w:rsidRPr="00391134" w:rsidDel="00F67FD0" w:rsidRDefault="004B20E5" w:rsidP="00450DBE">
            <w:pPr>
              <w:pStyle w:val="TableOutcomeMeasure"/>
            </w:pPr>
            <w:r>
              <w:t>High school students who complete survey</w:t>
            </w:r>
          </w:p>
        </w:tc>
      </w:tr>
      <w:tr w:rsidR="004B20E5" w:rsidRPr="00666093" w:rsidDel="00F67FD0" w:rsidTr="00450DBE">
        <w:trPr>
          <w:cantSplit/>
        </w:trPr>
        <w:tc>
          <w:tcPr>
            <w:tcW w:w="1329" w:type="pct"/>
          </w:tcPr>
          <w:p w:rsidR="004B20E5" w:rsidRPr="009171C7" w:rsidDel="00F67FD0" w:rsidRDefault="004B20E5" w:rsidP="00450DBE">
            <w:pPr>
              <w:pStyle w:val="TableTitleNumeratoretc"/>
            </w:pPr>
            <w:r w:rsidRPr="00A367E5">
              <w:t>Exclusions</w:t>
            </w:r>
            <w:r>
              <w:t>:</w:t>
            </w:r>
          </w:p>
        </w:tc>
        <w:tc>
          <w:tcPr>
            <w:tcW w:w="3671" w:type="pct"/>
            <w:vAlign w:val="center"/>
          </w:tcPr>
          <w:p w:rsidR="004B20E5" w:rsidRPr="00391134" w:rsidDel="00F67FD0" w:rsidRDefault="004B20E5" w:rsidP="00450DBE">
            <w:pPr>
              <w:pStyle w:val="TableOutcomeMeasure"/>
            </w:pPr>
            <w:r>
              <w:t>None</w:t>
            </w:r>
          </w:p>
        </w:tc>
      </w:tr>
      <w:tr w:rsidR="004B20E5" w:rsidRPr="00666093" w:rsidDel="00F67FD0" w:rsidTr="00450DBE">
        <w:trPr>
          <w:cantSplit/>
        </w:trPr>
        <w:tc>
          <w:tcPr>
            <w:tcW w:w="1329" w:type="pct"/>
          </w:tcPr>
          <w:p w:rsidR="004B20E5" w:rsidRPr="009171C7" w:rsidDel="00F67FD0" w:rsidRDefault="004B20E5" w:rsidP="00450DBE">
            <w:pPr>
              <w:pStyle w:val="TableTitleNumeratoretc"/>
            </w:pPr>
            <w:r w:rsidRPr="00F67FD0">
              <w:t>Timeframe</w:t>
            </w:r>
            <w:r>
              <w:t>:</w:t>
            </w:r>
          </w:p>
        </w:tc>
        <w:tc>
          <w:tcPr>
            <w:tcW w:w="3671" w:type="pct"/>
            <w:vAlign w:val="center"/>
          </w:tcPr>
          <w:p w:rsidR="004B20E5" w:rsidRPr="00391134" w:rsidDel="00F67FD0" w:rsidRDefault="004B20E5" w:rsidP="00450DBE">
            <w:pPr>
              <w:pStyle w:val="TableOutcomeMeasure"/>
            </w:pPr>
            <w:r>
              <w:t>Biannual (odd years)</w:t>
            </w:r>
          </w:p>
        </w:tc>
      </w:tr>
      <w:tr w:rsidR="004B20E5" w:rsidRPr="00666093" w:rsidDel="00F67FD0" w:rsidTr="00450DBE">
        <w:trPr>
          <w:cantSplit/>
        </w:trPr>
        <w:tc>
          <w:tcPr>
            <w:tcW w:w="1329" w:type="pct"/>
            <w:tcBorders>
              <w:bottom w:val="single" w:sz="4" w:space="0" w:color="auto"/>
            </w:tcBorders>
          </w:tcPr>
          <w:p w:rsidR="004B20E5" w:rsidRPr="009171C7" w:rsidDel="00F67FD0" w:rsidRDefault="004B20E5" w:rsidP="00450DBE">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450DBE">
            <w:pPr>
              <w:pStyle w:val="TableOutcomeMeasure"/>
            </w:pPr>
            <w:r>
              <w:t>The YRBS is administered in a sample of Massachusetts public high schools.  Survey results are weighted to be representative of the population of high school students.</w:t>
            </w:r>
          </w:p>
        </w:tc>
      </w:tr>
    </w:tbl>
    <w:p w:rsidR="004B20E5" w:rsidRPr="00CF7F27" w:rsidRDefault="004B20E5" w:rsidP="00CF7F27">
      <w:pPr>
        <w:pStyle w:val="Strategies"/>
      </w:pPr>
    </w:p>
    <w:p w:rsidR="004B20E5" w:rsidRDefault="004B20E5" w:rsidP="007C27A3">
      <w:pPr>
        <w:pStyle w:val="TableTenEssenHlthFunct"/>
      </w:pPr>
      <w:r>
        <w:t xml:space="preserve">Inform, Educate, and Empower People About Health Issues </w:t>
      </w:r>
    </w:p>
    <w:p w:rsidR="004B20E5" w:rsidRPr="0046149F" w:rsidRDefault="004B20E5" w:rsidP="00D00411">
      <w:pPr>
        <w:pStyle w:val="TableStrategiesunderHealthFunctions"/>
      </w:pPr>
      <w:r>
        <w:t>1.5.1</w:t>
      </w:r>
      <w:r w:rsidRPr="0006409F">
        <w:tab/>
        <w:t>Increase the number of youth engaged in tobacco prevention activities</w:t>
      </w:r>
      <w:r>
        <w:t>.</w:t>
      </w:r>
    </w:p>
    <w:p w:rsidR="004B20E5" w:rsidRPr="006256D0" w:rsidRDefault="004B20E5" w:rsidP="00D00411">
      <w:pPr>
        <w:pStyle w:val="TableStrategiesunderHealthFunctions"/>
      </w:pPr>
      <w:r>
        <w:t>1.5.2</w:t>
      </w:r>
      <w:r>
        <w:tab/>
        <w:t>Provide education and outreach to at risk populations (e.g.,</w:t>
      </w:r>
      <w:r w:rsidRPr="0046149F">
        <w:t xml:space="preserve"> pregnant, LGBT, behavioral health, incarcerated, poor, minority, youth, children</w:t>
      </w:r>
      <w:r>
        <w:t>, and those with special health needs</w:t>
      </w:r>
      <w:r w:rsidRPr="0046149F">
        <w:t>)</w:t>
      </w:r>
      <w:r>
        <w:t xml:space="preserve"> to address tobacco related disparities including </w:t>
      </w:r>
      <w:r w:rsidRPr="0046149F">
        <w:t xml:space="preserve">tobacco </w:t>
      </w:r>
      <w:r w:rsidRPr="0046149F">
        <w:lastRenderedPageBreak/>
        <w:t>industry targeting of poor and minority communities</w:t>
      </w:r>
      <w:r>
        <w:t>, including the utilization of community health workers.</w:t>
      </w:r>
    </w:p>
    <w:p w:rsidR="004B20E5" w:rsidRDefault="004B20E5" w:rsidP="007C27A3">
      <w:pPr>
        <w:pStyle w:val="TableTenEssenHlthFunct"/>
      </w:pPr>
      <w:r>
        <w:t>Mobilize Community Partnerships to Identify and Solve Health Problems</w:t>
      </w:r>
    </w:p>
    <w:p w:rsidR="004B20E5" w:rsidRPr="006256D0" w:rsidRDefault="004B20E5" w:rsidP="00D00411">
      <w:pPr>
        <w:pStyle w:val="TableStrategiesunderHealthFunctions"/>
      </w:pPr>
      <w:r>
        <w:t>1.5.3</w:t>
      </w:r>
      <w:r>
        <w:tab/>
        <w:t>Establish partnerships with l</w:t>
      </w:r>
      <w:r w:rsidRPr="00B51A88">
        <w:t>ocal boards of health, community partners, and professional organizations to develop youth access campaigns and policies, in order to stay ahead of industry tactics</w:t>
      </w:r>
      <w:r>
        <w:t>.</w:t>
      </w:r>
    </w:p>
    <w:p w:rsidR="004B20E5" w:rsidRDefault="004B20E5" w:rsidP="007C27A3">
      <w:pPr>
        <w:pStyle w:val="TableTenEssenHlthFunct"/>
      </w:pPr>
      <w:r>
        <w:t xml:space="preserve">Develop Policies and Plans That Support Individual and Community Health Efforts </w:t>
      </w:r>
    </w:p>
    <w:p w:rsidR="004B20E5" w:rsidRPr="0046149F" w:rsidRDefault="004B20E5" w:rsidP="00D00411">
      <w:pPr>
        <w:pStyle w:val="TableStrategiesunderHealthFunctions"/>
      </w:pPr>
      <w:r>
        <w:t>1.5.4</w:t>
      </w:r>
      <w:r w:rsidRPr="0006409F">
        <w:tab/>
        <w:t>Increase the number of municipalities that have strengthened tobacco sales regulations,</w:t>
      </w:r>
      <w:r>
        <w:t xml:space="preserve"> including restrictions on the type of tobacco sold, and the placement, price and availability of tobacco products.</w:t>
      </w:r>
    </w:p>
    <w:p w:rsidR="004B20E5" w:rsidRPr="0046149F" w:rsidRDefault="004B20E5" w:rsidP="00D00411">
      <w:pPr>
        <w:pStyle w:val="TableStrategiesunderHealthFunctions"/>
      </w:pPr>
      <w:r>
        <w:t>1.5.5</w:t>
      </w:r>
      <w:r w:rsidRPr="0046149F">
        <w:tab/>
        <w:t xml:space="preserve">Increase </w:t>
      </w:r>
      <w:r>
        <w:t xml:space="preserve">the price of tobacco products via </w:t>
      </w:r>
      <w:r w:rsidRPr="0046149F">
        <w:t>tobacco taxes.</w:t>
      </w:r>
    </w:p>
    <w:p w:rsidR="004B20E5" w:rsidRPr="0006409F" w:rsidRDefault="004B20E5" w:rsidP="00D00411">
      <w:pPr>
        <w:pStyle w:val="TableStrategiesunderHealthFunctions"/>
      </w:pPr>
      <w:r>
        <w:t>1.5.6</w:t>
      </w:r>
      <w:r w:rsidRPr="0046149F">
        <w:tab/>
      </w:r>
      <w:r w:rsidRPr="0006409F">
        <w:t>Develop</w:t>
      </w:r>
      <w:r>
        <w:t xml:space="preserve"> and support </w:t>
      </w:r>
      <w:r w:rsidRPr="0006409F">
        <w:t>policies that decrease the density of tobacco retail outlets</w:t>
      </w:r>
      <w:r>
        <w:t xml:space="preserve"> in communities disproportionately affected</w:t>
      </w:r>
      <w:r w:rsidRPr="0006409F">
        <w:t>.</w:t>
      </w:r>
    </w:p>
    <w:p w:rsidR="004B20E5" w:rsidRDefault="004B20E5" w:rsidP="00D00411">
      <w:pPr>
        <w:pStyle w:val="TableStrategiesunderHealthFunctions"/>
      </w:pPr>
      <w:r>
        <w:t>1.5.7</w:t>
      </w:r>
      <w:r>
        <w:tab/>
        <w:t>Integrate tobacco use screening, advising and referral into all oral health care systems.</w:t>
      </w:r>
    </w:p>
    <w:p w:rsidR="004B20E5" w:rsidRDefault="004B20E5" w:rsidP="006F356A">
      <w:pPr>
        <w:pStyle w:val="StrategiesCategoryTitles"/>
      </w:pPr>
    </w:p>
    <w:p w:rsidR="004B20E5" w:rsidRDefault="004B20E5" w:rsidP="00CB2B0E">
      <w:pPr>
        <w:pStyle w:val="ObjectiveStatement"/>
      </w:pPr>
      <w:r>
        <w:t>Measure 1.6:</w:t>
      </w:r>
      <w:r>
        <w:tab/>
        <w:t>Reduce the relative percentage of adults who report exposure to secondhand smoke of more than 1 hour per week by 10%.</w:t>
      </w:r>
    </w:p>
    <w:p w:rsidR="004B20E5" w:rsidRDefault="004B20E5" w:rsidP="00CF7F27">
      <w:pPr>
        <w:pStyle w:val="TableStrategiesunderHealthFunctions"/>
      </w:pPr>
    </w:p>
    <w:tbl>
      <w:tblPr>
        <w:tblW w:w="4095" w:type="pct"/>
        <w:tblInd w:w="1755" w:type="dxa"/>
        <w:tblLayout w:type="fixed"/>
        <w:tblLook w:val="00A0" w:firstRow="1" w:lastRow="0" w:firstColumn="1" w:lastColumn="0" w:noHBand="0" w:noVBand="0"/>
      </w:tblPr>
      <w:tblGrid>
        <w:gridCol w:w="2248"/>
        <w:gridCol w:w="1531"/>
        <w:gridCol w:w="1531"/>
        <w:gridCol w:w="3122"/>
      </w:tblGrid>
      <w:tr w:rsidR="004B20E5" w:rsidRPr="00666093" w:rsidTr="00E86E32">
        <w:trPr>
          <w:cantSplit/>
        </w:trPr>
        <w:tc>
          <w:tcPr>
            <w:tcW w:w="1333" w:type="pct"/>
            <w:tcBorders>
              <w:top w:val="single" w:sz="4" w:space="0" w:color="auto"/>
              <w:bottom w:val="single" w:sz="4" w:space="0" w:color="auto"/>
            </w:tcBorders>
            <w:vAlign w:val="center"/>
          </w:tcPr>
          <w:p w:rsidR="004B20E5" w:rsidRPr="00666093" w:rsidRDefault="004B20E5" w:rsidP="008C43E1">
            <w:pPr>
              <w:pStyle w:val="TableTitleTargetDataSource"/>
            </w:pPr>
            <w:r>
              <w:t>Outcome Indicator</w:t>
            </w:r>
          </w:p>
        </w:tc>
        <w:tc>
          <w:tcPr>
            <w:tcW w:w="908" w:type="pct"/>
            <w:tcBorders>
              <w:top w:val="single" w:sz="4" w:space="0" w:color="auto"/>
              <w:bottom w:val="single" w:sz="4" w:space="0" w:color="auto"/>
            </w:tcBorders>
            <w:vAlign w:val="center"/>
          </w:tcPr>
          <w:p w:rsidR="004B20E5" w:rsidRPr="00666093" w:rsidRDefault="004B20E5" w:rsidP="00450DBE">
            <w:pPr>
              <w:pStyle w:val="TableTitleBaseline2020Target"/>
            </w:pPr>
            <w:r w:rsidRPr="00666093">
              <w:t>Baseline</w:t>
            </w:r>
          </w:p>
        </w:tc>
        <w:tc>
          <w:tcPr>
            <w:tcW w:w="908" w:type="pct"/>
            <w:tcBorders>
              <w:top w:val="single" w:sz="4" w:space="0" w:color="auto"/>
              <w:bottom w:val="single" w:sz="4" w:space="0" w:color="auto"/>
            </w:tcBorders>
            <w:vAlign w:val="center"/>
          </w:tcPr>
          <w:p w:rsidR="004B20E5" w:rsidRPr="00666093" w:rsidRDefault="004B20E5" w:rsidP="00450DBE">
            <w:pPr>
              <w:pStyle w:val="TableTitleBaseline2020Target"/>
            </w:pPr>
            <w:r w:rsidRPr="00666093">
              <w:t>2020 Target</w:t>
            </w:r>
          </w:p>
        </w:tc>
        <w:tc>
          <w:tcPr>
            <w:tcW w:w="1851" w:type="pct"/>
            <w:tcBorders>
              <w:top w:val="single" w:sz="4" w:space="0" w:color="auto"/>
              <w:bottom w:val="single" w:sz="4" w:space="0" w:color="auto"/>
            </w:tcBorders>
            <w:vAlign w:val="center"/>
          </w:tcPr>
          <w:p w:rsidR="004B20E5" w:rsidRPr="00666093" w:rsidRDefault="004B20E5" w:rsidP="00450DBE">
            <w:pPr>
              <w:pStyle w:val="TableTitleTargetDataSource"/>
            </w:pPr>
            <w:r w:rsidRPr="00666093">
              <w:t>Data Source</w:t>
            </w:r>
          </w:p>
        </w:tc>
      </w:tr>
      <w:tr w:rsidR="004B20E5" w:rsidRPr="00666093" w:rsidDel="008650A7" w:rsidTr="00E86E32">
        <w:trPr>
          <w:cantSplit/>
        </w:trPr>
        <w:tc>
          <w:tcPr>
            <w:tcW w:w="1333" w:type="pct"/>
            <w:tcBorders>
              <w:top w:val="single" w:sz="4" w:space="0" w:color="auto"/>
              <w:bottom w:val="single" w:sz="4" w:space="0" w:color="auto"/>
            </w:tcBorders>
            <w:vAlign w:val="center"/>
          </w:tcPr>
          <w:p w:rsidR="004B20E5" w:rsidRPr="009171C7" w:rsidDel="008650A7" w:rsidRDefault="004B20E5" w:rsidP="00450DBE">
            <w:pPr>
              <w:pStyle w:val="TableOutcomeMeasure"/>
            </w:pPr>
            <w:r>
              <w:t>Exposure to secondhand smoke</w:t>
            </w:r>
          </w:p>
        </w:tc>
        <w:tc>
          <w:tcPr>
            <w:tcW w:w="908" w:type="pct"/>
            <w:tcBorders>
              <w:top w:val="single" w:sz="4" w:space="0" w:color="auto"/>
              <w:bottom w:val="single" w:sz="4" w:space="0" w:color="auto"/>
            </w:tcBorders>
            <w:vAlign w:val="center"/>
          </w:tcPr>
          <w:p w:rsidR="004B20E5" w:rsidDel="008650A7" w:rsidRDefault="004B20E5" w:rsidP="00450DBE">
            <w:pPr>
              <w:pStyle w:val="TableBaseline2020Target"/>
            </w:pPr>
            <w:r>
              <w:t>11.0%</w:t>
            </w:r>
          </w:p>
        </w:tc>
        <w:tc>
          <w:tcPr>
            <w:tcW w:w="908" w:type="pct"/>
            <w:tcBorders>
              <w:top w:val="single" w:sz="4" w:space="0" w:color="auto"/>
              <w:bottom w:val="single" w:sz="4" w:space="0" w:color="auto"/>
            </w:tcBorders>
            <w:vAlign w:val="center"/>
          </w:tcPr>
          <w:p w:rsidR="004B20E5" w:rsidDel="008650A7" w:rsidRDefault="004B20E5" w:rsidP="00450DBE">
            <w:pPr>
              <w:pStyle w:val="TableBaseline2020Target"/>
            </w:pPr>
            <w:r>
              <w:t>8.0%</w:t>
            </w:r>
          </w:p>
        </w:tc>
        <w:tc>
          <w:tcPr>
            <w:tcW w:w="1851" w:type="pct"/>
            <w:tcBorders>
              <w:top w:val="single" w:sz="4" w:space="0" w:color="auto"/>
              <w:bottom w:val="single" w:sz="4" w:space="0" w:color="auto"/>
            </w:tcBorders>
            <w:vAlign w:val="center"/>
          </w:tcPr>
          <w:p w:rsidR="004B20E5" w:rsidRPr="00AA6208" w:rsidDel="008650A7" w:rsidRDefault="004B20E5" w:rsidP="00450DBE">
            <w:pPr>
              <w:pStyle w:val="TableDataSource"/>
            </w:pPr>
            <w:r>
              <w:t>Behavioral Risk Factor Surveillance System (BRFSS)  (2012)</w:t>
            </w:r>
          </w:p>
        </w:tc>
      </w:tr>
    </w:tbl>
    <w:p w:rsidR="004B20E5" w:rsidRDefault="004B20E5" w:rsidP="00CF7F2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450DBE">
        <w:trPr>
          <w:cantSplit/>
        </w:trPr>
        <w:tc>
          <w:tcPr>
            <w:tcW w:w="1329" w:type="pct"/>
            <w:tcBorders>
              <w:top w:val="single" w:sz="4" w:space="0" w:color="auto"/>
            </w:tcBorders>
          </w:tcPr>
          <w:p w:rsidR="004B20E5" w:rsidRPr="009171C7" w:rsidDel="00F67FD0" w:rsidRDefault="004B20E5" w:rsidP="00450DBE">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450DBE">
            <w:pPr>
              <w:pStyle w:val="TableOutcomeMeasure"/>
            </w:pPr>
            <w:r>
              <w:t>Adults who report on survey that they are exposed to secondhand smoke at work, at home, or other places</w:t>
            </w:r>
          </w:p>
        </w:tc>
      </w:tr>
      <w:tr w:rsidR="004B20E5" w:rsidRPr="00666093" w:rsidDel="00F67FD0" w:rsidTr="00450DBE">
        <w:trPr>
          <w:cantSplit/>
        </w:trPr>
        <w:tc>
          <w:tcPr>
            <w:tcW w:w="1329" w:type="pct"/>
          </w:tcPr>
          <w:p w:rsidR="004B20E5" w:rsidRPr="009171C7" w:rsidDel="00F67FD0" w:rsidRDefault="004B20E5" w:rsidP="00450DBE">
            <w:pPr>
              <w:pStyle w:val="TableTitleNumeratoretc"/>
            </w:pPr>
            <w:r w:rsidRPr="00A367E5">
              <w:t>Denominator</w:t>
            </w:r>
            <w:r>
              <w:t>:</w:t>
            </w:r>
          </w:p>
        </w:tc>
        <w:tc>
          <w:tcPr>
            <w:tcW w:w="3671" w:type="pct"/>
            <w:vAlign w:val="center"/>
          </w:tcPr>
          <w:p w:rsidR="004B20E5" w:rsidRPr="00391134" w:rsidDel="00F67FD0" w:rsidRDefault="004B20E5" w:rsidP="00450DBE">
            <w:pPr>
              <w:pStyle w:val="TableOutcomeMeasure"/>
            </w:pPr>
            <w:r>
              <w:t>All adults who report on the survey questions</w:t>
            </w:r>
          </w:p>
        </w:tc>
      </w:tr>
      <w:tr w:rsidR="004B20E5" w:rsidRPr="00666093" w:rsidDel="00F67FD0" w:rsidTr="00450DBE">
        <w:trPr>
          <w:cantSplit/>
        </w:trPr>
        <w:tc>
          <w:tcPr>
            <w:tcW w:w="1329" w:type="pct"/>
          </w:tcPr>
          <w:p w:rsidR="004B20E5" w:rsidRPr="009171C7" w:rsidDel="00F67FD0" w:rsidRDefault="004B20E5" w:rsidP="00450DBE">
            <w:pPr>
              <w:pStyle w:val="TableTitleNumeratoretc"/>
            </w:pPr>
            <w:r w:rsidRPr="00A367E5">
              <w:t>Exclusions</w:t>
            </w:r>
            <w:r>
              <w:t>:</w:t>
            </w:r>
          </w:p>
        </w:tc>
        <w:tc>
          <w:tcPr>
            <w:tcW w:w="3671" w:type="pct"/>
            <w:vAlign w:val="center"/>
          </w:tcPr>
          <w:p w:rsidR="004B20E5" w:rsidRPr="00391134" w:rsidDel="00F67FD0" w:rsidRDefault="004B20E5" w:rsidP="00450DBE">
            <w:pPr>
              <w:pStyle w:val="TableOutcomeMeasure"/>
            </w:pPr>
            <w:r>
              <w:t>None</w:t>
            </w:r>
          </w:p>
        </w:tc>
      </w:tr>
      <w:tr w:rsidR="004B20E5" w:rsidRPr="00666093" w:rsidDel="00F67FD0" w:rsidTr="00450DBE">
        <w:trPr>
          <w:cantSplit/>
        </w:trPr>
        <w:tc>
          <w:tcPr>
            <w:tcW w:w="1329" w:type="pct"/>
          </w:tcPr>
          <w:p w:rsidR="004B20E5" w:rsidRPr="009171C7" w:rsidDel="00F67FD0" w:rsidRDefault="004B20E5" w:rsidP="00450DBE">
            <w:pPr>
              <w:pStyle w:val="TableTitleNumeratoretc"/>
            </w:pPr>
            <w:r w:rsidRPr="00F67FD0">
              <w:t>Timeframe</w:t>
            </w:r>
            <w:r>
              <w:t>:</w:t>
            </w:r>
          </w:p>
        </w:tc>
        <w:tc>
          <w:tcPr>
            <w:tcW w:w="3671" w:type="pct"/>
            <w:vAlign w:val="center"/>
          </w:tcPr>
          <w:p w:rsidR="004B20E5" w:rsidRPr="00391134" w:rsidDel="00F67FD0" w:rsidRDefault="004B20E5" w:rsidP="00450DBE">
            <w:pPr>
              <w:pStyle w:val="TableOutcomeMeasure"/>
            </w:pPr>
            <w:r>
              <w:t>Annual</w:t>
            </w:r>
          </w:p>
        </w:tc>
      </w:tr>
      <w:tr w:rsidR="004B20E5" w:rsidRPr="00666093" w:rsidDel="00F67FD0" w:rsidTr="00450DBE">
        <w:trPr>
          <w:cantSplit/>
        </w:trPr>
        <w:tc>
          <w:tcPr>
            <w:tcW w:w="1329" w:type="pct"/>
            <w:tcBorders>
              <w:bottom w:val="single" w:sz="4" w:space="0" w:color="auto"/>
            </w:tcBorders>
          </w:tcPr>
          <w:p w:rsidR="004B20E5" w:rsidRPr="009171C7" w:rsidDel="00F67FD0" w:rsidRDefault="004B20E5" w:rsidP="00450DBE">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450DBE">
            <w:pPr>
              <w:pStyle w:val="TableOutcomeMeasure"/>
            </w:pPr>
            <w:r>
              <w:t>The BRFSS survey includes 3 questions about the amount of exposure to secondhand smoke in the past 7 days.  The survey responses are weighted to make the sample representative of the Massachusetts adult (age 18+) population.</w:t>
            </w:r>
          </w:p>
        </w:tc>
      </w:tr>
    </w:tbl>
    <w:p w:rsidR="004B20E5" w:rsidRDefault="004B20E5" w:rsidP="00AA09CE">
      <w:pPr>
        <w:pStyle w:val="Strategies"/>
      </w:pPr>
    </w:p>
    <w:p w:rsidR="004B20E5" w:rsidRDefault="004B20E5" w:rsidP="007C27A3">
      <w:pPr>
        <w:pStyle w:val="TableTenEssenHlthFunct"/>
      </w:pPr>
      <w:r>
        <w:t xml:space="preserve">Inform, Educate, and Empower People About Health Issues </w:t>
      </w:r>
    </w:p>
    <w:p w:rsidR="004B20E5" w:rsidRPr="006256D0" w:rsidRDefault="004B20E5" w:rsidP="00C4601C">
      <w:pPr>
        <w:pStyle w:val="TableStrategiesunderHealthFunctions"/>
      </w:pPr>
      <w:r>
        <w:t>1.6.1</w:t>
      </w:r>
      <w:r>
        <w:tab/>
      </w:r>
      <w:r w:rsidRPr="0046149F">
        <w:t>Educate smokers about the dangers of smoking around their children (in homes, in cars, etc.)</w:t>
      </w:r>
      <w:r>
        <w:t>.</w:t>
      </w:r>
    </w:p>
    <w:p w:rsidR="004B20E5" w:rsidRDefault="004B20E5" w:rsidP="007C27A3">
      <w:pPr>
        <w:pStyle w:val="TableTenEssenHlthFunct"/>
      </w:pPr>
      <w:r>
        <w:t xml:space="preserve">Develop Policies and Plans That Support Individual and Community Health Efforts </w:t>
      </w:r>
    </w:p>
    <w:p w:rsidR="004B20E5" w:rsidRDefault="004B20E5" w:rsidP="00C4601C">
      <w:pPr>
        <w:pStyle w:val="TableStrategiesunderHealthFunctions"/>
      </w:pPr>
      <w:r>
        <w:t>1.6.2</w:t>
      </w:r>
      <w:r w:rsidRPr="0046149F">
        <w:tab/>
      </w:r>
      <w:r>
        <w:t>Maintain smoke-free workplace complaint line.</w:t>
      </w:r>
    </w:p>
    <w:p w:rsidR="004B20E5" w:rsidRPr="00890A61" w:rsidRDefault="004B20E5" w:rsidP="00C4601C">
      <w:pPr>
        <w:pStyle w:val="TableStrategiesunderHealthFunctions"/>
      </w:pPr>
      <w:r>
        <w:t>1.6.3</w:t>
      </w:r>
      <w:r w:rsidRPr="00890A61">
        <w:tab/>
        <w:t>Increase the number of college campuses with a smoke-free campus policy.</w:t>
      </w:r>
    </w:p>
    <w:p w:rsidR="004B20E5" w:rsidRPr="00890A61" w:rsidRDefault="004B20E5" w:rsidP="00C4601C">
      <w:pPr>
        <w:pStyle w:val="TableStrategiesunderHealthFunctions"/>
      </w:pPr>
      <w:r>
        <w:t>1.6.4</w:t>
      </w:r>
      <w:r w:rsidRPr="00890A61">
        <w:tab/>
        <w:t>Increase smoke-free public spaces.</w:t>
      </w:r>
    </w:p>
    <w:p w:rsidR="004B20E5" w:rsidRPr="006256D0" w:rsidRDefault="004B20E5" w:rsidP="00C4601C">
      <w:pPr>
        <w:pStyle w:val="TableStrategiesunderHealthFunctions"/>
      </w:pPr>
      <w:r>
        <w:t>1.6.5</w:t>
      </w:r>
      <w:r w:rsidRPr="00890A61">
        <w:tab/>
        <w:t>Increase the number of public and private smoke</w:t>
      </w:r>
      <w:r>
        <w:t>-free multi-unit housing properties</w:t>
      </w:r>
      <w:r w:rsidRPr="0046149F">
        <w:t>.</w:t>
      </w:r>
    </w:p>
    <w:p w:rsidR="004B20E5" w:rsidRDefault="004B20E5" w:rsidP="007C27A3">
      <w:pPr>
        <w:pStyle w:val="TableTenEssenHlthFunct"/>
      </w:pPr>
      <w:r>
        <w:t>Enforce Laws and Regulations That Protect Health and Ensure Safety</w:t>
      </w:r>
    </w:p>
    <w:p w:rsidR="004B20E5" w:rsidRPr="006256D0" w:rsidRDefault="004B20E5" w:rsidP="00C4601C">
      <w:pPr>
        <w:pStyle w:val="TableStrategiesunderHealthFunctions"/>
      </w:pPr>
      <w:r>
        <w:t>1.6.6</w:t>
      </w:r>
      <w:r w:rsidRPr="0046149F">
        <w:tab/>
      </w:r>
      <w:r>
        <w:t>Strengthen and enforce smoke-free workplace laws</w:t>
      </w:r>
      <w:r w:rsidRPr="0046149F">
        <w:t>.</w:t>
      </w:r>
    </w:p>
    <w:p w:rsidR="004B20E5" w:rsidRDefault="004B20E5" w:rsidP="007C27A3">
      <w:pPr>
        <w:pStyle w:val="TableTenEssenHlthFunct"/>
      </w:pPr>
      <w:r>
        <w:t>Assure a Competent Public and Personal Healthcare Workforce</w:t>
      </w:r>
    </w:p>
    <w:p w:rsidR="004B20E5" w:rsidRPr="006256D0" w:rsidRDefault="004B20E5" w:rsidP="00C4601C">
      <w:pPr>
        <w:pStyle w:val="TableStrategiesunderHealthFunctions"/>
      </w:pPr>
      <w:r>
        <w:t>1.6.7</w:t>
      </w:r>
      <w:r>
        <w:tab/>
        <w:t>Educate community health workers about risks of secondhand smoke, prevention messages, and resources for cessation.</w:t>
      </w:r>
    </w:p>
    <w:p w:rsidR="004B20E5" w:rsidRDefault="004B20E5" w:rsidP="00C4601C">
      <w:pPr>
        <w:pStyle w:val="TableStrategiesunderHealthFunctions"/>
      </w:pPr>
    </w:p>
    <w:p w:rsidR="004B20E5" w:rsidRPr="00571897" w:rsidRDefault="004B20E5" w:rsidP="00571897">
      <w:pPr>
        <w:pStyle w:val="PartnersTitle"/>
      </w:pPr>
      <w:r w:rsidRPr="00571897">
        <w:t xml:space="preserve">Partners/Resources for </w:t>
      </w:r>
      <w:r>
        <w:t xml:space="preserve">Active Living, Healthy Eating, and Tobacco-Free Living  </w:t>
      </w:r>
    </w:p>
    <w:p w:rsidR="004B20E5" w:rsidRPr="00AF0910" w:rsidRDefault="004B20E5" w:rsidP="00395A51">
      <w:pPr>
        <w:pStyle w:val="Partners"/>
      </w:pPr>
      <w:r w:rsidRPr="00AF0910">
        <w:t>Academy of Nutrition and Dietetics</w:t>
      </w:r>
    </w:p>
    <w:p w:rsidR="004B20E5" w:rsidRDefault="004B20E5" w:rsidP="00395A51">
      <w:pPr>
        <w:pStyle w:val="Partners"/>
      </w:pPr>
      <w:r w:rsidRPr="00AF0910">
        <w:t xml:space="preserve">After school </w:t>
      </w:r>
      <w:r w:rsidR="00004279">
        <w:t>p</w:t>
      </w:r>
      <w:r w:rsidRPr="00AF0910">
        <w:t>rograms</w:t>
      </w:r>
    </w:p>
    <w:p w:rsidR="00FE7DCD" w:rsidRPr="00AF0910" w:rsidRDefault="00FE7DCD" w:rsidP="00395A51">
      <w:pPr>
        <w:pStyle w:val="Partners"/>
      </w:pPr>
      <w:r>
        <w:t>American Cancer Society</w:t>
      </w:r>
    </w:p>
    <w:p w:rsidR="004B20E5" w:rsidRDefault="004B20E5" w:rsidP="00395A51">
      <w:pPr>
        <w:pStyle w:val="Partners"/>
      </w:pPr>
      <w:r w:rsidRPr="00AF0910">
        <w:lastRenderedPageBreak/>
        <w:t xml:space="preserve">American Diabetes Association </w:t>
      </w:r>
    </w:p>
    <w:p w:rsidR="004B20E5" w:rsidRPr="00AF0910" w:rsidRDefault="004B20E5" w:rsidP="00395A51">
      <w:pPr>
        <w:pStyle w:val="Partners"/>
      </w:pPr>
      <w:r w:rsidRPr="00AF0910">
        <w:t>American Heart Association</w:t>
      </w:r>
    </w:p>
    <w:p w:rsidR="004B20E5" w:rsidRPr="00AF0910" w:rsidRDefault="004B20E5" w:rsidP="00203176">
      <w:pPr>
        <w:pStyle w:val="Partners"/>
      </w:pPr>
      <w:r w:rsidRPr="00AF0910">
        <w:t>American Lung Association</w:t>
      </w:r>
    </w:p>
    <w:p w:rsidR="004B20E5" w:rsidRPr="00AF0910" w:rsidRDefault="004B20E5" w:rsidP="00395A51">
      <w:pPr>
        <w:pStyle w:val="Partners"/>
      </w:pPr>
      <w:r w:rsidRPr="00AF0910">
        <w:t>American Planning Association</w:t>
      </w:r>
    </w:p>
    <w:p w:rsidR="004B20E5" w:rsidRPr="00AF0910" w:rsidRDefault="004B20E5" w:rsidP="00203176">
      <w:pPr>
        <w:pStyle w:val="Partners"/>
      </w:pPr>
      <w:r w:rsidRPr="00AF0910">
        <w:t>Behavioral health workers</w:t>
      </w:r>
    </w:p>
    <w:p w:rsidR="004B20E5" w:rsidRPr="00AF0910" w:rsidRDefault="004B20E5" w:rsidP="00395A51">
      <w:pPr>
        <w:pStyle w:val="Partners"/>
      </w:pPr>
      <w:r w:rsidRPr="00AF0910">
        <w:t>Boards of Health</w:t>
      </w:r>
    </w:p>
    <w:p w:rsidR="004B20E5" w:rsidRDefault="004B20E5" w:rsidP="00395A51">
      <w:pPr>
        <w:pStyle w:val="Partners"/>
      </w:pPr>
      <w:r w:rsidRPr="00AF0910">
        <w:t>Boys and Girls Clubs</w:t>
      </w:r>
    </w:p>
    <w:p w:rsidR="00FE7DCD" w:rsidRPr="00AF0910" w:rsidRDefault="00FE7DCD" w:rsidP="00395A51">
      <w:pPr>
        <w:pStyle w:val="Partners"/>
      </w:pPr>
      <w:r>
        <w:t xml:space="preserve">Business associations </w:t>
      </w:r>
    </w:p>
    <w:p w:rsidR="004B20E5" w:rsidRPr="00AF0910" w:rsidRDefault="004B20E5" w:rsidP="00395A51">
      <w:pPr>
        <w:pStyle w:val="Partners"/>
      </w:pPr>
      <w:r w:rsidRPr="00AF0910">
        <w:t>CBO serving newcomer populations</w:t>
      </w:r>
    </w:p>
    <w:p w:rsidR="004B20E5" w:rsidRDefault="004B20E5" w:rsidP="00395A51">
      <w:pPr>
        <w:pStyle w:val="Partners"/>
      </w:pPr>
      <w:r w:rsidRPr="00AF0910">
        <w:t>Center for Health in New England Workplaces</w:t>
      </w:r>
    </w:p>
    <w:p w:rsidR="00FE7DCD" w:rsidRPr="00AF0910" w:rsidRDefault="00FE7DCD" w:rsidP="00395A51">
      <w:pPr>
        <w:pStyle w:val="Partners"/>
      </w:pPr>
      <w:r>
        <w:t>Coalition for Local Public Health</w:t>
      </w:r>
    </w:p>
    <w:p w:rsidR="004B20E5" w:rsidRPr="00AF0910" w:rsidRDefault="004B20E5" w:rsidP="00395A51">
      <w:pPr>
        <w:pStyle w:val="Partners"/>
      </w:pPr>
      <w:r w:rsidRPr="00AF0910">
        <w:t>Community Development Corporations</w:t>
      </w:r>
    </w:p>
    <w:p w:rsidR="00C36277" w:rsidRDefault="00C36277" w:rsidP="00203176">
      <w:pPr>
        <w:pStyle w:val="Partners"/>
      </w:pPr>
      <w:r>
        <w:t>MA Association of Community Health Workers</w:t>
      </w:r>
    </w:p>
    <w:p w:rsidR="004B20E5" w:rsidRPr="00AF0910" w:rsidRDefault="004B20E5" w:rsidP="00203176">
      <w:pPr>
        <w:pStyle w:val="Partners"/>
      </w:pPr>
      <w:r w:rsidRPr="00AF0910">
        <w:t>Convenience stores (point of sales)</w:t>
      </w:r>
    </w:p>
    <w:p w:rsidR="004B20E5" w:rsidRPr="00AF0910" w:rsidRDefault="004B20E5" w:rsidP="00203176">
      <w:pPr>
        <w:pStyle w:val="Partners"/>
      </w:pPr>
      <w:r w:rsidRPr="00AF0910">
        <w:t>Early education and child care</w:t>
      </w:r>
      <w:r w:rsidR="00004279">
        <w:t xml:space="preserve"> </w:t>
      </w:r>
      <w:r w:rsidRPr="00AF0910">
        <w:t>centers</w:t>
      </w:r>
    </w:p>
    <w:p w:rsidR="004B20E5" w:rsidRDefault="004B20E5" w:rsidP="00203176">
      <w:pPr>
        <w:pStyle w:val="Partners"/>
      </w:pPr>
      <w:r w:rsidRPr="00AF0910">
        <w:t>Employers</w:t>
      </w:r>
    </w:p>
    <w:p w:rsidR="002A6C56" w:rsidRPr="00AF0910" w:rsidRDefault="002A6C56" w:rsidP="00203176">
      <w:pPr>
        <w:pStyle w:val="Partners"/>
      </w:pPr>
      <w:r>
        <w:t>Elder service organizations</w:t>
      </w:r>
    </w:p>
    <w:p w:rsidR="004B20E5" w:rsidRPr="00AF0910" w:rsidRDefault="004B20E5" w:rsidP="00395A51">
      <w:pPr>
        <w:pStyle w:val="Partners"/>
      </w:pPr>
      <w:r w:rsidRPr="00AF0910">
        <w:t xml:space="preserve">Faith </w:t>
      </w:r>
      <w:r w:rsidR="00004279">
        <w:t>c</w:t>
      </w:r>
      <w:r w:rsidRPr="00AF0910">
        <w:t>ommunities</w:t>
      </w:r>
    </w:p>
    <w:p w:rsidR="004B20E5" w:rsidRPr="00AF0910" w:rsidRDefault="004B20E5" w:rsidP="00203176">
      <w:pPr>
        <w:pStyle w:val="Partners"/>
      </w:pPr>
      <w:r w:rsidRPr="00AF0910">
        <w:t>Fire departments</w:t>
      </w:r>
    </w:p>
    <w:p w:rsidR="004B20E5" w:rsidRPr="00AF0910" w:rsidRDefault="004B20E5" w:rsidP="00395A51">
      <w:pPr>
        <w:pStyle w:val="Partners"/>
      </w:pPr>
      <w:r w:rsidRPr="00AF0910">
        <w:t>Fitness groups (YMCA, YWCA)</w:t>
      </w:r>
    </w:p>
    <w:p w:rsidR="004B20E5" w:rsidRPr="00AF0910" w:rsidRDefault="004B20E5" w:rsidP="00395A51">
      <w:pPr>
        <w:pStyle w:val="Partners"/>
      </w:pPr>
      <w:r w:rsidRPr="00AF0910">
        <w:t xml:space="preserve">Food </w:t>
      </w:r>
      <w:r w:rsidR="00004279">
        <w:t>r</w:t>
      </w:r>
      <w:r w:rsidRPr="00AF0910">
        <w:t xml:space="preserve">etailers and </w:t>
      </w:r>
      <w:r w:rsidR="00004279">
        <w:t>f</w:t>
      </w:r>
      <w:r w:rsidRPr="00AF0910">
        <w:t xml:space="preserve">ood </w:t>
      </w:r>
      <w:r w:rsidR="00004279">
        <w:t>p</w:t>
      </w:r>
      <w:r w:rsidRPr="00AF0910">
        <w:t>roducers</w:t>
      </w:r>
    </w:p>
    <w:p w:rsidR="000865E8" w:rsidRPr="00AF0910" w:rsidRDefault="000865E8" w:rsidP="000865E8">
      <w:pPr>
        <w:pStyle w:val="Partners"/>
      </w:pPr>
      <w:r>
        <w:t>Harvard School of Public Health</w:t>
      </w:r>
      <w:r w:rsidRPr="00AF0910">
        <w:t xml:space="preserve"> Center for Work, Health and Wellbeing</w:t>
      </w:r>
    </w:p>
    <w:p w:rsidR="004B20E5" w:rsidRPr="00AF0910" w:rsidRDefault="004B20E5" w:rsidP="00203176">
      <w:pPr>
        <w:pStyle w:val="Partners"/>
      </w:pPr>
      <w:r w:rsidRPr="00AF0910">
        <w:t>Health insurers/ life insurance/ home insurers/ auto insurers</w:t>
      </w:r>
    </w:p>
    <w:p w:rsidR="004B20E5" w:rsidRPr="00AF0910" w:rsidRDefault="004B20E5" w:rsidP="00203176">
      <w:pPr>
        <w:pStyle w:val="Partners"/>
      </w:pPr>
      <w:r w:rsidRPr="00AF0910">
        <w:t xml:space="preserve">Healthcare </w:t>
      </w:r>
      <w:r w:rsidR="004259D3">
        <w:t>P</w:t>
      </w:r>
      <w:r w:rsidRPr="00AF0910">
        <w:t>roviders</w:t>
      </w:r>
    </w:p>
    <w:p w:rsidR="004B20E5" w:rsidRPr="00AF0910" w:rsidRDefault="004B20E5" w:rsidP="00395A51">
      <w:pPr>
        <w:pStyle w:val="Partners"/>
      </w:pPr>
      <w:r w:rsidRPr="00AF0910">
        <w:t xml:space="preserve">Hospital </w:t>
      </w:r>
      <w:r w:rsidR="00004279">
        <w:t>c</w:t>
      </w:r>
      <w:r w:rsidRPr="00AF0910">
        <w:t xml:space="preserve">ommunity </w:t>
      </w:r>
      <w:r w:rsidR="00004279">
        <w:t>b</w:t>
      </w:r>
      <w:r w:rsidRPr="00AF0910">
        <w:t xml:space="preserve">enefits </w:t>
      </w:r>
      <w:r w:rsidR="00004279">
        <w:t>o</w:t>
      </w:r>
      <w:r w:rsidRPr="00AF0910">
        <w:t>ffices</w:t>
      </w:r>
    </w:p>
    <w:p w:rsidR="004B20E5" w:rsidRPr="00AF0910" w:rsidRDefault="004B20E5" w:rsidP="00203176">
      <w:pPr>
        <w:pStyle w:val="Partners"/>
      </w:pPr>
      <w:r w:rsidRPr="00AF0910">
        <w:t>Legislators</w:t>
      </w:r>
    </w:p>
    <w:p w:rsidR="00FE7DCD" w:rsidRDefault="00FE7DCD" w:rsidP="00203176">
      <w:pPr>
        <w:pStyle w:val="Partners"/>
      </w:pPr>
      <w:r>
        <w:t>Local Boards of Health</w:t>
      </w:r>
    </w:p>
    <w:p w:rsidR="00FE7DCD" w:rsidRDefault="00FE7DCD" w:rsidP="00203176">
      <w:pPr>
        <w:pStyle w:val="Partners"/>
      </w:pPr>
      <w:r>
        <w:t>Local Housing Authorities</w:t>
      </w:r>
    </w:p>
    <w:p w:rsidR="004B20E5" w:rsidRPr="00AF0910" w:rsidRDefault="004B20E5" w:rsidP="00395A51">
      <w:pPr>
        <w:pStyle w:val="Partners"/>
      </w:pPr>
      <w:r w:rsidRPr="00AF0910">
        <w:t>MA Association of Occupational Health Nurses.</w:t>
      </w:r>
    </w:p>
    <w:p w:rsidR="000865E8" w:rsidRDefault="004B20E5" w:rsidP="00395A51">
      <w:pPr>
        <w:pStyle w:val="Partners"/>
      </w:pPr>
      <w:r>
        <w:t>MA based private foundations</w:t>
      </w:r>
    </w:p>
    <w:p w:rsidR="000865E8" w:rsidRDefault="000865E8" w:rsidP="000865E8">
      <w:pPr>
        <w:pStyle w:val="Partners"/>
      </w:pPr>
      <w:r w:rsidRPr="000865E8">
        <w:t>MA Department of Conservation and Recreation</w:t>
      </w:r>
    </w:p>
    <w:p w:rsidR="000865E8" w:rsidRPr="000865E8" w:rsidRDefault="000865E8" w:rsidP="000865E8">
      <w:pPr>
        <w:pStyle w:val="Partners"/>
      </w:pPr>
      <w:r w:rsidRPr="000865E8">
        <w:t>MA Department of Housing and Community Development</w:t>
      </w:r>
    </w:p>
    <w:p w:rsidR="004B20E5" w:rsidRDefault="004B20E5" w:rsidP="00395A51">
      <w:pPr>
        <w:pStyle w:val="Partners"/>
      </w:pPr>
      <w:r w:rsidRPr="00AF0910">
        <w:t>MA Dep</w:t>
      </w:r>
      <w:r w:rsidR="00004279">
        <w:t>artmen</w:t>
      </w:r>
      <w:r w:rsidRPr="00AF0910">
        <w:t>t of Elementary and Secondary Education</w:t>
      </w:r>
    </w:p>
    <w:p w:rsidR="000865E8" w:rsidRPr="00AF0910" w:rsidRDefault="000865E8" w:rsidP="000865E8">
      <w:pPr>
        <w:pStyle w:val="Partners"/>
      </w:pPr>
      <w:r w:rsidRPr="00AF0910">
        <w:t>MA Department of Transportation (DOT)</w:t>
      </w:r>
    </w:p>
    <w:p w:rsidR="004B20E5" w:rsidRPr="00AF0910" w:rsidRDefault="004B20E5" w:rsidP="00395A51">
      <w:pPr>
        <w:pStyle w:val="Partners"/>
      </w:pPr>
      <w:r w:rsidRPr="00AF0910">
        <w:t>MA Dietetic Association</w:t>
      </w:r>
    </w:p>
    <w:p w:rsidR="004B20E5" w:rsidRPr="00AF0910" w:rsidRDefault="004B20E5" w:rsidP="00395A51">
      <w:pPr>
        <w:pStyle w:val="Partners"/>
      </w:pPr>
      <w:r w:rsidRPr="00AF0910">
        <w:t>MA Medical Society</w:t>
      </w:r>
    </w:p>
    <w:p w:rsidR="004B20E5" w:rsidRPr="00AF0910" w:rsidRDefault="004B20E5" w:rsidP="00395A51">
      <w:pPr>
        <w:pStyle w:val="Partners"/>
      </w:pPr>
      <w:r w:rsidRPr="00AF0910">
        <w:t>MA Municipal Association</w:t>
      </w:r>
    </w:p>
    <w:p w:rsidR="004B20E5" w:rsidRPr="00AF0910" w:rsidRDefault="004B20E5" w:rsidP="00395A51">
      <w:pPr>
        <w:pStyle w:val="Partners"/>
      </w:pPr>
      <w:r w:rsidRPr="00AF0910">
        <w:t>MA Public Health Association</w:t>
      </w:r>
    </w:p>
    <w:p w:rsidR="004B20E5" w:rsidRPr="00AF0910" w:rsidRDefault="004B20E5" w:rsidP="00395A51">
      <w:pPr>
        <w:pStyle w:val="Partners"/>
      </w:pPr>
      <w:r>
        <w:t>M</w:t>
      </w:r>
      <w:r w:rsidR="00004279">
        <w:t>A</w:t>
      </w:r>
      <w:r>
        <w:t xml:space="preserve"> Association of Health Plans (</w:t>
      </w:r>
      <w:r w:rsidRPr="00AF0910">
        <w:t>MAHP</w:t>
      </w:r>
      <w:r>
        <w:t>)</w:t>
      </w:r>
    </w:p>
    <w:p w:rsidR="004B20E5" w:rsidRPr="00AF0910" w:rsidRDefault="004B20E5" w:rsidP="00395A51">
      <w:pPr>
        <w:pStyle w:val="Partners"/>
      </w:pPr>
      <w:r w:rsidRPr="00AF0910">
        <w:t>Mass in Motion Communities/Coalitions</w:t>
      </w:r>
    </w:p>
    <w:p w:rsidR="004B20E5" w:rsidRPr="00AF0910" w:rsidRDefault="004B20E5" w:rsidP="00395A51">
      <w:pPr>
        <w:pStyle w:val="Partners"/>
      </w:pPr>
      <w:r w:rsidRPr="00AF0910">
        <w:t>M</w:t>
      </w:r>
      <w:r w:rsidR="00004279">
        <w:t>A</w:t>
      </w:r>
      <w:r w:rsidRPr="00AF0910">
        <w:t xml:space="preserve"> League of Community Health Centers</w:t>
      </w:r>
    </w:p>
    <w:p w:rsidR="004B20E5" w:rsidRPr="00AF0910" w:rsidRDefault="00004279" w:rsidP="00203176">
      <w:pPr>
        <w:pStyle w:val="Partners"/>
      </w:pPr>
      <w:r w:rsidRPr="00AF0910">
        <w:t>M</w:t>
      </w:r>
      <w:r>
        <w:t>A</w:t>
      </w:r>
      <w:r w:rsidRPr="00AF0910">
        <w:t xml:space="preserve"> </w:t>
      </w:r>
      <w:r w:rsidR="004B20E5" w:rsidRPr="00AF0910">
        <w:t>Restaurants Association</w:t>
      </w:r>
    </w:p>
    <w:p w:rsidR="004B20E5" w:rsidRPr="00AF0910" w:rsidRDefault="004B20E5" w:rsidP="00395A51">
      <w:pPr>
        <w:pStyle w:val="Partners"/>
      </w:pPr>
      <w:r w:rsidRPr="00AF0910">
        <w:t>M</w:t>
      </w:r>
      <w:r w:rsidR="00004279">
        <w:t>A</w:t>
      </w:r>
      <w:r w:rsidRPr="00AF0910">
        <w:t xml:space="preserve"> Smart Growth</w:t>
      </w:r>
    </w:p>
    <w:p w:rsidR="004B20E5" w:rsidRPr="00AF0910" w:rsidRDefault="004B20E5" w:rsidP="00395A51">
      <w:pPr>
        <w:pStyle w:val="Partners"/>
      </w:pPr>
      <w:r w:rsidRPr="00AF0910">
        <w:t>M</w:t>
      </w:r>
      <w:r w:rsidR="00004279">
        <w:t>A</w:t>
      </w:r>
      <w:r w:rsidRPr="00AF0910">
        <w:t xml:space="preserve"> Breastfeeding Coalition</w:t>
      </w:r>
    </w:p>
    <w:p w:rsidR="004B20E5" w:rsidRPr="00AF0910" w:rsidRDefault="004B20E5" w:rsidP="00203176">
      <w:pPr>
        <w:pStyle w:val="Partners"/>
      </w:pPr>
      <w:r w:rsidRPr="00AF0910">
        <w:t>M</w:t>
      </w:r>
      <w:r w:rsidR="00004279">
        <w:t>A</w:t>
      </w:r>
      <w:r w:rsidRPr="00AF0910">
        <w:t xml:space="preserve"> Municipal Association</w:t>
      </w:r>
    </w:p>
    <w:p w:rsidR="004B20E5" w:rsidRPr="00AF0910" w:rsidRDefault="004B20E5" w:rsidP="00395A51">
      <w:pPr>
        <w:pStyle w:val="Partners"/>
      </w:pPr>
      <w:r>
        <w:t>M</w:t>
      </w:r>
      <w:r w:rsidR="00004279">
        <w:t>A</w:t>
      </w:r>
      <w:r>
        <w:t xml:space="preserve"> Bay Transit Authority (</w:t>
      </w:r>
      <w:r w:rsidRPr="00AF0910">
        <w:t>MBTA</w:t>
      </w:r>
      <w:r>
        <w:t>)</w:t>
      </w:r>
    </w:p>
    <w:p w:rsidR="004B20E5" w:rsidRPr="00AF0910" w:rsidRDefault="004B20E5" w:rsidP="00395A51">
      <w:pPr>
        <w:pStyle w:val="Partners"/>
      </w:pPr>
      <w:r>
        <w:t>M</w:t>
      </w:r>
      <w:r w:rsidR="00004279">
        <w:t>A</w:t>
      </w:r>
      <w:r>
        <w:t xml:space="preserve"> Department of Agricultural Resources (</w:t>
      </w:r>
      <w:r w:rsidRPr="00AF0910">
        <w:t>MDAR</w:t>
      </w:r>
      <w:r>
        <w:t>)</w:t>
      </w:r>
    </w:p>
    <w:p w:rsidR="004B20E5" w:rsidRPr="00AF0910" w:rsidRDefault="004B20E5" w:rsidP="00203176">
      <w:pPr>
        <w:pStyle w:val="Partners"/>
      </w:pPr>
      <w:r w:rsidRPr="00AF0910">
        <w:t>Media campaign partners</w:t>
      </w:r>
    </w:p>
    <w:p w:rsidR="004B20E5" w:rsidRPr="00AF0910" w:rsidRDefault="004B20E5" w:rsidP="00395A51">
      <w:pPr>
        <w:pStyle w:val="Partners"/>
      </w:pPr>
      <w:r>
        <w:t>M</w:t>
      </w:r>
      <w:r w:rsidR="00004279">
        <w:t>A</w:t>
      </w:r>
      <w:r>
        <w:t xml:space="preserve"> Hospital Association (</w:t>
      </w:r>
      <w:r w:rsidRPr="00AF0910">
        <w:t>MHA</w:t>
      </w:r>
      <w:r>
        <w:t>)</w:t>
      </w:r>
    </w:p>
    <w:p w:rsidR="004B20E5" w:rsidRPr="00AF0910" w:rsidRDefault="004B20E5" w:rsidP="00395A51">
      <w:pPr>
        <w:pStyle w:val="Partners"/>
      </w:pPr>
      <w:r w:rsidRPr="00AF0910">
        <w:t>New England College of Occupational and Environmental Medicine</w:t>
      </w:r>
    </w:p>
    <w:p w:rsidR="004B20E5" w:rsidRPr="00AF0910" w:rsidRDefault="004B20E5" w:rsidP="00203176">
      <w:pPr>
        <w:pStyle w:val="Partners"/>
      </w:pPr>
      <w:r w:rsidRPr="00AF0910">
        <w:t>Nurs</w:t>
      </w:r>
      <w:r w:rsidR="00004279">
        <w:t>es</w:t>
      </w:r>
    </w:p>
    <w:p w:rsidR="004B20E5" w:rsidRPr="00AF0910" w:rsidRDefault="004B20E5" w:rsidP="00395A51">
      <w:pPr>
        <w:pStyle w:val="Partners"/>
      </w:pPr>
      <w:r w:rsidRPr="00AF0910">
        <w:t xml:space="preserve">Parent </w:t>
      </w:r>
      <w:r w:rsidR="00004279">
        <w:t xml:space="preserve">Teacher </w:t>
      </w:r>
      <w:r w:rsidRPr="00AF0910">
        <w:t>Organizations PTOs/PTAs</w:t>
      </w:r>
    </w:p>
    <w:p w:rsidR="004B20E5" w:rsidRDefault="004B20E5" w:rsidP="00395A51">
      <w:pPr>
        <w:pStyle w:val="Partners"/>
      </w:pPr>
      <w:r w:rsidRPr="00AF0910">
        <w:t>Parks and Recreation Department</w:t>
      </w:r>
      <w:r w:rsidR="00004279">
        <w:t>s</w:t>
      </w:r>
    </w:p>
    <w:p w:rsidR="004B20E5" w:rsidRPr="00AF0910" w:rsidRDefault="004B20E5" w:rsidP="00D347FD">
      <w:pPr>
        <w:pStyle w:val="Partners"/>
      </w:pPr>
      <w:r>
        <w:t>Prevention and Wellness Partnerships</w:t>
      </w:r>
      <w:r w:rsidR="00B869A2">
        <w:t xml:space="preserve"> and coalitions</w:t>
      </w:r>
    </w:p>
    <w:p w:rsidR="004B20E5" w:rsidRPr="00AF0910" w:rsidRDefault="004B20E5" w:rsidP="00203176">
      <w:pPr>
        <w:pStyle w:val="Partners"/>
      </w:pPr>
      <w:r w:rsidRPr="00AF0910">
        <w:t>Public housing (HUD)</w:t>
      </w:r>
    </w:p>
    <w:p w:rsidR="004B20E5" w:rsidRPr="00AF0910" w:rsidRDefault="004B20E5" w:rsidP="00395A51">
      <w:pPr>
        <w:pStyle w:val="Partners"/>
      </w:pPr>
      <w:r w:rsidRPr="00AF0910">
        <w:t xml:space="preserve">Regional Planning Agencies </w:t>
      </w:r>
    </w:p>
    <w:p w:rsidR="004B20E5" w:rsidRPr="00AF0910" w:rsidRDefault="004B20E5" w:rsidP="00203176">
      <w:pPr>
        <w:pStyle w:val="Partners"/>
      </w:pPr>
      <w:r w:rsidRPr="00AF0910">
        <w:lastRenderedPageBreak/>
        <w:t>Schools</w:t>
      </w:r>
    </w:p>
    <w:p w:rsidR="004B20E5" w:rsidRPr="00AF0910" w:rsidRDefault="004B20E5" w:rsidP="00203176">
      <w:pPr>
        <w:pStyle w:val="Partners"/>
      </w:pPr>
      <w:r w:rsidRPr="00AF0910">
        <w:t>Substance abuse coalitions</w:t>
      </w:r>
    </w:p>
    <w:p w:rsidR="004B20E5" w:rsidRPr="00AF0910" w:rsidRDefault="004B20E5" w:rsidP="00203176">
      <w:pPr>
        <w:pStyle w:val="Partners"/>
      </w:pPr>
      <w:r w:rsidRPr="00AF0910">
        <w:t>The 84</w:t>
      </w:r>
    </w:p>
    <w:p w:rsidR="004B20E5" w:rsidRPr="00AF0910" w:rsidRDefault="004B20E5" w:rsidP="00395A51">
      <w:pPr>
        <w:pStyle w:val="Partners"/>
      </w:pPr>
      <w:r w:rsidRPr="00AF0910">
        <w:t>The Food Trust</w:t>
      </w:r>
    </w:p>
    <w:p w:rsidR="004B20E5" w:rsidRPr="00AF0910" w:rsidRDefault="004B20E5" w:rsidP="00203176">
      <w:pPr>
        <w:pStyle w:val="Partners"/>
      </w:pPr>
      <w:r w:rsidRPr="00AF0910">
        <w:t>Tobacco Free Mass</w:t>
      </w:r>
    </w:p>
    <w:p w:rsidR="004B20E5" w:rsidRPr="00AF0910" w:rsidRDefault="004B20E5" w:rsidP="00395A51">
      <w:pPr>
        <w:pStyle w:val="Partners"/>
      </w:pPr>
      <w:r w:rsidRPr="00AF0910">
        <w:t>Transit agencies</w:t>
      </w:r>
    </w:p>
    <w:p w:rsidR="004B20E5" w:rsidRPr="00AF0910" w:rsidRDefault="004B20E5" w:rsidP="00203176">
      <w:pPr>
        <w:pStyle w:val="Partners"/>
      </w:pPr>
      <w:r w:rsidRPr="00AF0910">
        <w:t>Unions</w:t>
      </w:r>
      <w:r w:rsidR="00FE7DCD">
        <w:t xml:space="preserve"> emphasis on </w:t>
      </w:r>
      <w:r w:rsidRPr="00AF0910">
        <w:t>targeted populations (workers with combined exposures)</w:t>
      </w:r>
    </w:p>
    <w:p w:rsidR="004B20E5" w:rsidRPr="00AF0910" w:rsidRDefault="004B20E5" w:rsidP="00395A51">
      <w:pPr>
        <w:pStyle w:val="Partners"/>
      </w:pPr>
      <w:r w:rsidRPr="00AF0910">
        <w:t>Walk &amp; Bike advocates</w:t>
      </w:r>
    </w:p>
    <w:p w:rsidR="004B20E5" w:rsidRPr="00AF0910" w:rsidRDefault="004B20E5" w:rsidP="00203176">
      <w:pPr>
        <w:pStyle w:val="Partners"/>
      </w:pPr>
      <w:r w:rsidRPr="00AF0910">
        <w:t>WIC</w:t>
      </w:r>
    </w:p>
    <w:p w:rsidR="004B20E5" w:rsidRPr="00AF0910" w:rsidRDefault="004B20E5" w:rsidP="00395A51">
      <w:pPr>
        <w:pStyle w:val="Partners"/>
      </w:pPr>
      <w:r w:rsidRPr="00AF0910">
        <w:t>Worker Centers</w:t>
      </w:r>
    </w:p>
    <w:p w:rsidR="004B20E5" w:rsidRPr="00AF0910" w:rsidRDefault="004B20E5" w:rsidP="00203176">
      <w:pPr>
        <w:pStyle w:val="Partners"/>
      </w:pPr>
      <w:r w:rsidRPr="00AF0910">
        <w:t>Youth</w:t>
      </w:r>
    </w:p>
    <w:p w:rsidR="004B20E5" w:rsidRDefault="004B20E5" w:rsidP="00D5462F">
      <w:pPr>
        <w:pStyle w:val="Partners"/>
        <w:numPr>
          <w:ilvl w:val="0"/>
          <w:numId w:val="0"/>
        </w:numPr>
        <w:ind w:left="720" w:hanging="180"/>
      </w:pPr>
    </w:p>
    <w:p w:rsidR="004B20E5" w:rsidRPr="00D5462F" w:rsidRDefault="004B20E5" w:rsidP="00D5462F">
      <w:pPr>
        <w:pStyle w:val="Partners"/>
        <w:numPr>
          <w:ilvl w:val="0"/>
          <w:numId w:val="0"/>
        </w:numPr>
        <w:ind w:left="720" w:hanging="180"/>
        <w:sectPr w:rsidR="004B20E5" w:rsidRPr="00D5462F" w:rsidSect="000D3A34">
          <w:headerReference w:type="even" r:id="rId24"/>
          <w:headerReference w:type="default" r:id="rId25"/>
          <w:headerReference w:type="first" r:id="rId26"/>
          <w:endnotePr>
            <w:numFmt w:val="decimal"/>
          </w:endnotePr>
          <w:pgSz w:w="12240" w:h="15840" w:code="1"/>
          <w:pgMar w:top="1080" w:right="1080" w:bottom="1080" w:left="1080" w:header="648" w:footer="504" w:gutter="0"/>
          <w:cols w:space="720"/>
          <w:docGrid w:linePitch="360"/>
        </w:sectPr>
      </w:pPr>
    </w:p>
    <w:p w:rsidR="004B20E5" w:rsidRPr="0046149F" w:rsidRDefault="004B20E5">
      <w:pPr>
        <w:spacing w:after="200" w:line="276" w:lineRule="auto"/>
        <w:rPr>
          <w:rFonts w:cs="Arial"/>
        </w:rPr>
      </w:pPr>
    </w:p>
    <w:p w:rsidR="004B20E5" w:rsidRDefault="004B20E5" w:rsidP="00F446EB">
      <w:pPr>
        <w:pStyle w:val="Heading2"/>
      </w:pPr>
      <w:bookmarkStart w:id="48" w:name="_Toc398819275"/>
      <w:r>
        <w:t>Domain</w:t>
      </w:r>
      <w:r w:rsidRPr="0046149F">
        <w:t xml:space="preserve"> 2:  Chronic Disease</w:t>
      </w:r>
      <w:r>
        <w:t xml:space="preserve"> Prevention and Control</w:t>
      </w:r>
      <w:bookmarkEnd w:id="48"/>
    </w:p>
    <w:p w:rsidR="004B20E5" w:rsidRPr="00F27F26" w:rsidRDefault="004B20E5" w:rsidP="00CB2B0E">
      <w:pPr>
        <w:pStyle w:val="GoalStatement"/>
      </w:pPr>
      <w:r w:rsidRPr="00F27F26">
        <w:t>Reduce the incidence and impact of chronic disease to optimize the health and quality of life of all populations across the lifespan.</w:t>
      </w:r>
    </w:p>
    <w:p w:rsidR="004B20E5" w:rsidRDefault="004B20E5" w:rsidP="00CB2B0E">
      <w:pPr>
        <w:pStyle w:val="GoalStatement"/>
      </w:pPr>
    </w:p>
    <w:p w:rsidR="004B20E5" w:rsidRPr="00AD0251" w:rsidRDefault="004B20E5" w:rsidP="00AD0251">
      <w:pPr>
        <w:pStyle w:val="BodyText"/>
        <w:rPr>
          <w:b/>
        </w:rPr>
      </w:pPr>
      <w:r w:rsidRPr="00AD0251">
        <w:rPr>
          <w:b/>
        </w:rPr>
        <w:t xml:space="preserve">Why </w:t>
      </w:r>
      <w:r>
        <w:rPr>
          <w:b/>
        </w:rPr>
        <w:t>T</w:t>
      </w:r>
      <w:r w:rsidRPr="00AD0251">
        <w:rPr>
          <w:b/>
        </w:rPr>
        <w:t xml:space="preserve">his </w:t>
      </w:r>
      <w:r>
        <w:rPr>
          <w:b/>
        </w:rPr>
        <w:t xml:space="preserve">Domain </w:t>
      </w:r>
      <w:r w:rsidRPr="00AD0251">
        <w:rPr>
          <w:b/>
        </w:rPr>
        <w:t xml:space="preserve">Is Important for Massachusetts: </w:t>
      </w:r>
    </w:p>
    <w:p w:rsidR="004B20E5" w:rsidRPr="002269B5" w:rsidRDefault="004B20E5" w:rsidP="00321811">
      <w:pPr>
        <w:pStyle w:val="BodyText"/>
        <w:rPr>
          <w:b/>
        </w:rPr>
      </w:pPr>
      <w:r w:rsidRPr="002269B5">
        <w:rPr>
          <w:b/>
        </w:rPr>
        <w:t>Burden (Where We Are):</w:t>
      </w:r>
      <w:r>
        <w:t>H</w:t>
      </w:r>
      <w:r w:rsidRPr="00321811">
        <w:t xml:space="preserve">eart disease, </w:t>
      </w:r>
      <w:r>
        <w:t xml:space="preserve">cancer, </w:t>
      </w:r>
      <w:r w:rsidRPr="00321811">
        <w:t xml:space="preserve">stroke, and chronic lower respiratory disease are the top four leading causes of death in Massachusetts.  </w:t>
      </w:r>
      <w:r>
        <w:t>While Massachusetts enjoys lower rates of many chronic diseases than the national average, hypertension, diabetes and obesity continue to cripple the health of its residents. Nearly 1 in 3 adults have hypertension, 7.2% have diagnosed diabetes and 22.9% are obese. In 2010, the age-standardized incidence rate of cancer was higher for Massachusetts at 447.1 cases per 100,000 than the national average of 445.5 cases per 100,000.</w:t>
      </w:r>
      <w:r w:rsidR="00004279">
        <w:t xml:space="preserve"> </w:t>
      </w:r>
      <w:r w:rsidRPr="00321811">
        <w:t>In addition, dental disease/decay is the most common chr</w:t>
      </w:r>
      <w:r>
        <w:t xml:space="preserve">onic disease among children (5 times </w:t>
      </w:r>
      <w:r w:rsidRPr="00321811">
        <w:t>more common than asthma)</w:t>
      </w:r>
      <w:r>
        <w:t>.</w:t>
      </w:r>
      <w:r w:rsidRPr="00321811">
        <w:t xml:space="preserve"> These chronic conditions disproportionately affect those most </w:t>
      </w:r>
      <w:r>
        <w:t>at risk</w:t>
      </w:r>
      <w:r w:rsidRPr="00321811">
        <w:t xml:space="preserve">, </w:t>
      </w:r>
      <w:r>
        <w:rPr>
          <w:color w:val="000000"/>
        </w:rPr>
        <w:t xml:space="preserve">including people with disabilities and those with less than a High School education, </w:t>
      </w:r>
      <w:r w:rsidRPr="00321811">
        <w:t xml:space="preserve">who are also less likely to receive preventive </w:t>
      </w:r>
      <w:r>
        <w:t xml:space="preserve">health and </w:t>
      </w:r>
      <w:r w:rsidRPr="00321811">
        <w:t>dental care</w:t>
      </w:r>
      <w:r>
        <w:t xml:space="preserve"> due to issues of accessibility ranging from lack of insurance coverage to location and hours of providers.  African American adults and adults with disabilities have higher rates of hypertension with self-reported rates at 34.6% and 42.9%, respectively, compared to 29.2% for the statewide percentage.  Similarly, rates of pediatric asthma hospitalizations are higher among non-Hispanic Blacks and Hispanics than their White non-Hispanic counterparts, with rates at 4.10 per 100, 3.05 per 100 and 1.11 per 100, respectively.  M</w:t>
      </w:r>
      <w:r w:rsidRPr="00321811">
        <w:t>oreover, a relationship between oral infections and related chronic diseases such as cardiovascular disease, diabetes, and bacterial pneumonia in seniors has been suggested.</w:t>
      </w:r>
      <w:r>
        <w:t xml:space="preserve"> Hospital charges for cardiovascular disease have risen steadily in recent years, totaling $3.4 billion in inpatient hospital charges,</w:t>
      </w:r>
      <w:r w:rsidRPr="00925017">
        <w:rPr>
          <w:rStyle w:val="EndnoteReference"/>
        </w:rPr>
        <w:endnoteReference w:id="15"/>
      </w:r>
      <w:r>
        <w:t xml:space="preserve"> and $1.2 billion in direct and indirect costs for stroke.</w:t>
      </w:r>
      <w:r w:rsidRPr="00925017">
        <w:rPr>
          <w:rStyle w:val="EndnoteReference"/>
        </w:rPr>
        <w:endnoteReference w:id="16"/>
      </w:r>
      <w:r>
        <w:t xml:space="preserve">  Colorectal cancer alone </w:t>
      </w:r>
      <w:r w:rsidR="00004279">
        <w:t xml:space="preserve">results in </w:t>
      </w:r>
      <w:r>
        <w:t xml:space="preserve">over $133 million </w:t>
      </w:r>
      <w:r w:rsidR="00004279">
        <w:t xml:space="preserve">in </w:t>
      </w:r>
      <w:r>
        <w:t>Massachusetts inpatient hospital charges.</w:t>
      </w:r>
      <w:r w:rsidRPr="00925017">
        <w:rPr>
          <w:rStyle w:val="EndnoteReference"/>
        </w:rPr>
        <w:endnoteReference w:id="17"/>
      </w:r>
    </w:p>
    <w:p w:rsidR="004B20E5" w:rsidRPr="002269B5" w:rsidRDefault="004B20E5" w:rsidP="001476D3">
      <w:pPr>
        <w:pStyle w:val="BodyText"/>
        <w:rPr>
          <w:b/>
        </w:rPr>
      </w:pPr>
      <w:r w:rsidRPr="002269B5">
        <w:rPr>
          <w:b/>
        </w:rPr>
        <w:t>Result (How This Affects Us):</w:t>
      </w:r>
      <w:r w:rsidRPr="00321811">
        <w:t>Massachusetts adults with chronic conditions such as diabetes, asthma, and obesity were more likely to report fair to poor health compared to those without. In addition, for adults, poor mental health was strongly associated with smoking, obesity, lack of physical activity</w:t>
      </w:r>
      <w:r>
        <w:t>,</w:t>
      </w:r>
      <w:r w:rsidRPr="00321811">
        <w:t xml:space="preserve"> and chronic diseases such as diabetes and heart disease</w:t>
      </w:r>
      <w:r>
        <w:t xml:space="preserve">.  </w:t>
      </w:r>
      <w:r w:rsidRPr="00321811">
        <w:t>Data</w:t>
      </w:r>
      <w:r>
        <w:t xml:space="preserve"> also</w:t>
      </w:r>
      <w:r w:rsidRPr="00321811">
        <w:t xml:space="preserve"> links the rapidly rising rates of chronic diseases to associated risk factors such as poor nutrition, lack of physical activity, poor air quality, and exposure to tobacco</w:t>
      </w:r>
      <w:r>
        <w:t xml:space="preserve"> – factors that disproportionately affect those from lower socio-economic groups</w:t>
      </w:r>
      <w:r w:rsidRPr="00321811">
        <w:t>.</w:t>
      </w:r>
    </w:p>
    <w:p w:rsidR="004B20E5" w:rsidRDefault="004B20E5" w:rsidP="000B30F9">
      <w:pPr>
        <w:pStyle w:val="BodyText"/>
      </w:pPr>
      <w:r w:rsidRPr="002269B5">
        <w:rPr>
          <w:b/>
        </w:rPr>
        <w:t>Action (What We Can Do):</w:t>
      </w:r>
      <w:r w:rsidRPr="00321811">
        <w:t>Data links the rapidly rising rates of chronic diseases to associated risk factors such as poor nutrition, lack of physical activity, poor air quality, and exposure to tobacco.  Promoting prevention strategies that include healthy eating and physical activity, as well as appropriate and regular wellness visits and screenings</w:t>
      </w:r>
      <w:r>
        <w:t xml:space="preserve"> (e.g., prostate and colorectal exams, blood pressure,</w:t>
      </w:r>
      <w:r w:rsidR="00004279">
        <w:t xml:space="preserve"> </w:t>
      </w:r>
      <w:r>
        <w:t xml:space="preserve">blood glucose and cholesterol levels, BMI) -- </w:t>
      </w:r>
      <w:r w:rsidRPr="00321811">
        <w:t>and addressing environmental risk factors in the home, workplace, and community</w:t>
      </w:r>
      <w:r>
        <w:t>--</w:t>
      </w:r>
      <w:r w:rsidRPr="00321811">
        <w:t xml:space="preserve"> could significantly improve the health and wellbeing of </w:t>
      </w:r>
      <w:r>
        <w:t xml:space="preserve">the people </w:t>
      </w:r>
      <w:r w:rsidRPr="00321811">
        <w:t>of Massachusetts.</w:t>
      </w:r>
    </w:p>
    <w:p w:rsidR="004B20E5" w:rsidRDefault="004B20E5" w:rsidP="001F2D42">
      <w:pPr>
        <w:pStyle w:val="BodyText"/>
      </w:pPr>
      <w:r w:rsidRPr="00321811">
        <w:t>.</w:t>
      </w:r>
    </w:p>
    <w:p w:rsidR="004B20E5" w:rsidRDefault="004B20E5" w:rsidP="001F2D42">
      <w:pPr>
        <w:pStyle w:val="BodyText"/>
      </w:pPr>
    </w:p>
    <w:p w:rsidR="004B20E5" w:rsidRDefault="004B20E5" w:rsidP="001F2D42">
      <w:pPr>
        <w:pStyle w:val="BodyText"/>
      </w:pPr>
      <w:r>
        <w:br w:type="page"/>
      </w:r>
    </w:p>
    <w:p w:rsidR="004B20E5" w:rsidRPr="002269B5" w:rsidRDefault="004B20E5" w:rsidP="00CB2B0E">
      <w:pPr>
        <w:pStyle w:val="StandardStatement"/>
      </w:pPr>
      <w:r>
        <w:lastRenderedPageBreak/>
        <w:t xml:space="preserve">Standard 2A:  </w:t>
      </w:r>
      <w:r>
        <w:tab/>
        <w:t>Improve participation in recommended cancer screenings.</w:t>
      </w:r>
    </w:p>
    <w:p w:rsidR="004B20E5" w:rsidRDefault="00F03799" w:rsidP="00CB2B0E">
      <w:pPr>
        <w:pStyle w:val="ObjectiveStatement"/>
      </w:pPr>
      <w:r>
        <w:rPr>
          <w:noProof/>
        </w:rPr>
        <w:drawing>
          <wp:anchor distT="0" distB="0" distL="114300" distR="114300" simplePos="0" relativeHeight="251637760" behindDoc="0" locked="0" layoutInCell="1" allowOverlap="1" wp14:anchorId="379A8574" wp14:editId="3DFE7FA5">
            <wp:simplePos x="0" y="0"/>
            <wp:positionH relativeFrom="column">
              <wp:posOffset>22225</wp:posOffset>
            </wp:positionH>
            <wp:positionV relativeFrom="paragraph">
              <wp:posOffset>606425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4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t xml:space="preserve">Measure </w:t>
      </w:r>
      <w:r w:rsidR="004B20E5" w:rsidRPr="0046149F">
        <w:t>2.</w:t>
      </w:r>
      <w:r w:rsidR="004B20E5">
        <w:t>1</w:t>
      </w:r>
      <w:r w:rsidR="004B20E5" w:rsidRPr="0046149F">
        <w:t xml:space="preserve">:  </w:t>
      </w:r>
      <w:r w:rsidR="004B20E5">
        <w:tab/>
        <w:t>I</w:t>
      </w:r>
      <w:r w:rsidR="004B20E5" w:rsidRPr="00AF0289">
        <w:t xml:space="preserve">ncrease the </w:t>
      </w:r>
      <w:r w:rsidR="004B20E5">
        <w:t>relative percentage</w:t>
      </w:r>
      <w:r w:rsidR="004B20E5" w:rsidRPr="00AF0289">
        <w:t xml:space="preserve"> of </w:t>
      </w:r>
      <w:r w:rsidR="004B20E5">
        <w:t xml:space="preserve">Massachusetts </w:t>
      </w:r>
      <w:r w:rsidR="004B20E5" w:rsidRPr="00AF0289">
        <w:t xml:space="preserve">men </w:t>
      </w:r>
      <w:r w:rsidR="004B20E5">
        <w:t xml:space="preserve">40 years and older </w:t>
      </w:r>
      <w:r w:rsidR="004B20E5" w:rsidRPr="00AF0289">
        <w:t xml:space="preserve">who </w:t>
      </w:r>
      <w:r w:rsidR="004B20E5">
        <w:t>talked to their doctor, nurse, or other health professional about the advantages and disadvantages of the prostate-specific antigen (PSA) test</w:t>
      </w:r>
      <w:r w:rsidR="00004279">
        <w:t xml:space="preserve"> </w:t>
      </w:r>
      <w:r w:rsidR="004B20E5">
        <w:t>by 10%.</w:t>
      </w:r>
    </w:p>
    <w:p w:rsidR="004B20E5" w:rsidRPr="00693A8E" w:rsidRDefault="004B20E5" w:rsidP="00450DBE">
      <w:pPr>
        <w:pStyle w:val="StrategiesCategoryTitles"/>
      </w:pPr>
    </w:p>
    <w:tbl>
      <w:tblPr>
        <w:tblW w:w="4095" w:type="pct"/>
        <w:tblInd w:w="1755" w:type="dxa"/>
        <w:tblLayout w:type="fixed"/>
        <w:tblLook w:val="00A0" w:firstRow="1" w:lastRow="0" w:firstColumn="1" w:lastColumn="0" w:noHBand="0" w:noVBand="0"/>
      </w:tblPr>
      <w:tblGrid>
        <w:gridCol w:w="2248"/>
        <w:gridCol w:w="1531"/>
        <w:gridCol w:w="1531"/>
        <w:gridCol w:w="3122"/>
      </w:tblGrid>
      <w:tr w:rsidR="004B20E5" w:rsidRPr="00693A8E" w:rsidTr="00450DBE">
        <w:trPr>
          <w:cantSplit/>
        </w:trPr>
        <w:tc>
          <w:tcPr>
            <w:tcW w:w="1333" w:type="pct"/>
            <w:tcBorders>
              <w:top w:val="single" w:sz="4" w:space="0" w:color="auto"/>
              <w:bottom w:val="single" w:sz="4" w:space="0" w:color="auto"/>
            </w:tcBorders>
            <w:vAlign w:val="center"/>
          </w:tcPr>
          <w:p w:rsidR="004B20E5" w:rsidRPr="00693A8E" w:rsidRDefault="004B20E5" w:rsidP="008C43E1">
            <w:pPr>
              <w:pStyle w:val="TableTitleTargetDataSource"/>
            </w:pPr>
            <w:r>
              <w:t>Outcome Indicator</w:t>
            </w:r>
          </w:p>
        </w:tc>
        <w:tc>
          <w:tcPr>
            <w:tcW w:w="908" w:type="pct"/>
            <w:tcBorders>
              <w:top w:val="single" w:sz="4" w:space="0" w:color="auto"/>
              <w:bottom w:val="single" w:sz="4" w:space="0" w:color="auto"/>
            </w:tcBorders>
            <w:vAlign w:val="center"/>
          </w:tcPr>
          <w:p w:rsidR="004B20E5" w:rsidRPr="00693A8E" w:rsidRDefault="004B20E5" w:rsidP="00450DBE">
            <w:pPr>
              <w:pStyle w:val="TableTitleBaseline2020Target"/>
            </w:pPr>
            <w:r w:rsidRPr="00693A8E">
              <w:t>Baseline</w:t>
            </w:r>
          </w:p>
        </w:tc>
        <w:tc>
          <w:tcPr>
            <w:tcW w:w="908" w:type="pct"/>
            <w:tcBorders>
              <w:top w:val="single" w:sz="4" w:space="0" w:color="auto"/>
              <w:bottom w:val="single" w:sz="4" w:space="0" w:color="auto"/>
            </w:tcBorders>
            <w:vAlign w:val="center"/>
          </w:tcPr>
          <w:p w:rsidR="004B20E5" w:rsidRPr="00693A8E" w:rsidRDefault="004B20E5" w:rsidP="00450DBE">
            <w:pPr>
              <w:pStyle w:val="TableTitleBaseline2020Target"/>
            </w:pPr>
            <w:r w:rsidRPr="00693A8E">
              <w:t>2020 Target</w:t>
            </w:r>
          </w:p>
        </w:tc>
        <w:tc>
          <w:tcPr>
            <w:tcW w:w="1851" w:type="pct"/>
            <w:tcBorders>
              <w:top w:val="single" w:sz="4" w:space="0" w:color="auto"/>
              <w:bottom w:val="single" w:sz="4" w:space="0" w:color="auto"/>
            </w:tcBorders>
            <w:vAlign w:val="center"/>
          </w:tcPr>
          <w:p w:rsidR="004B20E5" w:rsidRPr="00693A8E" w:rsidRDefault="004B20E5" w:rsidP="00450DBE">
            <w:pPr>
              <w:pStyle w:val="TableTitleTargetDataSource"/>
            </w:pPr>
            <w:r w:rsidRPr="00693A8E">
              <w:t>Data Source</w:t>
            </w:r>
          </w:p>
        </w:tc>
      </w:tr>
      <w:tr w:rsidR="004B20E5" w:rsidRPr="00693A8E" w:rsidTr="00450DBE">
        <w:trPr>
          <w:cantSplit/>
        </w:trPr>
        <w:tc>
          <w:tcPr>
            <w:tcW w:w="1333" w:type="pct"/>
            <w:tcBorders>
              <w:top w:val="single" w:sz="4" w:space="0" w:color="auto"/>
              <w:bottom w:val="single" w:sz="4" w:space="0" w:color="auto"/>
            </w:tcBorders>
            <w:vAlign w:val="center"/>
          </w:tcPr>
          <w:p w:rsidR="004B20E5" w:rsidRPr="00693A8E" w:rsidRDefault="004B20E5" w:rsidP="00450DBE">
            <w:pPr>
              <w:pStyle w:val="TableOutcomeMeasure"/>
            </w:pPr>
            <w:r w:rsidRPr="00693A8E">
              <w:t>Men aged 40 years or older who talked to their health professional about the advantages</w:t>
            </w:r>
          </w:p>
        </w:tc>
        <w:tc>
          <w:tcPr>
            <w:tcW w:w="908" w:type="pct"/>
            <w:tcBorders>
              <w:top w:val="single" w:sz="4" w:space="0" w:color="auto"/>
              <w:bottom w:val="single" w:sz="4" w:space="0" w:color="auto"/>
            </w:tcBorders>
            <w:vAlign w:val="center"/>
          </w:tcPr>
          <w:p w:rsidR="004B20E5" w:rsidRPr="00693A8E" w:rsidRDefault="004B20E5" w:rsidP="00450DBE">
            <w:pPr>
              <w:pStyle w:val="TableBaseline2020Target"/>
            </w:pPr>
            <w:r w:rsidRPr="00693A8E">
              <w:t>63%</w:t>
            </w:r>
          </w:p>
        </w:tc>
        <w:tc>
          <w:tcPr>
            <w:tcW w:w="908" w:type="pct"/>
            <w:tcBorders>
              <w:top w:val="single" w:sz="4" w:space="0" w:color="auto"/>
              <w:bottom w:val="single" w:sz="4" w:space="0" w:color="auto"/>
            </w:tcBorders>
            <w:vAlign w:val="center"/>
          </w:tcPr>
          <w:p w:rsidR="004B20E5" w:rsidRPr="00693A8E" w:rsidRDefault="004B20E5" w:rsidP="00450DBE">
            <w:pPr>
              <w:pStyle w:val="TableBaseline2020Target"/>
            </w:pPr>
            <w:r>
              <w:t>69.3%</w:t>
            </w:r>
            <w:r w:rsidRPr="00693A8E">
              <w:t>*</w:t>
            </w:r>
          </w:p>
        </w:tc>
        <w:tc>
          <w:tcPr>
            <w:tcW w:w="1851" w:type="pct"/>
            <w:tcBorders>
              <w:top w:val="single" w:sz="4" w:space="0" w:color="auto"/>
              <w:bottom w:val="single" w:sz="4" w:space="0" w:color="auto"/>
            </w:tcBorders>
            <w:vAlign w:val="center"/>
          </w:tcPr>
          <w:p w:rsidR="004B20E5" w:rsidRPr="00693A8E" w:rsidRDefault="004B20E5" w:rsidP="00450DBE">
            <w:pPr>
              <w:pStyle w:val="TableDataSource"/>
            </w:pPr>
            <w:r w:rsidRPr="00693A8E">
              <w:t>BRFSS, 2011</w:t>
            </w:r>
          </w:p>
        </w:tc>
      </w:tr>
      <w:tr w:rsidR="004B20E5" w:rsidRPr="00693A8E" w:rsidTr="00450DBE">
        <w:trPr>
          <w:cantSplit/>
        </w:trPr>
        <w:tc>
          <w:tcPr>
            <w:tcW w:w="1333" w:type="pct"/>
            <w:tcBorders>
              <w:top w:val="single" w:sz="4" w:space="0" w:color="auto"/>
              <w:bottom w:val="single" w:sz="4" w:space="0" w:color="auto"/>
            </w:tcBorders>
            <w:vAlign w:val="center"/>
          </w:tcPr>
          <w:p w:rsidR="004B20E5" w:rsidRPr="00693A8E" w:rsidRDefault="004B20E5" w:rsidP="00450DBE">
            <w:pPr>
              <w:pStyle w:val="TableOutcomeMeasure"/>
            </w:pPr>
            <w:r w:rsidRPr="00693A8E">
              <w:t>Men aged 40 years or older who talked to their health professional about the disadvantages</w:t>
            </w:r>
          </w:p>
        </w:tc>
        <w:tc>
          <w:tcPr>
            <w:tcW w:w="908" w:type="pct"/>
            <w:tcBorders>
              <w:top w:val="single" w:sz="4" w:space="0" w:color="auto"/>
              <w:bottom w:val="single" w:sz="4" w:space="0" w:color="auto"/>
            </w:tcBorders>
            <w:vAlign w:val="center"/>
          </w:tcPr>
          <w:p w:rsidR="004B20E5" w:rsidRPr="00693A8E" w:rsidRDefault="004B20E5" w:rsidP="00450DBE">
            <w:pPr>
              <w:pStyle w:val="TableBaseline2020Target"/>
            </w:pPr>
            <w:r w:rsidRPr="00693A8E">
              <w:t>32%</w:t>
            </w:r>
          </w:p>
        </w:tc>
        <w:tc>
          <w:tcPr>
            <w:tcW w:w="908" w:type="pct"/>
            <w:tcBorders>
              <w:top w:val="single" w:sz="4" w:space="0" w:color="auto"/>
              <w:bottom w:val="single" w:sz="4" w:space="0" w:color="auto"/>
            </w:tcBorders>
            <w:vAlign w:val="center"/>
          </w:tcPr>
          <w:p w:rsidR="004B20E5" w:rsidRPr="00693A8E" w:rsidRDefault="004B20E5" w:rsidP="00450DBE">
            <w:pPr>
              <w:pStyle w:val="TableBaseline2020Target"/>
            </w:pPr>
            <w:r>
              <w:t>35.2%</w:t>
            </w:r>
            <w:r w:rsidRPr="00693A8E">
              <w:t>*</w:t>
            </w:r>
          </w:p>
        </w:tc>
        <w:tc>
          <w:tcPr>
            <w:tcW w:w="1851" w:type="pct"/>
            <w:tcBorders>
              <w:top w:val="single" w:sz="4" w:space="0" w:color="auto"/>
              <w:bottom w:val="single" w:sz="4" w:space="0" w:color="auto"/>
            </w:tcBorders>
            <w:vAlign w:val="center"/>
          </w:tcPr>
          <w:p w:rsidR="004B20E5" w:rsidRPr="00693A8E" w:rsidRDefault="004B20E5" w:rsidP="00450DBE">
            <w:pPr>
              <w:pStyle w:val="TableDataSource"/>
            </w:pPr>
            <w:r w:rsidRPr="00693A8E">
              <w:t>BRFSS, 2011</w:t>
            </w:r>
          </w:p>
        </w:tc>
      </w:tr>
    </w:tbl>
    <w:p w:rsidR="004B20E5" w:rsidRPr="00450DBE" w:rsidRDefault="004B20E5" w:rsidP="00450DBE">
      <w:pPr>
        <w:pStyle w:val="Note"/>
      </w:pPr>
      <w:r w:rsidRPr="00450DBE">
        <w:t>* 2020 Target:  Healthy People does not have a target screening rate for prostate cancer screening consistent with current US Preventive Services Task Force and other guidelines that advise doctor–patient discussions and informed decision-making on whether or not to undergo PSA testing</w:t>
      </w:r>
    </w:p>
    <w:p w:rsidR="004B20E5" w:rsidRPr="00693A8E" w:rsidRDefault="004B20E5" w:rsidP="00450DBE">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93A8E" w:rsidDel="00F67FD0" w:rsidTr="00450DBE">
        <w:trPr>
          <w:cantSplit/>
        </w:trPr>
        <w:tc>
          <w:tcPr>
            <w:tcW w:w="1329" w:type="pct"/>
            <w:tcBorders>
              <w:top w:val="single" w:sz="4" w:space="0" w:color="auto"/>
            </w:tcBorders>
          </w:tcPr>
          <w:p w:rsidR="004B20E5" w:rsidRPr="00693A8E" w:rsidDel="00F67FD0" w:rsidRDefault="004B20E5" w:rsidP="00450DBE">
            <w:pPr>
              <w:pStyle w:val="TableTitleNumeratoretc"/>
            </w:pPr>
            <w:r w:rsidRPr="00693A8E">
              <w:t xml:space="preserve">Numerator: </w:t>
            </w:r>
          </w:p>
        </w:tc>
        <w:tc>
          <w:tcPr>
            <w:tcW w:w="3671" w:type="pct"/>
            <w:tcBorders>
              <w:top w:val="single" w:sz="4" w:space="0" w:color="auto"/>
            </w:tcBorders>
            <w:vAlign w:val="center"/>
          </w:tcPr>
          <w:p w:rsidR="004B20E5" w:rsidRPr="00693A8E" w:rsidDel="00F67FD0" w:rsidRDefault="004B20E5" w:rsidP="00450DBE">
            <w:pPr>
              <w:pStyle w:val="TableOutcomeMeasure"/>
            </w:pPr>
            <w:r w:rsidRPr="00693A8E">
              <w:t>All Massachusetts men 40 years and older who talked to their doctor, nurse, or other health professional about the advantages and disadvantages of the PSA test</w:t>
            </w:r>
          </w:p>
        </w:tc>
      </w:tr>
      <w:tr w:rsidR="004B20E5" w:rsidRPr="00693A8E" w:rsidDel="00F67FD0" w:rsidTr="00450DBE">
        <w:trPr>
          <w:cantSplit/>
        </w:trPr>
        <w:tc>
          <w:tcPr>
            <w:tcW w:w="1329" w:type="pct"/>
          </w:tcPr>
          <w:p w:rsidR="004B20E5" w:rsidRPr="00693A8E" w:rsidDel="00F67FD0" w:rsidRDefault="004B20E5" w:rsidP="00450DBE">
            <w:pPr>
              <w:pStyle w:val="TableTitleNumeratoretc"/>
            </w:pPr>
            <w:r w:rsidRPr="00693A8E">
              <w:t xml:space="preserve">Denominator: </w:t>
            </w:r>
          </w:p>
        </w:tc>
        <w:tc>
          <w:tcPr>
            <w:tcW w:w="3671" w:type="pct"/>
            <w:vAlign w:val="center"/>
          </w:tcPr>
          <w:p w:rsidR="004B20E5" w:rsidRPr="00693A8E" w:rsidDel="00F67FD0" w:rsidRDefault="004B20E5" w:rsidP="00450DBE">
            <w:pPr>
              <w:pStyle w:val="TableOutcomeMeasure"/>
            </w:pPr>
            <w:r w:rsidRPr="00693A8E">
              <w:t>All Massachusetts men 40 years and older</w:t>
            </w:r>
          </w:p>
        </w:tc>
      </w:tr>
      <w:tr w:rsidR="004B20E5" w:rsidRPr="00693A8E" w:rsidDel="00F67FD0" w:rsidTr="00450DBE">
        <w:trPr>
          <w:cantSplit/>
        </w:trPr>
        <w:tc>
          <w:tcPr>
            <w:tcW w:w="1329" w:type="pct"/>
          </w:tcPr>
          <w:p w:rsidR="004B20E5" w:rsidRPr="00693A8E" w:rsidDel="00F67FD0" w:rsidRDefault="004B20E5" w:rsidP="00450DBE">
            <w:pPr>
              <w:pStyle w:val="TableTitleNumeratoretc"/>
            </w:pPr>
            <w:r w:rsidRPr="00693A8E">
              <w:t xml:space="preserve">Exclusions: </w:t>
            </w:r>
          </w:p>
        </w:tc>
        <w:tc>
          <w:tcPr>
            <w:tcW w:w="3671" w:type="pct"/>
            <w:vAlign w:val="center"/>
          </w:tcPr>
          <w:p w:rsidR="004B20E5" w:rsidRPr="00693A8E" w:rsidDel="00F67FD0" w:rsidRDefault="004B20E5" w:rsidP="00450DBE">
            <w:pPr>
              <w:pStyle w:val="TableOutcomeMeasure"/>
            </w:pPr>
            <w:r w:rsidRPr="00693A8E">
              <w:t>All Massachusetts men less than 40 years of age or females</w:t>
            </w:r>
          </w:p>
        </w:tc>
      </w:tr>
      <w:tr w:rsidR="004B20E5" w:rsidRPr="00693A8E" w:rsidDel="00F67FD0" w:rsidTr="00450DBE">
        <w:trPr>
          <w:cantSplit/>
        </w:trPr>
        <w:tc>
          <w:tcPr>
            <w:tcW w:w="1329" w:type="pct"/>
            <w:vAlign w:val="center"/>
          </w:tcPr>
          <w:p w:rsidR="004B20E5" w:rsidRPr="00693A8E" w:rsidDel="00F67FD0" w:rsidRDefault="004B20E5" w:rsidP="00450DBE">
            <w:pPr>
              <w:pStyle w:val="TableTitleNumeratoretc"/>
            </w:pPr>
            <w:r w:rsidRPr="00693A8E">
              <w:t>Timeframe:</w:t>
            </w:r>
          </w:p>
        </w:tc>
        <w:tc>
          <w:tcPr>
            <w:tcW w:w="3671" w:type="pct"/>
          </w:tcPr>
          <w:p w:rsidR="004B20E5" w:rsidRPr="00693A8E" w:rsidDel="00F67FD0" w:rsidRDefault="004B20E5" w:rsidP="00D15867">
            <w:pPr>
              <w:pStyle w:val="TableOutcomeMeasure"/>
            </w:pPr>
            <w:r>
              <w:t>Biannual (odd years)</w:t>
            </w:r>
          </w:p>
        </w:tc>
      </w:tr>
      <w:tr w:rsidR="004B20E5" w:rsidRPr="00693A8E" w:rsidDel="00F67FD0" w:rsidTr="00450DBE">
        <w:trPr>
          <w:cantSplit/>
        </w:trPr>
        <w:tc>
          <w:tcPr>
            <w:tcW w:w="1329" w:type="pct"/>
            <w:tcBorders>
              <w:bottom w:val="single" w:sz="4" w:space="0" w:color="auto"/>
            </w:tcBorders>
            <w:vAlign w:val="center"/>
          </w:tcPr>
          <w:p w:rsidR="004B20E5" w:rsidRPr="00693A8E" w:rsidDel="00F67FD0" w:rsidRDefault="004B20E5" w:rsidP="00450DBE">
            <w:pPr>
              <w:pStyle w:val="TableTitleNumeratoretc"/>
            </w:pPr>
            <w:r w:rsidRPr="00693A8E">
              <w:t>How will this be measured?</w:t>
            </w:r>
          </w:p>
        </w:tc>
        <w:tc>
          <w:tcPr>
            <w:tcW w:w="3671" w:type="pct"/>
            <w:tcBorders>
              <w:bottom w:val="single" w:sz="4" w:space="0" w:color="auto"/>
            </w:tcBorders>
          </w:tcPr>
          <w:p w:rsidR="004B20E5" w:rsidRPr="00693A8E" w:rsidDel="00F67FD0" w:rsidRDefault="004B20E5" w:rsidP="00450DBE">
            <w:pPr>
              <w:pStyle w:val="TableOutcomeMeasure"/>
            </w:pPr>
            <w:r w:rsidRPr="00693A8E">
              <w:t>BRFSS</w:t>
            </w:r>
            <w:r>
              <w:t xml:space="preserve"> 2011</w:t>
            </w:r>
          </w:p>
        </w:tc>
      </w:tr>
    </w:tbl>
    <w:p w:rsidR="004B20E5" w:rsidRDefault="004B20E5" w:rsidP="007C27A3">
      <w:pPr>
        <w:pStyle w:val="TableTenEssenHlthFunct"/>
      </w:pPr>
    </w:p>
    <w:p w:rsidR="004B20E5" w:rsidRDefault="004B20E5" w:rsidP="007C27A3">
      <w:pPr>
        <w:pStyle w:val="TableTenEssenHlthFunct"/>
      </w:pPr>
      <w:r>
        <w:t xml:space="preserve">Inform, Educate, and Empower People About Health Issues </w:t>
      </w:r>
    </w:p>
    <w:p w:rsidR="004B20E5" w:rsidRPr="00AF0289" w:rsidRDefault="004B20E5" w:rsidP="00D00411">
      <w:pPr>
        <w:pStyle w:val="TableStrategiesunderHealthFunctions"/>
      </w:pPr>
      <w:r>
        <w:t>2.1.1</w:t>
      </w:r>
      <w:r>
        <w:tab/>
      </w:r>
      <w:r w:rsidRPr="00AF0289">
        <w:t xml:space="preserve">Design, test, and evaluate a small media campaign </w:t>
      </w:r>
      <w:r>
        <w:t>offered through community and faith-based partners</w:t>
      </w:r>
      <w:r w:rsidRPr="00AF0289">
        <w:t xml:space="preserve"> to educate Black, non-Hispanic men regarding prostate cancer.</w:t>
      </w:r>
    </w:p>
    <w:p w:rsidR="004B20E5" w:rsidRPr="006256D0" w:rsidRDefault="004B20E5" w:rsidP="00D00411">
      <w:pPr>
        <w:pStyle w:val="TableStrategiesunderHealthFunctions"/>
      </w:pPr>
      <w:r>
        <w:t>2.1.2</w:t>
      </w:r>
      <w:r w:rsidRPr="0046149F">
        <w:tab/>
        <w:t>Disseminate best practices for prostate health in key community and provider settings.</w:t>
      </w:r>
    </w:p>
    <w:p w:rsidR="004B20E5" w:rsidRDefault="004B20E5" w:rsidP="007C27A3">
      <w:pPr>
        <w:pStyle w:val="TableTenEssenHlthFunct"/>
      </w:pPr>
      <w:r>
        <w:t>Link People to Needed Personal Health Services and Health Care</w:t>
      </w:r>
    </w:p>
    <w:p w:rsidR="004B20E5" w:rsidRPr="006256D0" w:rsidRDefault="004B20E5" w:rsidP="00D00411">
      <w:pPr>
        <w:pStyle w:val="TableStrategiesunderHealthFunctions"/>
      </w:pPr>
      <w:r>
        <w:t>2.1.3</w:t>
      </w:r>
      <w:r>
        <w:tab/>
      </w:r>
      <w:r w:rsidRPr="00AF0289">
        <w:t xml:space="preserve">Continue Community Health Worker (CHW) outreach to Black, non-Hispanic men to educate them on their risk factors and the need for </w:t>
      </w:r>
      <w:r>
        <w:t xml:space="preserve">shared </w:t>
      </w:r>
      <w:r w:rsidRPr="00AF0289">
        <w:t xml:space="preserve">decision-making </w:t>
      </w:r>
      <w:r>
        <w:t>with their health care provider and link to clinical services as needed.</w:t>
      </w:r>
    </w:p>
    <w:p w:rsidR="004B20E5" w:rsidRDefault="004B20E5" w:rsidP="007C27A3">
      <w:pPr>
        <w:pStyle w:val="TableTenEssenHlthFunct"/>
      </w:pPr>
      <w:r>
        <w:t>Assure a Competent Public and Personal Healthcare Workforce</w:t>
      </w:r>
    </w:p>
    <w:p w:rsidR="004B20E5" w:rsidRPr="00AF0289" w:rsidRDefault="004B20E5" w:rsidP="00D00411">
      <w:pPr>
        <w:pStyle w:val="TableStrategiesunderHealthFunctions"/>
      </w:pPr>
      <w:r>
        <w:t>2.1.4</w:t>
      </w:r>
      <w:r>
        <w:tab/>
      </w:r>
      <w:r w:rsidRPr="00AF0289">
        <w:t xml:space="preserve">Promote and offer training to health care providers and other health professionals regarding </w:t>
      </w:r>
      <w:r>
        <w:t xml:space="preserve">shared </w:t>
      </w:r>
      <w:r w:rsidRPr="00AF0289">
        <w:t>decision-making</w:t>
      </w:r>
      <w:r>
        <w:t xml:space="preserve"> and screening of men in high-risk populations per new clinical guidelines for MA approved by Massachusetts Health Quality Partners (MHQP)</w:t>
      </w:r>
      <w:r w:rsidRPr="00AF0289">
        <w:t xml:space="preserve">. </w:t>
      </w:r>
    </w:p>
    <w:p w:rsidR="004B20E5" w:rsidRPr="006256D0" w:rsidRDefault="004B20E5" w:rsidP="00D00411">
      <w:pPr>
        <w:pStyle w:val="TableStrategiesunderHealthFunctions"/>
      </w:pPr>
      <w:r>
        <w:t>2.1.5</w:t>
      </w:r>
      <w:r>
        <w:tab/>
      </w:r>
      <w:r w:rsidRPr="007A07D7">
        <w:t>Train provider</w:t>
      </w:r>
      <w:r>
        <w:t>s</w:t>
      </w:r>
      <w:r w:rsidRPr="007A07D7">
        <w:t xml:space="preserve"> in basic health equity</w:t>
      </w:r>
      <w:r>
        <w:t xml:space="preserve"> to include strategies and approaches that address social determinants of health.</w:t>
      </w:r>
    </w:p>
    <w:p w:rsidR="004B20E5" w:rsidRDefault="004B20E5" w:rsidP="00D00411">
      <w:pPr>
        <w:pStyle w:val="TableStrategiesunderHealthFunctions"/>
      </w:pPr>
    </w:p>
    <w:p w:rsidR="004B20E5" w:rsidRDefault="004B20E5" w:rsidP="00CB2B0E">
      <w:pPr>
        <w:pStyle w:val="ObjectiveStatement"/>
      </w:pPr>
      <w:r>
        <w:t xml:space="preserve">Measure </w:t>
      </w:r>
      <w:r w:rsidRPr="0046149F">
        <w:t>2.</w:t>
      </w:r>
      <w:r>
        <w:t>2</w:t>
      </w:r>
      <w:r w:rsidRPr="0046149F">
        <w:t xml:space="preserve">:  </w:t>
      </w:r>
      <w:r>
        <w:tab/>
        <w:t>I</w:t>
      </w:r>
      <w:r w:rsidRPr="007D0D84">
        <w:t xml:space="preserve">ncrease screening rates for colorectal cancer for Massachusetts </w:t>
      </w:r>
      <w:r>
        <w:t xml:space="preserve">adults </w:t>
      </w:r>
      <w:r w:rsidRPr="007D0D84">
        <w:t>age 50-75 years</w:t>
      </w:r>
      <w:r w:rsidR="002039CA">
        <w:t xml:space="preserve"> </w:t>
      </w:r>
      <w:r>
        <w:t>to 80%.</w:t>
      </w:r>
    </w:p>
    <w:p w:rsidR="004B20E5" w:rsidRPr="00D62727" w:rsidRDefault="00F03799" w:rsidP="006F356A">
      <w:pPr>
        <w:pStyle w:val="StrategiesCategoryTitles"/>
      </w:pPr>
      <w:r>
        <w:rPr>
          <w:noProof/>
        </w:rPr>
        <w:lastRenderedPageBreak/>
        <w:drawing>
          <wp:anchor distT="0" distB="0" distL="114300" distR="114300" simplePos="0" relativeHeight="251674624" behindDoc="0" locked="0" layoutInCell="1" allowOverlap="1" wp14:anchorId="6773A1E0" wp14:editId="5A15EC69">
            <wp:simplePos x="0" y="0"/>
            <wp:positionH relativeFrom="column">
              <wp:posOffset>0</wp:posOffset>
            </wp:positionH>
            <wp:positionV relativeFrom="paragraph">
              <wp:posOffset>-1270</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5346A9">
        <w:trPr>
          <w:cantSplit/>
        </w:trPr>
        <w:tc>
          <w:tcPr>
            <w:tcW w:w="1329" w:type="pct"/>
            <w:tcBorders>
              <w:top w:val="single" w:sz="4" w:space="0" w:color="auto"/>
              <w:bottom w:val="single" w:sz="4" w:space="0" w:color="auto"/>
            </w:tcBorders>
            <w:vAlign w:val="center"/>
          </w:tcPr>
          <w:p w:rsidR="004B20E5" w:rsidRPr="00666093" w:rsidRDefault="004B20E5" w:rsidP="008C43E1">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5346A9">
            <w:pPr>
              <w:pStyle w:val="TableTitleBaseline2020Target"/>
            </w:pPr>
            <w:r w:rsidRPr="009171C7">
              <w:t>Baseline</w:t>
            </w:r>
          </w:p>
        </w:tc>
        <w:tc>
          <w:tcPr>
            <w:tcW w:w="905" w:type="pct"/>
            <w:tcBorders>
              <w:top w:val="single" w:sz="4" w:space="0" w:color="auto"/>
              <w:bottom w:val="single" w:sz="4" w:space="0" w:color="auto"/>
            </w:tcBorders>
            <w:vAlign w:val="center"/>
          </w:tcPr>
          <w:p w:rsidR="004B20E5" w:rsidRPr="00666093" w:rsidRDefault="004B20E5" w:rsidP="005346A9">
            <w:pPr>
              <w:pStyle w:val="TableTitleBaseline2020Target"/>
            </w:pPr>
            <w:r w:rsidRPr="009171C7">
              <w:t>2020 Target</w:t>
            </w:r>
          </w:p>
        </w:tc>
        <w:tc>
          <w:tcPr>
            <w:tcW w:w="1861" w:type="pct"/>
            <w:tcBorders>
              <w:top w:val="single" w:sz="4" w:space="0" w:color="auto"/>
              <w:bottom w:val="single" w:sz="4" w:space="0" w:color="auto"/>
            </w:tcBorders>
            <w:vAlign w:val="center"/>
          </w:tcPr>
          <w:p w:rsidR="004B20E5" w:rsidRPr="00666093" w:rsidRDefault="004B20E5" w:rsidP="005346A9">
            <w:pPr>
              <w:pStyle w:val="TableTitleTargetDataSource"/>
            </w:pPr>
            <w:r w:rsidRPr="009171C7">
              <w:t>Data Source</w:t>
            </w:r>
          </w:p>
        </w:tc>
      </w:tr>
      <w:tr w:rsidR="004B20E5" w:rsidRPr="00666093" w:rsidTr="005346A9">
        <w:trPr>
          <w:cantSplit/>
        </w:trPr>
        <w:tc>
          <w:tcPr>
            <w:tcW w:w="1329" w:type="pct"/>
            <w:tcBorders>
              <w:top w:val="single" w:sz="4" w:space="0" w:color="auto"/>
              <w:bottom w:val="single" w:sz="4" w:space="0" w:color="auto"/>
            </w:tcBorders>
            <w:vAlign w:val="center"/>
          </w:tcPr>
          <w:p w:rsidR="004B20E5" w:rsidRPr="00666093" w:rsidRDefault="004B20E5" w:rsidP="005346A9">
            <w:pPr>
              <w:pStyle w:val="TableOutcomeMeasure"/>
            </w:pPr>
            <w:r>
              <w:t>Adults</w:t>
            </w:r>
            <w:r w:rsidRPr="009171C7">
              <w:t xml:space="preserve"> age 50-75 years</w:t>
            </w:r>
            <w:r>
              <w:t xml:space="preserve"> who have had screening for colorectal cancer</w:t>
            </w:r>
          </w:p>
        </w:tc>
        <w:tc>
          <w:tcPr>
            <w:tcW w:w="905" w:type="pct"/>
            <w:tcBorders>
              <w:top w:val="single" w:sz="4" w:space="0" w:color="auto"/>
              <w:bottom w:val="single" w:sz="4" w:space="0" w:color="auto"/>
            </w:tcBorders>
            <w:vAlign w:val="center"/>
          </w:tcPr>
          <w:p w:rsidR="004B20E5" w:rsidRPr="00666093" w:rsidRDefault="004B20E5" w:rsidP="005346A9">
            <w:pPr>
              <w:pStyle w:val="TableBaseline2020Target"/>
            </w:pPr>
            <w:r>
              <w:t>78.1</w:t>
            </w:r>
            <w:r w:rsidRPr="009171C7">
              <w:t>%</w:t>
            </w:r>
          </w:p>
        </w:tc>
        <w:tc>
          <w:tcPr>
            <w:tcW w:w="905" w:type="pct"/>
            <w:tcBorders>
              <w:top w:val="single" w:sz="4" w:space="0" w:color="auto"/>
              <w:bottom w:val="single" w:sz="4" w:space="0" w:color="auto"/>
            </w:tcBorders>
            <w:vAlign w:val="center"/>
          </w:tcPr>
          <w:p w:rsidR="004B20E5" w:rsidRPr="00666093" w:rsidRDefault="004B20E5" w:rsidP="005346A9">
            <w:pPr>
              <w:pStyle w:val="TableBaseline2020Target"/>
            </w:pPr>
            <w:r>
              <w:t>80%</w:t>
            </w:r>
          </w:p>
        </w:tc>
        <w:tc>
          <w:tcPr>
            <w:tcW w:w="1861" w:type="pct"/>
            <w:tcBorders>
              <w:top w:val="single" w:sz="4" w:space="0" w:color="auto"/>
              <w:bottom w:val="single" w:sz="4" w:space="0" w:color="auto"/>
            </w:tcBorders>
            <w:vAlign w:val="center"/>
          </w:tcPr>
          <w:p w:rsidR="004B20E5" w:rsidRPr="00666093" w:rsidRDefault="004B20E5" w:rsidP="005346A9">
            <w:pPr>
              <w:pStyle w:val="TableDataSource"/>
            </w:pPr>
            <w:r>
              <w:t>Massachusetts Health Quality Partners (MHQP)</w:t>
            </w: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7348F7">
        <w:trPr>
          <w:cantSplit/>
        </w:trPr>
        <w:tc>
          <w:tcPr>
            <w:tcW w:w="1329" w:type="pct"/>
            <w:tcBorders>
              <w:top w:val="single" w:sz="4" w:space="0" w:color="auto"/>
            </w:tcBorders>
          </w:tcPr>
          <w:p w:rsidR="004B20E5" w:rsidRPr="009171C7" w:rsidDel="00F67FD0" w:rsidRDefault="004B20E5" w:rsidP="004C0088">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7348F7">
            <w:pPr>
              <w:pStyle w:val="TableOutcomeMeasure"/>
            </w:pPr>
            <w:r>
              <w:t>Adult patients who are ≥50 years of age and ≤ 75 years of age who have had either a colonoscopy performed ≤ 10 years before or had a sigmoidoscopy ≤5 years before or had a fecal occult blood test</w:t>
            </w:r>
          </w:p>
        </w:tc>
      </w:tr>
      <w:tr w:rsidR="004B20E5" w:rsidRPr="00666093" w:rsidDel="00F67FD0" w:rsidTr="007348F7">
        <w:trPr>
          <w:cantSplit/>
        </w:trPr>
        <w:tc>
          <w:tcPr>
            <w:tcW w:w="1329" w:type="pct"/>
          </w:tcPr>
          <w:p w:rsidR="004B20E5" w:rsidRPr="009171C7" w:rsidDel="00F67FD0" w:rsidRDefault="004B20E5" w:rsidP="004C0088">
            <w:pPr>
              <w:pStyle w:val="TableTitleNumeratoretc"/>
            </w:pPr>
            <w:r w:rsidRPr="00A367E5">
              <w:t>Denominator</w:t>
            </w:r>
            <w:r>
              <w:t>:</w:t>
            </w:r>
          </w:p>
        </w:tc>
        <w:tc>
          <w:tcPr>
            <w:tcW w:w="3671" w:type="pct"/>
            <w:vAlign w:val="center"/>
          </w:tcPr>
          <w:p w:rsidR="004B20E5" w:rsidRPr="00391134" w:rsidDel="00F67FD0" w:rsidRDefault="004B20E5" w:rsidP="007348F7">
            <w:pPr>
              <w:pStyle w:val="TableOutcomeMeasure"/>
            </w:pPr>
            <w:r>
              <w:t>Adult patients who are ≥50 years of age and ≤ 75 years of age</w:t>
            </w:r>
          </w:p>
        </w:tc>
      </w:tr>
      <w:tr w:rsidR="004B20E5" w:rsidRPr="00666093" w:rsidDel="00F67FD0" w:rsidTr="007348F7">
        <w:trPr>
          <w:cantSplit/>
        </w:trPr>
        <w:tc>
          <w:tcPr>
            <w:tcW w:w="1329" w:type="pct"/>
          </w:tcPr>
          <w:p w:rsidR="004B20E5" w:rsidRPr="009171C7" w:rsidDel="00F67FD0" w:rsidRDefault="004B20E5" w:rsidP="004C0088">
            <w:pPr>
              <w:pStyle w:val="TableTitleNumeratoretc"/>
            </w:pPr>
            <w:r w:rsidRPr="00A367E5">
              <w:t>Exclusions</w:t>
            </w:r>
            <w:r>
              <w:t>:</w:t>
            </w:r>
          </w:p>
        </w:tc>
        <w:tc>
          <w:tcPr>
            <w:tcW w:w="3671" w:type="pct"/>
            <w:vAlign w:val="center"/>
          </w:tcPr>
          <w:p w:rsidR="004B20E5" w:rsidRPr="00391134" w:rsidDel="00F67FD0" w:rsidRDefault="004B20E5" w:rsidP="007348F7">
            <w:pPr>
              <w:pStyle w:val="TableOutcomeMeasure"/>
            </w:pPr>
            <w:r>
              <w:t>Adults with an active, inactive, or resolved diagnosis of colorectal cancer</w:t>
            </w:r>
          </w:p>
        </w:tc>
      </w:tr>
      <w:tr w:rsidR="004B20E5" w:rsidRPr="00666093" w:rsidDel="00F67FD0" w:rsidTr="007348F7">
        <w:trPr>
          <w:cantSplit/>
        </w:trPr>
        <w:tc>
          <w:tcPr>
            <w:tcW w:w="1329" w:type="pct"/>
            <w:vAlign w:val="center"/>
          </w:tcPr>
          <w:p w:rsidR="004B20E5" w:rsidRPr="009171C7" w:rsidDel="00F67FD0" w:rsidRDefault="004B20E5" w:rsidP="004C0088">
            <w:pPr>
              <w:pStyle w:val="TableTitleNumeratoretc"/>
            </w:pPr>
            <w:r w:rsidRPr="00F67FD0">
              <w:t>Timeframe</w:t>
            </w:r>
            <w:r>
              <w:t>:</w:t>
            </w:r>
          </w:p>
        </w:tc>
        <w:tc>
          <w:tcPr>
            <w:tcW w:w="3671" w:type="pct"/>
            <w:vAlign w:val="center"/>
          </w:tcPr>
          <w:p w:rsidR="004B20E5" w:rsidRPr="00391134" w:rsidDel="00F67FD0" w:rsidRDefault="004B20E5" w:rsidP="007348F7">
            <w:pPr>
              <w:pStyle w:val="TableOutcomeMeasure"/>
            </w:pPr>
            <w:r>
              <w:t>Annually</w:t>
            </w:r>
          </w:p>
        </w:tc>
      </w:tr>
      <w:tr w:rsidR="004B20E5" w:rsidRPr="00666093" w:rsidDel="00F67FD0" w:rsidTr="007348F7">
        <w:trPr>
          <w:cantSplit/>
        </w:trPr>
        <w:tc>
          <w:tcPr>
            <w:tcW w:w="1329" w:type="pct"/>
            <w:tcBorders>
              <w:bottom w:val="single" w:sz="4" w:space="0" w:color="auto"/>
            </w:tcBorders>
            <w:vAlign w:val="center"/>
          </w:tcPr>
          <w:p w:rsidR="004B20E5" w:rsidRPr="009171C7" w:rsidDel="00F67FD0" w:rsidRDefault="004B20E5" w:rsidP="004C0088">
            <w:pPr>
              <w:pStyle w:val="TableTitleNumeratoretc"/>
            </w:pPr>
            <w:r w:rsidRPr="00F67FD0">
              <w:t>How will this be measured?</w:t>
            </w:r>
          </w:p>
        </w:tc>
        <w:tc>
          <w:tcPr>
            <w:tcW w:w="3671" w:type="pct"/>
            <w:tcBorders>
              <w:bottom w:val="single" w:sz="4" w:space="0" w:color="auto"/>
            </w:tcBorders>
            <w:vAlign w:val="center"/>
          </w:tcPr>
          <w:p w:rsidR="004B20E5" w:rsidRDefault="004B20E5" w:rsidP="007348F7">
            <w:pPr>
              <w:pStyle w:val="TableOutcomeMeasure"/>
            </w:pPr>
            <w:r>
              <w:t>Accessing the MHQP data on this quality measure (NQF 34)</w:t>
            </w:r>
          </w:p>
          <w:p w:rsidR="004B20E5" w:rsidRPr="00391134" w:rsidDel="00F67FD0" w:rsidRDefault="004B20E5" w:rsidP="007348F7">
            <w:pPr>
              <w:pStyle w:val="TableOutcomeMeasure"/>
            </w:pPr>
          </w:p>
        </w:tc>
      </w:tr>
    </w:tbl>
    <w:p w:rsidR="004B20E5" w:rsidRDefault="004B20E5" w:rsidP="007348F7">
      <w:pPr>
        <w:pStyle w:val="StrategiesCategoryTitles"/>
      </w:pPr>
    </w:p>
    <w:p w:rsidR="004B20E5" w:rsidRDefault="004B20E5" w:rsidP="007C27A3">
      <w:pPr>
        <w:pStyle w:val="TableTenEssenHlthFunct"/>
      </w:pPr>
      <w:r>
        <w:t xml:space="preserve">Inform, Educate, and Empower People About Health Issues </w:t>
      </w:r>
    </w:p>
    <w:p w:rsidR="004B20E5" w:rsidRPr="0046149F" w:rsidRDefault="004B20E5" w:rsidP="00D00411">
      <w:pPr>
        <w:pStyle w:val="TableStrategiesunderHealthFunctions"/>
      </w:pPr>
      <w:r w:rsidRPr="0046149F">
        <w:t>2.</w:t>
      </w:r>
      <w:r>
        <w:t>2</w:t>
      </w:r>
      <w:r w:rsidRPr="0046149F">
        <w:t>.1</w:t>
      </w:r>
      <w:r>
        <w:tab/>
      </w:r>
      <w:r w:rsidRPr="0046149F">
        <w:t>Promote utilization of colorectal screenings per recommended guidelines</w:t>
      </w:r>
      <w:r>
        <w:t xml:space="preserve"> in alignment with MA State Cancer Plan.</w:t>
      </w:r>
    </w:p>
    <w:p w:rsidR="004B20E5" w:rsidRDefault="004B20E5" w:rsidP="00D00411">
      <w:pPr>
        <w:pStyle w:val="TableStrategiesunderHealthFunctions"/>
      </w:pPr>
      <w:r w:rsidRPr="0046149F">
        <w:t>2.</w:t>
      </w:r>
      <w:r>
        <w:t>2</w:t>
      </w:r>
      <w:r w:rsidRPr="0046149F">
        <w:t>.2</w:t>
      </w:r>
      <w:r>
        <w:tab/>
      </w:r>
      <w:r w:rsidRPr="0046149F">
        <w:t>Use written and/or telephone client reminders to encourage participation in recommended screenings, including explanation of benefits.</w:t>
      </w:r>
    </w:p>
    <w:p w:rsidR="004B20E5" w:rsidRPr="006256D0" w:rsidRDefault="004B20E5" w:rsidP="00D00411">
      <w:pPr>
        <w:pStyle w:val="TableStrategiesunderHealthFunctions"/>
      </w:pPr>
      <w:r w:rsidRPr="0046149F">
        <w:t>2.</w:t>
      </w:r>
      <w:r>
        <w:t>2.3</w:t>
      </w:r>
      <w:r>
        <w:tab/>
      </w:r>
      <w:r w:rsidRPr="0046149F">
        <w:t>Develop culturally appropriate media and education campaig</w:t>
      </w:r>
      <w:r>
        <w:t>ns to increase screening rates.</w:t>
      </w:r>
    </w:p>
    <w:p w:rsidR="004B20E5" w:rsidRDefault="004B20E5" w:rsidP="007C27A3">
      <w:pPr>
        <w:pStyle w:val="TableTenEssenHlthFunct"/>
      </w:pPr>
      <w:r>
        <w:t>Assure a Competent Public and Personal Healthcare Workforce</w:t>
      </w:r>
    </w:p>
    <w:p w:rsidR="004B20E5" w:rsidRPr="0046149F" w:rsidRDefault="004B20E5" w:rsidP="00D00411">
      <w:pPr>
        <w:pStyle w:val="TableStrategiesunderHealthFunctions"/>
      </w:pPr>
      <w:r w:rsidRPr="0046149F">
        <w:t>2.</w:t>
      </w:r>
      <w:r>
        <w:t>2.4</w:t>
      </w:r>
      <w:r>
        <w:tab/>
      </w:r>
      <w:r w:rsidRPr="0046149F">
        <w:t xml:space="preserve">Train providers on providing </w:t>
      </w:r>
      <w:r>
        <w:t>shared decision making practices to assure regular screening.</w:t>
      </w:r>
    </w:p>
    <w:p w:rsidR="004B20E5" w:rsidRDefault="004B20E5" w:rsidP="00D00411">
      <w:pPr>
        <w:pStyle w:val="TableStrategiesunderHealthFunctions"/>
      </w:pPr>
      <w:r w:rsidRPr="0046149F">
        <w:t>2.</w:t>
      </w:r>
      <w:r>
        <w:t>2.5</w:t>
      </w:r>
      <w:r>
        <w:tab/>
        <w:t>Utilize community health workers to i</w:t>
      </w:r>
      <w:r w:rsidRPr="0046149F">
        <w:t>dentify and address physical, cultural, structural, and other barriers to screening.</w:t>
      </w:r>
    </w:p>
    <w:p w:rsidR="004B20E5" w:rsidRPr="006256D0" w:rsidRDefault="004B20E5" w:rsidP="00D00411">
      <w:pPr>
        <w:pStyle w:val="TableStrategiesunderHealthFunctions"/>
      </w:pPr>
      <w:r>
        <w:t>2.2.6</w:t>
      </w:r>
      <w:r>
        <w:tab/>
        <w:t>Promote the use of professional education module for physicians regarding colorectal cancer screening guidelines.</w:t>
      </w:r>
    </w:p>
    <w:p w:rsidR="004B20E5" w:rsidRDefault="004B20E5" w:rsidP="006256D0">
      <w:pPr>
        <w:pStyle w:val="Strategies"/>
      </w:pPr>
    </w:p>
    <w:p w:rsidR="004B20E5" w:rsidRDefault="004B20E5" w:rsidP="00DD62F4">
      <w:r>
        <w:br w:type="page"/>
      </w:r>
    </w:p>
    <w:p w:rsidR="004B20E5" w:rsidRDefault="004B20E5" w:rsidP="00CB2B0E">
      <w:pPr>
        <w:pStyle w:val="StandardStatement"/>
      </w:pPr>
      <w:r w:rsidRPr="00450DBE">
        <w:lastRenderedPageBreak/>
        <w:t xml:space="preserve">Standard 2B:  </w:t>
      </w:r>
      <w:r>
        <w:tab/>
      </w:r>
      <w:r w:rsidRPr="00450DBE">
        <w:t xml:space="preserve">Improve prevention, management and control of chronic disease and associated risk factors. </w:t>
      </w:r>
    </w:p>
    <w:p w:rsidR="004B20E5" w:rsidRPr="00AA773D" w:rsidRDefault="004B20E5" w:rsidP="00AA773D">
      <w:pPr>
        <w:pStyle w:val="BodyText"/>
      </w:pPr>
    </w:p>
    <w:p w:rsidR="004B20E5" w:rsidRDefault="004B20E5" w:rsidP="00CB2B0E">
      <w:pPr>
        <w:pStyle w:val="ObjectiveStatement"/>
        <w:rPr>
          <w:noProof/>
        </w:rPr>
      </w:pPr>
      <w:r>
        <w:t xml:space="preserve">Measure 2.3:  </w:t>
      </w:r>
      <w:r>
        <w:tab/>
      </w:r>
      <w:r w:rsidR="00CC3C63">
        <w:t>I</w:t>
      </w:r>
      <w:r w:rsidR="00B6564C">
        <w:t>ncrease the percentage of adults with hypertension who have their hypertension under control</w:t>
      </w:r>
      <w:r w:rsidR="00592678" w:rsidRPr="00592678">
        <w:t xml:space="preserve"> by 2.5%</w:t>
      </w:r>
      <w:r w:rsidR="00B6564C">
        <w:t xml:space="preserve">.  </w:t>
      </w:r>
    </w:p>
    <w:p w:rsidR="004B20E5" w:rsidRPr="007C5CE9" w:rsidRDefault="004B20E5" w:rsidP="007C5CE9">
      <w:pPr>
        <w:pStyle w:val="BodyText"/>
      </w:pPr>
    </w:p>
    <w:tbl>
      <w:tblPr>
        <w:tblW w:w="4101" w:type="pct"/>
        <w:tblInd w:w="1755" w:type="dxa"/>
        <w:tblLayout w:type="fixed"/>
        <w:tblLook w:val="00A0" w:firstRow="1" w:lastRow="0" w:firstColumn="1" w:lastColumn="0" w:noHBand="0" w:noVBand="0"/>
      </w:tblPr>
      <w:tblGrid>
        <w:gridCol w:w="2248"/>
        <w:gridCol w:w="1532"/>
        <w:gridCol w:w="1532"/>
        <w:gridCol w:w="3133"/>
      </w:tblGrid>
      <w:tr w:rsidR="004B20E5" w:rsidRPr="00693A8E" w:rsidTr="00866C8C">
        <w:trPr>
          <w:cantSplit/>
        </w:trPr>
        <w:tc>
          <w:tcPr>
            <w:tcW w:w="1331" w:type="pct"/>
            <w:tcBorders>
              <w:top w:val="single" w:sz="4" w:space="0" w:color="auto"/>
              <w:bottom w:val="single" w:sz="4" w:space="0" w:color="auto"/>
            </w:tcBorders>
            <w:vAlign w:val="center"/>
          </w:tcPr>
          <w:p w:rsidR="004B20E5" w:rsidRPr="00693A8E" w:rsidRDefault="004B20E5" w:rsidP="008C43E1">
            <w:pPr>
              <w:pStyle w:val="TableTitleTargetDataSource"/>
            </w:pPr>
            <w:r w:rsidRPr="008C43E1">
              <w:t>Outcome</w:t>
            </w:r>
            <w:r>
              <w:t xml:space="preserve"> Indicator</w:t>
            </w:r>
          </w:p>
        </w:tc>
        <w:tc>
          <w:tcPr>
            <w:tcW w:w="907" w:type="pct"/>
            <w:tcBorders>
              <w:top w:val="single" w:sz="4" w:space="0" w:color="auto"/>
              <w:bottom w:val="single" w:sz="4" w:space="0" w:color="auto"/>
            </w:tcBorders>
            <w:vAlign w:val="center"/>
          </w:tcPr>
          <w:p w:rsidR="004B20E5" w:rsidRPr="00693A8E" w:rsidRDefault="004B20E5" w:rsidP="00450DBE">
            <w:pPr>
              <w:pStyle w:val="TableTitleBaseline2020Target"/>
            </w:pPr>
            <w:r w:rsidRPr="00693A8E">
              <w:t>Baseline</w:t>
            </w:r>
          </w:p>
        </w:tc>
        <w:tc>
          <w:tcPr>
            <w:tcW w:w="907" w:type="pct"/>
            <w:tcBorders>
              <w:top w:val="single" w:sz="4" w:space="0" w:color="auto"/>
              <w:bottom w:val="single" w:sz="4" w:space="0" w:color="auto"/>
            </w:tcBorders>
            <w:vAlign w:val="center"/>
          </w:tcPr>
          <w:p w:rsidR="004B20E5" w:rsidRPr="00693A8E" w:rsidRDefault="004B20E5" w:rsidP="00450DBE">
            <w:pPr>
              <w:pStyle w:val="TableTitleBaseline2020Target"/>
            </w:pPr>
            <w:r w:rsidRPr="00693A8E">
              <w:t>2020 Target</w:t>
            </w:r>
          </w:p>
        </w:tc>
        <w:tc>
          <w:tcPr>
            <w:tcW w:w="1855" w:type="pct"/>
            <w:tcBorders>
              <w:top w:val="single" w:sz="4" w:space="0" w:color="auto"/>
              <w:bottom w:val="single" w:sz="4" w:space="0" w:color="auto"/>
            </w:tcBorders>
            <w:vAlign w:val="center"/>
          </w:tcPr>
          <w:p w:rsidR="004B20E5" w:rsidRPr="00693A8E" w:rsidRDefault="004B20E5" w:rsidP="00450DBE">
            <w:pPr>
              <w:pStyle w:val="TableTitleTargetDataSource"/>
            </w:pPr>
            <w:r w:rsidRPr="00693A8E">
              <w:t>Data Source</w:t>
            </w:r>
          </w:p>
        </w:tc>
      </w:tr>
      <w:tr w:rsidR="004B20E5" w:rsidRPr="00693A8E" w:rsidTr="00866C8C">
        <w:trPr>
          <w:cantSplit/>
        </w:trPr>
        <w:tc>
          <w:tcPr>
            <w:tcW w:w="1331" w:type="pct"/>
            <w:tcBorders>
              <w:top w:val="single" w:sz="4" w:space="0" w:color="auto"/>
              <w:bottom w:val="single" w:sz="4" w:space="0" w:color="auto"/>
            </w:tcBorders>
            <w:vAlign w:val="center"/>
          </w:tcPr>
          <w:p w:rsidR="004B20E5" w:rsidRPr="00693A8E" w:rsidRDefault="004B20E5" w:rsidP="00866C8C">
            <w:pPr>
              <w:pStyle w:val="TableOutcomeMeasure"/>
            </w:pPr>
            <w:r w:rsidRPr="00693A8E">
              <w:t>Adults with hypertension who have their hypertension in control</w:t>
            </w:r>
          </w:p>
        </w:tc>
        <w:tc>
          <w:tcPr>
            <w:tcW w:w="907" w:type="pct"/>
            <w:tcBorders>
              <w:top w:val="single" w:sz="4" w:space="0" w:color="auto"/>
              <w:bottom w:val="single" w:sz="4" w:space="0" w:color="auto"/>
            </w:tcBorders>
            <w:vAlign w:val="center"/>
          </w:tcPr>
          <w:p w:rsidR="004B20E5" w:rsidRPr="00450DBE" w:rsidRDefault="004B20E5" w:rsidP="00866C8C">
            <w:pPr>
              <w:pStyle w:val="TableBaseline2020Target"/>
            </w:pPr>
            <w:r w:rsidRPr="00693A8E">
              <w:t>71.3%</w:t>
            </w:r>
          </w:p>
        </w:tc>
        <w:tc>
          <w:tcPr>
            <w:tcW w:w="907" w:type="pct"/>
            <w:tcBorders>
              <w:top w:val="single" w:sz="4" w:space="0" w:color="auto"/>
              <w:bottom w:val="single" w:sz="4" w:space="0" w:color="auto"/>
            </w:tcBorders>
            <w:vAlign w:val="center"/>
          </w:tcPr>
          <w:p w:rsidR="004B20E5" w:rsidRPr="00450DBE" w:rsidRDefault="004B20E5" w:rsidP="00D15867">
            <w:pPr>
              <w:pStyle w:val="TableBaseline2020Target"/>
            </w:pPr>
            <w:r w:rsidRPr="00693A8E">
              <w:t>73.</w:t>
            </w:r>
            <w:r>
              <w:t>8</w:t>
            </w:r>
            <w:r w:rsidRPr="00693A8E">
              <w:t>%</w:t>
            </w:r>
          </w:p>
        </w:tc>
        <w:tc>
          <w:tcPr>
            <w:tcW w:w="1855" w:type="pct"/>
            <w:tcBorders>
              <w:top w:val="single" w:sz="4" w:space="0" w:color="auto"/>
              <w:bottom w:val="single" w:sz="4" w:space="0" w:color="auto"/>
            </w:tcBorders>
            <w:vAlign w:val="center"/>
          </w:tcPr>
          <w:p w:rsidR="004B20E5" w:rsidRDefault="004B20E5" w:rsidP="00866C8C">
            <w:pPr>
              <w:pStyle w:val="TableDataSource"/>
            </w:pPr>
            <w:r w:rsidRPr="00693A8E">
              <w:t>Massachusetts Health Quality Partners (MHQP)</w:t>
            </w:r>
          </w:p>
        </w:tc>
      </w:tr>
    </w:tbl>
    <w:p w:rsidR="004B20E5" w:rsidRPr="00693A8E" w:rsidRDefault="004B20E5" w:rsidP="00866C8C">
      <w:pPr>
        <w:pStyle w:val="BodyText"/>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93A8E" w:rsidDel="00F67FD0" w:rsidTr="00352108">
        <w:trPr>
          <w:cantSplit/>
        </w:trPr>
        <w:tc>
          <w:tcPr>
            <w:tcW w:w="1329" w:type="pct"/>
            <w:tcBorders>
              <w:top w:val="single" w:sz="4" w:space="0" w:color="auto"/>
            </w:tcBorders>
          </w:tcPr>
          <w:p w:rsidR="004B20E5" w:rsidRPr="00693A8E" w:rsidDel="00F67FD0" w:rsidRDefault="004B20E5" w:rsidP="00352108">
            <w:pPr>
              <w:pStyle w:val="TableTitleNumeratoretc"/>
            </w:pPr>
            <w:r w:rsidRPr="00693A8E">
              <w:t xml:space="preserve">Numerator: </w:t>
            </w:r>
          </w:p>
        </w:tc>
        <w:tc>
          <w:tcPr>
            <w:tcW w:w="3671" w:type="pct"/>
            <w:tcBorders>
              <w:top w:val="single" w:sz="4" w:space="0" w:color="auto"/>
            </w:tcBorders>
            <w:vAlign w:val="center"/>
          </w:tcPr>
          <w:p w:rsidR="004B20E5" w:rsidRPr="00693A8E" w:rsidDel="00F67FD0" w:rsidRDefault="004B20E5" w:rsidP="00352108">
            <w:pPr>
              <w:pStyle w:val="TableOutcomeMeasure"/>
            </w:pPr>
            <w:r w:rsidRPr="00693A8E">
              <w:t>The number of patients in the denominator whose most recent BP is adequately controlled during the measurement year. A patient’s BP is considered adequately controlled when both the systolic and diastolic BP must be &lt;140/90.</w:t>
            </w:r>
          </w:p>
        </w:tc>
      </w:tr>
      <w:tr w:rsidR="004B20E5" w:rsidRPr="00693A8E" w:rsidDel="00F67FD0" w:rsidTr="00352108">
        <w:trPr>
          <w:cantSplit/>
        </w:trPr>
        <w:tc>
          <w:tcPr>
            <w:tcW w:w="1329" w:type="pct"/>
          </w:tcPr>
          <w:p w:rsidR="004B20E5" w:rsidRPr="00693A8E" w:rsidDel="00F67FD0" w:rsidRDefault="004B20E5" w:rsidP="00352108">
            <w:pPr>
              <w:pStyle w:val="TableTitleNumeratoretc"/>
            </w:pPr>
            <w:r w:rsidRPr="00693A8E">
              <w:t xml:space="preserve">Denominator: </w:t>
            </w:r>
          </w:p>
        </w:tc>
        <w:tc>
          <w:tcPr>
            <w:tcW w:w="3671" w:type="pct"/>
            <w:vAlign w:val="center"/>
          </w:tcPr>
          <w:p w:rsidR="004B20E5" w:rsidRPr="00693A8E" w:rsidDel="00F67FD0" w:rsidRDefault="004B20E5" w:rsidP="00352108">
            <w:pPr>
              <w:pStyle w:val="TableOutcomeMeasure"/>
            </w:pPr>
            <w:r w:rsidRPr="00693A8E">
              <w:t>Patients 18-85</w:t>
            </w:r>
            <w:r>
              <w:t xml:space="preserve"> years of age with hypertension</w:t>
            </w:r>
          </w:p>
        </w:tc>
      </w:tr>
      <w:tr w:rsidR="004B20E5" w:rsidRPr="00693A8E" w:rsidDel="00F67FD0" w:rsidTr="00352108">
        <w:trPr>
          <w:cantSplit/>
        </w:trPr>
        <w:tc>
          <w:tcPr>
            <w:tcW w:w="1329" w:type="pct"/>
          </w:tcPr>
          <w:p w:rsidR="004B20E5" w:rsidRPr="00693A8E" w:rsidDel="00F67FD0" w:rsidRDefault="004B20E5" w:rsidP="00352108">
            <w:pPr>
              <w:pStyle w:val="TableTitleNumeratoretc"/>
            </w:pPr>
            <w:r w:rsidRPr="00693A8E">
              <w:t xml:space="preserve">Exclusions: </w:t>
            </w:r>
          </w:p>
        </w:tc>
        <w:tc>
          <w:tcPr>
            <w:tcW w:w="3671" w:type="pct"/>
            <w:vAlign w:val="center"/>
          </w:tcPr>
          <w:p w:rsidR="004B20E5" w:rsidRPr="00693A8E" w:rsidDel="00F67FD0" w:rsidRDefault="004B20E5" w:rsidP="00352108">
            <w:pPr>
              <w:pStyle w:val="TableOutcomeMeasure"/>
            </w:pPr>
            <w:r w:rsidRPr="00693A8E">
              <w:t>All patients with end-stage renal disease, documentation in the medical record of dialysis or renal transplant, diagnosis of pregnancy, or admission to non-acute inpatient sett</w:t>
            </w:r>
            <w:r>
              <w:t>ing during the measurement year</w:t>
            </w:r>
          </w:p>
        </w:tc>
      </w:tr>
      <w:tr w:rsidR="004B20E5" w:rsidRPr="00693A8E" w:rsidDel="00F67FD0" w:rsidTr="00352108">
        <w:trPr>
          <w:cantSplit/>
        </w:trPr>
        <w:tc>
          <w:tcPr>
            <w:tcW w:w="1329" w:type="pct"/>
            <w:vAlign w:val="center"/>
          </w:tcPr>
          <w:p w:rsidR="004B20E5" w:rsidRPr="00693A8E" w:rsidDel="00F67FD0" w:rsidRDefault="004B20E5" w:rsidP="00352108">
            <w:pPr>
              <w:pStyle w:val="TableTitleNumeratoretc"/>
            </w:pPr>
            <w:r w:rsidRPr="00693A8E">
              <w:t>Timeframe:</w:t>
            </w:r>
          </w:p>
        </w:tc>
        <w:tc>
          <w:tcPr>
            <w:tcW w:w="3671" w:type="pct"/>
            <w:vAlign w:val="center"/>
          </w:tcPr>
          <w:p w:rsidR="004B20E5" w:rsidRPr="00693A8E" w:rsidDel="00F67FD0" w:rsidRDefault="004B20E5" w:rsidP="00352108">
            <w:pPr>
              <w:pStyle w:val="TableOutcomeMeasure"/>
            </w:pPr>
            <w:r>
              <w:t>Annual</w:t>
            </w:r>
          </w:p>
        </w:tc>
      </w:tr>
      <w:tr w:rsidR="004B20E5" w:rsidRPr="00693A8E" w:rsidDel="00F67FD0" w:rsidTr="00352108">
        <w:trPr>
          <w:cantSplit/>
        </w:trPr>
        <w:tc>
          <w:tcPr>
            <w:tcW w:w="1329" w:type="pct"/>
            <w:tcBorders>
              <w:bottom w:val="single" w:sz="4" w:space="0" w:color="auto"/>
            </w:tcBorders>
            <w:vAlign w:val="center"/>
          </w:tcPr>
          <w:p w:rsidR="004B20E5" w:rsidRPr="00693A8E" w:rsidDel="00F67FD0" w:rsidRDefault="004B20E5" w:rsidP="00352108">
            <w:pPr>
              <w:pStyle w:val="TableTitleNumeratoretc"/>
            </w:pPr>
            <w:r w:rsidRPr="00693A8E">
              <w:t>How will this be measured?</w:t>
            </w:r>
          </w:p>
        </w:tc>
        <w:tc>
          <w:tcPr>
            <w:tcW w:w="3671" w:type="pct"/>
            <w:tcBorders>
              <w:bottom w:val="single" w:sz="4" w:space="0" w:color="auto"/>
            </w:tcBorders>
            <w:vAlign w:val="center"/>
          </w:tcPr>
          <w:p w:rsidR="004B20E5" w:rsidRPr="00693A8E" w:rsidRDefault="004B20E5" w:rsidP="00352108">
            <w:pPr>
              <w:pStyle w:val="TableOutcomeMeasure"/>
            </w:pPr>
            <w:r w:rsidRPr="00693A8E">
              <w:t>Accessing the MHQP data o</w:t>
            </w:r>
            <w:r>
              <w:t>n this quality measure (NQF 18)</w:t>
            </w:r>
          </w:p>
          <w:p w:rsidR="004B20E5" w:rsidRPr="00693A8E" w:rsidDel="00F67FD0" w:rsidRDefault="004B20E5" w:rsidP="00352108">
            <w:pPr>
              <w:pStyle w:val="TableOutcomeMeasure"/>
            </w:pPr>
          </w:p>
        </w:tc>
      </w:tr>
      <w:tr w:rsidR="00A75C9D" w:rsidRPr="00693A8E" w:rsidDel="00F67FD0" w:rsidTr="00A04EC0">
        <w:trPr>
          <w:cantSplit/>
        </w:trPr>
        <w:tc>
          <w:tcPr>
            <w:tcW w:w="1329" w:type="pct"/>
            <w:tcBorders>
              <w:top w:val="single" w:sz="4" w:space="0" w:color="auto"/>
            </w:tcBorders>
          </w:tcPr>
          <w:p w:rsidR="00A75C9D" w:rsidRPr="00693A8E" w:rsidDel="00F67FD0" w:rsidRDefault="00A75C9D" w:rsidP="00A04EC0">
            <w:pPr>
              <w:pStyle w:val="TableTitleNumeratoretc"/>
            </w:pPr>
          </w:p>
        </w:tc>
        <w:tc>
          <w:tcPr>
            <w:tcW w:w="3671" w:type="pct"/>
            <w:tcBorders>
              <w:top w:val="single" w:sz="4" w:space="0" w:color="auto"/>
            </w:tcBorders>
            <w:vAlign w:val="center"/>
          </w:tcPr>
          <w:p w:rsidR="00A75C9D" w:rsidRPr="00693A8E" w:rsidDel="00F67FD0" w:rsidRDefault="00A75C9D" w:rsidP="00A04EC0">
            <w:pPr>
              <w:pStyle w:val="TableOutcomeMeasure"/>
            </w:pPr>
          </w:p>
        </w:tc>
      </w:tr>
      <w:tr w:rsidR="00A75C9D" w:rsidRPr="00693A8E" w:rsidDel="00F67FD0" w:rsidTr="00A04EC0">
        <w:trPr>
          <w:cantSplit/>
        </w:trPr>
        <w:tc>
          <w:tcPr>
            <w:tcW w:w="1329" w:type="pct"/>
          </w:tcPr>
          <w:p w:rsidR="00A75C9D" w:rsidRPr="00693A8E" w:rsidDel="00F67FD0" w:rsidRDefault="00A75C9D" w:rsidP="00A04EC0">
            <w:pPr>
              <w:pStyle w:val="TableTitleNumeratoretc"/>
            </w:pPr>
          </w:p>
        </w:tc>
        <w:tc>
          <w:tcPr>
            <w:tcW w:w="3671" w:type="pct"/>
            <w:vAlign w:val="center"/>
          </w:tcPr>
          <w:p w:rsidR="00A75C9D" w:rsidRPr="00693A8E" w:rsidDel="00F67FD0" w:rsidRDefault="00A75C9D" w:rsidP="00A04EC0">
            <w:pPr>
              <w:pStyle w:val="TableOutcomeMeasure"/>
            </w:pPr>
          </w:p>
        </w:tc>
      </w:tr>
      <w:tr w:rsidR="00A75C9D" w:rsidRPr="00693A8E" w:rsidDel="00F67FD0" w:rsidTr="00A04EC0">
        <w:trPr>
          <w:cantSplit/>
        </w:trPr>
        <w:tc>
          <w:tcPr>
            <w:tcW w:w="1329" w:type="pct"/>
          </w:tcPr>
          <w:p w:rsidR="00A75C9D" w:rsidRPr="00693A8E" w:rsidDel="00F67FD0" w:rsidRDefault="00A75C9D" w:rsidP="00A04EC0">
            <w:pPr>
              <w:pStyle w:val="TableTitleNumeratoretc"/>
            </w:pPr>
          </w:p>
        </w:tc>
        <w:tc>
          <w:tcPr>
            <w:tcW w:w="3671" w:type="pct"/>
            <w:vAlign w:val="center"/>
          </w:tcPr>
          <w:p w:rsidR="00A75C9D" w:rsidRPr="00693A8E" w:rsidDel="00F67FD0" w:rsidRDefault="00A75C9D" w:rsidP="00A04EC0">
            <w:pPr>
              <w:pStyle w:val="TableOutcomeMeasure"/>
            </w:pPr>
          </w:p>
        </w:tc>
      </w:tr>
      <w:tr w:rsidR="00A75C9D" w:rsidRPr="00693A8E" w:rsidDel="00F67FD0" w:rsidTr="00A04EC0">
        <w:trPr>
          <w:cantSplit/>
        </w:trPr>
        <w:tc>
          <w:tcPr>
            <w:tcW w:w="1329" w:type="pct"/>
            <w:vAlign w:val="center"/>
          </w:tcPr>
          <w:p w:rsidR="00A75C9D" w:rsidRPr="00693A8E" w:rsidDel="00F67FD0" w:rsidRDefault="00A75C9D" w:rsidP="00A04EC0">
            <w:pPr>
              <w:pStyle w:val="TableTitleNumeratoretc"/>
            </w:pPr>
          </w:p>
        </w:tc>
        <w:tc>
          <w:tcPr>
            <w:tcW w:w="3671" w:type="pct"/>
            <w:vAlign w:val="center"/>
          </w:tcPr>
          <w:p w:rsidR="00A75C9D" w:rsidRPr="00693A8E" w:rsidDel="00F67FD0" w:rsidRDefault="00A75C9D" w:rsidP="00A04EC0">
            <w:pPr>
              <w:pStyle w:val="TableOutcomeMeasure"/>
            </w:pPr>
          </w:p>
        </w:tc>
      </w:tr>
      <w:tr w:rsidR="00A75C9D" w:rsidRPr="00693A8E" w:rsidDel="00F67FD0" w:rsidTr="00A04EC0">
        <w:trPr>
          <w:cantSplit/>
        </w:trPr>
        <w:tc>
          <w:tcPr>
            <w:tcW w:w="1329" w:type="pct"/>
            <w:tcBorders>
              <w:bottom w:val="single" w:sz="4" w:space="0" w:color="auto"/>
            </w:tcBorders>
            <w:vAlign w:val="center"/>
          </w:tcPr>
          <w:p w:rsidR="00A75C9D" w:rsidRPr="00693A8E" w:rsidDel="00F67FD0" w:rsidRDefault="00A75C9D" w:rsidP="00A04EC0">
            <w:pPr>
              <w:pStyle w:val="TableTitleNumeratoretc"/>
            </w:pPr>
          </w:p>
        </w:tc>
        <w:tc>
          <w:tcPr>
            <w:tcW w:w="3671" w:type="pct"/>
            <w:tcBorders>
              <w:bottom w:val="single" w:sz="4" w:space="0" w:color="auto"/>
            </w:tcBorders>
            <w:vAlign w:val="center"/>
          </w:tcPr>
          <w:p w:rsidR="00A75C9D" w:rsidRPr="00693A8E" w:rsidDel="00F67FD0" w:rsidRDefault="00A75C9D" w:rsidP="00A04EC0">
            <w:pPr>
              <w:pStyle w:val="TableOutcomeMeasure"/>
            </w:pPr>
          </w:p>
        </w:tc>
      </w:tr>
    </w:tbl>
    <w:p w:rsidR="004B20E5" w:rsidRPr="00693A8E" w:rsidRDefault="004B20E5" w:rsidP="00450DBE">
      <w:pPr>
        <w:pStyle w:val="BodyText"/>
      </w:pPr>
    </w:p>
    <w:p w:rsidR="004B20E5" w:rsidDel="00715340" w:rsidRDefault="004B20E5" w:rsidP="007C27A3">
      <w:pPr>
        <w:pStyle w:val="TableTenEssenHlthFunct"/>
      </w:pPr>
      <w:r>
        <w:t>Monitor Health to Identify and Solve Health Problems</w:t>
      </w:r>
    </w:p>
    <w:p w:rsidR="004B20E5" w:rsidRPr="00637E46" w:rsidDel="00715340" w:rsidRDefault="004B20E5" w:rsidP="00D43661">
      <w:pPr>
        <w:pStyle w:val="TableStrategiesunderHealthFunctions"/>
      </w:pPr>
      <w:r w:rsidRPr="00637E46" w:rsidDel="00715340">
        <w:t>2.</w:t>
      </w:r>
      <w:r>
        <w:t>3</w:t>
      </w:r>
      <w:r w:rsidRPr="00637E46" w:rsidDel="00715340">
        <w:t>.</w:t>
      </w:r>
      <w:r w:rsidDel="00715340">
        <w:t>1</w:t>
      </w:r>
      <w:r w:rsidRPr="00637E46" w:rsidDel="00715340">
        <w:tab/>
        <w:t>Increase electronic health records (EHR) adoption and the use of health information technology (HIT) to improve detection and treatment of hypertension including the tracking and reporting of NQF measure 18.</w:t>
      </w:r>
    </w:p>
    <w:p w:rsidR="004B20E5" w:rsidRPr="006256D0" w:rsidDel="00715340" w:rsidRDefault="004B20E5" w:rsidP="00D43661">
      <w:pPr>
        <w:pStyle w:val="TableStrategiesunderHealthFunctions"/>
      </w:pPr>
      <w:r w:rsidRPr="00637E46" w:rsidDel="00715340">
        <w:t>2.</w:t>
      </w:r>
      <w:r>
        <w:t>3</w:t>
      </w:r>
      <w:r w:rsidRPr="00637E46" w:rsidDel="00715340">
        <w:t>.</w:t>
      </w:r>
      <w:r w:rsidDel="00715340">
        <w:t>2</w:t>
      </w:r>
      <w:r w:rsidRPr="00637E46" w:rsidDel="00715340">
        <w:tab/>
        <w:t xml:space="preserve">Increase the institutionalization and monitoring of aggregated/standardized quality measures at the provider and systems level </w:t>
      </w:r>
      <w:r w:rsidDel="00715340">
        <w:t>for hypertension.</w:t>
      </w:r>
    </w:p>
    <w:p w:rsidR="004B20E5" w:rsidDel="00715340" w:rsidRDefault="004B20E5" w:rsidP="007C27A3">
      <w:pPr>
        <w:pStyle w:val="TableTenEssenHlthFunct"/>
      </w:pPr>
      <w:r w:rsidDel="00715340">
        <w:t xml:space="preserve">Inform, Educate, and Empower People About Health Issues </w:t>
      </w:r>
    </w:p>
    <w:p w:rsidR="004B20E5" w:rsidRPr="00637E46" w:rsidDel="00715340" w:rsidRDefault="004B20E5" w:rsidP="00D43661">
      <w:pPr>
        <w:pStyle w:val="TableStrategiesunderHealthFunctions"/>
      </w:pPr>
      <w:r w:rsidRPr="00637E46" w:rsidDel="00715340">
        <w:t>2.</w:t>
      </w:r>
      <w:r>
        <w:t>3</w:t>
      </w:r>
      <w:r w:rsidRPr="00637E46" w:rsidDel="00715340">
        <w:t>.</w:t>
      </w:r>
      <w:r w:rsidDel="00715340">
        <w:t>3</w:t>
      </w:r>
      <w:r w:rsidRPr="00637E46" w:rsidDel="00715340">
        <w:tab/>
        <w:t>Communicate and educate on the risks of high blood pressure to multiple audiences and through multiple modalities (e.g., patients, parents, healthcare providers, schools, workplaces, community and faith groups, etc.).</w:t>
      </w:r>
    </w:p>
    <w:p w:rsidR="004B20E5" w:rsidRPr="00637E46" w:rsidDel="00715340" w:rsidRDefault="004B20E5" w:rsidP="00D43661">
      <w:pPr>
        <w:pStyle w:val="TableStrategiesunderHealthFunctions"/>
      </w:pPr>
      <w:r w:rsidRPr="00637E46" w:rsidDel="00715340">
        <w:t>2.</w:t>
      </w:r>
      <w:r>
        <w:t>3</w:t>
      </w:r>
      <w:r w:rsidRPr="00637E46" w:rsidDel="00715340">
        <w:t>.</w:t>
      </w:r>
      <w:r w:rsidDel="00715340">
        <w:t>4</w:t>
      </w:r>
      <w:r w:rsidRPr="00637E46" w:rsidDel="00715340">
        <w:tab/>
        <w:t>Promote lifestyle changes that can prevent high blood pressure and/or lower blood pressure (maintaining healthy weight, regular exercise, eating a healthy diet, reducing sodium in diet, limiting alcohol, avoiding tobacco products, reducing stress, etc.).</w:t>
      </w:r>
    </w:p>
    <w:p w:rsidR="004B20E5" w:rsidRPr="00637E46" w:rsidDel="00715340" w:rsidRDefault="004B20E5" w:rsidP="00D43661">
      <w:pPr>
        <w:pStyle w:val="TableStrategiesunderHealthFunctions"/>
      </w:pPr>
      <w:r w:rsidRPr="00637E46" w:rsidDel="00715340">
        <w:t>2.</w:t>
      </w:r>
      <w:r>
        <w:t>3</w:t>
      </w:r>
      <w:r w:rsidRPr="00637E46" w:rsidDel="00715340">
        <w:t>.</w:t>
      </w:r>
      <w:r w:rsidDel="00715340">
        <w:t>5</w:t>
      </w:r>
      <w:r w:rsidRPr="00637E46" w:rsidDel="00715340">
        <w:tab/>
        <w:t>Promote screening and counseling for smokers.</w:t>
      </w:r>
    </w:p>
    <w:p w:rsidR="004B20E5" w:rsidRPr="00637E46" w:rsidDel="00715340" w:rsidRDefault="004B20E5" w:rsidP="00D43661">
      <w:pPr>
        <w:pStyle w:val="TableStrategiesunderHealthFunctions"/>
      </w:pPr>
      <w:r w:rsidRPr="00637E46" w:rsidDel="00715340">
        <w:t>2.</w:t>
      </w:r>
      <w:r>
        <w:t>3</w:t>
      </w:r>
      <w:r w:rsidRPr="00637E46" w:rsidDel="00715340">
        <w:t>.</w:t>
      </w:r>
      <w:r w:rsidDel="00715340">
        <w:t>6</w:t>
      </w:r>
      <w:r w:rsidRPr="00637E46" w:rsidDel="00715340">
        <w:tab/>
        <w:t>Increase awareness among the professional community of the association between working conditions and stress, and successful approaches to workplace interventions to reduce stress.</w:t>
      </w:r>
    </w:p>
    <w:p w:rsidR="004B20E5" w:rsidRPr="00637E46" w:rsidDel="00715340" w:rsidRDefault="004B20E5" w:rsidP="00D43661">
      <w:pPr>
        <w:pStyle w:val="TableStrategiesunderHealthFunctions"/>
      </w:pPr>
      <w:r w:rsidRPr="00637E46" w:rsidDel="00715340">
        <w:t>2.</w:t>
      </w:r>
      <w:r>
        <w:t>3</w:t>
      </w:r>
      <w:r w:rsidRPr="00637E46" w:rsidDel="00715340">
        <w:t>.</w:t>
      </w:r>
      <w:r w:rsidDel="00715340">
        <w:t>7</w:t>
      </w:r>
      <w:r w:rsidRPr="00637E46" w:rsidDel="00715340">
        <w:tab/>
        <w:t>Promote the knowledge and use of highly ranked clinical preventive measures.</w:t>
      </w:r>
    </w:p>
    <w:p w:rsidR="00B869A2" w:rsidRDefault="00B869A2" w:rsidP="007C27A3">
      <w:pPr>
        <w:pStyle w:val="TableTenEssenHlthFunct"/>
      </w:pPr>
    </w:p>
    <w:p w:rsidR="004B20E5" w:rsidDel="00715340" w:rsidRDefault="004B20E5" w:rsidP="007C27A3">
      <w:pPr>
        <w:pStyle w:val="TableTenEssenHlthFunct"/>
      </w:pPr>
      <w:r>
        <w:lastRenderedPageBreak/>
        <w:t>Mobilize Community Partnerships to Identify and Solve Health Problems</w:t>
      </w:r>
    </w:p>
    <w:p w:rsidR="004B20E5" w:rsidRPr="00637E46" w:rsidDel="00715340" w:rsidRDefault="004B20E5" w:rsidP="00D43661">
      <w:pPr>
        <w:pStyle w:val="TableStrategiesunderHealthFunctions"/>
      </w:pPr>
      <w:r w:rsidRPr="00637E46" w:rsidDel="00715340">
        <w:t>2.</w:t>
      </w:r>
      <w:r>
        <w:t>3</w:t>
      </w:r>
      <w:r w:rsidRPr="00637E46" w:rsidDel="00715340">
        <w:t>.</w:t>
      </w:r>
      <w:r w:rsidDel="00715340">
        <w:t>8</w:t>
      </w:r>
      <w:r w:rsidRPr="00637E46" w:rsidDel="00715340">
        <w:tab/>
        <w:t>Promote policies and best practices to strengthen linkages among clinical settings and community programs and resources to help reduce hypertension (e.g., e-referrals and community health workers)</w:t>
      </w:r>
      <w:r>
        <w:t>.</w:t>
      </w:r>
    </w:p>
    <w:p w:rsidR="004B20E5" w:rsidRPr="00637E46" w:rsidDel="00715340" w:rsidRDefault="004B20E5" w:rsidP="00D43661">
      <w:pPr>
        <w:pStyle w:val="TableStrategiesunderHealthFunctions"/>
      </w:pPr>
      <w:r w:rsidRPr="00637E46" w:rsidDel="00715340">
        <w:t>2.</w:t>
      </w:r>
      <w:r>
        <w:t>3</w:t>
      </w:r>
      <w:r w:rsidRPr="00637E46" w:rsidDel="00715340">
        <w:t>.</w:t>
      </w:r>
      <w:r w:rsidDel="00715340">
        <w:t>9</w:t>
      </w:r>
      <w:r w:rsidRPr="00637E46" w:rsidDel="00715340">
        <w:tab/>
        <w:t>Promote benefits of regular screenings (BP, cholesterol) through community providers, community groups, healthcare systems, pharmacies, faith-based organizations, workplaces, etc.</w:t>
      </w:r>
    </w:p>
    <w:p w:rsidR="004B20E5" w:rsidRPr="00637E46" w:rsidDel="00715340" w:rsidRDefault="004B20E5" w:rsidP="00D43661">
      <w:pPr>
        <w:pStyle w:val="TableStrategiesunderHealthFunctions"/>
      </w:pPr>
      <w:r w:rsidRPr="00637E46" w:rsidDel="00715340">
        <w:t>2.</w:t>
      </w:r>
      <w:r>
        <w:t>3</w:t>
      </w:r>
      <w:r w:rsidRPr="00637E46" w:rsidDel="00715340">
        <w:t>.1</w:t>
      </w:r>
      <w:r w:rsidDel="00715340">
        <w:t>0</w:t>
      </w:r>
      <w:r w:rsidRPr="00637E46" w:rsidDel="00715340">
        <w:tab/>
        <w:t>Pilot and evaluate model interventions to reduce workplace stress and other workplace risks, focusing on jobs frequently he</w:t>
      </w:r>
      <w:r>
        <w:t>ld</w:t>
      </w:r>
      <w:r w:rsidRPr="00637E46" w:rsidDel="00715340">
        <w:t xml:space="preserve"> by low income immigrant and minority workers (e.g., home health aides, janitors and cleaners, hotel workers)</w:t>
      </w:r>
      <w:r>
        <w:t>.</w:t>
      </w:r>
    </w:p>
    <w:p w:rsidR="004B20E5" w:rsidRPr="00637E46" w:rsidDel="00715340" w:rsidRDefault="004B20E5" w:rsidP="00D43661">
      <w:pPr>
        <w:pStyle w:val="TableStrategiesunderHealthFunctions"/>
      </w:pPr>
      <w:r w:rsidRPr="00637E46" w:rsidDel="00715340">
        <w:t>2.</w:t>
      </w:r>
      <w:r>
        <w:t>3</w:t>
      </w:r>
      <w:r w:rsidRPr="00637E46" w:rsidDel="00715340">
        <w:t>.</w:t>
      </w:r>
      <w:r w:rsidDel="00715340">
        <w:t>11</w:t>
      </w:r>
      <w:r w:rsidRPr="00637E46" w:rsidDel="00715340">
        <w:tab/>
        <w:t xml:space="preserve">Promote comprehensive approaches to healthy workplaces that integrate health promotion and health protection (i.e., address lifestyle factors and working conditions). </w:t>
      </w:r>
    </w:p>
    <w:p w:rsidR="004B20E5" w:rsidRPr="00637E46" w:rsidDel="00715340" w:rsidRDefault="004B20E5" w:rsidP="00D43661">
      <w:pPr>
        <w:pStyle w:val="TableStrategiesunderHealthFunctions"/>
      </w:pPr>
      <w:r w:rsidRPr="00637E46" w:rsidDel="00715340">
        <w:t>2.</w:t>
      </w:r>
      <w:r>
        <w:t>3</w:t>
      </w:r>
      <w:r w:rsidRPr="00637E46" w:rsidDel="00715340">
        <w:t>.</w:t>
      </w:r>
      <w:r w:rsidDel="00715340">
        <w:t>12</w:t>
      </w:r>
      <w:r w:rsidRPr="00637E46" w:rsidDel="00715340">
        <w:tab/>
        <w:t>Disseminate newly available tools promoting integrated approaches for worksite wellness in small businesses. (See federally funded Centers of Excellence on Total Worker Health</w:t>
      </w:r>
      <w:r>
        <w:t xml:space="preserve">, </w:t>
      </w:r>
      <w:r w:rsidRPr="00637E46" w:rsidDel="00715340">
        <w:t>one at UMass Lowell, the other at Harvard School of Public Health).</w:t>
      </w:r>
    </w:p>
    <w:p w:rsidR="004B20E5" w:rsidDel="00715340" w:rsidRDefault="004B20E5" w:rsidP="007C27A3">
      <w:pPr>
        <w:pStyle w:val="TableTenEssenHlthFunct"/>
      </w:pPr>
      <w:r w:rsidDel="00715340">
        <w:t>Link People to Needed Personal Health Services and Health Care</w:t>
      </w:r>
    </w:p>
    <w:p w:rsidR="004B20E5" w:rsidRPr="006256D0" w:rsidDel="00715340" w:rsidRDefault="004B20E5" w:rsidP="00D43661">
      <w:pPr>
        <w:pStyle w:val="TableStrategiesunderHealthFunctions"/>
      </w:pPr>
      <w:r w:rsidDel="00715340">
        <w:t>2.</w:t>
      </w:r>
      <w:r>
        <w:t>3.13</w:t>
      </w:r>
      <w:r>
        <w:tab/>
      </w:r>
      <w:r w:rsidDel="00715340">
        <w:t xml:space="preserve">Ensure utilization of bi-directional e-Referral in </w:t>
      </w:r>
      <w:r>
        <w:t>Preventi</w:t>
      </w:r>
      <w:r w:rsidR="002039CA">
        <w:t>on</w:t>
      </w:r>
      <w:r>
        <w:t xml:space="preserve"> and Wellness Trust Fund (</w:t>
      </w:r>
      <w:r w:rsidDel="00715340">
        <w:t>PWTF</w:t>
      </w:r>
      <w:r>
        <w:t>)</w:t>
      </w:r>
      <w:r w:rsidDel="00715340">
        <w:t xml:space="preserve"> communities</w:t>
      </w:r>
      <w:r>
        <w:t>.</w:t>
      </w:r>
    </w:p>
    <w:p w:rsidR="004B20E5" w:rsidDel="00715340" w:rsidRDefault="004B20E5" w:rsidP="007C27A3">
      <w:pPr>
        <w:pStyle w:val="TableTenEssenHlthFunct"/>
      </w:pPr>
      <w:r>
        <w:t>Assure a Competent Public and Personal Healthcare Workforce</w:t>
      </w:r>
    </w:p>
    <w:p w:rsidR="004B20E5" w:rsidDel="00715340" w:rsidRDefault="004B20E5" w:rsidP="00D43661">
      <w:pPr>
        <w:pStyle w:val="TableStrategiesunderHealthFunctions"/>
      </w:pPr>
      <w:r w:rsidRPr="00637E46" w:rsidDel="00715340">
        <w:t>2.</w:t>
      </w:r>
      <w:r>
        <w:t>3</w:t>
      </w:r>
      <w:r w:rsidRPr="00637E46" w:rsidDel="00715340">
        <w:t>.1</w:t>
      </w:r>
      <w:r w:rsidDel="00715340">
        <w:t>4</w:t>
      </w:r>
      <w:r w:rsidRPr="00637E46" w:rsidDel="00715340">
        <w:tab/>
        <w:t>Train community health workers to ensure consistent follow up and connections between patients and providers, and to enhance referrals and treatments.</w:t>
      </w:r>
    </w:p>
    <w:p w:rsidR="004B20E5" w:rsidRPr="006256D0" w:rsidDel="00715340" w:rsidRDefault="004B20E5" w:rsidP="00D43661">
      <w:pPr>
        <w:pStyle w:val="TableStrategiesunderHealthFunctions"/>
      </w:pPr>
      <w:r w:rsidRPr="00637E46" w:rsidDel="00715340">
        <w:t>2.</w:t>
      </w:r>
      <w:r>
        <w:t>3</w:t>
      </w:r>
      <w:r w:rsidRPr="00637E46" w:rsidDel="00715340">
        <w:t>.1</w:t>
      </w:r>
      <w:r w:rsidDel="00715340">
        <w:t>5</w:t>
      </w:r>
      <w:r w:rsidRPr="00637E46" w:rsidDel="00715340">
        <w:tab/>
        <w:t>Promote integration of community health workers into clinical and community settings as culturally responsive educators and supporters for lifestyle and self-management changes.</w:t>
      </w:r>
    </w:p>
    <w:p w:rsidR="004B20E5" w:rsidDel="00715340" w:rsidRDefault="004B20E5" w:rsidP="007C27A3">
      <w:pPr>
        <w:pStyle w:val="TableTenEssenHlthFunct"/>
      </w:pPr>
      <w:r>
        <w:t>Evaluate Effectiveness, Accessibility, and Quality of Health Services</w:t>
      </w:r>
    </w:p>
    <w:p w:rsidR="004B20E5" w:rsidRPr="0046149F" w:rsidRDefault="004B20E5" w:rsidP="00D43661">
      <w:pPr>
        <w:pStyle w:val="TableStrategiesunderHealthFunctions"/>
      </w:pPr>
      <w:r w:rsidDel="00715340">
        <w:t>2.</w:t>
      </w:r>
      <w:r>
        <w:t>3</w:t>
      </w:r>
      <w:r w:rsidDel="00715340">
        <w:t>.16</w:t>
      </w:r>
      <w:r>
        <w:tab/>
        <w:t>Evaluate</w:t>
      </w:r>
      <w:r w:rsidR="002039CA">
        <w:t xml:space="preserve"> </w:t>
      </w:r>
      <w:r>
        <w:t xml:space="preserve">the </w:t>
      </w:r>
      <w:r w:rsidDel="00715340">
        <w:t>effectiveness of using bi-directional e-Referral within PWTF communities</w:t>
      </w:r>
      <w:r>
        <w:t>.</w:t>
      </w:r>
    </w:p>
    <w:p w:rsidR="004B20E5" w:rsidRDefault="004B20E5" w:rsidP="00CB2B0E">
      <w:pPr>
        <w:pStyle w:val="ObjectiveStatement"/>
      </w:pPr>
      <w:r>
        <w:t xml:space="preserve">Measure </w:t>
      </w:r>
      <w:r w:rsidRPr="002C4830">
        <w:t>2.</w:t>
      </w:r>
      <w:r>
        <w:t>4</w:t>
      </w:r>
      <w:r w:rsidRPr="002C4830">
        <w:t xml:space="preserve">:  </w:t>
      </w:r>
      <w:r w:rsidRPr="002C4830">
        <w:tab/>
      </w:r>
      <w:r>
        <w:t>D</w:t>
      </w:r>
      <w:r w:rsidRPr="002C4830">
        <w:t xml:space="preserve">ecrease </w:t>
      </w:r>
      <w:r>
        <w:t>the relative percentage of adults with diabetes that have an A1c value greater than 9.0% by 2.5%.</w:t>
      </w:r>
    </w:p>
    <w:p w:rsidR="004B20E5" w:rsidRPr="00693A8E" w:rsidRDefault="004B20E5" w:rsidP="00D43661">
      <w:pPr>
        <w:pStyle w:val="StrategiesCategoryTitles"/>
      </w:pPr>
    </w:p>
    <w:tbl>
      <w:tblPr>
        <w:tblW w:w="4095" w:type="pct"/>
        <w:tblInd w:w="1755" w:type="dxa"/>
        <w:tblLayout w:type="fixed"/>
        <w:tblLook w:val="00A0" w:firstRow="1" w:lastRow="0" w:firstColumn="1" w:lastColumn="0" w:noHBand="0" w:noVBand="0"/>
      </w:tblPr>
      <w:tblGrid>
        <w:gridCol w:w="2249"/>
        <w:gridCol w:w="1933"/>
        <w:gridCol w:w="1398"/>
        <w:gridCol w:w="2852"/>
      </w:tblGrid>
      <w:tr w:rsidR="004B20E5" w:rsidRPr="00693A8E" w:rsidTr="00663E37">
        <w:trPr>
          <w:cantSplit/>
        </w:trPr>
        <w:tc>
          <w:tcPr>
            <w:tcW w:w="1334" w:type="pct"/>
            <w:tcBorders>
              <w:top w:val="single" w:sz="4" w:space="0" w:color="auto"/>
              <w:bottom w:val="single" w:sz="4" w:space="0" w:color="auto"/>
            </w:tcBorders>
            <w:vAlign w:val="center"/>
          </w:tcPr>
          <w:p w:rsidR="004B20E5" w:rsidRPr="00693A8E" w:rsidRDefault="004B20E5" w:rsidP="00663E37">
            <w:pPr>
              <w:pStyle w:val="TableTitleTargetDataSource"/>
            </w:pPr>
            <w:r>
              <w:t>Outcome Indicator</w:t>
            </w:r>
          </w:p>
        </w:tc>
        <w:tc>
          <w:tcPr>
            <w:tcW w:w="1146" w:type="pct"/>
            <w:tcBorders>
              <w:top w:val="single" w:sz="4" w:space="0" w:color="auto"/>
              <w:bottom w:val="single" w:sz="4" w:space="0" w:color="auto"/>
            </w:tcBorders>
            <w:vAlign w:val="center"/>
          </w:tcPr>
          <w:p w:rsidR="004B20E5" w:rsidRPr="00693A8E" w:rsidRDefault="004B20E5" w:rsidP="00177FD2">
            <w:pPr>
              <w:pStyle w:val="TableTitleBaseline2020Target"/>
            </w:pPr>
            <w:r w:rsidRPr="00693A8E">
              <w:t>Baseline</w:t>
            </w:r>
          </w:p>
        </w:tc>
        <w:tc>
          <w:tcPr>
            <w:tcW w:w="829" w:type="pct"/>
            <w:tcBorders>
              <w:top w:val="single" w:sz="4" w:space="0" w:color="auto"/>
              <w:bottom w:val="single" w:sz="4" w:space="0" w:color="auto"/>
            </w:tcBorders>
            <w:vAlign w:val="center"/>
          </w:tcPr>
          <w:p w:rsidR="004B20E5" w:rsidRPr="00693A8E" w:rsidRDefault="004B20E5" w:rsidP="00177FD2">
            <w:pPr>
              <w:pStyle w:val="TableTitleBaseline2020Target"/>
            </w:pPr>
            <w:r w:rsidRPr="00693A8E">
              <w:t>2020 Target</w:t>
            </w:r>
          </w:p>
        </w:tc>
        <w:tc>
          <w:tcPr>
            <w:tcW w:w="1691" w:type="pct"/>
            <w:tcBorders>
              <w:top w:val="single" w:sz="4" w:space="0" w:color="auto"/>
              <w:bottom w:val="single" w:sz="4" w:space="0" w:color="auto"/>
            </w:tcBorders>
            <w:vAlign w:val="center"/>
          </w:tcPr>
          <w:p w:rsidR="004B20E5" w:rsidRPr="00693A8E" w:rsidRDefault="004B20E5" w:rsidP="00177FD2">
            <w:pPr>
              <w:pStyle w:val="TableTitleTargetDataSource"/>
            </w:pPr>
            <w:r w:rsidRPr="00693A8E">
              <w:t>Data Source</w:t>
            </w:r>
          </w:p>
        </w:tc>
      </w:tr>
      <w:tr w:rsidR="004B20E5" w:rsidRPr="00693A8E" w:rsidTr="00663E37">
        <w:trPr>
          <w:cantSplit/>
        </w:trPr>
        <w:tc>
          <w:tcPr>
            <w:tcW w:w="1334" w:type="pct"/>
            <w:tcBorders>
              <w:top w:val="single" w:sz="4" w:space="0" w:color="auto"/>
              <w:bottom w:val="single" w:sz="4" w:space="0" w:color="auto"/>
            </w:tcBorders>
            <w:vAlign w:val="center"/>
          </w:tcPr>
          <w:p w:rsidR="004B20E5" w:rsidRPr="00693A8E" w:rsidRDefault="004B20E5" w:rsidP="00177FD2">
            <w:pPr>
              <w:pStyle w:val="TableOutcomeMeasure"/>
            </w:pPr>
            <w:r w:rsidRPr="00693A8E">
              <w:rPr>
                <w:rFonts w:cs="Arial"/>
                <w:color w:val="000000"/>
                <w:shd w:val="clear" w:color="auto" w:fill="FFFFFF"/>
              </w:rPr>
              <w:t>Adult patients with diabetes who had an A1c value greater than 9.0%</w:t>
            </w:r>
          </w:p>
        </w:tc>
        <w:tc>
          <w:tcPr>
            <w:tcW w:w="1146" w:type="pct"/>
            <w:tcBorders>
              <w:top w:val="single" w:sz="4" w:space="0" w:color="auto"/>
              <w:bottom w:val="single" w:sz="4" w:space="0" w:color="auto"/>
            </w:tcBorders>
            <w:vAlign w:val="center"/>
          </w:tcPr>
          <w:p w:rsidR="004B20E5" w:rsidRPr="00693A8E" w:rsidRDefault="004B20E5" w:rsidP="00177FD2">
            <w:pPr>
              <w:pStyle w:val="TableBaseline2020Target"/>
            </w:pPr>
            <w:r w:rsidRPr="00693A8E">
              <w:t>15.4%</w:t>
            </w:r>
          </w:p>
        </w:tc>
        <w:tc>
          <w:tcPr>
            <w:tcW w:w="829" w:type="pct"/>
            <w:tcBorders>
              <w:top w:val="single" w:sz="4" w:space="0" w:color="auto"/>
              <w:bottom w:val="single" w:sz="4" w:space="0" w:color="auto"/>
            </w:tcBorders>
            <w:vAlign w:val="center"/>
          </w:tcPr>
          <w:p w:rsidR="004B20E5" w:rsidRPr="00693A8E" w:rsidRDefault="004B20E5" w:rsidP="00177FD2">
            <w:pPr>
              <w:pStyle w:val="TableBaseline2020Target"/>
            </w:pPr>
            <w:r>
              <w:t>15.0</w:t>
            </w:r>
            <w:r w:rsidRPr="00693A8E">
              <w:t>%</w:t>
            </w:r>
          </w:p>
        </w:tc>
        <w:tc>
          <w:tcPr>
            <w:tcW w:w="1691" w:type="pct"/>
            <w:tcBorders>
              <w:top w:val="single" w:sz="4" w:space="0" w:color="auto"/>
              <w:bottom w:val="single" w:sz="4" w:space="0" w:color="auto"/>
            </w:tcBorders>
            <w:vAlign w:val="center"/>
          </w:tcPr>
          <w:p w:rsidR="004B20E5" w:rsidRPr="00693A8E" w:rsidRDefault="004B20E5" w:rsidP="00B6564C">
            <w:pPr>
              <w:pStyle w:val="TableDataSource"/>
            </w:pPr>
            <w:r w:rsidRPr="00693A8E">
              <w:t xml:space="preserve">Massachusetts Health Quality Partners (MHQP), </w:t>
            </w:r>
            <w:r w:rsidR="00A75C9D">
              <w:t xml:space="preserve"> </w:t>
            </w:r>
          </w:p>
        </w:tc>
      </w:tr>
    </w:tbl>
    <w:p w:rsidR="004B20E5" w:rsidRPr="00693A8E" w:rsidRDefault="004B20E5" w:rsidP="00D43661">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93A8E" w:rsidDel="00F67FD0" w:rsidTr="00177FD2">
        <w:trPr>
          <w:cantSplit/>
        </w:trPr>
        <w:tc>
          <w:tcPr>
            <w:tcW w:w="1329" w:type="pct"/>
            <w:tcBorders>
              <w:top w:val="single" w:sz="4" w:space="0" w:color="auto"/>
            </w:tcBorders>
          </w:tcPr>
          <w:p w:rsidR="004B20E5" w:rsidRPr="00693A8E" w:rsidDel="00F67FD0" w:rsidRDefault="004B20E5" w:rsidP="00177FD2">
            <w:pPr>
              <w:pStyle w:val="TableTitleNumeratoretc"/>
            </w:pPr>
            <w:r w:rsidRPr="00693A8E">
              <w:t xml:space="preserve">Numerator: </w:t>
            </w:r>
          </w:p>
        </w:tc>
        <w:tc>
          <w:tcPr>
            <w:tcW w:w="3671" w:type="pct"/>
            <w:tcBorders>
              <w:top w:val="single" w:sz="4" w:space="0" w:color="auto"/>
            </w:tcBorders>
            <w:vAlign w:val="center"/>
          </w:tcPr>
          <w:p w:rsidR="004B20E5" w:rsidRPr="00693A8E" w:rsidDel="00F67FD0" w:rsidRDefault="004B20E5" w:rsidP="00177FD2">
            <w:pPr>
              <w:pStyle w:val="TableOutcomeMeasure"/>
            </w:pPr>
            <w:r w:rsidRPr="00693A8E">
              <w:t>Adult patients in the denominator whose m</w:t>
            </w:r>
            <w:r>
              <w:t>o</w:t>
            </w:r>
            <w:r w:rsidRPr="00693A8E">
              <w:t>st rece</w:t>
            </w:r>
            <w:r>
              <w:t>nt HbA1c test has a value &gt;9.0%</w:t>
            </w:r>
          </w:p>
        </w:tc>
      </w:tr>
      <w:tr w:rsidR="004B20E5" w:rsidRPr="00693A8E" w:rsidDel="00F67FD0" w:rsidTr="00177FD2">
        <w:trPr>
          <w:cantSplit/>
        </w:trPr>
        <w:tc>
          <w:tcPr>
            <w:tcW w:w="1329" w:type="pct"/>
          </w:tcPr>
          <w:p w:rsidR="004B20E5" w:rsidRPr="00693A8E" w:rsidDel="00F67FD0" w:rsidRDefault="004B20E5" w:rsidP="00177FD2">
            <w:pPr>
              <w:pStyle w:val="TableTitleNumeratoretc"/>
            </w:pPr>
            <w:r w:rsidRPr="00693A8E">
              <w:t xml:space="preserve">Denominator: </w:t>
            </w:r>
          </w:p>
        </w:tc>
        <w:tc>
          <w:tcPr>
            <w:tcW w:w="3671" w:type="pct"/>
            <w:vAlign w:val="center"/>
          </w:tcPr>
          <w:p w:rsidR="004B20E5" w:rsidRPr="00693A8E" w:rsidDel="00F67FD0" w:rsidRDefault="004B20E5" w:rsidP="00177FD2">
            <w:pPr>
              <w:pStyle w:val="TableOutcomeMeasure"/>
            </w:pPr>
            <w:r w:rsidRPr="00693A8E">
              <w:t>Adult patients who are ≥18 years of age and ≤ 75 years of age who have medications dispensed, ordered, or active that are indicative of diabetes</w:t>
            </w:r>
            <w:r w:rsidR="002039CA">
              <w:t xml:space="preserve"> </w:t>
            </w:r>
            <w:r w:rsidRPr="00693A8E">
              <w:t>OR an active diagnosis of diabetes ≤ 2 years with either ≥1 count acute inpatient or emergency department visit or ≥2 counts of non-acute inpatient, outpatient or ophthalmology visits o</w:t>
            </w:r>
            <w:r>
              <w:t>ccurring on two different dates</w:t>
            </w:r>
          </w:p>
        </w:tc>
      </w:tr>
      <w:tr w:rsidR="004B20E5" w:rsidRPr="00693A8E" w:rsidDel="00F67FD0" w:rsidTr="00177FD2">
        <w:trPr>
          <w:cantSplit/>
        </w:trPr>
        <w:tc>
          <w:tcPr>
            <w:tcW w:w="1329" w:type="pct"/>
          </w:tcPr>
          <w:p w:rsidR="004B20E5" w:rsidRPr="00693A8E" w:rsidDel="00F67FD0" w:rsidRDefault="004B20E5" w:rsidP="00177FD2">
            <w:pPr>
              <w:pStyle w:val="TableTitleNumeratoretc"/>
            </w:pPr>
            <w:r w:rsidRPr="00693A8E">
              <w:t xml:space="preserve">Exclusions: </w:t>
            </w:r>
          </w:p>
        </w:tc>
        <w:tc>
          <w:tcPr>
            <w:tcW w:w="3671" w:type="pct"/>
            <w:vAlign w:val="center"/>
          </w:tcPr>
          <w:p w:rsidR="004B20E5" w:rsidRPr="00693A8E" w:rsidDel="00F67FD0" w:rsidRDefault="004B20E5" w:rsidP="00177FD2">
            <w:pPr>
              <w:pStyle w:val="TableOutcomeMeasure"/>
            </w:pPr>
            <w:r w:rsidRPr="00693A8E">
              <w:t>Patients with a diagnosis of polycystic ovaries, gestational diabet</w:t>
            </w:r>
            <w:r>
              <w:t>es, or steroid induced diabetes</w:t>
            </w:r>
          </w:p>
        </w:tc>
      </w:tr>
      <w:tr w:rsidR="004B20E5" w:rsidRPr="00693A8E" w:rsidDel="00F67FD0" w:rsidTr="00177FD2">
        <w:trPr>
          <w:cantSplit/>
        </w:trPr>
        <w:tc>
          <w:tcPr>
            <w:tcW w:w="1329" w:type="pct"/>
            <w:vAlign w:val="center"/>
          </w:tcPr>
          <w:p w:rsidR="004B20E5" w:rsidRPr="00693A8E" w:rsidDel="00F67FD0" w:rsidRDefault="004B20E5" w:rsidP="00177FD2">
            <w:pPr>
              <w:pStyle w:val="TableTitleNumeratoretc"/>
            </w:pPr>
            <w:r w:rsidRPr="00693A8E">
              <w:t>Timeframe:</w:t>
            </w:r>
          </w:p>
        </w:tc>
        <w:tc>
          <w:tcPr>
            <w:tcW w:w="3671" w:type="pct"/>
            <w:vAlign w:val="center"/>
          </w:tcPr>
          <w:p w:rsidR="004B20E5" w:rsidRPr="00693A8E" w:rsidDel="00F67FD0" w:rsidRDefault="004B20E5" w:rsidP="00177FD2">
            <w:pPr>
              <w:pStyle w:val="TableOutcomeMeasure"/>
            </w:pPr>
            <w:r>
              <w:t>Annual</w:t>
            </w:r>
          </w:p>
        </w:tc>
      </w:tr>
      <w:tr w:rsidR="004B20E5" w:rsidRPr="00693A8E" w:rsidDel="00F67FD0" w:rsidTr="00177FD2">
        <w:trPr>
          <w:cantSplit/>
        </w:trPr>
        <w:tc>
          <w:tcPr>
            <w:tcW w:w="1329" w:type="pct"/>
            <w:tcBorders>
              <w:bottom w:val="single" w:sz="4" w:space="0" w:color="auto"/>
            </w:tcBorders>
            <w:vAlign w:val="center"/>
          </w:tcPr>
          <w:p w:rsidR="004B20E5" w:rsidRPr="00693A8E" w:rsidDel="00F67FD0" w:rsidRDefault="004B20E5" w:rsidP="00177FD2">
            <w:pPr>
              <w:pStyle w:val="TableTitleNumeratoretc"/>
            </w:pPr>
            <w:r w:rsidRPr="00693A8E">
              <w:t>How will this be measured?</w:t>
            </w:r>
          </w:p>
        </w:tc>
        <w:tc>
          <w:tcPr>
            <w:tcW w:w="3671" w:type="pct"/>
            <w:tcBorders>
              <w:bottom w:val="single" w:sz="4" w:space="0" w:color="auto"/>
            </w:tcBorders>
            <w:vAlign w:val="center"/>
          </w:tcPr>
          <w:p w:rsidR="004B20E5" w:rsidRPr="00693A8E" w:rsidRDefault="004B20E5" w:rsidP="00177FD2">
            <w:pPr>
              <w:pStyle w:val="TableOutcomeMeasure"/>
            </w:pPr>
            <w:r w:rsidRPr="00693A8E">
              <w:t>Accessing the MHQP data o</w:t>
            </w:r>
            <w:r>
              <w:t>n this quality measure (NQF 34)</w:t>
            </w:r>
          </w:p>
          <w:p w:rsidR="004B20E5" w:rsidRPr="00693A8E" w:rsidDel="00F67FD0" w:rsidRDefault="004B20E5" w:rsidP="00177FD2">
            <w:pPr>
              <w:pStyle w:val="TableOutcomeMeasure"/>
            </w:pPr>
          </w:p>
        </w:tc>
      </w:tr>
    </w:tbl>
    <w:p w:rsidR="004B20E5" w:rsidRDefault="004B20E5" w:rsidP="007C27A3">
      <w:pPr>
        <w:pStyle w:val="TableTenEssenHlthFunct"/>
      </w:pPr>
    </w:p>
    <w:p w:rsidR="004B20E5" w:rsidRDefault="004B20E5" w:rsidP="007C27A3">
      <w:pPr>
        <w:pStyle w:val="TableTenEssenHlthFunct"/>
      </w:pPr>
      <w:r>
        <w:t>Monitor Health to Identify and Solve Community Health Problems</w:t>
      </w:r>
    </w:p>
    <w:p w:rsidR="004B20E5" w:rsidRDefault="004B20E5" w:rsidP="00D00411">
      <w:pPr>
        <w:pStyle w:val="TableStrategiesunderHealthFunctions"/>
      </w:pPr>
      <w:r>
        <w:lastRenderedPageBreak/>
        <w:t>2.4.1</w:t>
      </w:r>
      <w:r>
        <w:tab/>
      </w:r>
      <w:r w:rsidRPr="00CC1326">
        <w:t xml:space="preserve">Increase the use of health information technology (HIT) to improve </w:t>
      </w:r>
      <w:r>
        <w:t>detection and treatment of diabetes.</w:t>
      </w:r>
    </w:p>
    <w:p w:rsidR="004B20E5" w:rsidRDefault="004B20E5" w:rsidP="00D00411">
      <w:pPr>
        <w:pStyle w:val="TableStrategiesunderHealthFunctions"/>
      </w:pPr>
      <w:r>
        <w:t>2.4.2</w:t>
      </w:r>
      <w:r>
        <w:tab/>
        <w:t xml:space="preserve">Use </w:t>
      </w:r>
      <w:r w:rsidR="00F50A8D">
        <w:t>electronic health records (EHR)</w:t>
      </w:r>
      <w:r>
        <w:t xml:space="preserve"> with patient registries to track patient A1C levels.</w:t>
      </w:r>
    </w:p>
    <w:p w:rsidR="004B20E5" w:rsidRPr="006256D0" w:rsidRDefault="004B20E5" w:rsidP="00D00411">
      <w:pPr>
        <w:pStyle w:val="TableStrategiesunderHealthFunctions"/>
      </w:pPr>
      <w:r>
        <w:t>2.4.3</w:t>
      </w:r>
      <w:r>
        <w:tab/>
      </w:r>
      <w:r w:rsidRPr="00107741">
        <w:t>In</w:t>
      </w:r>
      <w:r>
        <w:t xml:space="preserve">crease the institutionalization </w:t>
      </w:r>
      <w:r w:rsidRPr="00107741">
        <w:t>and monitoring of aggregated/standardized quality measures at the provider and systems level</w:t>
      </w:r>
      <w:r>
        <w:t xml:space="preserve"> for diabetes.</w:t>
      </w:r>
    </w:p>
    <w:p w:rsidR="004B20E5" w:rsidRDefault="004B20E5" w:rsidP="007C27A3">
      <w:pPr>
        <w:pStyle w:val="TableTenEssenHlthFunct"/>
      </w:pPr>
      <w:r>
        <w:t xml:space="preserve">Inform, Educate, and Empower People About Health Issues </w:t>
      </w:r>
    </w:p>
    <w:p w:rsidR="004B20E5" w:rsidRDefault="004B20E5" w:rsidP="00D00411">
      <w:pPr>
        <w:pStyle w:val="TableStrategiesunderHealthFunctions"/>
      </w:pPr>
      <w:r>
        <w:t>2.4.4</w:t>
      </w:r>
      <w:r>
        <w:tab/>
      </w:r>
      <w:r w:rsidRPr="00107741">
        <w:t>Promote participation in ADA-recognized, AADE-accredited, state-accredited/certified, and/or Stanford licensed diabetes self-management education (DSME) programs</w:t>
      </w:r>
      <w:r>
        <w:t>.</w:t>
      </w:r>
      <w:r w:rsidRPr="00107741">
        <w:tab/>
      </w:r>
    </w:p>
    <w:p w:rsidR="004B20E5" w:rsidRDefault="004B20E5" w:rsidP="00D00411">
      <w:pPr>
        <w:pStyle w:val="TableStrategiesunderHealthFunctions"/>
      </w:pPr>
      <w:r>
        <w:rPr>
          <w:szCs w:val="22"/>
        </w:rPr>
        <w:t>2.4.5</w:t>
      </w:r>
      <w:r>
        <w:rPr>
          <w:szCs w:val="22"/>
        </w:rPr>
        <w:tab/>
      </w:r>
      <w:r>
        <w:t xml:space="preserve">Promote </w:t>
      </w:r>
      <w:r w:rsidRPr="00EC3BB2">
        <w:t>awareness of prediabetes among people at high risk for type 2 diabetes</w:t>
      </w:r>
      <w:r>
        <w:t xml:space="preserve"> by raising awareness among providers of diabetes screening and resources for diabetes prevention.</w:t>
      </w:r>
    </w:p>
    <w:p w:rsidR="004B20E5" w:rsidRDefault="004B20E5" w:rsidP="007C27A3">
      <w:pPr>
        <w:pStyle w:val="TableTenEssenHlthFunct"/>
      </w:pPr>
      <w:r>
        <w:t xml:space="preserve">Develop Policies and Plans That Support Individual and Community Health Efforts </w:t>
      </w:r>
    </w:p>
    <w:p w:rsidR="004B20E5" w:rsidRPr="006256D0" w:rsidRDefault="004B20E5" w:rsidP="00D00411">
      <w:pPr>
        <w:pStyle w:val="TableStrategiesunderHealthFunctions"/>
      </w:pPr>
      <w:r w:rsidRPr="0046149F">
        <w:rPr>
          <w:szCs w:val="22"/>
        </w:rPr>
        <w:t>2.</w:t>
      </w:r>
      <w:r>
        <w:rPr>
          <w:szCs w:val="22"/>
        </w:rPr>
        <w:t>4.6</w:t>
      </w:r>
      <w:r>
        <w:rPr>
          <w:szCs w:val="22"/>
        </w:rPr>
        <w:tab/>
      </w:r>
      <w:r w:rsidRPr="0046149F">
        <w:rPr>
          <w:szCs w:val="22"/>
        </w:rPr>
        <w:t xml:space="preserve">Promote the implementation of a </w:t>
      </w:r>
      <w:r w:rsidR="00A1594F">
        <w:rPr>
          <w:szCs w:val="22"/>
        </w:rPr>
        <w:t>m</w:t>
      </w:r>
      <w:r w:rsidRPr="0046149F">
        <w:rPr>
          <w:szCs w:val="22"/>
        </w:rPr>
        <w:t xml:space="preserve">edical </w:t>
      </w:r>
      <w:r w:rsidR="00A1594F">
        <w:rPr>
          <w:szCs w:val="22"/>
        </w:rPr>
        <w:t>h</w:t>
      </w:r>
      <w:r w:rsidRPr="0046149F">
        <w:rPr>
          <w:szCs w:val="22"/>
        </w:rPr>
        <w:t>ome model in primary care practices</w:t>
      </w:r>
      <w:r>
        <w:rPr>
          <w:szCs w:val="22"/>
        </w:rPr>
        <w:t xml:space="preserve"> to i</w:t>
      </w:r>
      <w:r>
        <w:t>ncrease the proportion of adults with diabetes who receive recommended clinical services, including vision screening, foot care, and dental care, as well as maintaining A1C.</w:t>
      </w:r>
    </w:p>
    <w:p w:rsidR="004B20E5" w:rsidRDefault="004B20E5" w:rsidP="007C27A3">
      <w:pPr>
        <w:pStyle w:val="TableTenEssenHlthFunct"/>
      </w:pPr>
      <w:r>
        <w:t>Link People to Needed Personal Health Services and Health Care</w:t>
      </w:r>
    </w:p>
    <w:p w:rsidR="004B20E5" w:rsidRDefault="004B20E5" w:rsidP="00D00411">
      <w:pPr>
        <w:pStyle w:val="TableStrategiesunderHealthFunctions"/>
      </w:pPr>
      <w:r w:rsidRPr="0046149F">
        <w:t>2.</w:t>
      </w:r>
      <w:r>
        <w:t>4.7</w:t>
      </w:r>
      <w:r w:rsidRPr="0046149F">
        <w:tab/>
        <w:t xml:space="preserve">Increase </w:t>
      </w:r>
      <w:r>
        <w:t xml:space="preserve">culturally appropriate </w:t>
      </w:r>
      <w:r w:rsidRPr="0046149F">
        <w:t>access, referrals, and reimbursements for CDC-recognized lifestyle change programs for the prevention of Type 2 diabetes.</w:t>
      </w:r>
    </w:p>
    <w:p w:rsidR="004B20E5" w:rsidRPr="006256D0" w:rsidRDefault="004B20E5" w:rsidP="00D00411">
      <w:pPr>
        <w:pStyle w:val="TableStrategiesunderHealthFunctions"/>
      </w:pPr>
      <w:r>
        <w:t>2.4.8</w:t>
      </w:r>
      <w:r>
        <w:tab/>
        <w:t>Increase access and referrals by implemented bi-directional e-Referral in PWTF communities.</w:t>
      </w:r>
    </w:p>
    <w:p w:rsidR="004B20E5" w:rsidRDefault="004B20E5" w:rsidP="007C27A3">
      <w:pPr>
        <w:pStyle w:val="TableTenEssenHlthFunct"/>
      </w:pPr>
      <w:r>
        <w:t>Assure a Competent Public and Personal Healthcare Workforce</w:t>
      </w:r>
    </w:p>
    <w:p w:rsidR="004B20E5" w:rsidRDefault="004B20E5" w:rsidP="00D00411">
      <w:pPr>
        <w:pStyle w:val="TableStrategiesunderHealthFunctions"/>
      </w:pPr>
      <w:r>
        <w:t>2.4.9</w:t>
      </w:r>
      <w:r>
        <w:tab/>
        <w:t xml:space="preserve">Increase </w:t>
      </w:r>
      <w:r w:rsidRPr="00384A7B">
        <w:t xml:space="preserve">engagement of </w:t>
      </w:r>
      <w:r>
        <w:t>community health workers</w:t>
      </w:r>
      <w:r w:rsidRPr="00384A7B">
        <w:t xml:space="preserve"> to promote linkages between </w:t>
      </w:r>
      <w:r>
        <w:t>health care delivery systems</w:t>
      </w:r>
      <w:r w:rsidRPr="00384A7B">
        <w:t xml:space="preserve"> and community resources for </w:t>
      </w:r>
      <w:r>
        <w:t xml:space="preserve">diverse populations of </w:t>
      </w:r>
      <w:r w:rsidRPr="00384A7B">
        <w:t xml:space="preserve">adults with </w:t>
      </w:r>
      <w:r>
        <w:t>diabetes.</w:t>
      </w:r>
      <w:r w:rsidRPr="00384A7B">
        <w:tab/>
      </w:r>
    </w:p>
    <w:p w:rsidR="004B20E5" w:rsidRPr="006256D0" w:rsidRDefault="004B20E5" w:rsidP="00D00411">
      <w:pPr>
        <w:pStyle w:val="TableStrategiesunderHealthFunctions"/>
      </w:pPr>
      <w:r>
        <w:t>2.4.10</w:t>
      </w:r>
      <w:r>
        <w:tab/>
      </w:r>
      <w:r w:rsidRPr="00CC1326">
        <w:t xml:space="preserve">Increase engagement of non-physician team members (i.e., nurses, pharmacists, and </w:t>
      </w:r>
      <w:r>
        <w:t>community health workers</w:t>
      </w:r>
      <w:r w:rsidRPr="00CC1326">
        <w:t xml:space="preserve">) in </w:t>
      </w:r>
      <w:r w:rsidRPr="002A2233">
        <w:t>diabetes</w:t>
      </w:r>
      <w:r w:rsidR="002039CA">
        <w:t xml:space="preserve"> </w:t>
      </w:r>
      <w:r w:rsidRPr="00CC1326">
        <w:t>management in health care systems</w:t>
      </w:r>
      <w:r>
        <w:t>.</w:t>
      </w:r>
    </w:p>
    <w:p w:rsidR="004B20E5" w:rsidRDefault="004B20E5" w:rsidP="007C27A3">
      <w:pPr>
        <w:pStyle w:val="TableTenEssenHlthFunct"/>
      </w:pPr>
      <w:r>
        <w:t>Evaluate Effectiveness, Accessibility, and Quality of Health Services</w:t>
      </w:r>
    </w:p>
    <w:p w:rsidR="004B20E5" w:rsidRPr="006256D0" w:rsidRDefault="004B20E5" w:rsidP="00D00411">
      <w:pPr>
        <w:pStyle w:val="TableStrategiesunderHealthFunctions"/>
      </w:pPr>
      <w:r>
        <w:t>2.4.11</w:t>
      </w:r>
      <w:r>
        <w:tab/>
        <w:t>Evaluate</w:t>
      </w:r>
      <w:r w:rsidR="002039CA">
        <w:t xml:space="preserve"> </w:t>
      </w:r>
      <w:r>
        <w:t xml:space="preserve">the </w:t>
      </w:r>
      <w:r w:rsidDel="00715340">
        <w:t>effectiveness</w:t>
      </w:r>
      <w:r>
        <w:t xml:space="preserve"> of using bi-directional e-Referral within PWTF communities.</w:t>
      </w:r>
    </w:p>
    <w:p w:rsidR="004B20E5" w:rsidRPr="006256D0" w:rsidRDefault="004B20E5" w:rsidP="00D00411">
      <w:pPr>
        <w:pStyle w:val="TableStrategiesunderHealthFunctions"/>
      </w:pPr>
    </w:p>
    <w:p w:rsidR="004B20E5" w:rsidRDefault="00F03799" w:rsidP="00CB2B0E">
      <w:pPr>
        <w:pStyle w:val="ObjectiveStatement"/>
      </w:pPr>
      <w:r>
        <w:rPr>
          <w:noProof/>
        </w:rPr>
        <w:drawing>
          <wp:anchor distT="0" distB="0" distL="114300" distR="114300" simplePos="0" relativeHeight="251646976" behindDoc="0" locked="0" layoutInCell="1" allowOverlap="1" wp14:anchorId="161B506A" wp14:editId="30E8A4F0">
            <wp:simplePos x="0" y="0"/>
            <wp:positionH relativeFrom="column">
              <wp:posOffset>14605</wp:posOffset>
            </wp:positionH>
            <wp:positionV relativeFrom="paragraph">
              <wp:posOffset>411480</wp:posOffset>
            </wp:positionV>
            <wp:extent cx="182880" cy="182880"/>
            <wp:effectExtent l="0" t="0" r="7620" b="7620"/>
            <wp:wrapThrough wrapText="bothSides">
              <wp:wrapPolygon edited="0">
                <wp:start x="2250" y="0"/>
                <wp:lineTo x="0" y="2250"/>
                <wp:lineTo x="0" y="15750"/>
                <wp:lineTo x="2250" y="20250"/>
                <wp:lineTo x="20250" y="20250"/>
                <wp:lineTo x="20250" y="0"/>
                <wp:lineTo x="2250" y="0"/>
              </wp:wrapPolygon>
            </wp:wrapThrough>
            <wp:docPr id="5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4B20E5">
        <w:t xml:space="preserve">Measure </w:t>
      </w:r>
      <w:r w:rsidR="004B20E5" w:rsidRPr="0046149F">
        <w:t>2.</w:t>
      </w:r>
      <w:r w:rsidR="004B20E5">
        <w:t>5</w:t>
      </w:r>
      <w:r w:rsidR="004B20E5" w:rsidRPr="0046149F">
        <w:t xml:space="preserve">:  </w:t>
      </w:r>
      <w:r w:rsidR="004B20E5">
        <w:tab/>
      </w:r>
      <w:r w:rsidR="004B20E5" w:rsidRPr="0046149F">
        <w:t>Reduce</w:t>
      </w:r>
      <w:r w:rsidR="004B20E5">
        <w:t xml:space="preserve"> the at-risk rate of pediatric asthma hospitalizations</w:t>
      </w:r>
      <w:r w:rsidR="002039CA">
        <w:t xml:space="preserve"> </w:t>
      </w:r>
      <w:r w:rsidR="004B20E5">
        <w:t>by 1.5% and the disparity among Black Non-Hispanics by an additional 1%.</w:t>
      </w:r>
    </w:p>
    <w:p w:rsidR="004B20E5" w:rsidRPr="00693A8E" w:rsidRDefault="004B20E5" w:rsidP="00D43661"/>
    <w:tbl>
      <w:tblPr>
        <w:tblW w:w="4108" w:type="pct"/>
        <w:tblInd w:w="1755" w:type="dxa"/>
        <w:tblLayout w:type="fixed"/>
        <w:tblLook w:val="00A0" w:firstRow="1" w:lastRow="0" w:firstColumn="1" w:lastColumn="0" w:noHBand="0" w:noVBand="0"/>
      </w:tblPr>
      <w:tblGrid>
        <w:gridCol w:w="2249"/>
        <w:gridCol w:w="1683"/>
        <w:gridCol w:w="1379"/>
        <w:gridCol w:w="3148"/>
      </w:tblGrid>
      <w:tr w:rsidR="004B20E5" w:rsidRPr="00693A8E" w:rsidTr="00177FD2">
        <w:trPr>
          <w:cantSplit/>
        </w:trPr>
        <w:tc>
          <w:tcPr>
            <w:tcW w:w="1329" w:type="pct"/>
            <w:tcBorders>
              <w:top w:val="single" w:sz="4" w:space="0" w:color="auto"/>
              <w:bottom w:val="single" w:sz="4" w:space="0" w:color="auto"/>
            </w:tcBorders>
            <w:vAlign w:val="center"/>
          </w:tcPr>
          <w:p w:rsidR="004B20E5" w:rsidRPr="00693A8E" w:rsidRDefault="004B20E5" w:rsidP="00663E37">
            <w:pPr>
              <w:pStyle w:val="TableTitleTargetDataSource"/>
            </w:pPr>
            <w:r>
              <w:t>Outcome Indicator</w:t>
            </w:r>
          </w:p>
        </w:tc>
        <w:tc>
          <w:tcPr>
            <w:tcW w:w="995" w:type="pct"/>
            <w:tcBorders>
              <w:top w:val="single" w:sz="4" w:space="0" w:color="auto"/>
              <w:bottom w:val="single" w:sz="4" w:space="0" w:color="auto"/>
            </w:tcBorders>
            <w:vAlign w:val="center"/>
          </w:tcPr>
          <w:p w:rsidR="004B20E5" w:rsidRPr="00693A8E" w:rsidRDefault="004B20E5" w:rsidP="00177FD2">
            <w:pPr>
              <w:pStyle w:val="TableTitleBaseline2020Target"/>
            </w:pPr>
            <w:r w:rsidRPr="00693A8E">
              <w:t>Baseline</w:t>
            </w:r>
          </w:p>
        </w:tc>
        <w:tc>
          <w:tcPr>
            <w:tcW w:w="815" w:type="pct"/>
            <w:tcBorders>
              <w:top w:val="single" w:sz="4" w:space="0" w:color="auto"/>
              <w:bottom w:val="single" w:sz="4" w:space="0" w:color="auto"/>
            </w:tcBorders>
            <w:vAlign w:val="center"/>
          </w:tcPr>
          <w:p w:rsidR="004B20E5" w:rsidRPr="00693A8E" w:rsidRDefault="004B20E5" w:rsidP="00177FD2">
            <w:pPr>
              <w:pStyle w:val="TableTitleBaseline2020Target"/>
            </w:pPr>
            <w:r w:rsidRPr="00693A8E">
              <w:t>2020 Target</w:t>
            </w:r>
          </w:p>
        </w:tc>
        <w:tc>
          <w:tcPr>
            <w:tcW w:w="1861" w:type="pct"/>
            <w:tcBorders>
              <w:top w:val="single" w:sz="4" w:space="0" w:color="auto"/>
              <w:bottom w:val="single" w:sz="4" w:space="0" w:color="auto"/>
            </w:tcBorders>
            <w:vAlign w:val="center"/>
          </w:tcPr>
          <w:p w:rsidR="004B20E5" w:rsidRPr="00693A8E" w:rsidRDefault="004B20E5" w:rsidP="00177FD2">
            <w:pPr>
              <w:pStyle w:val="TableTitleTargetDataSource"/>
            </w:pPr>
            <w:r w:rsidRPr="00693A8E">
              <w:t>Data Source</w:t>
            </w:r>
          </w:p>
        </w:tc>
      </w:tr>
      <w:tr w:rsidR="004B20E5" w:rsidRPr="00693A8E" w:rsidDel="00D62727" w:rsidTr="00DB5DCF">
        <w:trPr>
          <w:cantSplit/>
        </w:trPr>
        <w:tc>
          <w:tcPr>
            <w:tcW w:w="1329" w:type="pct"/>
            <w:tcBorders>
              <w:top w:val="single" w:sz="4" w:space="0" w:color="auto"/>
              <w:bottom w:val="single" w:sz="4" w:space="0" w:color="auto"/>
            </w:tcBorders>
            <w:vAlign w:val="center"/>
          </w:tcPr>
          <w:p w:rsidR="004B20E5" w:rsidRPr="00693A8E" w:rsidDel="00D62727" w:rsidRDefault="004B20E5" w:rsidP="00177FD2">
            <w:pPr>
              <w:pStyle w:val="TableOutcomeMeasure"/>
            </w:pPr>
            <w:r w:rsidRPr="00693A8E">
              <w:t>At-Risk Rate of Pediatric Asthma Hospitalization Overall</w:t>
            </w:r>
          </w:p>
        </w:tc>
        <w:tc>
          <w:tcPr>
            <w:tcW w:w="995" w:type="pct"/>
            <w:tcBorders>
              <w:top w:val="single" w:sz="4" w:space="0" w:color="auto"/>
              <w:bottom w:val="single" w:sz="4" w:space="0" w:color="auto"/>
            </w:tcBorders>
            <w:vAlign w:val="center"/>
          </w:tcPr>
          <w:p w:rsidR="004B20E5" w:rsidRPr="00D43661" w:rsidDel="00D62727" w:rsidRDefault="004B20E5" w:rsidP="00D43661">
            <w:pPr>
              <w:pStyle w:val="TableBaseline2020Target"/>
            </w:pPr>
            <w:r w:rsidRPr="00D43661">
              <w:t>1.86 per 100 persons</w:t>
            </w:r>
          </w:p>
        </w:tc>
        <w:tc>
          <w:tcPr>
            <w:tcW w:w="815" w:type="pct"/>
            <w:tcBorders>
              <w:top w:val="single" w:sz="4" w:space="0" w:color="auto"/>
              <w:bottom w:val="single" w:sz="4" w:space="0" w:color="auto"/>
            </w:tcBorders>
            <w:vAlign w:val="center"/>
          </w:tcPr>
          <w:p w:rsidR="004B20E5" w:rsidRPr="00D43661" w:rsidDel="00D62727" w:rsidRDefault="004B20E5" w:rsidP="00D43661">
            <w:pPr>
              <w:pStyle w:val="TableBaseline2020Target"/>
            </w:pPr>
            <w:r w:rsidRPr="00D43661">
              <w:t>1.83 per 100 person</w:t>
            </w:r>
          </w:p>
        </w:tc>
        <w:tc>
          <w:tcPr>
            <w:tcW w:w="1861" w:type="pct"/>
            <w:tcBorders>
              <w:top w:val="single" w:sz="4" w:space="0" w:color="auto"/>
              <w:bottom w:val="single" w:sz="4" w:space="0" w:color="auto"/>
            </w:tcBorders>
            <w:vAlign w:val="center"/>
          </w:tcPr>
          <w:p w:rsidR="004B20E5" w:rsidRPr="00693A8E" w:rsidDel="00D62727" w:rsidRDefault="004B20E5" w:rsidP="00177FD2">
            <w:pPr>
              <w:pStyle w:val="TableDataSource"/>
            </w:pPr>
            <w:r w:rsidRPr="00693A8E">
              <w:t>BRFSS, Hospital Discharge 2011</w:t>
            </w:r>
          </w:p>
        </w:tc>
      </w:tr>
      <w:tr w:rsidR="004B20E5" w:rsidRPr="00693A8E" w:rsidDel="00D62727" w:rsidTr="00DB5DCF">
        <w:trPr>
          <w:cantSplit/>
        </w:trPr>
        <w:tc>
          <w:tcPr>
            <w:tcW w:w="1329" w:type="pct"/>
            <w:tcBorders>
              <w:top w:val="single" w:sz="4" w:space="0" w:color="auto"/>
              <w:bottom w:val="single" w:sz="4" w:space="0" w:color="auto"/>
            </w:tcBorders>
            <w:vAlign w:val="center"/>
          </w:tcPr>
          <w:p w:rsidR="004B20E5" w:rsidRPr="00693A8E" w:rsidDel="00D62727" w:rsidRDefault="004B20E5" w:rsidP="00177FD2">
            <w:pPr>
              <w:pStyle w:val="TableOutcomeMeasure"/>
            </w:pPr>
            <w:r w:rsidRPr="00693A8E">
              <w:t>At-Risk Rate of Pediatric Asthma Hospitalization, White Non-Hispanic</w:t>
            </w:r>
          </w:p>
        </w:tc>
        <w:tc>
          <w:tcPr>
            <w:tcW w:w="995" w:type="pct"/>
            <w:tcBorders>
              <w:top w:val="single" w:sz="4" w:space="0" w:color="auto"/>
              <w:bottom w:val="single" w:sz="4" w:space="0" w:color="auto"/>
            </w:tcBorders>
            <w:vAlign w:val="center"/>
          </w:tcPr>
          <w:p w:rsidR="004B20E5" w:rsidRPr="00693A8E" w:rsidDel="00D62727" w:rsidRDefault="004B20E5" w:rsidP="00D43661">
            <w:pPr>
              <w:pStyle w:val="TableBaseline2020Target"/>
            </w:pPr>
            <w:r w:rsidRPr="00693A8E">
              <w:t>1.11 per 100 persons</w:t>
            </w:r>
          </w:p>
        </w:tc>
        <w:tc>
          <w:tcPr>
            <w:tcW w:w="815" w:type="pct"/>
            <w:tcBorders>
              <w:top w:val="single" w:sz="4" w:space="0" w:color="auto"/>
              <w:bottom w:val="single" w:sz="4" w:space="0" w:color="auto"/>
            </w:tcBorders>
            <w:vAlign w:val="center"/>
          </w:tcPr>
          <w:p w:rsidR="004B20E5" w:rsidRPr="00474071" w:rsidDel="00D62727" w:rsidRDefault="004B20E5" w:rsidP="00D43661">
            <w:pPr>
              <w:pStyle w:val="TableBaseline2020Target"/>
            </w:pPr>
            <w:r>
              <w:t>1.09 per 100 persons</w:t>
            </w:r>
          </w:p>
        </w:tc>
        <w:tc>
          <w:tcPr>
            <w:tcW w:w="1861" w:type="pct"/>
            <w:tcBorders>
              <w:top w:val="single" w:sz="4" w:space="0" w:color="auto"/>
              <w:bottom w:val="single" w:sz="4" w:space="0" w:color="auto"/>
            </w:tcBorders>
            <w:vAlign w:val="center"/>
          </w:tcPr>
          <w:p w:rsidR="004B20E5" w:rsidRPr="00693A8E" w:rsidDel="00D62727" w:rsidRDefault="004B20E5" w:rsidP="00177FD2">
            <w:pPr>
              <w:pStyle w:val="TableDataSource"/>
            </w:pPr>
            <w:r w:rsidRPr="00693A8E">
              <w:t>BRFSS, Hospital Discharge 2011</w:t>
            </w:r>
          </w:p>
        </w:tc>
      </w:tr>
      <w:tr w:rsidR="004B20E5" w:rsidRPr="00693A8E" w:rsidDel="00D62727" w:rsidTr="00DB5DCF">
        <w:trPr>
          <w:cantSplit/>
        </w:trPr>
        <w:tc>
          <w:tcPr>
            <w:tcW w:w="1329" w:type="pct"/>
            <w:tcBorders>
              <w:top w:val="single" w:sz="4" w:space="0" w:color="auto"/>
              <w:bottom w:val="single" w:sz="4" w:space="0" w:color="auto"/>
            </w:tcBorders>
            <w:vAlign w:val="center"/>
          </w:tcPr>
          <w:p w:rsidR="004B20E5" w:rsidRPr="00693A8E" w:rsidDel="00D62727" w:rsidRDefault="004B20E5" w:rsidP="00641864">
            <w:pPr>
              <w:pStyle w:val="TableOutcomeMeasure"/>
            </w:pPr>
            <w:r>
              <w:t xml:space="preserve">Ratio </w:t>
            </w:r>
            <w:r w:rsidRPr="00693A8E">
              <w:t>At-Risk Rate of Pediatric Asthma Hospitalization</w:t>
            </w:r>
            <w:r>
              <w:t>,</w:t>
            </w:r>
            <w:r w:rsidRPr="00693A8E">
              <w:t xml:space="preserve"> Black Non-Hispanic</w:t>
            </w:r>
            <w:r w:rsidR="002039CA">
              <w:t xml:space="preserve"> </w:t>
            </w:r>
            <w:r w:rsidRPr="00641864">
              <w:t>to At-Risk Rate for White Non-Hispanics</w:t>
            </w:r>
          </w:p>
        </w:tc>
        <w:tc>
          <w:tcPr>
            <w:tcW w:w="995" w:type="pct"/>
            <w:tcBorders>
              <w:top w:val="single" w:sz="4" w:space="0" w:color="auto"/>
              <w:bottom w:val="single" w:sz="4" w:space="0" w:color="auto"/>
            </w:tcBorders>
            <w:vAlign w:val="center"/>
          </w:tcPr>
          <w:p w:rsidR="004B20E5" w:rsidRPr="00693A8E" w:rsidDel="00D62727" w:rsidRDefault="004B20E5" w:rsidP="00D43661">
            <w:pPr>
              <w:pStyle w:val="TableBaseline2020Target"/>
            </w:pPr>
            <w:r>
              <w:t>3.69x(ratio)</w:t>
            </w:r>
          </w:p>
        </w:tc>
        <w:tc>
          <w:tcPr>
            <w:tcW w:w="815" w:type="pct"/>
            <w:tcBorders>
              <w:top w:val="single" w:sz="4" w:space="0" w:color="auto"/>
              <w:bottom w:val="single" w:sz="4" w:space="0" w:color="auto"/>
            </w:tcBorders>
            <w:vAlign w:val="center"/>
          </w:tcPr>
          <w:p w:rsidR="004B20E5" w:rsidRPr="00693A8E" w:rsidDel="00D62727" w:rsidRDefault="004B20E5" w:rsidP="00D43661">
            <w:pPr>
              <w:pStyle w:val="TableBaseline2020Target"/>
            </w:pPr>
            <w:r>
              <w:t>3.62x (ratio)</w:t>
            </w:r>
          </w:p>
        </w:tc>
        <w:tc>
          <w:tcPr>
            <w:tcW w:w="1861" w:type="pct"/>
            <w:tcBorders>
              <w:top w:val="single" w:sz="4" w:space="0" w:color="auto"/>
              <w:bottom w:val="single" w:sz="4" w:space="0" w:color="auto"/>
            </w:tcBorders>
            <w:vAlign w:val="center"/>
          </w:tcPr>
          <w:p w:rsidR="004B20E5" w:rsidRPr="00693A8E" w:rsidDel="00D62727" w:rsidRDefault="004B20E5" w:rsidP="00177FD2">
            <w:pPr>
              <w:pStyle w:val="TableDataSource"/>
            </w:pPr>
            <w:r w:rsidRPr="00693A8E">
              <w:t>BRFSS, Hospital Discharge 2011</w:t>
            </w:r>
          </w:p>
        </w:tc>
      </w:tr>
      <w:tr w:rsidR="004B20E5" w:rsidRPr="00693A8E" w:rsidDel="00D62727" w:rsidTr="00DB5DCF">
        <w:trPr>
          <w:cantSplit/>
        </w:trPr>
        <w:tc>
          <w:tcPr>
            <w:tcW w:w="1329" w:type="pct"/>
            <w:tcBorders>
              <w:top w:val="single" w:sz="4" w:space="0" w:color="auto"/>
              <w:bottom w:val="single" w:sz="4" w:space="0" w:color="auto"/>
            </w:tcBorders>
            <w:vAlign w:val="center"/>
          </w:tcPr>
          <w:p w:rsidR="004B20E5" w:rsidRPr="00693A8E" w:rsidDel="00D62727" w:rsidRDefault="004B20E5" w:rsidP="002039CA">
            <w:pPr>
              <w:pStyle w:val="TableOutcomeMeasure"/>
            </w:pPr>
            <w:r>
              <w:lastRenderedPageBreak/>
              <w:t xml:space="preserve">Ratio </w:t>
            </w:r>
            <w:r w:rsidRPr="00693A8E">
              <w:t>At-Risk Rate of Pediatric Asthma Hospitalization, Hispanic</w:t>
            </w:r>
            <w:r>
              <w:t xml:space="preserve"> to At-</w:t>
            </w:r>
            <w:r w:rsidR="002039CA">
              <w:t>R</w:t>
            </w:r>
            <w:r>
              <w:t xml:space="preserve">isk </w:t>
            </w:r>
            <w:r w:rsidR="002039CA">
              <w:t>R</w:t>
            </w:r>
            <w:r>
              <w:t>ate for White Non-Hispanic</w:t>
            </w:r>
          </w:p>
        </w:tc>
        <w:tc>
          <w:tcPr>
            <w:tcW w:w="995" w:type="pct"/>
            <w:tcBorders>
              <w:top w:val="single" w:sz="4" w:space="0" w:color="auto"/>
              <w:bottom w:val="single" w:sz="4" w:space="0" w:color="auto"/>
            </w:tcBorders>
            <w:vAlign w:val="center"/>
          </w:tcPr>
          <w:p w:rsidR="004B20E5" w:rsidRPr="00693A8E" w:rsidDel="00D62727" w:rsidRDefault="004B20E5" w:rsidP="00D43661">
            <w:pPr>
              <w:pStyle w:val="TableBaseline2020Target"/>
            </w:pPr>
            <w:r>
              <w:t>2.75x (ratio)</w:t>
            </w:r>
          </w:p>
        </w:tc>
        <w:tc>
          <w:tcPr>
            <w:tcW w:w="815" w:type="pct"/>
            <w:tcBorders>
              <w:top w:val="single" w:sz="4" w:space="0" w:color="auto"/>
              <w:bottom w:val="single" w:sz="4" w:space="0" w:color="auto"/>
            </w:tcBorders>
            <w:vAlign w:val="center"/>
          </w:tcPr>
          <w:p w:rsidR="004B20E5" w:rsidRPr="00693A8E" w:rsidDel="00D62727" w:rsidRDefault="004B20E5" w:rsidP="00D43661">
            <w:pPr>
              <w:pStyle w:val="TableBaseline2020Target"/>
            </w:pPr>
            <w:r>
              <w:t>2.69x (ratio)</w:t>
            </w:r>
          </w:p>
        </w:tc>
        <w:tc>
          <w:tcPr>
            <w:tcW w:w="1861" w:type="pct"/>
            <w:tcBorders>
              <w:top w:val="single" w:sz="4" w:space="0" w:color="auto"/>
              <w:bottom w:val="single" w:sz="4" w:space="0" w:color="auto"/>
            </w:tcBorders>
            <w:vAlign w:val="center"/>
          </w:tcPr>
          <w:p w:rsidR="004B20E5" w:rsidRPr="00693A8E" w:rsidDel="00D62727" w:rsidRDefault="004B20E5" w:rsidP="00177FD2">
            <w:pPr>
              <w:pStyle w:val="TableDataSource"/>
            </w:pPr>
            <w:r w:rsidRPr="00693A8E">
              <w:t>BRFSS, Hospital Discharge 2011</w:t>
            </w:r>
          </w:p>
        </w:tc>
      </w:tr>
    </w:tbl>
    <w:p w:rsidR="004B20E5" w:rsidRPr="00693A8E" w:rsidRDefault="004B20E5" w:rsidP="00D43661">
      <w:pPr>
        <w:pStyle w:val="StrategiesCategoryTitles"/>
        <w:rPr>
          <w:b/>
        </w:rPr>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93A8E" w:rsidDel="00F67FD0" w:rsidTr="00DB5DCF">
        <w:trPr>
          <w:cantSplit/>
        </w:trPr>
        <w:tc>
          <w:tcPr>
            <w:tcW w:w="1329" w:type="pct"/>
            <w:tcBorders>
              <w:top w:val="single" w:sz="4" w:space="0" w:color="auto"/>
            </w:tcBorders>
          </w:tcPr>
          <w:p w:rsidR="004B20E5" w:rsidRPr="00693A8E" w:rsidDel="00F67FD0" w:rsidRDefault="004B20E5" w:rsidP="00177FD2">
            <w:pPr>
              <w:pStyle w:val="TableTitleNumeratoretc"/>
            </w:pPr>
            <w:r w:rsidRPr="00693A8E">
              <w:t xml:space="preserve">Numerator: </w:t>
            </w:r>
          </w:p>
        </w:tc>
        <w:tc>
          <w:tcPr>
            <w:tcW w:w="3671" w:type="pct"/>
            <w:tcBorders>
              <w:top w:val="single" w:sz="4" w:space="0" w:color="auto"/>
            </w:tcBorders>
          </w:tcPr>
          <w:p w:rsidR="004B20E5" w:rsidRPr="00693A8E" w:rsidDel="00F67FD0" w:rsidRDefault="004B20E5" w:rsidP="00D43661">
            <w:pPr>
              <w:pStyle w:val="TableOutcomeMeasure"/>
            </w:pPr>
            <w:r w:rsidRPr="00693A8E">
              <w:t xml:space="preserve">The number of patients 0-17 years of age </w:t>
            </w:r>
            <w:r>
              <w:t xml:space="preserve">who </w:t>
            </w:r>
            <w:r w:rsidRPr="00693A8E">
              <w:t>had hospitalization service during the measurement year due to asthma</w:t>
            </w:r>
            <w:r w:rsidR="002039CA">
              <w:t xml:space="preserve"> </w:t>
            </w:r>
            <w:r>
              <w:t>(data source: Hospital Discharge</w:t>
            </w:r>
            <w:r w:rsidR="002039CA">
              <w:t xml:space="preserve"> Data</w:t>
            </w:r>
            <w:r>
              <w:t>)</w:t>
            </w:r>
          </w:p>
        </w:tc>
      </w:tr>
      <w:tr w:rsidR="004B20E5" w:rsidRPr="00693A8E" w:rsidDel="00F67FD0" w:rsidTr="00DB5DCF">
        <w:trPr>
          <w:cantSplit/>
        </w:trPr>
        <w:tc>
          <w:tcPr>
            <w:tcW w:w="1329" w:type="pct"/>
          </w:tcPr>
          <w:p w:rsidR="004B20E5" w:rsidRPr="00693A8E" w:rsidDel="00F67FD0" w:rsidRDefault="004B20E5" w:rsidP="00177FD2">
            <w:pPr>
              <w:pStyle w:val="TableTitleNumeratoretc"/>
            </w:pPr>
            <w:r w:rsidRPr="00693A8E">
              <w:t xml:space="preserve">Denominator: </w:t>
            </w:r>
          </w:p>
        </w:tc>
        <w:tc>
          <w:tcPr>
            <w:tcW w:w="3671" w:type="pct"/>
          </w:tcPr>
          <w:p w:rsidR="004B20E5" w:rsidRPr="00693A8E" w:rsidDel="00F67FD0" w:rsidRDefault="004B20E5" w:rsidP="00D43661">
            <w:pPr>
              <w:pStyle w:val="TableOutcomeMeasure"/>
            </w:pPr>
            <w:r w:rsidRPr="00693A8E">
              <w:t>The number of patients 0 - 17 years of age who currently have asthma</w:t>
            </w:r>
            <w:r>
              <w:t xml:space="preserve"> (data source: BRFSS)</w:t>
            </w:r>
          </w:p>
        </w:tc>
      </w:tr>
      <w:tr w:rsidR="004B20E5" w:rsidRPr="00693A8E" w:rsidDel="00F67FD0" w:rsidTr="00DB5DCF">
        <w:trPr>
          <w:cantSplit/>
        </w:trPr>
        <w:tc>
          <w:tcPr>
            <w:tcW w:w="1329" w:type="pct"/>
          </w:tcPr>
          <w:p w:rsidR="004B20E5" w:rsidRPr="00693A8E" w:rsidDel="00F67FD0" w:rsidRDefault="004B20E5" w:rsidP="00177FD2">
            <w:pPr>
              <w:pStyle w:val="TableTitleNumeratoretc"/>
            </w:pPr>
            <w:r w:rsidRPr="00693A8E">
              <w:t xml:space="preserve">Exclusions: </w:t>
            </w:r>
          </w:p>
        </w:tc>
        <w:tc>
          <w:tcPr>
            <w:tcW w:w="3671" w:type="pct"/>
          </w:tcPr>
          <w:p w:rsidR="004B20E5" w:rsidRPr="00693A8E" w:rsidDel="00F67FD0" w:rsidRDefault="004B20E5" w:rsidP="00D43661">
            <w:pPr>
              <w:pStyle w:val="TableOutcomeMeasure"/>
            </w:pPr>
            <w:r>
              <w:t>None</w:t>
            </w:r>
          </w:p>
        </w:tc>
      </w:tr>
      <w:tr w:rsidR="004B20E5" w:rsidRPr="00693A8E" w:rsidDel="00F67FD0" w:rsidTr="00DB5DCF">
        <w:trPr>
          <w:cantSplit/>
        </w:trPr>
        <w:tc>
          <w:tcPr>
            <w:tcW w:w="1329" w:type="pct"/>
            <w:vAlign w:val="center"/>
          </w:tcPr>
          <w:p w:rsidR="004B20E5" w:rsidRPr="00693A8E" w:rsidDel="00F67FD0" w:rsidRDefault="004B20E5" w:rsidP="00177FD2">
            <w:pPr>
              <w:pStyle w:val="TableTitleNumeratoretc"/>
            </w:pPr>
            <w:r w:rsidRPr="00693A8E">
              <w:t>Timeframe:</w:t>
            </w:r>
          </w:p>
        </w:tc>
        <w:tc>
          <w:tcPr>
            <w:tcW w:w="3671" w:type="pct"/>
          </w:tcPr>
          <w:p w:rsidR="004B20E5" w:rsidRPr="00693A8E" w:rsidDel="00F67FD0" w:rsidRDefault="004B20E5" w:rsidP="00D43661">
            <w:pPr>
              <w:pStyle w:val="TableOutcomeMeasure"/>
            </w:pPr>
            <w:r>
              <w:t>Annual</w:t>
            </w:r>
          </w:p>
        </w:tc>
      </w:tr>
      <w:tr w:rsidR="004B20E5" w:rsidRPr="00666093" w:rsidDel="00F67FD0" w:rsidTr="00DB5DCF">
        <w:trPr>
          <w:cantSplit/>
        </w:trPr>
        <w:tc>
          <w:tcPr>
            <w:tcW w:w="1329" w:type="pct"/>
            <w:tcBorders>
              <w:bottom w:val="single" w:sz="4" w:space="0" w:color="auto"/>
            </w:tcBorders>
            <w:vAlign w:val="center"/>
          </w:tcPr>
          <w:p w:rsidR="004B20E5" w:rsidRPr="00693A8E" w:rsidDel="00F67FD0" w:rsidRDefault="004B20E5" w:rsidP="00177FD2">
            <w:pPr>
              <w:pStyle w:val="TableTitleNumeratoretc"/>
            </w:pPr>
            <w:r w:rsidRPr="00693A8E">
              <w:t>How will this be measured?</w:t>
            </w:r>
          </w:p>
        </w:tc>
        <w:tc>
          <w:tcPr>
            <w:tcW w:w="3671" w:type="pct"/>
            <w:tcBorders>
              <w:bottom w:val="single" w:sz="4" w:space="0" w:color="auto"/>
            </w:tcBorders>
          </w:tcPr>
          <w:p w:rsidR="004B20E5" w:rsidRPr="00CA7899" w:rsidDel="00F67FD0" w:rsidRDefault="004B20E5" w:rsidP="00D43661">
            <w:pPr>
              <w:pStyle w:val="TableOutcomeMeasure"/>
            </w:pPr>
            <w:r>
              <w:t>BRFSS 2011, Hospital Discharge Data</w:t>
            </w:r>
          </w:p>
        </w:tc>
      </w:tr>
    </w:tbl>
    <w:p w:rsidR="004B20E5" w:rsidRDefault="004B20E5" w:rsidP="00D43661">
      <w:pPr>
        <w:pStyle w:val="StrategiesCategoryTitles"/>
      </w:pPr>
    </w:p>
    <w:p w:rsidR="004B20E5" w:rsidRDefault="004B20E5" w:rsidP="007C27A3">
      <w:pPr>
        <w:pStyle w:val="TableTenEssenHlthFunct"/>
      </w:pPr>
      <w:r>
        <w:t>Monitor Health to Identify and Solve Community Health Problems</w:t>
      </w:r>
    </w:p>
    <w:p w:rsidR="004B20E5" w:rsidRDefault="004B20E5" w:rsidP="00D00411">
      <w:pPr>
        <w:pStyle w:val="TableStrategiesunderHealthFunctions"/>
      </w:pPr>
      <w:r>
        <w:t>2.5.1</w:t>
      </w:r>
      <w:r>
        <w:tab/>
        <w:t>Maintain on-going surveillance for asthma.</w:t>
      </w:r>
    </w:p>
    <w:p w:rsidR="004B20E5" w:rsidRDefault="004B20E5" w:rsidP="00D00411">
      <w:pPr>
        <w:pStyle w:val="TableStrategiesunderHealthFunctions"/>
      </w:pPr>
      <w:r>
        <w:t>2.5.2</w:t>
      </w:r>
      <w:r>
        <w:tab/>
        <w:t xml:space="preserve">Prioritize indoor air quality assessments in Massachusetts schools with elevated rates of asthma. </w:t>
      </w:r>
    </w:p>
    <w:p w:rsidR="004B20E5" w:rsidRDefault="004B20E5" w:rsidP="007C27A3">
      <w:pPr>
        <w:pStyle w:val="TableTenEssenHlthFunct"/>
      </w:pPr>
      <w:r>
        <w:t>Mobilize Community Partnerships to Identify and Solve Health Problems</w:t>
      </w:r>
    </w:p>
    <w:p w:rsidR="004B20E5" w:rsidRDefault="004B20E5" w:rsidP="00D00411">
      <w:pPr>
        <w:pStyle w:val="TableStrategiesunderHealthFunctions"/>
      </w:pPr>
      <w:r>
        <w:t>2.5.3</w:t>
      </w:r>
      <w:r>
        <w:tab/>
        <w:t>Promote linkages between primary/specialty care and school nurses to ensure better coordination of care.</w:t>
      </w:r>
    </w:p>
    <w:p w:rsidR="004B20E5" w:rsidRPr="006256D0" w:rsidRDefault="004B20E5" w:rsidP="00D00411">
      <w:pPr>
        <w:pStyle w:val="TableStrategiesunderHealthFunctions"/>
      </w:pPr>
      <w:r>
        <w:t>2.5.4</w:t>
      </w:r>
      <w:r>
        <w:tab/>
        <w:t>Reduce the use of products containing known asthma triggers and asthma causing agents in schools and early childcare settings.</w:t>
      </w:r>
    </w:p>
    <w:p w:rsidR="004B20E5" w:rsidRDefault="004B20E5" w:rsidP="007C27A3">
      <w:pPr>
        <w:pStyle w:val="TableTenEssenHlthFunct"/>
      </w:pPr>
      <w:r>
        <w:t xml:space="preserve">Develop Policies and Plans That Support Individual and Community Health Efforts </w:t>
      </w:r>
    </w:p>
    <w:p w:rsidR="004B20E5" w:rsidRPr="0046149F" w:rsidRDefault="004B20E5" w:rsidP="00D00411">
      <w:pPr>
        <w:pStyle w:val="TableStrategiesunderHealthFunctions"/>
      </w:pPr>
      <w:r w:rsidRPr="0046149F">
        <w:t>2</w:t>
      </w:r>
      <w:r>
        <w:t>.5.5</w:t>
      </w:r>
      <w:r w:rsidRPr="0046149F">
        <w:tab/>
        <w:t>Implement evidence-based, comprehensive</w:t>
      </w:r>
      <w:r>
        <w:t>,</w:t>
      </w:r>
      <w:r w:rsidR="002039CA">
        <w:t xml:space="preserve"> </w:t>
      </w:r>
      <w:r>
        <w:t xml:space="preserve">culturally adaptable </w:t>
      </w:r>
      <w:r w:rsidRPr="0046149F">
        <w:t>programs that include patient self-management, environmental assessment, and remediation (home, school, and workplace)</w:t>
      </w:r>
      <w:r>
        <w:t>.</w:t>
      </w:r>
    </w:p>
    <w:p w:rsidR="004B20E5" w:rsidRPr="006256D0" w:rsidRDefault="004B20E5" w:rsidP="00D00411">
      <w:pPr>
        <w:pStyle w:val="TableStrategiesunderHealthFunctions"/>
      </w:pPr>
      <w:r w:rsidRPr="0046149F">
        <w:t>2</w:t>
      </w:r>
      <w:r>
        <w:t>.5.6</w:t>
      </w:r>
      <w:r w:rsidRPr="0046149F">
        <w:tab/>
        <w:t xml:space="preserve">Implement evidence-based, comprehensive smoking prevention and cessation programs, and include education on the effects of </w:t>
      </w:r>
      <w:r>
        <w:t xml:space="preserve">indoor and outdoor </w:t>
      </w:r>
      <w:r w:rsidRPr="0046149F">
        <w:t>second hand smoke on infants and children.</w:t>
      </w:r>
    </w:p>
    <w:p w:rsidR="004B20E5" w:rsidRDefault="004B20E5" w:rsidP="007C27A3">
      <w:pPr>
        <w:pStyle w:val="TableTenEssenHlthFunct"/>
      </w:pPr>
      <w:r>
        <w:t>Link People to Needed Personal Health Services and Health Care</w:t>
      </w:r>
    </w:p>
    <w:p w:rsidR="004B20E5" w:rsidRPr="006256D0" w:rsidRDefault="004B20E5" w:rsidP="00D00411">
      <w:pPr>
        <w:pStyle w:val="TableStrategiesunderHealthFunctions"/>
      </w:pPr>
      <w:r>
        <w:t xml:space="preserve">2.5.7 </w:t>
      </w:r>
      <w:r>
        <w:tab/>
        <w:t>Ensure utilization of bi-directional e-Referral in PWTF communities.</w:t>
      </w:r>
    </w:p>
    <w:p w:rsidR="004B20E5" w:rsidRDefault="004B20E5" w:rsidP="007C27A3">
      <w:pPr>
        <w:pStyle w:val="TableTenEssenHlthFunct"/>
      </w:pPr>
      <w:r>
        <w:t>Assure a Competent Public and Personal Healthcare Workforce</w:t>
      </w:r>
    </w:p>
    <w:p w:rsidR="004B20E5" w:rsidRPr="006256D0" w:rsidRDefault="004B20E5" w:rsidP="00D00411">
      <w:pPr>
        <w:pStyle w:val="TableStrategiesunderHealthFunctions"/>
      </w:pPr>
      <w:r>
        <w:t>2.5.8</w:t>
      </w:r>
      <w:r>
        <w:tab/>
      </w:r>
      <w:r w:rsidRPr="0046149F">
        <w:t>Promote the use of evidence-based asthma guidelines by primary care providers</w:t>
      </w:r>
      <w:r>
        <w:t xml:space="preserve"> including proper assessment, treatment and education of diverse patient populations and their families.</w:t>
      </w:r>
    </w:p>
    <w:p w:rsidR="004B20E5" w:rsidRDefault="004B20E5" w:rsidP="007C27A3">
      <w:pPr>
        <w:pStyle w:val="TableTenEssenHlthFunct"/>
      </w:pPr>
      <w:r>
        <w:t>Evaluate Effectiveness, Accessibility, and Quality of Health Services</w:t>
      </w:r>
    </w:p>
    <w:p w:rsidR="004B20E5" w:rsidRDefault="004B20E5" w:rsidP="00D00411">
      <w:pPr>
        <w:pStyle w:val="TableStrategiesunderHealthFunctions"/>
      </w:pPr>
      <w:r>
        <w:t>2.5.9</w:t>
      </w:r>
      <w:r>
        <w:tab/>
        <w:t>Evaluate the cost effectiveness of community level interventions for asthma.</w:t>
      </w:r>
    </w:p>
    <w:p w:rsidR="004B20E5" w:rsidRPr="006256D0" w:rsidRDefault="004B20E5" w:rsidP="00D00411">
      <w:pPr>
        <w:pStyle w:val="TableStrategiesunderHealthFunctions"/>
      </w:pPr>
      <w:r>
        <w:t>2.5.10</w:t>
      </w:r>
      <w:r>
        <w:tab/>
        <w:t>Evaluate</w:t>
      </w:r>
      <w:r w:rsidR="002039CA">
        <w:t xml:space="preserve"> </w:t>
      </w:r>
      <w:r>
        <w:t xml:space="preserve">the </w:t>
      </w:r>
      <w:r w:rsidDel="00715340">
        <w:t>effectiveness</w:t>
      </w:r>
      <w:r>
        <w:t xml:space="preserve"> of using bi-directional e-Referral within PWTF communities.</w:t>
      </w:r>
    </w:p>
    <w:p w:rsidR="004B20E5" w:rsidRDefault="004B20E5" w:rsidP="00311521">
      <w:pPr>
        <w:pStyle w:val="StrategiesTitle"/>
      </w:pPr>
    </w:p>
    <w:p w:rsidR="004B20E5" w:rsidRDefault="004B20E5" w:rsidP="00CB2B0E">
      <w:pPr>
        <w:pStyle w:val="ObjectiveStatement"/>
      </w:pPr>
      <w:r>
        <w:t xml:space="preserve">Measure </w:t>
      </w:r>
      <w:r w:rsidRPr="00C55912">
        <w:t>2.</w:t>
      </w:r>
      <w:r>
        <w:t>6:</w:t>
      </w:r>
      <w:r>
        <w:tab/>
        <w:t>Decrease relative percentage of obesity among Massachusetts adults and youth by 5%.</w:t>
      </w:r>
    </w:p>
    <w:p w:rsidR="004B20E5" w:rsidRPr="00196491" w:rsidRDefault="004B20E5" w:rsidP="00E723FC">
      <w:pPr>
        <w:pStyle w:val="StrategiesCategoryTitles"/>
      </w:pP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5346A9">
        <w:trPr>
          <w:cantSplit/>
        </w:trPr>
        <w:tc>
          <w:tcPr>
            <w:tcW w:w="1329" w:type="pct"/>
            <w:tcBorders>
              <w:top w:val="single" w:sz="4" w:space="0" w:color="auto"/>
              <w:bottom w:val="single" w:sz="4" w:space="0" w:color="auto"/>
            </w:tcBorders>
            <w:vAlign w:val="center"/>
          </w:tcPr>
          <w:p w:rsidR="004B20E5" w:rsidRPr="00666093" w:rsidRDefault="004B20E5" w:rsidP="00663E37">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5346A9">
            <w:pPr>
              <w:pStyle w:val="TableTitleBaseline2020Target"/>
            </w:pPr>
            <w:r w:rsidRPr="009171C7">
              <w:t>Baseline</w:t>
            </w:r>
          </w:p>
        </w:tc>
        <w:tc>
          <w:tcPr>
            <w:tcW w:w="905" w:type="pct"/>
            <w:tcBorders>
              <w:top w:val="single" w:sz="4" w:space="0" w:color="auto"/>
              <w:bottom w:val="single" w:sz="4" w:space="0" w:color="auto"/>
            </w:tcBorders>
            <w:vAlign w:val="center"/>
          </w:tcPr>
          <w:p w:rsidR="004B20E5" w:rsidRPr="00666093" w:rsidRDefault="004B20E5" w:rsidP="005346A9">
            <w:pPr>
              <w:pStyle w:val="TableTitleBaseline2020Target"/>
            </w:pPr>
            <w:r w:rsidRPr="009171C7">
              <w:t>2020 Target</w:t>
            </w:r>
          </w:p>
        </w:tc>
        <w:tc>
          <w:tcPr>
            <w:tcW w:w="1861" w:type="pct"/>
            <w:tcBorders>
              <w:top w:val="single" w:sz="4" w:space="0" w:color="auto"/>
              <w:bottom w:val="single" w:sz="4" w:space="0" w:color="auto"/>
            </w:tcBorders>
            <w:vAlign w:val="center"/>
          </w:tcPr>
          <w:p w:rsidR="004B20E5" w:rsidRPr="00666093" w:rsidRDefault="004B20E5" w:rsidP="005346A9">
            <w:pPr>
              <w:pStyle w:val="TableTitleTargetDataSource"/>
            </w:pPr>
            <w:r w:rsidRPr="009171C7">
              <w:t>Data Source</w:t>
            </w:r>
          </w:p>
        </w:tc>
      </w:tr>
      <w:tr w:rsidR="004B20E5" w:rsidRPr="00666093" w:rsidTr="005346A9">
        <w:trPr>
          <w:cantSplit/>
        </w:trPr>
        <w:tc>
          <w:tcPr>
            <w:tcW w:w="1329" w:type="pct"/>
            <w:tcBorders>
              <w:top w:val="single" w:sz="4" w:space="0" w:color="auto"/>
              <w:bottom w:val="single" w:sz="4" w:space="0" w:color="auto"/>
            </w:tcBorders>
            <w:vAlign w:val="center"/>
          </w:tcPr>
          <w:p w:rsidR="004B20E5" w:rsidRPr="00666093" w:rsidRDefault="004B20E5" w:rsidP="00706A2D">
            <w:pPr>
              <w:pStyle w:val="TableOutcomeMeasure"/>
            </w:pPr>
            <w:r w:rsidRPr="009171C7">
              <w:t>Adults</w:t>
            </w:r>
            <w:r>
              <w:t xml:space="preserve"> with a self-reported BMI ≥ 30</w:t>
            </w:r>
          </w:p>
        </w:tc>
        <w:tc>
          <w:tcPr>
            <w:tcW w:w="905" w:type="pct"/>
            <w:tcBorders>
              <w:top w:val="single" w:sz="4" w:space="0" w:color="auto"/>
              <w:bottom w:val="single" w:sz="4" w:space="0" w:color="auto"/>
            </w:tcBorders>
            <w:vAlign w:val="center"/>
          </w:tcPr>
          <w:p w:rsidR="004B20E5" w:rsidRPr="00666093" w:rsidRDefault="004B20E5" w:rsidP="00706A2D">
            <w:pPr>
              <w:pStyle w:val="TableBaseline2020Target"/>
            </w:pPr>
            <w:r>
              <w:t>22.9%</w:t>
            </w:r>
          </w:p>
        </w:tc>
        <w:tc>
          <w:tcPr>
            <w:tcW w:w="905" w:type="pct"/>
            <w:tcBorders>
              <w:top w:val="single" w:sz="4" w:space="0" w:color="auto"/>
              <w:bottom w:val="single" w:sz="4" w:space="0" w:color="auto"/>
            </w:tcBorders>
            <w:vAlign w:val="center"/>
          </w:tcPr>
          <w:p w:rsidR="004B20E5" w:rsidRPr="00666093" w:rsidRDefault="004B20E5" w:rsidP="00706A2D">
            <w:pPr>
              <w:pStyle w:val="TableBaseline2020Target"/>
            </w:pPr>
            <w:r>
              <w:t>21.8%</w:t>
            </w:r>
          </w:p>
        </w:tc>
        <w:tc>
          <w:tcPr>
            <w:tcW w:w="1861" w:type="pct"/>
            <w:tcBorders>
              <w:top w:val="single" w:sz="4" w:space="0" w:color="auto"/>
              <w:bottom w:val="single" w:sz="4" w:space="0" w:color="auto"/>
            </w:tcBorders>
            <w:vAlign w:val="center"/>
          </w:tcPr>
          <w:p w:rsidR="004B20E5" w:rsidRPr="00666093" w:rsidRDefault="004B20E5" w:rsidP="00706A2D">
            <w:pPr>
              <w:pStyle w:val="TableDataSource"/>
            </w:pPr>
            <w:r w:rsidRPr="00AD3DCE">
              <w:t>BRFSS</w:t>
            </w:r>
          </w:p>
        </w:tc>
      </w:tr>
      <w:tr w:rsidR="004B20E5" w:rsidRPr="00666093" w:rsidTr="005346A9">
        <w:trPr>
          <w:cantSplit/>
        </w:trPr>
        <w:tc>
          <w:tcPr>
            <w:tcW w:w="1329" w:type="pct"/>
            <w:tcBorders>
              <w:top w:val="single" w:sz="4" w:space="0" w:color="auto"/>
              <w:bottom w:val="single" w:sz="4" w:space="0" w:color="auto"/>
            </w:tcBorders>
            <w:vAlign w:val="center"/>
          </w:tcPr>
          <w:p w:rsidR="004B20E5" w:rsidRPr="00666093" w:rsidRDefault="004B20E5" w:rsidP="00706A2D">
            <w:pPr>
              <w:pStyle w:val="TableOutcomeMeasure"/>
            </w:pPr>
            <w:r>
              <w:lastRenderedPageBreak/>
              <w:t>Massachusetts public school students in grades 1, 4, 7 or 10 who were screened for BMI and had a BMI ≥ 30</w:t>
            </w:r>
          </w:p>
        </w:tc>
        <w:tc>
          <w:tcPr>
            <w:tcW w:w="905" w:type="pct"/>
            <w:tcBorders>
              <w:top w:val="single" w:sz="4" w:space="0" w:color="auto"/>
              <w:bottom w:val="single" w:sz="4" w:space="0" w:color="auto"/>
            </w:tcBorders>
            <w:vAlign w:val="center"/>
          </w:tcPr>
          <w:p w:rsidR="004B20E5" w:rsidRPr="00666093" w:rsidRDefault="004B20E5" w:rsidP="00706A2D">
            <w:pPr>
              <w:pStyle w:val="TableBaseline2020Target"/>
            </w:pPr>
            <w:r>
              <w:t>15.7%</w:t>
            </w:r>
          </w:p>
        </w:tc>
        <w:tc>
          <w:tcPr>
            <w:tcW w:w="905" w:type="pct"/>
            <w:tcBorders>
              <w:top w:val="single" w:sz="4" w:space="0" w:color="auto"/>
              <w:bottom w:val="single" w:sz="4" w:space="0" w:color="auto"/>
            </w:tcBorders>
            <w:vAlign w:val="center"/>
          </w:tcPr>
          <w:p w:rsidR="004B20E5" w:rsidRPr="00666093" w:rsidRDefault="004B20E5" w:rsidP="00706A2D">
            <w:pPr>
              <w:pStyle w:val="TableBaseline2020Target"/>
            </w:pPr>
            <w:r>
              <w:t>14.9%</w:t>
            </w:r>
          </w:p>
        </w:tc>
        <w:tc>
          <w:tcPr>
            <w:tcW w:w="1861" w:type="pct"/>
            <w:tcBorders>
              <w:top w:val="single" w:sz="4" w:space="0" w:color="auto"/>
              <w:bottom w:val="single" w:sz="4" w:space="0" w:color="auto"/>
            </w:tcBorders>
            <w:vAlign w:val="center"/>
          </w:tcPr>
          <w:p w:rsidR="004B20E5" w:rsidRPr="00666093" w:rsidRDefault="004B20E5" w:rsidP="00706A2D">
            <w:pPr>
              <w:pStyle w:val="TableDataSource"/>
            </w:pPr>
            <w:r>
              <w:t>Body Mass Index Screening in Massachusetts Public School Districts</w:t>
            </w:r>
          </w:p>
        </w:tc>
      </w:tr>
    </w:tbl>
    <w:p w:rsidR="004B20E5" w:rsidRDefault="004B20E5" w:rsidP="00CA7899">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C83C9C">
        <w:trPr>
          <w:cantSplit/>
        </w:trPr>
        <w:tc>
          <w:tcPr>
            <w:tcW w:w="1329" w:type="pct"/>
            <w:tcBorders>
              <w:top w:val="single" w:sz="4" w:space="0" w:color="auto"/>
            </w:tcBorders>
          </w:tcPr>
          <w:p w:rsidR="004B20E5" w:rsidRPr="009171C7" w:rsidDel="00F67FD0" w:rsidRDefault="004B20E5" w:rsidP="00C83C9C">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C83C9C">
            <w:pPr>
              <w:pStyle w:val="TableOutcomeMeasure"/>
            </w:pPr>
            <w:r>
              <w:t>Adults with a self-reported BMI ≥ 30</w:t>
            </w:r>
          </w:p>
        </w:tc>
      </w:tr>
      <w:tr w:rsidR="004B20E5" w:rsidRPr="00666093" w:rsidDel="00F67FD0" w:rsidTr="00C83C9C">
        <w:trPr>
          <w:cantSplit/>
        </w:trPr>
        <w:tc>
          <w:tcPr>
            <w:tcW w:w="1329" w:type="pct"/>
          </w:tcPr>
          <w:p w:rsidR="004B20E5" w:rsidRPr="009171C7" w:rsidDel="00F67FD0" w:rsidRDefault="004B20E5" w:rsidP="00C83C9C">
            <w:pPr>
              <w:pStyle w:val="TableTitleNumeratoretc"/>
            </w:pPr>
            <w:r w:rsidRPr="00A367E5">
              <w:t>Denominator</w:t>
            </w:r>
            <w:r>
              <w:t>:</w:t>
            </w:r>
          </w:p>
        </w:tc>
        <w:tc>
          <w:tcPr>
            <w:tcW w:w="3671" w:type="pct"/>
            <w:vAlign w:val="center"/>
          </w:tcPr>
          <w:p w:rsidR="004B20E5" w:rsidRPr="00391134" w:rsidDel="00F67FD0" w:rsidRDefault="004B20E5" w:rsidP="00C83C9C">
            <w:pPr>
              <w:pStyle w:val="TableOutcomeMeasure"/>
            </w:pPr>
            <w:r>
              <w:t>All adults that report both a height and a weight during the administration of BRFSS</w:t>
            </w:r>
          </w:p>
        </w:tc>
      </w:tr>
      <w:tr w:rsidR="004B20E5" w:rsidRPr="00666093" w:rsidDel="00F67FD0" w:rsidTr="00C83C9C">
        <w:trPr>
          <w:cantSplit/>
        </w:trPr>
        <w:tc>
          <w:tcPr>
            <w:tcW w:w="1329" w:type="pct"/>
          </w:tcPr>
          <w:p w:rsidR="004B20E5" w:rsidRPr="009171C7" w:rsidDel="00F67FD0" w:rsidRDefault="004B20E5" w:rsidP="00C83C9C">
            <w:pPr>
              <w:pStyle w:val="TableTitleNumeratoretc"/>
            </w:pPr>
            <w:r w:rsidRPr="00A367E5">
              <w:t>Exclusions</w:t>
            </w:r>
            <w:r>
              <w:t>:</w:t>
            </w:r>
          </w:p>
        </w:tc>
        <w:tc>
          <w:tcPr>
            <w:tcW w:w="3671" w:type="pct"/>
            <w:vAlign w:val="center"/>
          </w:tcPr>
          <w:p w:rsidR="004B20E5" w:rsidRPr="00391134" w:rsidDel="00F67FD0" w:rsidRDefault="004B20E5" w:rsidP="00C83C9C">
            <w:pPr>
              <w:pStyle w:val="TableOutcomeMeasure"/>
            </w:pPr>
            <w:r>
              <w:t>None</w:t>
            </w:r>
          </w:p>
        </w:tc>
      </w:tr>
      <w:tr w:rsidR="004B20E5" w:rsidRPr="00666093" w:rsidDel="00F67FD0" w:rsidTr="00C83C9C">
        <w:trPr>
          <w:cantSplit/>
        </w:trPr>
        <w:tc>
          <w:tcPr>
            <w:tcW w:w="1329" w:type="pct"/>
            <w:vAlign w:val="center"/>
          </w:tcPr>
          <w:p w:rsidR="004B20E5" w:rsidRPr="009171C7" w:rsidDel="00F67FD0" w:rsidRDefault="004B20E5" w:rsidP="00C83C9C">
            <w:pPr>
              <w:pStyle w:val="TableTitleNumeratoretc"/>
            </w:pPr>
            <w:r w:rsidRPr="00F67FD0">
              <w:t>Timeframe</w:t>
            </w:r>
            <w:r>
              <w:t>:</w:t>
            </w:r>
          </w:p>
        </w:tc>
        <w:tc>
          <w:tcPr>
            <w:tcW w:w="3671" w:type="pct"/>
            <w:vAlign w:val="center"/>
          </w:tcPr>
          <w:p w:rsidR="004B20E5" w:rsidRPr="00391134" w:rsidDel="00F67FD0" w:rsidRDefault="004B20E5" w:rsidP="00C83C9C">
            <w:pPr>
              <w:pStyle w:val="TableOutcomeMeasure"/>
            </w:pPr>
            <w:r>
              <w:t>Annual</w:t>
            </w:r>
          </w:p>
        </w:tc>
      </w:tr>
      <w:tr w:rsidR="004B20E5" w:rsidRPr="00666093" w:rsidDel="00F67FD0" w:rsidTr="00C83C9C">
        <w:trPr>
          <w:cantSplit/>
        </w:trPr>
        <w:tc>
          <w:tcPr>
            <w:tcW w:w="1329" w:type="pct"/>
            <w:tcBorders>
              <w:bottom w:val="single" w:sz="4" w:space="0" w:color="auto"/>
            </w:tcBorders>
            <w:vAlign w:val="center"/>
          </w:tcPr>
          <w:p w:rsidR="004B20E5" w:rsidRPr="009171C7" w:rsidDel="00F67FD0" w:rsidRDefault="004B20E5" w:rsidP="00C83C9C">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292093">
            <w:pPr>
              <w:pStyle w:val="TableOutcomeMeasure"/>
            </w:pPr>
            <w:r>
              <w:t>BRFSS 2011</w:t>
            </w:r>
          </w:p>
        </w:tc>
      </w:tr>
    </w:tbl>
    <w:p w:rsidR="004B20E5" w:rsidRDefault="004B20E5" w:rsidP="00CA7899">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7348F7">
        <w:trPr>
          <w:cantSplit/>
        </w:trPr>
        <w:tc>
          <w:tcPr>
            <w:tcW w:w="1329" w:type="pct"/>
            <w:tcBorders>
              <w:top w:val="single" w:sz="4" w:space="0" w:color="auto"/>
            </w:tcBorders>
          </w:tcPr>
          <w:p w:rsidR="004B20E5" w:rsidRPr="009171C7" w:rsidDel="00F67FD0" w:rsidRDefault="004B20E5" w:rsidP="004C0088">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7348F7">
            <w:pPr>
              <w:pStyle w:val="TableOutcomeMeasure"/>
            </w:pPr>
            <w:r>
              <w:t>Massachusetts public school students in grades 1, 4, 7 or 10 who had a calculated BMI of ≥ 30</w:t>
            </w:r>
          </w:p>
        </w:tc>
      </w:tr>
      <w:tr w:rsidR="004B20E5" w:rsidRPr="00666093" w:rsidDel="00F67FD0" w:rsidTr="007348F7">
        <w:trPr>
          <w:cantSplit/>
        </w:trPr>
        <w:tc>
          <w:tcPr>
            <w:tcW w:w="1329" w:type="pct"/>
          </w:tcPr>
          <w:p w:rsidR="004B20E5" w:rsidRPr="009171C7" w:rsidDel="00F67FD0" w:rsidRDefault="004B20E5" w:rsidP="004C0088">
            <w:pPr>
              <w:pStyle w:val="TableTitleNumeratoretc"/>
            </w:pPr>
            <w:r w:rsidRPr="00A367E5">
              <w:t>Denominator</w:t>
            </w:r>
            <w:r>
              <w:t>:</w:t>
            </w:r>
          </w:p>
        </w:tc>
        <w:tc>
          <w:tcPr>
            <w:tcW w:w="3671" w:type="pct"/>
            <w:vAlign w:val="center"/>
          </w:tcPr>
          <w:p w:rsidR="004B20E5" w:rsidRPr="00391134" w:rsidDel="00F67FD0" w:rsidRDefault="004B20E5" w:rsidP="007348F7">
            <w:pPr>
              <w:pStyle w:val="TableOutcomeMeasure"/>
            </w:pPr>
            <w:r>
              <w:t>Massachusetts public school students in grades 1, 4, 7 or 10 who were screened for BMI</w:t>
            </w:r>
          </w:p>
        </w:tc>
      </w:tr>
      <w:tr w:rsidR="004B20E5" w:rsidRPr="00666093" w:rsidDel="00F67FD0" w:rsidTr="007348F7">
        <w:trPr>
          <w:cantSplit/>
        </w:trPr>
        <w:tc>
          <w:tcPr>
            <w:tcW w:w="1329" w:type="pct"/>
          </w:tcPr>
          <w:p w:rsidR="004B20E5" w:rsidRPr="009171C7" w:rsidDel="00F67FD0" w:rsidRDefault="004B20E5" w:rsidP="004C0088">
            <w:pPr>
              <w:pStyle w:val="TableTitleNumeratoretc"/>
            </w:pPr>
            <w:r w:rsidRPr="00A367E5">
              <w:t>Exclusions</w:t>
            </w:r>
            <w:r>
              <w:t>:</w:t>
            </w:r>
          </w:p>
        </w:tc>
        <w:tc>
          <w:tcPr>
            <w:tcW w:w="3671" w:type="pct"/>
            <w:vAlign w:val="center"/>
          </w:tcPr>
          <w:p w:rsidR="004B20E5" w:rsidRPr="00391134" w:rsidDel="00F67FD0" w:rsidRDefault="004B20E5" w:rsidP="007348F7">
            <w:pPr>
              <w:pStyle w:val="TableOutcomeMeasure"/>
            </w:pPr>
            <w:r>
              <w:t>None</w:t>
            </w:r>
          </w:p>
        </w:tc>
      </w:tr>
      <w:tr w:rsidR="004B20E5" w:rsidRPr="00666093" w:rsidDel="00F67FD0" w:rsidTr="007348F7">
        <w:trPr>
          <w:cantSplit/>
        </w:trPr>
        <w:tc>
          <w:tcPr>
            <w:tcW w:w="1329" w:type="pct"/>
            <w:vAlign w:val="center"/>
          </w:tcPr>
          <w:p w:rsidR="004B20E5" w:rsidRPr="009171C7" w:rsidDel="00F67FD0" w:rsidRDefault="004B20E5" w:rsidP="004C0088">
            <w:pPr>
              <w:pStyle w:val="TableTitleNumeratoretc"/>
            </w:pPr>
            <w:r w:rsidRPr="00F67FD0">
              <w:t>Timeframe</w:t>
            </w:r>
            <w:r>
              <w:t>:</w:t>
            </w:r>
          </w:p>
        </w:tc>
        <w:tc>
          <w:tcPr>
            <w:tcW w:w="3671" w:type="pct"/>
            <w:vAlign w:val="center"/>
          </w:tcPr>
          <w:p w:rsidR="004B20E5" w:rsidRPr="00391134" w:rsidDel="00F67FD0" w:rsidRDefault="004B20E5" w:rsidP="007348F7">
            <w:pPr>
              <w:pStyle w:val="TableOutcomeMeasure"/>
            </w:pPr>
            <w:r>
              <w:t>Annual</w:t>
            </w:r>
          </w:p>
        </w:tc>
      </w:tr>
      <w:tr w:rsidR="004B20E5" w:rsidRPr="00666093" w:rsidDel="00F67FD0" w:rsidTr="007348F7">
        <w:trPr>
          <w:cantSplit/>
        </w:trPr>
        <w:tc>
          <w:tcPr>
            <w:tcW w:w="1329" w:type="pct"/>
            <w:tcBorders>
              <w:bottom w:val="single" w:sz="4" w:space="0" w:color="auto"/>
            </w:tcBorders>
            <w:vAlign w:val="center"/>
          </w:tcPr>
          <w:p w:rsidR="004B20E5" w:rsidRPr="009171C7" w:rsidDel="00F67FD0" w:rsidRDefault="004B20E5" w:rsidP="004C0088">
            <w:pPr>
              <w:pStyle w:val="TableTitleNumeratoretc"/>
            </w:pPr>
            <w:r w:rsidRPr="00F67FD0">
              <w:t>How will this be measured?</w:t>
            </w:r>
          </w:p>
        </w:tc>
        <w:tc>
          <w:tcPr>
            <w:tcW w:w="3671" w:type="pct"/>
            <w:tcBorders>
              <w:bottom w:val="single" w:sz="4" w:space="0" w:color="auto"/>
            </w:tcBorders>
            <w:vAlign w:val="center"/>
          </w:tcPr>
          <w:p w:rsidR="004B20E5" w:rsidRDefault="004B20E5" w:rsidP="007348F7">
            <w:pPr>
              <w:pStyle w:val="TableOutcomeMeasure"/>
            </w:pPr>
            <w:r>
              <w:t>Annual data collection as part of a legislative mandate</w:t>
            </w:r>
          </w:p>
          <w:p w:rsidR="004B20E5" w:rsidRPr="00391134" w:rsidDel="00F67FD0" w:rsidRDefault="004B20E5" w:rsidP="007348F7">
            <w:pPr>
              <w:pStyle w:val="TableOutcomeMeasure"/>
            </w:pPr>
          </w:p>
        </w:tc>
      </w:tr>
    </w:tbl>
    <w:p w:rsidR="004B20E5" w:rsidRDefault="004B20E5" w:rsidP="007348F7">
      <w:pPr>
        <w:pStyle w:val="StrategiesCategoryTitles"/>
      </w:pPr>
    </w:p>
    <w:p w:rsidR="004B20E5" w:rsidRDefault="004B20E5" w:rsidP="007C27A3">
      <w:pPr>
        <w:pStyle w:val="TableTenEssenHlthFunct"/>
      </w:pPr>
      <w:r>
        <w:t>Diagnose and Investigate Health Problems and Hazards in the Community</w:t>
      </w:r>
    </w:p>
    <w:p w:rsidR="004B20E5" w:rsidRDefault="004B20E5" w:rsidP="00292093">
      <w:pPr>
        <w:pStyle w:val="TableStrategiesunderHealthFunctions"/>
      </w:pPr>
      <w:r>
        <w:t>2</w:t>
      </w:r>
      <w:r w:rsidRPr="00B35010">
        <w:t>.</w:t>
      </w:r>
      <w:r>
        <w:t>6</w:t>
      </w:r>
      <w:r w:rsidRPr="00B35010">
        <w:t>.</w:t>
      </w:r>
      <w:r>
        <w:t>1</w:t>
      </w:r>
      <w:r w:rsidRPr="00B35010">
        <w:tab/>
      </w:r>
      <w:r>
        <w:t xml:space="preserve">Conduct environmental scan of fruit and vegetable pricing in different communities with an emphasis on </w:t>
      </w:r>
      <w:r w:rsidRPr="00B35010">
        <w:t>low-income neighborhoods</w:t>
      </w:r>
      <w:r>
        <w:t>, analyze results.</w:t>
      </w:r>
    </w:p>
    <w:p w:rsidR="004B20E5" w:rsidRPr="006256D0" w:rsidRDefault="004B20E5" w:rsidP="00292093">
      <w:pPr>
        <w:pStyle w:val="TableStrategiesunderHealthFunctions"/>
      </w:pPr>
      <w:r>
        <w:t>2.6.2</w:t>
      </w:r>
      <w:r>
        <w:tab/>
        <w:t>Work with local health officials to ensure regular inspections of farmer’s markets.</w:t>
      </w:r>
    </w:p>
    <w:p w:rsidR="004B20E5" w:rsidRDefault="004B20E5" w:rsidP="007C27A3">
      <w:pPr>
        <w:pStyle w:val="TableTenEssenHlthFunct"/>
      </w:pPr>
      <w:r>
        <w:t>Inform, Educate, and Empower People About Health Issues</w:t>
      </w:r>
    </w:p>
    <w:p w:rsidR="004B20E5" w:rsidRDefault="004B20E5" w:rsidP="005F23F3">
      <w:pPr>
        <w:pStyle w:val="TableStrategiesunderHealthFunctions"/>
      </w:pPr>
      <w:r>
        <w:t xml:space="preserve">2.6.3 </w:t>
      </w:r>
      <w:r>
        <w:tab/>
        <w:t>Educate on obesity and associated complications, as well as appropriate prevention and control strategies including physical activity guidelines and healthy eating choices.</w:t>
      </w:r>
    </w:p>
    <w:p w:rsidR="004B20E5" w:rsidRPr="006256D0" w:rsidRDefault="004B20E5" w:rsidP="005F23F3">
      <w:pPr>
        <w:pStyle w:val="TableStrategiesunderHealthFunctions"/>
      </w:pPr>
      <w:r>
        <w:t>2.6.4</w:t>
      </w:r>
      <w:r>
        <w:tab/>
        <w:t>Target the consumption of sugar-sweetened beverages among youth through educating parents on the potentially life-long consequences and providing resources to change their habits.</w:t>
      </w:r>
    </w:p>
    <w:p w:rsidR="004B20E5" w:rsidRDefault="004B20E5" w:rsidP="007C27A3">
      <w:pPr>
        <w:pStyle w:val="TableTenEssenHlthFunct"/>
      </w:pPr>
      <w:r>
        <w:t>Mobilize Community Partnerships to Identify and Solve Health Problems</w:t>
      </w:r>
    </w:p>
    <w:p w:rsidR="004B20E5" w:rsidRDefault="004B20E5" w:rsidP="00292093">
      <w:pPr>
        <w:pStyle w:val="TableStrategiesunderHealthFunctions"/>
      </w:pPr>
      <w:r>
        <w:t>2.6.5</w:t>
      </w:r>
      <w:r>
        <w:tab/>
        <w:t>Work with communities, businesses, and local/state agencies to expand active living options (e.g., school site planning, improved transit, bike lanes, bike paths, pedestrian paths, and sidewalks).</w:t>
      </w:r>
    </w:p>
    <w:p w:rsidR="004B20E5" w:rsidRDefault="004B20E5" w:rsidP="007C27A3">
      <w:pPr>
        <w:pStyle w:val="TableTenEssenHlthFunct"/>
      </w:pPr>
      <w:r>
        <w:t xml:space="preserve">Develop Policies and Plans That Support Individual and Community Health Efforts </w:t>
      </w:r>
    </w:p>
    <w:p w:rsidR="004B20E5" w:rsidRDefault="004B20E5" w:rsidP="00D00411">
      <w:pPr>
        <w:pStyle w:val="TableStrategiesunderHealthFunctions"/>
      </w:pPr>
      <w:r w:rsidRPr="00656EDE">
        <w:t>2.</w:t>
      </w:r>
      <w:r>
        <w:t>6.6</w:t>
      </w:r>
      <w:r w:rsidRPr="00656EDE">
        <w:tab/>
        <w:t xml:space="preserve">Implement BMI screening and </w:t>
      </w:r>
      <w:r>
        <w:t xml:space="preserve">culturally and linguistically appropriate </w:t>
      </w:r>
      <w:r w:rsidRPr="00656EDE">
        <w:t>counseling as a routine part of primary care and promote appropriate referrals, including for physical activity and nutrition resources in the community.</w:t>
      </w:r>
    </w:p>
    <w:p w:rsidR="004B20E5" w:rsidRPr="00292093" w:rsidRDefault="004B20E5" w:rsidP="00292093">
      <w:pPr>
        <w:ind w:left="2790" w:hanging="810"/>
        <w:rPr>
          <w:rFonts w:cs="Arial"/>
          <w:sz w:val="20"/>
          <w:szCs w:val="24"/>
        </w:rPr>
      </w:pPr>
      <w:r>
        <w:rPr>
          <w:rFonts w:cs="Arial"/>
          <w:sz w:val="20"/>
          <w:szCs w:val="24"/>
        </w:rPr>
        <w:t>2.6.7</w:t>
      </w:r>
      <w:r w:rsidRPr="00292093">
        <w:rPr>
          <w:rFonts w:cs="Arial"/>
          <w:sz w:val="20"/>
          <w:szCs w:val="24"/>
        </w:rPr>
        <w:tab/>
        <w:t>Create and support open, accessible, and safe space for physical activity and recreation(e.g.</w:t>
      </w:r>
      <w:r>
        <w:rPr>
          <w:rFonts w:cs="Arial"/>
          <w:sz w:val="20"/>
          <w:szCs w:val="24"/>
        </w:rPr>
        <w:t>,</w:t>
      </w:r>
      <w:r w:rsidRPr="00292093">
        <w:rPr>
          <w:rFonts w:cs="Arial"/>
          <w:sz w:val="20"/>
          <w:szCs w:val="24"/>
        </w:rPr>
        <w:t xml:space="preserve"> number of parks, playgrounds and public pools, acreage of protected open space, number of communities that have passed the Community Preservation Act). </w:t>
      </w:r>
    </w:p>
    <w:p w:rsidR="004B20E5" w:rsidRPr="00292093" w:rsidRDefault="004B20E5" w:rsidP="00292093">
      <w:pPr>
        <w:spacing w:before="60"/>
        <w:ind w:left="1987" w:hanging="360"/>
        <w:rPr>
          <w:rFonts w:cs="Arial"/>
          <w:b/>
          <w:i/>
          <w:color w:val="000000"/>
          <w:sz w:val="20"/>
          <w:szCs w:val="20"/>
        </w:rPr>
      </w:pPr>
      <w:r>
        <w:rPr>
          <w:rFonts w:cs="Arial"/>
          <w:b/>
          <w:i/>
          <w:color w:val="000000"/>
          <w:sz w:val="20"/>
          <w:szCs w:val="20"/>
        </w:rPr>
        <w:t>Enforce Laws and Regulations That Protect Health and Ensure Safety</w:t>
      </w:r>
    </w:p>
    <w:p w:rsidR="004B20E5" w:rsidRPr="00292093" w:rsidRDefault="004B20E5" w:rsidP="00292093">
      <w:pPr>
        <w:ind w:left="2790" w:hanging="810"/>
        <w:rPr>
          <w:rFonts w:cs="Arial"/>
          <w:sz w:val="20"/>
          <w:szCs w:val="24"/>
        </w:rPr>
      </w:pPr>
      <w:r>
        <w:rPr>
          <w:rFonts w:cs="Arial"/>
          <w:sz w:val="20"/>
          <w:szCs w:val="24"/>
        </w:rPr>
        <w:t>2.6.8</w:t>
      </w:r>
      <w:r w:rsidRPr="00292093">
        <w:rPr>
          <w:rFonts w:cs="Arial"/>
          <w:sz w:val="20"/>
          <w:szCs w:val="24"/>
        </w:rPr>
        <w:tab/>
        <w:t>Encourage MassDOT to fully implement Active Streets Legislation as measured by the appropriation of funds for implementation.</w:t>
      </w:r>
    </w:p>
    <w:p w:rsidR="004B20E5" w:rsidRDefault="004B20E5" w:rsidP="005346A9">
      <w:pPr>
        <w:pStyle w:val="BodyText"/>
      </w:pPr>
    </w:p>
    <w:p w:rsidR="004B20E5" w:rsidRDefault="004B20E5" w:rsidP="00571897">
      <w:pPr>
        <w:pStyle w:val="PartnersTitle"/>
      </w:pPr>
      <w:r>
        <w:br w:type="page"/>
      </w:r>
    </w:p>
    <w:p w:rsidR="004B20E5" w:rsidRPr="00571897" w:rsidRDefault="004B20E5" w:rsidP="00571897">
      <w:pPr>
        <w:pStyle w:val="PartnersTitle"/>
      </w:pPr>
      <w:r w:rsidRPr="00571897">
        <w:lastRenderedPageBreak/>
        <w:t>Partners/Resources for Chronic Disease</w:t>
      </w:r>
      <w:r>
        <w:t xml:space="preserve"> Prevention and Control</w:t>
      </w:r>
    </w:p>
    <w:p w:rsidR="004B20E5" w:rsidRDefault="004B20E5" w:rsidP="005346A9">
      <w:pPr>
        <w:pStyle w:val="Partners"/>
      </w:pPr>
      <w:r w:rsidRPr="00AF0910">
        <w:t>Early education and care programs (childcare)</w:t>
      </w:r>
    </w:p>
    <w:p w:rsidR="00381F08" w:rsidRDefault="00381F08" w:rsidP="005346A9">
      <w:pPr>
        <w:pStyle w:val="Partners"/>
      </w:pPr>
      <w:r>
        <w:t>Elder service organizations</w:t>
      </w:r>
    </w:p>
    <w:p w:rsidR="00381F08" w:rsidRPr="00AF0910" w:rsidRDefault="00381F08" w:rsidP="005346A9">
      <w:pPr>
        <w:pStyle w:val="Partners"/>
      </w:pPr>
      <w:r>
        <w:t>Fitness organizations</w:t>
      </w:r>
    </w:p>
    <w:p w:rsidR="00B869A2" w:rsidRDefault="004B20E5" w:rsidP="005346A9">
      <w:pPr>
        <w:pStyle w:val="Partners"/>
      </w:pPr>
      <w:r w:rsidRPr="00AF0910">
        <w:t>Health</w:t>
      </w:r>
      <w:r w:rsidR="00B63FFC">
        <w:t>c</w:t>
      </w:r>
      <w:r w:rsidRPr="00AF0910">
        <w:t xml:space="preserve">are </w:t>
      </w:r>
      <w:r w:rsidR="00B869A2">
        <w:t>P</w:t>
      </w:r>
      <w:r w:rsidR="00B63FFC">
        <w:t xml:space="preserve">roviders </w:t>
      </w:r>
    </w:p>
    <w:p w:rsidR="004B20E5" w:rsidRDefault="004B20E5" w:rsidP="005346A9">
      <w:pPr>
        <w:pStyle w:val="Partners"/>
      </w:pPr>
      <w:r w:rsidRPr="00AF0910">
        <w:t>Healthy</w:t>
      </w:r>
      <w:r w:rsidR="00B63FFC">
        <w:t xml:space="preserve"> </w:t>
      </w:r>
      <w:r w:rsidRPr="00AF0910">
        <w:t>Schools Network</w:t>
      </w:r>
    </w:p>
    <w:p w:rsidR="00381F08" w:rsidRPr="00AF0910" w:rsidRDefault="00381F08" w:rsidP="005346A9">
      <w:pPr>
        <w:pStyle w:val="Partners"/>
      </w:pPr>
      <w:r>
        <w:t>Local Boards of Health and Health Departments</w:t>
      </w:r>
    </w:p>
    <w:p w:rsidR="004B20E5" w:rsidRPr="00AF0910" w:rsidRDefault="00381F08" w:rsidP="005346A9">
      <w:pPr>
        <w:pStyle w:val="Partners"/>
      </w:pPr>
      <w:r>
        <w:t xml:space="preserve">Local </w:t>
      </w:r>
      <w:r w:rsidR="004B20E5" w:rsidRPr="00AF0910">
        <w:t>Housing Authorities</w:t>
      </w:r>
    </w:p>
    <w:p w:rsidR="004B20E5" w:rsidRPr="00AF0910" w:rsidRDefault="00C36277" w:rsidP="005346A9">
      <w:pPr>
        <w:pStyle w:val="Partners"/>
      </w:pPr>
      <w:r w:rsidRPr="00AF0910">
        <w:t>M</w:t>
      </w:r>
      <w:r>
        <w:t>A</w:t>
      </w:r>
      <w:r w:rsidRPr="00AF0910">
        <w:t xml:space="preserve"> </w:t>
      </w:r>
      <w:r w:rsidR="004B20E5" w:rsidRPr="00AF0910">
        <w:t>Hospital Association</w:t>
      </w:r>
    </w:p>
    <w:p w:rsidR="004B20E5" w:rsidRPr="00AF0910" w:rsidRDefault="00C36277" w:rsidP="005346A9">
      <w:pPr>
        <w:pStyle w:val="Partners"/>
      </w:pPr>
      <w:r w:rsidRPr="00AF0910">
        <w:t>M</w:t>
      </w:r>
      <w:r>
        <w:t>A</w:t>
      </w:r>
      <w:r w:rsidRPr="00AF0910">
        <w:t xml:space="preserve"> </w:t>
      </w:r>
      <w:r w:rsidR="004B20E5" w:rsidRPr="00AF0910">
        <w:t>Medical Society</w:t>
      </w:r>
    </w:p>
    <w:p w:rsidR="004B20E5" w:rsidRPr="00AF0910" w:rsidRDefault="00C36277" w:rsidP="005346A9">
      <w:pPr>
        <w:pStyle w:val="Partners"/>
      </w:pPr>
      <w:r w:rsidRPr="00AF0910">
        <w:t>M</w:t>
      </w:r>
      <w:r>
        <w:t xml:space="preserve">A </w:t>
      </w:r>
      <w:r w:rsidR="004B20E5" w:rsidRPr="00AF0910">
        <w:t>Asthma Action Partnership</w:t>
      </w:r>
    </w:p>
    <w:p w:rsidR="004B20E5" w:rsidRPr="00AF0910" w:rsidRDefault="00C36277" w:rsidP="005346A9">
      <w:pPr>
        <w:pStyle w:val="Partners"/>
      </w:pPr>
      <w:r w:rsidRPr="00AF0910">
        <w:t>M</w:t>
      </w:r>
      <w:r>
        <w:t>A</w:t>
      </w:r>
      <w:r w:rsidRPr="00AF0910">
        <w:t xml:space="preserve"> </w:t>
      </w:r>
      <w:r w:rsidR="004B20E5" w:rsidRPr="00AF0910">
        <w:t>Lung Association</w:t>
      </w:r>
    </w:p>
    <w:p w:rsidR="004B20E5" w:rsidRPr="00AF0910" w:rsidRDefault="004B20E5" w:rsidP="005346A9">
      <w:pPr>
        <w:pStyle w:val="Partners"/>
      </w:pPr>
      <w:r w:rsidRPr="00AF0910">
        <w:t>New England College of Occupational and Environmental Medicine</w:t>
      </w:r>
    </w:p>
    <w:p w:rsidR="00B869A2" w:rsidRDefault="00B869A2" w:rsidP="005346A9">
      <w:pPr>
        <w:pStyle w:val="Partners"/>
      </w:pPr>
      <w:r>
        <w:t>Occupational health organizations</w:t>
      </w:r>
    </w:p>
    <w:p w:rsidR="004B20E5" w:rsidRPr="00AF0910" w:rsidRDefault="004B20E5" w:rsidP="005346A9">
      <w:pPr>
        <w:pStyle w:val="Partners"/>
      </w:pPr>
      <w:r w:rsidRPr="00AF0910">
        <w:t>Schools</w:t>
      </w:r>
    </w:p>
    <w:p w:rsidR="004B20E5" w:rsidRPr="00AF0910" w:rsidRDefault="004B20E5" w:rsidP="005346A9">
      <w:pPr>
        <w:pStyle w:val="Partners"/>
      </w:pPr>
      <w:r w:rsidRPr="00AF0910">
        <w:t>Toxic Use Reduction Institute</w:t>
      </w:r>
    </w:p>
    <w:p w:rsidR="004B20E5" w:rsidRDefault="004B20E5" w:rsidP="00086224">
      <w:pPr>
        <w:pStyle w:val="Partners"/>
        <w:numPr>
          <w:ilvl w:val="0"/>
          <w:numId w:val="0"/>
        </w:numPr>
        <w:ind w:left="360"/>
      </w:pPr>
    </w:p>
    <w:p w:rsidR="004B20E5" w:rsidRPr="00571897" w:rsidRDefault="004B20E5" w:rsidP="00571897">
      <w:pPr>
        <w:pStyle w:val="PartnersTitle"/>
      </w:pPr>
      <w:r w:rsidRPr="00571897">
        <w:t xml:space="preserve">Other Plans </w:t>
      </w:r>
      <w:r>
        <w:t>T</w:t>
      </w:r>
      <w:r w:rsidRPr="00571897">
        <w:t>hat are Incorporated Directly or by Reference in Chronic Disease</w:t>
      </w:r>
      <w:r>
        <w:t xml:space="preserve"> Prevention and Control</w:t>
      </w:r>
    </w:p>
    <w:p w:rsidR="004B20E5" w:rsidRDefault="004B20E5" w:rsidP="004353AF">
      <w:pPr>
        <w:pStyle w:val="Partners"/>
      </w:pPr>
      <w:r>
        <w:t>Former Cardiovascular Disease Strategic Plan</w:t>
      </w:r>
    </w:p>
    <w:p w:rsidR="004B20E5" w:rsidRDefault="004B20E5" w:rsidP="00577B35">
      <w:pPr>
        <w:pStyle w:val="Partners"/>
      </w:pPr>
      <w:r>
        <w:t>State Asthma Plan</w:t>
      </w:r>
    </w:p>
    <w:p w:rsidR="004B20E5" w:rsidRDefault="004B20E5" w:rsidP="00577B35">
      <w:pPr>
        <w:pStyle w:val="Partners"/>
      </w:pPr>
      <w:r>
        <w:t>State Chronic Disease Plan</w:t>
      </w:r>
    </w:p>
    <w:p w:rsidR="004B20E5" w:rsidRDefault="00E74FDF" w:rsidP="00577B35">
      <w:pPr>
        <w:pStyle w:val="Partners"/>
      </w:pPr>
      <w:r>
        <w:t>The Divis</w:t>
      </w:r>
      <w:r w:rsidR="00210F04">
        <w:t>i</w:t>
      </w:r>
      <w:r>
        <w:t xml:space="preserve">on of Prevention and Wellness </w:t>
      </w:r>
      <w:r w:rsidR="004B20E5">
        <w:t>and its Chronic Disease Partnership</w:t>
      </w:r>
    </w:p>
    <w:p w:rsidR="004B20E5" w:rsidRDefault="004B20E5" w:rsidP="002C02C9">
      <w:pPr>
        <w:pStyle w:val="Partners"/>
      </w:pPr>
      <w:r>
        <w:t xml:space="preserve">Prevention and Wellness Trust Fund </w:t>
      </w:r>
    </w:p>
    <w:p w:rsidR="004B20E5" w:rsidRPr="00AF0910" w:rsidRDefault="004B20E5" w:rsidP="00202EB2">
      <w:pPr>
        <w:pStyle w:val="Partners"/>
        <w:numPr>
          <w:ilvl w:val="0"/>
          <w:numId w:val="0"/>
        </w:numPr>
        <w:ind w:left="360"/>
      </w:pPr>
    </w:p>
    <w:p w:rsidR="004B20E5" w:rsidRPr="00E66142" w:rsidRDefault="004B20E5" w:rsidP="00202EB2">
      <w:pPr>
        <w:rPr>
          <w:rFonts w:cs="Arial"/>
        </w:rPr>
      </w:pPr>
    </w:p>
    <w:p w:rsidR="004B20E5" w:rsidRDefault="004B20E5" w:rsidP="00202EB2">
      <w:pPr>
        <w:spacing w:after="200" w:line="276" w:lineRule="auto"/>
        <w:rPr>
          <w:rFonts w:cs="Arial"/>
        </w:rPr>
        <w:sectPr w:rsidR="004B20E5" w:rsidSect="000D3A34">
          <w:headerReference w:type="even" r:id="rId27"/>
          <w:headerReference w:type="default" r:id="rId28"/>
          <w:headerReference w:type="first" r:id="rId29"/>
          <w:endnotePr>
            <w:numFmt w:val="decimal"/>
          </w:endnotePr>
          <w:pgSz w:w="12240" w:h="15840" w:code="1"/>
          <w:pgMar w:top="1080" w:right="1080" w:bottom="1080" w:left="1080" w:header="648" w:footer="504" w:gutter="0"/>
          <w:cols w:space="720"/>
          <w:docGrid w:linePitch="360"/>
        </w:sectPr>
      </w:pPr>
    </w:p>
    <w:p w:rsidR="004B20E5" w:rsidRDefault="004B20E5" w:rsidP="00F72D59">
      <w:pPr>
        <w:pStyle w:val="Heading2"/>
        <w:pBdr>
          <w:bottom w:val="single" w:sz="4" w:space="1" w:color="auto"/>
        </w:pBdr>
      </w:pPr>
      <w:bookmarkStart w:id="49" w:name="_Toc392838645"/>
      <w:bookmarkStart w:id="50" w:name="_Toc398819276"/>
      <w:r>
        <w:lastRenderedPageBreak/>
        <w:t>Domain 3:</w:t>
      </w:r>
      <w:r w:rsidRPr="0046149F">
        <w:t xml:space="preserve">  Infectious Disease</w:t>
      </w:r>
      <w:r>
        <w:t xml:space="preserve"> Prevention and Control</w:t>
      </w:r>
      <w:bookmarkEnd w:id="49"/>
      <w:bookmarkEnd w:id="50"/>
    </w:p>
    <w:p w:rsidR="004B20E5" w:rsidRPr="00AC124C" w:rsidRDefault="004B20E5" w:rsidP="00F72D59"/>
    <w:p w:rsidR="004B20E5" w:rsidRDefault="004B20E5" w:rsidP="00F72D59">
      <w:pPr>
        <w:rPr>
          <w:rFonts w:cs="Arial"/>
          <w:b/>
          <w:smallCaps/>
        </w:rPr>
      </w:pPr>
    </w:p>
    <w:p w:rsidR="004B20E5" w:rsidRDefault="004B20E5" w:rsidP="00F72D59">
      <w:pPr>
        <w:pStyle w:val="GoalStatement"/>
      </w:pPr>
      <w:r w:rsidRPr="00C968DB">
        <w:t xml:space="preserve">Reduce morbidity and mortality related to </w:t>
      </w:r>
      <w:r>
        <w:t>infectious disease</w:t>
      </w:r>
      <w:r w:rsidRPr="00C968DB">
        <w:t xml:space="preserve">. </w:t>
      </w:r>
    </w:p>
    <w:p w:rsidR="004B20E5" w:rsidRDefault="004B20E5" w:rsidP="00F72D59">
      <w:pPr>
        <w:pStyle w:val="BodyText"/>
        <w:rPr>
          <w:b/>
        </w:rPr>
      </w:pPr>
    </w:p>
    <w:p w:rsidR="004B20E5" w:rsidRPr="00663E37" w:rsidRDefault="004B20E5" w:rsidP="00663E37">
      <w:pPr>
        <w:pStyle w:val="BodyText"/>
        <w:rPr>
          <w:b/>
        </w:rPr>
      </w:pPr>
      <w:r w:rsidRPr="00663E37">
        <w:rPr>
          <w:b/>
        </w:rPr>
        <w:t>Why This Domain Is Important for Massachusetts:</w:t>
      </w:r>
    </w:p>
    <w:p w:rsidR="004B20E5" w:rsidRPr="002269B5" w:rsidRDefault="004B20E5" w:rsidP="00F72D59">
      <w:pPr>
        <w:pStyle w:val="BodyText"/>
        <w:rPr>
          <w:b/>
        </w:rPr>
      </w:pPr>
      <w:r w:rsidRPr="00AD0251">
        <w:rPr>
          <w:b/>
        </w:rPr>
        <w:t>Burden (Where We Are</w:t>
      </w:r>
      <w:r w:rsidRPr="00AD0251">
        <w:rPr>
          <w:b/>
          <w:u w:val="single"/>
        </w:rPr>
        <w:t>)</w:t>
      </w:r>
      <w:r w:rsidRPr="00AD0251">
        <w:rPr>
          <w:b/>
        </w:rPr>
        <w:t xml:space="preserve">: </w:t>
      </w:r>
      <w:r w:rsidRPr="0012601B">
        <w:t xml:space="preserve">Massachusetts has always had, and continues to have, one of the highest levels of infant immunization in the United States.  As a result, most vaccine-preventable diseases of childhood have been essentially eliminated in Massachusetts. </w:t>
      </w:r>
      <w:r>
        <w:t xml:space="preserve"> However, we know that loss of ground in immunization is associated with resurgence of vaccine preventable diseases, and that more effort is needed to achieve higher levels of recommended immunization of adolescents and adults.  Lyme disease cases continue to increase and cause a large burden of morbidity in the Commonwealth.  Sexually transmitted diseases still provide a prevention challenge, especially in adolescents and other at risk populations.  Although Massachusetts has achieved consistent decreases in new HIV infection, there are significant population disparities in incidence and prevalence.  Massachusetts is on the road to tuberculosis elimination, but to succeed, more effective screening and treatment of latent infection is necessary.  Massachusetts has a large burden of hepatitis C, and the growing number of cases in young adults presents an urgent need for more prevention efforts.  Healthcare associated infections and antibiotic resistant organisms are significant causes of morbidity and mortality.  Prevention efforts have been successful, but more work needs to be done to eliminate preventable complications of healthcare.</w:t>
      </w:r>
    </w:p>
    <w:p w:rsidR="004B20E5" w:rsidRPr="001C5453" w:rsidRDefault="004B20E5" w:rsidP="00F72D59">
      <w:pPr>
        <w:pStyle w:val="BodyText"/>
      </w:pPr>
      <w:r w:rsidRPr="0012601B">
        <w:rPr>
          <w:b/>
        </w:rPr>
        <w:t>Result (How This Affects Us):</w:t>
      </w:r>
      <w:r w:rsidRPr="0012601B">
        <w:t xml:space="preserve">Foodborne illness and environmental threats continue to pose challenges to healthy living.  </w:t>
      </w:r>
      <w:r>
        <w:t xml:space="preserve">Several thousands of cases of Lyme disease are reported annually, but we know that there is significant undercounting of cases and an unmeasured burden of morbidity and its consequences.  </w:t>
      </w:r>
      <w:r w:rsidRPr="0012601B">
        <w:t>Salmonella infection continues to be a major foodborne illness, causing</w:t>
      </w:r>
      <w:r w:rsidR="00B63FFC">
        <w:t xml:space="preserve"> </w:t>
      </w:r>
      <w:r w:rsidRPr="0012601B">
        <w:t xml:space="preserve">more than 1,000 reported cases in Massachusetts every year. Many more cases are not diagnosed because individuals do not seek medical attention or receive laboratory testing.  Incidence of </w:t>
      </w:r>
      <w:r>
        <w:t>c</w:t>
      </w:r>
      <w:r w:rsidRPr="0012601B">
        <w:t>hlamydia is highest among teens and young adults (15-24) (68% of reported cases) and women (69% of cases).  Gonorrhea cases are highest among Blacks (175 per 100,000)</w:t>
      </w:r>
      <w:r>
        <w:rPr>
          <w:rStyle w:val="EndnoteReference"/>
        </w:rPr>
        <w:endnoteReference w:id="18"/>
      </w:r>
      <w:r w:rsidRPr="0012601B">
        <w:t xml:space="preserve">, and </w:t>
      </w:r>
      <w:r>
        <w:t>s</w:t>
      </w:r>
      <w:r w:rsidRPr="0012601B">
        <w:t>yphilis cases are highest among Blacks (26 per 100,000) and men who have sex with men (MSM) (73% of new cases).  The death rate for HIV is also highest among Blacks.</w:t>
      </w:r>
      <w:r>
        <w:t xml:space="preserve">  Efforts to prevent STDs, HIV infection, hepatitis C and active tuberculosis are complicated by the need to reach hard to reach populations, which experience disproportionate impact and impaired access to care.  Healthcare associated infection occurs across the full spectrum of the health care delivery system, and large proportions of the population are at risk.  Antibiotic resistance has become a global crisis.</w:t>
      </w:r>
    </w:p>
    <w:p w:rsidR="004B20E5" w:rsidRDefault="004B20E5" w:rsidP="00F72D59">
      <w:pPr>
        <w:pStyle w:val="BodyText"/>
      </w:pPr>
      <w:r>
        <w:rPr>
          <w:b/>
        </w:rPr>
        <w:t xml:space="preserve">Action (What We Can Do):  </w:t>
      </w:r>
      <w:r w:rsidRPr="0012601B">
        <w:t>The data demonstrate the continued need for prevention efforts and comprehensive health education</w:t>
      </w:r>
      <w:r>
        <w:t xml:space="preserve"> directed at infection and disease prevention</w:t>
      </w:r>
      <w:r w:rsidRPr="0012601B">
        <w:t xml:space="preserve">, including </w:t>
      </w:r>
      <w:r>
        <w:t xml:space="preserve">in the area of </w:t>
      </w:r>
      <w:r w:rsidRPr="0012601B">
        <w:t>sexuality and sexually transmitted diseases, hand hygiene, and food safety.</w:t>
      </w:r>
      <w:r>
        <w:t xml:space="preserve">  Focus needs to be brought to the most effective interventions and efforts need to be made within the context of achievable goals and the evolution of health care reform efforts.</w:t>
      </w:r>
    </w:p>
    <w:p w:rsidR="004B20E5" w:rsidRPr="00AD0251" w:rsidRDefault="004B20E5" w:rsidP="00F72D59">
      <w:pPr>
        <w:pStyle w:val="BodyText"/>
        <w:rPr>
          <w:b/>
        </w:rPr>
      </w:pPr>
    </w:p>
    <w:p w:rsidR="004B20E5" w:rsidRDefault="004B20E5" w:rsidP="0067484F">
      <w:pPr>
        <w:pStyle w:val="BodyText"/>
      </w:pPr>
      <w:r>
        <w:br w:type="page"/>
      </w:r>
    </w:p>
    <w:p w:rsidR="004B20E5" w:rsidRDefault="004B20E5" w:rsidP="00876533">
      <w:pPr>
        <w:pStyle w:val="StandardStatement"/>
      </w:pPr>
      <w:r>
        <w:lastRenderedPageBreak/>
        <w:t>Standard 3A: Reduce morbidity related to vaccine preventable infections.</w:t>
      </w:r>
    </w:p>
    <w:p w:rsidR="004B20E5" w:rsidRPr="00876533" w:rsidRDefault="004B20E5" w:rsidP="00876533">
      <w:pPr>
        <w:pStyle w:val="BodyText"/>
      </w:pPr>
    </w:p>
    <w:p w:rsidR="004B20E5" w:rsidRDefault="00F03799" w:rsidP="00F72D59">
      <w:pPr>
        <w:pStyle w:val="ObjectiveStatement"/>
      </w:pPr>
      <w:r>
        <w:rPr>
          <w:noProof/>
        </w:rPr>
        <w:drawing>
          <wp:anchor distT="0" distB="0" distL="114300" distR="114300" simplePos="0" relativeHeight="251665408" behindDoc="0" locked="0" layoutInCell="1" allowOverlap="1" wp14:anchorId="680C4807" wp14:editId="3A342144">
            <wp:simplePos x="0" y="0"/>
            <wp:positionH relativeFrom="column">
              <wp:posOffset>-11430</wp:posOffset>
            </wp:positionH>
            <wp:positionV relativeFrom="paragraph">
              <wp:posOffset>419100</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t xml:space="preserve"> Measure </w:t>
      </w:r>
      <w:r w:rsidR="004B20E5" w:rsidRPr="00C968DB">
        <w:t>3.</w:t>
      </w:r>
      <w:r w:rsidR="004B20E5">
        <w:t>1:</w:t>
      </w:r>
      <w:r w:rsidR="004B20E5">
        <w:tab/>
      </w:r>
      <w:r w:rsidR="004B20E5" w:rsidRPr="00C968DB">
        <w:t xml:space="preserve">Reduce </w:t>
      </w:r>
      <w:r w:rsidR="004B20E5">
        <w:t>the incidence of selected v</w:t>
      </w:r>
      <w:r w:rsidR="004B20E5" w:rsidRPr="00C968DB">
        <w:t xml:space="preserve">accine </w:t>
      </w:r>
      <w:r w:rsidR="004B20E5">
        <w:t>p</w:t>
      </w:r>
      <w:r w:rsidR="004B20E5" w:rsidRPr="00C968DB">
        <w:t xml:space="preserve">reventable </w:t>
      </w:r>
      <w:r w:rsidR="004B20E5">
        <w:t>d</w:t>
      </w:r>
      <w:r w:rsidR="004B20E5" w:rsidRPr="00C968DB">
        <w:t>isease</w:t>
      </w:r>
      <w:r w:rsidR="004B20E5">
        <w:t>s/increase immunization rates for selected vaccine preventable diseases.</w:t>
      </w:r>
    </w:p>
    <w:tbl>
      <w:tblPr>
        <w:tblW w:w="4108" w:type="pct"/>
        <w:tblInd w:w="1755" w:type="dxa"/>
        <w:tblLayout w:type="fixed"/>
        <w:tblLook w:val="00A0" w:firstRow="1" w:lastRow="0" w:firstColumn="1" w:lastColumn="0" w:noHBand="0" w:noVBand="0"/>
      </w:tblPr>
      <w:tblGrid>
        <w:gridCol w:w="2879"/>
        <w:gridCol w:w="1323"/>
        <w:gridCol w:w="1440"/>
        <w:gridCol w:w="2817"/>
      </w:tblGrid>
      <w:tr w:rsidR="004B20E5" w:rsidRPr="00666093" w:rsidTr="0067484F">
        <w:trPr>
          <w:cantSplit/>
          <w:tblHeader/>
        </w:trPr>
        <w:tc>
          <w:tcPr>
            <w:tcW w:w="1702" w:type="pct"/>
            <w:tcBorders>
              <w:top w:val="single" w:sz="4" w:space="0" w:color="auto"/>
              <w:bottom w:val="single" w:sz="4" w:space="0" w:color="auto"/>
            </w:tcBorders>
            <w:vAlign w:val="center"/>
          </w:tcPr>
          <w:p w:rsidR="004B20E5" w:rsidRPr="00666093" w:rsidRDefault="004B20E5" w:rsidP="00663E37">
            <w:pPr>
              <w:pStyle w:val="TableTitleTargetDataSource"/>
            </w:pPr>
            <w:r>
              <w:t>Outcome Indicator</w:t>
            </w:r>
          </w:p>
        </w:tc>
        <w:tc>
          <w:tcPr>
            <w:tcW w:w="782" w:type="pct"/>
            <w:tcBorders>
              <w:top w:val="single" w:sz="4" w:space="0" w:color="auto"/>
              <w:bottom w:val="single" w:sz="4" w:space="0" w:color="auto"/>
            </w:tcBorders>
            <w:vAlign w:val="center"/>
          </w:tcPr>
          <w:p w:rsidR="004B20E5" w:rsidRPr="00666093" w:rsidRDefault="004B20E5" w:rsidP="00F94FA1">
            <w:pPr>
              <w:pStyle w:val="TableTitleBaseline2020Target"/>
            </w:pPr>
            <w:r w:rsidRPr="009171C7">
              <w:t>Baseline</w:t>
            </w:r>
          </w:p>
        </w:tc>
        <w:tc>
          <w:tcPr>
            <w:tcW w:w="851" w:type="pct"/>
            <w:tcBorders>
              <w:top w:val="single" w:sz="4" w:space="0" w:color="auto"/>
              <w:bottom w:val="single" w:sz="4" w:space="0" w:color="auto"/>
            </w:tcBorders>
            <w:vAlign w:val="center"/>
          </w:tcPr>
          <w:p w:rsidR="004B20E5" w:rsidRPr="00666093" w:rsidRDefault="004B20E5" w:rsidP="00F94FA1">
            <w:pPr>
              <w:pStyle w:val="TableTitleBaseline2020Target"/>
            </w:pPr>
            <w:r w:rsidRPr="009171C7">
              <w:t>2020 Target</w:t>
            </w:r>
          </w:p>
        </w:tc>
        <w:tc>
          <w:tcPr>
            <w:tcW w:w="1665" w:type="pct"/>
            <w:tcBorders>
              <w:top w:val="single" w:sz="4" w:space="0" w:color="auto"/>
              <w:bottom w:val="single" w:sz="4" w:space="0" w:color="auto"/>
            </w:tcBorders>
            <w:vAlign w:val="center"/>
          </w:tcPr>
          <w:p w:rsidR="004B20E5" w:rsidRPr="00666093" w:rsidRDefault="004B20E5" w:rsidP="00F94FA1">
            <w:pPr>
              <w:pStyle w:val="TableTitleTargetDataSource"/>
            </w:pPr>
            <w:r w:rsidRPr="009171C7">
              <w:t>Data Source</w:t>
            </w:r>
          </w:p>
        </w:tc>
      </w:tr>
      <w:tr w:rsidR="004B20E5" w:rsidRPr="00666093" w:rsidTr="0067484F">
        <w:trPr>
          <w:cantSplit/>
        </w:trPr>
        <w:tc>
          <w:tcPr>
            <w:tcW w:w="1702" w:type="pct"/>
            <w:tcBorders>
              <w:top w:val="single" w:sz="4" w:space="0" w:color="auto"/>
              <w:bottom w:val="single" w:sz="4" w:space="0" w:color="auto"/>
            </w:tcBorders>
            <w:vAlign w:val="center"/>
          </w:tcPr>
          <w:p w:rsidR="004B20E5" w:rsidRPr="00666093" w:rsidRDefault="004B20E5" w:rsidP="00F94FA1">
            <w:pPr>
              <w:pStyle w:val="TableOutcomeMeasure"/>
            </w:pPr>
            <w:r>
              <w:t>Annual pertussis cases</w:t>
            </w:r>
          </w:p>
        </w:tc>
        <w:tc>
          <w:tcPr>
            <w:tcW w:w="782" w:type="pct"/>
            <w:tcBorders>
              <w:top w:val="single" w:sz="4" w:space="0" w:color="auto"/>
              <w:bottom w:val="single" w:sz="4" w:space="0" w:color="auto"/>
            </w:tcBorders>
            <w:vAlign w:val="center"/>
          </w:tcPr>
          <w:p w:rsidR="004B20E5" w:rsidRPr="00666093" w:rsidRDefault="004B20E5" w:rsidP="00F94FA1">
            <w:pPr>
              <w:pStyle w:val="TableBaseline2020Target"/>
            </w:pPr>
            <w:r w:rsidRPr="009171C7">
              <w:t>652</w:t>
            </w:r>
          </w:p>
        </w:tc>
        <w:tc>
          <w:tcPr>
            <w:tcW w:w="851" w:type="pct"/>
            <w:tcBorders>
              <w:top w:val="single" w:sz="4" w:space="0" w:color="auto"/>
              <w:bottom w:val="single" w:sz="4" w:space="0" w:color="auto"/>
            </w:tcBorders>
            <w:vAlign w:val="center"/>
          </w:tcPr>
          <w:p w:rsidR="004B20E5" w:rsidRPr="00666093" w:rsidRDefault="004B20E5" w:rsidP="00F94FA1">
            <w:pPr>
              <w:pStyle w:val="TableBaseline2020Target"/>
            </w:pPr>
            <w:r w:rsidRPr="009171C7">
              <w:t>&lt;550</w:t>
            </w:r>
          </w:p>
        </w:tc>
        <w:tc>
          <w:tcPr>
            <w:tcW w:w="1665" w:type="pct"/>
            <w:tcBorders>
              <w:top w:val="single" w:sz="4" w:space="0" w:color="auto"/>
              <w:bottom w:val="single" w:sz="4" w:space="0" w:color="auto"/>
            </w:tcBorders>
            <w:vAlign w:val="center"/>
          </w:tcPr>
          <w:p w:rsidR="004B20E5" w:rsidRPr="00644FFB" w:rsidRDefault="004B20E5" w:rsidP="00F94FA1">
            <w:pPr>
              <w:pStyle w:val="TableDataSource"/>
            </w:pPr>
            <w:r>
              <w:t>MDPH BID Immunization Program 2012</w:t>
            </w:r>
          </w:p>
        </w:tc>
      </w:tr>
      <w:tr w:rsidR="004B20E5" w:rsidRPr="00666093" w:rsidTr="0067484F">
        <w:trPr>
          <w:cantSplit/>
        </w:trPr>
        <w:tc>
          <w:tcPr>
            <w:tcW w:w="1702" w:type="pct"/>
            <w:tcBorders>
              <w:top w:val="single" w:sz="4" w:space="0" w:color="auto"/>
              <w:bottom w:val="single" w:sz="4" w:space="0" w:color="auto"/>
            </w:tcBorders>
            <w:vAlign w:val="center"/>
          </w:tcPr>
          <w:p w:rsidR="004B20E5" w:rsidRPr="00666093" w:rsidRDefault="004B20E5" w:rsidP="00F94FA1">
            <w:pPr>
              <w:pStyle w:val="TableOutcomeMeasure"/>
            </w:pPr>
            <w:r>
              <w:t xml:space="preserve">Annual invasive pneumococcal disease </w:t>
            </w:r>
            <w:r w:rsidRPr="009171C7">
              <w:t xml:space="preserve">in children &lt;5 years </w:t>
            </w:r>
          </w:p>
        </w:tc>
        <w:tc>
          <w:tcPr>
            <w:tcW w:w="782" w:type="pct"/>
            <w:tcBorders>
              <w:top w:val="single" w:sz="4" w:space="0" w:color="auto"/>
              <w:bottom w:val="single" w:sz="4" w:space="0" w:color="auto"/>
            </w:tcBorders>
            <w:vAlign w:val="center"/>
          </w:tcPr>
          <w:p w:rsidR="004B20E5" w:rsidRPr="00666093" w:rsidRDefault="004B20E5" w:rsidP="00F94FA1">
            <w:pPr>
              <w:pStyle w:val="TableBaseline2020Target"/>
            </w:pPr>
            <w:r w:rsidRPr="009171C7">
              <w:t>50</w:t>
            </w:r>
          </w:p>
        </w:tc>
        <w:tc>
          <w:tcPr>
            <w:tcW w:w="851" w:type="pct"/>
            <w:tcBorders>
              <w:top w:val="single" w:sz="4" w:space="0" w:color="auto"/>
              <w:bottom w:val="single" w:sz="4" w:space="0" w:color="auto"/>
            </w:tcBorders>
            <w:vAlign w:val="center"/>
          </w:tcPr>
          <w:p w:rsidR="004B20E5" w:rsidRPr="00666093" w:rsidRDefault="004B20E5" w:rsidP="00F94FA1">
            <w:pPr>
              <w:pStyle w:val="TableBaseline2020Target"/>
            </w:pPr>
            <w:r>
              <w:t>&lt;50</w:t>
            </w:r>
          </w:p>
        </w:tc>
        <w:tc>
          <w:tcPr>
            <w:tcW w:w="1665" w:type="pct"/>
            <w:tcBorders>
              <w:top w:val="single" w:sz="4" w:space="0" w:color="auto"/>
              <w:bottom w:val="single" w:sz="4" w:space="0" w:color="auto"/>
            </w:tcBorders>
            <w:vAlign w:val="center"/>
          </w:tcPr>
          <w:p w:rsidR="004B20E5" w:rsidRPr="00644FFB" w:rsidRDefault="004B20E5" w:rsidP="00F94FA1">
            <w:pPr>
              <w:pStyle w:val="TableDataSource"/>
            </w:pPr>
            <w:r w:rsidRPr="009256AC">
              <w:t>MDPH BID Immunization Program</w:t>
            </w:r>
            <w:r>
              <w:t xml:space="preserve"> 2012</w:t>
            </w:r>
          </w:p>
        </w:tc>
      </w:tr>
      <w:tr w:rsidR="004B20E5" w:rsidRPr="00666093" w:rsidTr="0067484F">
        <w:trPr>
          <w:cantSplit/>
        </w:trPr>
        <w:tc>
          <w:tcPr>
            <w:tcW w:w="1702" w:type="pct"/>
            <w:tcBorders>
              <w:top w:val="single" w:sz="4" w:space="0" w:color="auto"/>
              <w:bottom w:val="single" w:sz="4" w:space="0" w:color="auto"/>
            </w:tcBorders>
            <w:vAlign w:val="center"/>
          </w:tcPr>
          <w:p w:rsidR="004B20E5" w:rsidRPr="00666093" w:rsidRDefault="004B20E5" w:rsidP="00F94FA1">
            <w:pPr>
              <w:pStyle w:val="TableOutcomeMeasure"/>
            </w:pPr>
            <w:r>
              <w:t xml:space="preserve">Percentage of </w:t>
            </w:r>
            <w:r w:rsidRPr="009171C7">
              <w:t>19-35 month olds who receive recommended doses of DTaP, polio, MMR, Hib, hepatitis B, varicella, and pneumococcal vaccine (4:3:1:4:3:1:4 series)</w:t>
            </w:r>
          </w:p>
        </w:tc>
        <w:tc>
          <w:tcPr>
            <w:tcW w:w="782" w:type="pct"/>
            <w:tcBorders>
              <w:top w:val="single" w:sz="4" w:space="0" w:color="auto"/>
              <w:bottom w:val="single" w:sz="4" w:space="0" w:color="auto"/>
            </w:tcBorders>
            <w:vAlign w:val="center"/>
          </w:tcPr>
          <w:p w:rsidR="004B20E5" w:rsidRPr="00666093" w:rsidRDefault="004B20E5" w:rsidP="00F94FA1">
            <w:pPr>
              <w:pStyle w:val="TableBaseline2020Target"/>
            </w:pPr>
            <w:r>
              <w:t>73.5%</w:t>
            </w:r>
          </w:p>
        </w:tc>
        <w:tc>
          <w:tcPr>
            <w:tcW w:w="851" w:type="pct"/>
            <w:tcBorders>
              <w:top w:val="single" w:sz="4" w:space="0" w:color="auto"/>
              <w:bottom w:val="single" w:sz="4" w:space="0" w:color="auto"/>
            </w:tcBorders>
            <w:vAlign w:val="center"/>
          </w:tcPr>
          <w:p w:rsidR="004B20E5" w:rsidRPr="00666093" w:rsidRDefault="004B20E5" w:rsidP="00F94FA1">
            <w:pPr>
              <w:pStyle w:val="TableBaseline2020Target"/>
            </w:pPr>
            <w:r w:rsidRPr="009171C7">
              <w:t>&gt;80%</w:t>
            </w:r>
          </w:p>
        </w:tc>
        <w:tc>
          <w:tcPr>
            <w:tcW w:w="1665" w:type="pct"/>
            <w:tcBorders>
              <w:top w:val="single" w:sz="4" w:space="0" w:color="auto"/>
              <w:bottom w:val="single" w:sz="4" w:space="0" w:color="auto"/>
            </w:tcBorders>
            <w:vAlign w:val="center"/>
          </w:tcPr>
          <w:p w:rsidR="004B20E5" w:rsidRPr="00644FFB" w:rsidRDefault="004B20E5" w:rsidP="00F94FA1">
            <w:pPr>
              <w:pStyle w:val="TableDataSource"/>
            </w:pPr>
            <w:r w:rsidRPr="00644FFB">
              <w:t xml:space="preserve">CDC National Immunization Survey 2012 </w:t>
            </w:r>
          </w:p>
        </w:tc>
      </w:tr>
      <w:tr w:rsidR="004B20E5" w:rsidRPr="00666093" w:rsidTr="0067484F">
        <w:trPr>
          <w:cantSplit/>
        </w:trPr>
        <w:tc>
          <w:tcPr>
            <w:tcW w:w="1702" w:type="pct"/>
            <w:tcBorders>
              <w:top w:val="single" w:sz="4" w:space="0" w:color="auto"/>
              <w:bottom w:val="single" w:sz="4" w:space="0" w:color="auto"/>
            </w:tcBorders>
            <w:vAlign w:val="center"/>
          </w:tcPr>
          <w:p w:rsidR="004B20E5" w:rsidRPr="00666093" w:rsidRDefault="004B20E5" w:rsidP="00F94FA1">
            <w:pPr>
              <w:pStyle w:val="TableOutcomeMeasure"/>
            </w:pPr>
            <w:r w:rsidRPr="009171C7">
              <w:t xml:space="preserve">MA residents &gt; 6 months of age who receive an annual </w:t>
            </w:r>
            <w:r>
              <w:t>influenza vaccine</w:t>
            </w:r>
          </w:p>
        </w:tc>
        <w:tc>
          <w:tcPr>
            <w:tcW w:w="782" w:type="pct"/>
            <w:tcBorders>
              <w:top w:val="single" w:sz="4" w:space="0" w:color="auto"/>
              <w:bottom w:val="single" w:sz="4" w:space="0" w:color="auto"/>
            </w:tcBorders>
            <w:vAlign w:val="center"/>
          </w:tcPr>
          <w:p w:rsidR="004B20E5" w:rsidRPr="00666093" w:rsidRDefault="004B20E5" w:rsidP="00F94FA1">
            <w:pPr>
              <w:pStyle w:val="TableBaseline2020Target"/>
            </w:pPr>
            <w:r>
              <w:t>57.5%</w:t>
            </w:r>
          </w:p>
        </w:tc>
        <w:tc>
          <w:tcPr>
            <w:tcW w:w="851" w:type="pct"/>
            <w:tcBorders>
              <w:top w:val="single" w:sz="4" w:space="0" w:color="auto"/>
              <w:bottom w:val="single" w:sz="4" w:space="0" w:color="auto"/>
            </w:tcBorders>
            <w:vAlign w:val="center"/>
          </w:tcPr>
          <w:p w:rsidR="004B20E5" w:rsidRPr="00666093" w:rsidRDefault="004B20E5" w:rsidP="00F94FA1">
            <w:pPr>
              <w:pStyle w:val="TableBaseline2020Target"/>
            </w:pPr>
            <w:r w:rsidRPr="009171C7">
              <w:t>&gt; 60%</w:t>
            </w:r>
          </w:p>
        </w:tc>
        <w:tc>
          <w:tcPr>
            <w:tcW w:w="1665" w:type="pct"/>
            <w:tcBorders>
              <w:top w:val="single" w:sz="4" w:space="0" w:color="auto"/>
              <w:bottom w:val="single" w:sz="4" w:space="0" w:color="auto"/>
            </w:tcBorders>
            <w:vAlign w:val="center"/>
          </w:tcPr>
          <w:p w:rsidR="004B20E5" w:rsidRPr="00644FFB" w:rsidRDefault="004B20E5" w:rsidP="00F94FA1">
            <w:pPr>
              <w:pStyle w:val="TableDataSource"/>
            </w:pPr>
            <w:r w:rsidRPr="00644FFB">
              <w:t xml:space="preserve">CDC National Immunization Survey 2012 and </w:t>
            </w:r>
            <w:r>
              <w:t xml:space="preserve">MDPH </w:t>
            </w:r>
            <w:r w:rsidRPr="00644FFB">
              <w:t>BRFSS 2011-2012</w:t>
            </w:r>
          </w:p>
        </w:tc>
      </w:tr>
      <w:tr w:rsidR="004B20E5" w:rsidRPr="00666093" w:rsidTr="0067484F">
        <w:trPr>
          <w:cantSplit/>
        </w:trPr>
        <w:tc>
          <w:tcPr>
            <w:tcW w:w="1702" w:type="pct"/>
            <w:tcBorders>
              <w:top w:val="single" w:sz="4" w:space="0" w:color="auto"/>
              <w:bottom w:val="single" w:sz="4" w:space="0" w:color="auto"/>
            </w:tcBorders>
            <w:vAlign w:val="center"/>
          </w:tcPr>
          <w:p w:rsidR="004B20E5" w:rsidRPr="00666093" w:rsidRDefault="004B20E5" w:rsidP="00F94FA1">
            <w:pPr>
              <w:pStyle w:val="TableOutcomeMeasure"/>
            </w:pPr>
            <w:r>
              <w:t>MA adults 18-49 years old with underlying conditions who receive annual influenza vaccine</w:t>
            </w:r>
          </w:p>
        </w:tc>
        <w:tc>
          <w:tcPr>
            <w:tcW w:w="782" w:type="pct"/>
            <w:tcBorders>
              <w:top w:val="single" w:sz="4" w:space="0" w:color="auto"/>
              <w:bottom w:val="single" w:sz="4" w:space="0" w:color="auto"/>
            </w:tcBorders>
            <w:vAlign w:val="center"/>
          </w:tcPr>
          <w:p w:rsidR="004B20E5" w:rsidRPr="00666093" w:rsidRDefault="004B20E5" w:rsidP="00F94FA1">
            <w:pPr>
              <w:pStyle w:val="TableBaseline2020Target"/>
            </w:pPr>
            <w:r>
              <w:t xml:space="preserve">35.1% </w:t>
            </w:r>
          </w:p>
        </w:tc>
        <w:tc>
          <w:tcPr>
            <w:tcW w:w="851" w:type="pct"/>
            <w:tcBorders>
              <w:top w:val="single" w:sz="4" w:space="0" w:color="auto"/>
              <w:bottom w:val="single" w:sz="4" w:space="0" w:color="auto"/>
            </w:tcBorders>
            <w:vAlign w:val="center"/>
          </w:tcPr>
          <w:p w:rsidR="004B20E5" w:rsidRPr="00666093" w:rsidRDefault="004B20E5" w:rsidP="00F94FA1">
            <w:pPr>
              <w:pStyle w:val="TableBaseline2020Target"/>
            </w:pPr>
            <w:r>
              <w:t>&gt;35.1%</w:t>
            </w:r>
          </w:p>
        </w:tc>
        <w:tc>
          <w:tcPr>
            <w:tcW w:w="1665" w:type="pct"/>
            <w:tcBorders>
              <w:top w:val="single" w:sz="4" w:space="0" w:color="auto"/>
              <w:bottom w:val="single" w:sz="4" w:space="0" w:color="auto"/>
            </w:tcBorders>
            <w:vAlign w:val="center"/>
          </w:tcPr>
          <w:p w:rsidR="004B20E5" w:rsidRPr="00644FFB" w:rsidRDefault="004B20E5" w:rsidP="00F94FA1">
            <w:pPr>
              <w:pStyle w:val="TableDataSource"/>
            </w:pPr>
            <w:r w:rsidRPr="00644FFB">
              <w:t>MDPH BRFSS 201</w:t>
            </w:r>
            <w:r>
              <w:t>1</w:t>
            </w:r>
          </w:p>
        </w:tc>
      </w:tr>
      <w:tr w:rsidR="004B20E5" w:rsidRPr="00666093" w:rsidTr="0067484F">
        <w:trPr>
          <w:cantSplit/>
        </w:trPr>
        <w:tc>
          <w:tcPr>
            <w:tcW w:w="1702" w:type="pct"/>
            <w:tcBorders>
              <w:top w:val="single" w:sz="4" w:space="0" w:color="auto"/>
              <w:bottom w:val="single" w:sz="4" w:space="0" w:color="auto"/>
            </w:tcBorders>
            <w:vAlign w:val="center"/>
          </w:tcPr>
          <w:p w:rsidR="004B20E5" w:rsidRPr="00666093" w:rsidRDefault="004B20E5" w:rsidP="00F94FA1">
            <w:pPr>
              <w:pStyle w:val="TableOutcomeMeasure"/>
            </w:pPr>
            <w:r>
              <w:t>MA adults 65 and older who receive annual influenza vaccine</w:t>
            </w:r>
          </w:p>
        </w:tc>
        <w:tc>
          <w:tcPr>
            <w:tcW w:w="782" w:type="pct"/>
            <w:tcBorders>
              <w:top w:val="single" w:sz="4" w:space="0" w:color="auto"/>
              <w:bottom w:val="single" w:sz="4" w:space="0" w:color="auto"/>
            </w:tcBorders>
            <w:vAlign w:val="center"/>
          </w:tcPr>
          <w:p w:rsidR="004B20E5" w:rsidRPr="00666093" w:rsidRDefault="004B20E5" w:rsidP="00F94FA1">
            <w:pPr>
              <w:pStyle w:val="TableBaseline2020Target"/>
            </w:pPr>
            <w:r>
              <w:t xml:space="preserve">66.9% </w:t>
            </w:r>
          </w:p>
        </w:tc>
        <w:tc>
          <w:tcPr>
            <w:tcW w:w="851" w:type="pct"/>
            <w:tcBorders>
              <w:top w:val="single" w:sz="4" w:space="0" w:color="auto"/>
              <w:bottom w:val="single" w:sz="4" w:space="0" w:color="auto"/>
            </w:tcBorders>
            <w:vAlign w:val="center"/>
          </w:tcPr>
          <w:p w:rsidR="004B20E5" w:rsidRPr="00666093" w:rsidRDefault="004B20E5" w:rsidP="00F94FA1">
            <w:pPr>
              <w:pStyle w:val="TableBaseline2020Target"/>
            </w:pPr>
            <w:r>
              <w:t xml:space="preserve">&gt;66.9% </w:t>
            </w:r>
          </w:p>
        </w:tc>
        <w:tc>
          <w:tcPr>
            <w:tcW w:w="1665" w:type="pct"/>
            <w:tcBorders>
              <w:top w:val="single" w:sz="4" w:space="0" w:color="auto"/>
              <w:bottom w:val="single" w:sz="4" w:space="0" w:color="auto"/>
            </w:tcBorders>
            <w:vAlign w:val="center"/>
          </w:tcPr>
          <w:p w:rsidR="004B20E5" w:rsidRPr="00644FFB" w:rsidRDefault="004B20E5" w:rsidP="00F94FA1">
            <w:pPr>
              <w:pStyle w:val="TableDataSource"/>
            </w:pPr>
            <w:r w:rsidRPr="00644FFB">
              <w:t>MDPH BRFSS 201</w:t>
            </w:r>
            <w:r>
              <w:t>1</w:t>
            </w:r>
          </w:p>
        </w:tc>
      </w:tr>
      <w:tr w:rsidR="004B20E5" w:rsidRPr="00666093" w:rsidTr="0067484F">
        <w:trPr>
          <w:cantSplit/>
        </w:trPr>
        <w:tc>
          <w:tcPr>
            <w:tcW w:w="1702" w:type="pct"/>
            <w:tcBorders>
              <w:top w:val="single" w:sz="4" w:space="0" w:color="auto"/>
              <w:bottom w:val="single" w:sz="4" w:space="0" w:color="auto"/>
            </w:tcBorders>
            <w:vAlign w:val="center"/>
          </w:tcPr>
          <w:p w:rsidR="004B20E5" w:rsidRPr="00666093" w:rsidRDefault="004B20E5" w:rsidP="00F94FA1">
            <w:pPr>
              <w:pStyle w:val="TableOutcomeMeasure"/>
            </w:pPr>
            <w:r>
              <w:t xml:space="preserve">Rate of complete </w:t>
            </w:r>
            <w:r w:rsidRPr="009171C7">
              <w:t xml:space="preserve">HPV vaccination </w:t>
            </w:r>
            <w:r>
              <w:t>among MA females 13-17 years old</w:t>
            </w:r>
          </w:p>
        </w:tc>
        <w:tc>
          <w:tcPr>
            <w:tcW w:w="782" w:type="pct"/>
            <w:tcBorders>
              <w:top w:val="single" w:sz="4" w:space="0" w:color="auto"/>
              <w:bottom w:val="single" w:sz="4" w:space="0" w:color="auto"/>
            </w:tcBorders>
            <w:vAlign w:val="center"/>
          </w:tcPr>
          <w:p w:rsidR="004B20E5" w:rsidRPr="00666093" w:rsidRDefault="004B20E5" w:rsidP="00F94FA1">
            <w:pPr>
              <w:pStyle w:val="TableBaseline2020Target"/>
            </w:pPr>
            <w:r>
              <w:t xml:space="preserve">68.6% </w:t>
            </w:r>
          </w:p>
        </w:tc>
        <w:tc>
          <w:tcPr>
            <w:tcW w:w="851" w:type="pct"/>
            <w:tcBorders>
              <w:top w:val="single" w:sz="4" w:space="0" w:color="auto"/>
              <w:bottom w:val="single" w:sz="4" w:space="0" w:color="auto"/>
            </w:tcBorders>
            <w:vAlign w:val="center"/>
          </w:tcPr>
          <w:p w:rsidR="004B20E5" w:rsidRPr="00666093" w:rsidRDefault="004B20E5" w:rsidP="00F94FA1">
            <w:pPr>
              <w:pStyle w:val="TableBaseline2020Target"/>
            </w:pPr>
            <w:r>
              <w:t>80%</w:t>
            </w:r>
          </w:p>
        </w:tc>
        <w:tc>
          <w:tcPr>
            <w:tcW w:w="1665" w:type="pct"/>
            <w:tcBorders>
              <w:top w:val="single" w:sz="4" w:space="0" w:color="auto"/>
              <w:bottom w:val="single" w:sz="4" w:space="0" w:color="auto"/>
            </w:tcBorders>
            <w:vAlign w:val="center"/>
          </w:tcPr>
          <w:p w:rsidR="004B20E5" w:rsidRPr="00666093" w:rsidRDefault="004B20E5" w:rsidP="00F94FA1">
            <w:pPr>
              <w:pStyle w:val="TableDataSource"/>
            </w:pPr>
            <w:r>
              <w:t xml:space="preserve">CDC National Immunization Survey 2012 </w:t>
            </w:r>
          </w:p>
        </w:tc>
      </w:tr>
      <w:tr w:rsidR="004B20E5" w:rsidRPr="00666093" w:rsidTr="0067484F">
        <w:trPr>
          <w:cantSplit/>
        </w:trPr>
        <w:tc>
          <w:tcPr>
            <w:tcW w:w="1702" w:type="pct"/>
            <w:tcBorders>
              <w:top w:val="single" w:sz="4" w:space="0" w:color="auto"/>
              <w:bottom w:val="single" w:sz="4" w:space="0" w:color="auto"/>
            </w:tcBorders>
            <w:vAlign w:val="center"/>
          </w:tcPr>
          <w:p w:rsidR="004B20E5" w:rsidRDefault="004B20E5" w:rsidP="00F94FA1">
            <w:pPr>
              <w:pStyle w:val="TableOutcomeMeasure"/>
            </w:pPr>
            <w:r>
              <w:t>F</w:t>
            </w:r>
            <w:r w:rsidRPr="00CB03CD">
              <w:t xml:space="preserve">lu </w:t>
            </w:r>
            <w:r>
              <w:t>vaccine rates among healthcare w</w:t>
            </w:r>
            <w:r w:rsidRPr="00CB03CD">
              <w:t>orkers</w:t>
            </w:r>
          </w:p>
        </w:tc>
        <w:tc>
          <w:tcPr>
            <w:tcW w:w="782" w:type="pct"/>
            <w:tcBorders>
              <w:top w:val="single" w:sz="4" w:space="0" w:color="auto"/>
              <w:bottom w:val="single" w:sz="4" w:space="0" w:color="auto"/>
            </w:tcBorders>
            <w:vAlign w:val="center"/>
          </w:tcPr>
          <w:p w:rsidR="004B20E5" w:rsidRDefault="004B20E5" w:rsidP="00F94FA1">
            <w:pPr>
              <w:pStyle w:val="TableBaseline2020Target"/>
            </w:pPr>
            <w:r>
              <w:t>86%</w:t>
            </w:r>
          </w:p>
        </w:tc>
        <w:tc>
          <w:tcPr>
            <w:tcW w:w="851" w:type="pct"/>
            <w:tcBorders>
              <w:top w:val="single" w:sz="4" w:space="0" w:color="auto"/>
              <w:bottom w:val="single" w:sz="4" w:space="0" w:color="auto"/>
            </w:tcBorders>
            <w:vAlign w:val="center"/>
          </w:tcPr>
          <w:p w:rsidR="004B20E5" w:rsidRDefault="004B20E5" w:rsidP="005C5FA5">
            <w:pPr>
              <w:pStyle w:val="TableBaseline2020Target"/>
            </w:pPr>
            <w:r>
              <w:t>&gt;86%</w:t>
            </w:r>
          </w:p>
        </w:tc>
        <w:tc>
          <w:tcPr>
            <w:tcW w:w="1665" w:type="pct"/>
            <w:tcBorders>
              <w:top w:val="single" w:sz="4" w:space="0" w:color="auto"/>
              <w:bottom w:val="single" w:sz="4" w:space="0" w:color="auto"/>
            </w:tcBorders>
            <w:vAlign w:val="center"/>
          </w:tcPr>
          <w:p w:rsidR="004B20E5" w:rsidRDefault="004B20E5" w:rsidP="00F94FA1">
            <w:pPr>
              <w:pStyle w:val="TableDataSource"/>
            </w:pPr>
            <w:r w:rsidRPr="003D3B06">
              <w:t>National Healthcare Safety Network (NHSN)</w:t>
            </w:r>
          </w:p>
        </w:tc>
      </w:tr>
    </w:tbl>
    <w:p w:rsidR="004B20E5" w:rsidRDefault="004B20E5" w:rsidP="00F72D59">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F94FA1">
        <w:trPr>
          <w:cantSplit/>
        </w:trPr>
        <w:tc>
          <w:tcPr>
            <w:tcW w:w="1329" w:type="pct"/>
            <w:tcBorders>
              <w:top w:val="single" w:sz="4" w:space="0" w:color="auto"/>
            </w:tcBorders>
          </w:tcPr>
          <w:p w:rsidR="004B20E5" w:rsidRPr="009171C7" w:rsidDel="00F67FD0" w:rsidRDefault="004B20E5" w:rsidP="00F94FA1">
            <w:pPr>
              <w:pStyle w:val="TableTitleNumeratoretc"/>
            </w:pPr>
            <w:r w:rsidRPr="00A367E5">
              <w:t>Numerator</w:t>
            </w:r>
            <w:r>
              <w:t>:</w:t>
            </w:r>
          </w:p>
        </w:tc>
        <w:tc>
          <w:tcPr>
            <w:tcW w:w="3671" w:type="pct"/>
            <w:tcBorders>
              <w:top w:val="single" w:sz="4" w:space="0" w:color="auto"/>
            </w:tcBorders>
            <w:vAlign w:val="center"/>
          </w:tcPr>
          <w:p w:rsidR="004B20E5" w:rsidRPr="00032F55" w:rsidDel="00F67FD0" w:rsidRDefault="004B20E5" w:rsidP="00F94FA1">
            <w:pPr>
              <w:pStyle w:val="TableOutcomeMeasure"/>
            </w:pPr>
            <w:r w:rsidRPr="00032F55">
              <w:t>Survey population indicating immunization</w:t>
            </w:r>
          </w:p>
        </w:tc>
      </w:tr>
      <w:tr w:rsidR="004B20E5" w:rsidRPr="00666093" w:rsidDel="00F67FD0" w:rsidTr="00F94FA1">
        <w:trPr>
          <w:cantSplit/>
        </w:trPr>
        <w:tc>
          <w:tcPr>
            <w:tcW w:w="1329" w:type="pct"/>
          </w:tcPr>
          <w:p w:rsidR="004B20E5" w:rsidRPr="009171C7" w:rsidDel="00F67FD0" w:rsidRDefault="004B20E5" w:rsidP="00F94FA1">
            <w:pPr>
              <w:pStyle w:val="TableTitleNumeratoretc"/>
            </w:pPr>
            <w:r w:rsidRPr="00A367E5">
              <w:t>Denominator</w:t>
            </w:r>
            <w:r>
              <w:t>:</w:t>
            </w:r>
          </w:p>
        </w:tc>
        <w:tc>
          <w:tcPr>
            <w:tcW w:w="3671" w:type="pct"/>
            <w:vAlign w:val="center"/>
          </w:tcPr>
          <w:p w:rsidR="004B20E5" w:rsidRPr="00032F55" w:rsidDel="00F67FD0" w:rsidRDefault="004B20E5" w:rsidP="00F94FA1">
            <w:pPr>
              <w:pStyle w:val="TableOutcomeMeasure"/>
            </w:pPr>
            <w:r w:rsidRPr="00032F55">
              <w:t>Total survey population</w:t>
            </w:r>
          </w:p>
        </w:tc>
      </w:tr>
      <w:tr w:rsidR="004B20E5" w:rsidRPr="00666093" w:rsidDel="00F67FD0" w:rsidTr="00F94FA1">
        <w:trPr>
          <w:cantSplit/>
        </w:trPr>
        <w:tc>
          <w:tcPr>
            <w:tcW w:w="1329" w:type="pct"/>
          </w:tcPr>
          <w:p w:rsidR="004B20E5" w:rsidRPr="009171C7" w:rsidDel="00F67FD0" w:rsidRDefault="004B20E5" w:rsidP="00F94FA1">
            <w:pPr>
              <w:pStyle w:val="TableTitleNumeratoretc"/>
            </w:pPr>
            <w:r w:rsidRPr="00A367E5">
              <w:t>Exclusions</w:t>
            </w:r>
            <w:r>
              <w:t>:</w:t>
            </w:r>
          </w:p>
        </w:tc>
        <w:tc>
          <w:tcPr>
            <w:tcW w:w="3671" w:type="pct"/>
            <w:vAlign w:val="center"/>
          </w:tcPr>
          <w:p w:rsidR="004B20E5" w:rsidRPr="00032F55" w:rsidDel="00F67FD0" w:rsidRDefault="004B20E5" w:rsidP="00F94FA1">
            <w:pPr>
              <w:pStyle w:val="TableOutcomeMeasure"/>
            </w:pPr>
            <w:r w:rsidRPr="00032F55">
              <w:t>Samples exclude institutionalized and other sub-populations</w:t>
            </w:r>
          </w:p>
        </w:tc>
      </w:tr>
      <w:tr w:rsidR="004B20E5" w:rsidRPr="00666093" w:rsidDel="00F67FD0" w:rsidTr="00F94FA1">
        <w:trPr>
          <w:cantSplit/>
        </w:trPr>
        <w:tc>
          <w:tcPr>
            <w:tcW w:w="1329" w:type="pct"/>
            <w:vAlign w:val="center"/>
          </w:tcPr>
          <w:p w:rsidR="004B20E5" w:rsidRPr="009171C7" w:rsidDel="00F67FD0" w:rsidRDefault="004B20E5" w:rsidP="00F94FA1">
            <w:pPr>
              <w:pStyle w:val="TableTitleNumeratoretc"/>
            </w:pPr>
            <w:r w:rsidRPr="00F67FD0">
              <w:t>Timeframe</w:t>
            </w:r>
            <w:r>
              <w:t>:</w:t>
            </w:r>
          </w:p>
        </w:tc>
        <w:tc>
          <w:tcPr>
            <w:tcW w:w="3671" w:type="pct"/>
            <w:vAlign w:val="center"/>
          </w:tcPr>
          <w:p w:rsidR="004B20E5" w:rsidRPr="00032F55" w:rsidDel="00F67FD0" w:rsidRDefault="004B20E5" w:rsidP="00F94FA1">
            <w:pPr>
              <w:pStyle w:val="TableOutcomeMeasure"/>
            </w:pPr>
            <w:r w:rsidRPr="00032F55">
              <w:t>Annual review</w:t>
            </w:r>
          </w:p>
        </w:tc>
      </w:tr>
      <w:tr w:rsidR="004B20E5" w:rsidRPr="00666093" w:rsidDel="00F67FD0" w:rsidTr="00F94FA1">
        <w:trPr>
          <w:cantSplit/>
        </w:trPr>
        <w:tc>
          <w:tcPr>
            <w:tcW w:w="1329" w:type="pct"/>
            <w:tcBorders>
              <w:bottom w:val="single" w:sz="4" w:space="0" w:color="auto"/>
            </w:tcBorders>
            <w:vAlign w:val="center"/>
          </w:tcPr>
          <w:p w:rsidR="004B20E5" w:rsidRPr="009171C7" w:rsidDel="00F67FD0" w:rsidRDefault="004B20E5" w:rsidP="00F94FA1">
            <w:pPr>
              <w:pStyle w:val="TableTitleNumeratoretc"/>
            </w:pPr>
            <w:r w:rsidRPr="00F67FD0">
              <w:t>How will this be measured?</w:t>
            </w:r>
          </w:p>
        </w:tc>
        <w:tc>
          <w:tcPr>
            <w:tcW w:w="3671" w:type="pct"/>
            <w:tcBorders>
              <w:bottom w:val="single" w:sz="4" w:space="0" w:color="auto"/>
            </w:tcBorders>
            <w:vAlign w:val="center"/>
          </w:tcPr>
          <w:p w:rsidR="004B20E5" w:rsidRPr="00032F55" w:rsidDel="00F67FD0" w:rsidRDefault="004B20E5" w:rsidP="00F94FA1">
            <w:pPr>
              <w:pStyle w:val="TableOutcomeMeasure"/>
            </w:pPr>
            <w:r w:rsidRPr="00032F55">
              <w:t xml:space="preserve">Population </w:t>
            </w:r>
            <w:r>
              <w:t>s</w:t>
            </w:r>
            <w:r w:rsidRPr="00032F55">
              <w:t>urveys and routine disease surveillance</w:t>
            </w:r>
            <w:r>
              <w:t xml:space="preserve"> (See Appendix D)</w:t>
            </w:r>
          </w:p>
        </w:tc>
      </w:tr>
    </w:tbl>
    <w:p w:rsidR="004B20E5" w:rsidRDefault="004B20E5" w:rsidP="00F72D59">
      <w:pPr>
        <w:pStyle w:val="StrategiesCategoryTitles"/>
      </w:pPr>
    </w:p>
    <w:p w:rsidR="004B20E5" w:rsidRDefault="004B20E5" w:rsidP="007C27A3">
      <w:pPr>
        <w:pStyle w:val="TableTenEssenHlthFunct"/>
      </w:pPr>
      <w:r>
        <w:t>Monitor Health to Identify and Solve Community Health Problems</w:t>
      </w:r>
    </w:p>
    <w:p w:rsidR="004B20E5" w:rsidRPr="006256D0" w:rsidRDefault="004B20E5" w:rsidP="00F72D59">
      <w:pPr>
        <w:pStyle w:val="TableStrategiesunderHealthFunctions"/>
      </w:pPr>
      <w:r w:rsidRPr="0046149F">
        <w:t>3</w:t>
      </w:r>
      <w:r>
        <w:t>.1.1</w:t>
      </w:r>
      <w:r>
        <w:tab/>
      </w:r>
      <w:r w:rsidRPr="0046149F">
        <w:t>Use new and existing data systems to measure vaccine coverage among populations to examine disparities and target vaccine strategies</w:t>
      </w:r>
      <w:r>
        <w:t>; ensure access for local health departments</w:t>
      </w:r>
      <w:r w:rsidRPr="0046149F">
        <w:t>.</w:t>
      </w:r>
    </w:p>
    <w:p w:rsidR="004B20E5" w:rsidRDefault="004B20E5" w:rsidP="007C27A3">
      <w:pPr>
        <w:pStyle w:val="TableTenEssenHlthFunct"/>
      </w:pPr>
      <w:r>
        <w:t xml:space="preserve">Inform, Educate, and Empower People About Health Issues </w:t>
      </w:r>
    </w:p>
    <w:p w:rsidR="004B20E5" w:rsidRDefault="004B20E5" w:rsidP="00F72D59">
      <w:pPr>
        <w:pStyle w:val="TableStrategiesunderHealthFunctions"/>
      </w:pPr>
      <w:r w:rsidRPr="0046149F">
        <w:t>3</w:t>
      </w:r>
      <w:r>
        <w:t>.1.2</w:t>
      </w:r>
      <w:r w:rsidRPr="0046149F">
        <w:tab/>
      </w:r>
      <w:r>
        <w:t xml:space="preserve">Provide public education on the safety and benefits of vaccines. </w:t>
      </w:r>
    </w:p>
    <w:p w:rsidR="004B20E5" w:rsidRPr="006256D0" w:rsidRDefault="004B20E5" w:rsidP="00F72D59">
      <w:pPr>
        <w:pStyle w:val="TableStrategiesunderHealthFunctions"/>
      </w:pPr>
      <w:r w:rsidRPr="0046149F">
        <w:rPr>
          <w:szCs w:val="22"/>
        </w:rPr>
        <w:t>3</w:t>
      </w:r>
      <w:r>
        <w:rPr>
          <w:szCs w:val="22"/>
        </w:rPr>
        <w:t>.1.3</w:t>
      </w:r>
      <w:r>
        <w:rPr>
          <w:szCs w:val="22"/>
        </w:rPr>
        <w:tab/>
      </w:r>
      <w:r w:rsidRPr="0046149F">
        <w:rPr>
          <w:szCs w:val="22"/>
        </w:rPr>
        <w:t>Implement comprehensive reminder/recall systems</w:t>
      </w:r>
      <w:r>
        <w:t xml:space="preserve"> in multiple languages, in print form as well as electronically (text messaging, etc.)</w:t>
      </w:r>
      <w:r w:rsidRPr="0046149F">
        <w:rPr>
          <w:szCs w:val="22"/>
        </w:rPr>
        <w:t>.</w:t>
      </w:r>
    </w:p>
    <w:p w:rsidR="004B20E5" w:rsidRDefault="004B20E5" w:rsidP="007C27A3">
      <w:pPr>
        <w:pStyle w:val="TableTenEssenHlthFunct"/>
      </w:pPr>
      <w:r>
        <w:t xml:space="preserve">Develop Policies and Plans That Support Individual and Community Health Efforts </w:t>
      </w:r>
    </w:p>
    <w:p w:rsidR="004B20E5" w:rsidRPr="00C968DB" w:rsidRDefault="004B20E5" w:rsidP="00F72D59">
      <w:pPr>
        <w:pStyle w:val="TableStrategiesunderHealthFunctions"/>
      </w:pPr>
      <w:r w:rsidRPr="00C968DB">
        <w:t>3</w:t>
      </w:r>
      <w:r>
        <w:t>.1.4</w:t>
      </w:r>
      <w:r w:rsidRPr="00C968DB">
        <w:tab/>
        <w:t xml:space="preserve">Re-establish Massachusetts as a Universal Childhood Vaccine Distribution State for all vaccines </w:t>
      </w:r>
      <w:r>
        <w:t>recommended by the CDC and ACIP.</w:t>
      </w:r>
    </w:p>
    <w:p w:rsidR="004B20E5" w:rsidRPr="00C968DB" w:rsidRDefault="004B20E5" w:rsidP="00F72D59">
      <w:pPr>
        <w:pStyle w:val="TableStrategiesunderHealthFunctions"/>
      </w:pPr>
      <w:r w:rsidRPr="00C968DB">
        <w:lastRenderedPageBreak/>
        <w:t>3</w:t>
      </w:r>
      <w:r>
        <w:t>.1.5</w:t>
      </w:r>
      <w:r w:rsidRPr="00C968DB">
        <w:tab/>
        <w:t>Ensure percentage of immunization exemptions for school</w:t>
      </w:r>
      <w:r w:rsidR="00FD6172">
        <w:t xml:space="preserve"> </w:t>
      </w:r>
      <w:r w:rsidRPr="00C968DB">
        <w:t>entry statewide is maintained below 1.5%</w:t>
      </w:r>
    </w:p>
    <w:p w:rsidR="004B20E5" w:rsidRPr="00C968DB" w:rsidRDefault="004B20E5" w:rsidP="00F72D59">
      <w:pPr>
        <w:pStyle w:val="TableStrategiesunderHealthFunctions"/>
      </w:pPr>
      <w:r>
        <w:t>3.1.6</w:t>
      </w:r>
      <w:r>
        <w:tab/>
        <w:t>Increase roll-</w:t>
      </w:r>
      <w:r w:rsidRPr="00C968DB">
        <w:t xml:space="preserve">out and routine use of the </w:t>
      </w:r>
      <w:r>
        <w:t>Massachusetts Immunization Information System (</w:t>
      </w:r>
      <w:r w:rsidRPr="00C968DB">
        <w:t>MIIS</w:t>
      </w:r>
      <w:r>
        <w:t xml:space="preserve">) </w:t>
      </w:r>
      <w:r w:rsidRPr="00C968DB">
        <w:t>to over 1,000 health care provider sites and inclusion of over 3,000,000 patient records.</w:t>
      </w:r>
    </w:p>
    <w:p w:rsidR="004B20E5" w:rsidRPr="0046149F" w:rsidRDefault="004B20E5" w:rsidP="00F72D59">
      <w:pPr>
        <w:pStyle w:val="TableStrategiesunderHealthFunctions"/>
      </w:pPr>
      <w:r w:rsidRPr="0046149F">
        <w:t>3</w:t>
      </w:r>
      <w:r>
        <w:t>.1.7</w:t>
      </w:r>
      <w:r w:rsidRPr="0046149F">
        <w:tab/>
      </w:r>
      <w:r>
        <w:t xml:space="preserve">Promote compliance with CDC guidelines for influenza prevention programs in healthcare facilities, which include vaccination. </w:t>
      </w:r>
    </w:p>
    <w:p w:rsidR="004B20E5" w:rsidRPr="006256D0" w:rsidRDefault="004B20E5" w:rsidP="00F72D59">
      <w:pPr>
        <w:pStyle w:val="TableStrategiesunderHealthFunctions"/>
      </w:pPr>
    </w:p>
    <w:p w:rsidR="004B20E5" w:rsidRDefault="004B20E5" w:rsidP="00F72D59">
      <w:pPr>
        <w:keepNext/>
        <w:tabs>
          <w:tab w:val="center" w:pos="7200"/>
        </w:tabs>
        <w:ind w:left="1080" w:hanging="1080"/>
        <w:rPr>
          <w:rFonts w:cs="Arial"/>
          <w:b/>
        </w:rPr>
      </w:pPr>
    </w:p>
    <w:p w:rsidR="004B20E5" w:rsidRDefault="004B20E5" w:rsidP="00876533">
      <w:pPr>
        <w:pStyle w:val="StandardStatement"/>
      </w:pPr>
      <w:r>
        <w:t xml:space="preserve">Standard 3B: Reduce the incidence of </w:t>
      </w:r>
      <w:r w:rsidR="002A6C56">
        <w:t>tick-borne</w:t>
      </w:r>
      <w:r>
        <w:t xml:space="preserve"> infections among MA residents.</w:t>
      </w:r>
    </w:p>
    <w:p w:rsidR="004B20E5" w:rsidRPr="00876533" w:rsidRDefault="004B20E5" w:rsidP="00876533">
      <w:pPr>
        <w:pStyle w:val="BodyText"/>
      </w:pPr>
    </w:p>
    <w:p w:rsidR="004B20E5" w:rsidRDefault="004B20E5" w:rsidP="00F72D59">
      <w:pPr>
        <w:pStyle w:val="ObjectiveStatement"/>
      </w:pPr>
      <w:r>
        <w:t xml:space="preserve">Measure </w:t>
      </w:r>
      <w:r w:rsidRPr="00C968DB">
        <w:t>3.</w:t>
      </w:r>
      <w:r>
        <w:t>2:</w:t>
      </w:r>
      <w:r>
        <w:tab/>
      </w:r>
      <w:r w:rsidRPr="00671D21">
        <w:t xml:space="preserve">Decrease by 10% Lyme disease reported in </w:t>
      </w:r>
      <w:r>
        <w:t>children under the age of 19.</w:t>
      </w:r>
    </w:p>
    <w:tbl>
      <w:tblPr>
        <w:tblW w:w="4139" w:type="pct"/>
        <w:tblInd w:w="1755" w:type="dxa"/>
        <w:tblLayout w:type="fixed"/>
        <w:tblLook w:val="00A0" w:firstRow="1" w:lastRow="0" w:firstColumn="1" w:lastColumn="0" w:noHBand="0" w:noVBand="0"/>
      </w:tblPr>
      <w:tblGrid>
        <w:gridCol w:w="2248"/>
        <w:gridCol w:w="1531"/>
        <w:gridCol w:w="1531"/>
        <w:gridCol w:w="3213"/>
      </w:tblGrid>
      <w:tr w:rsidR="004B20E5" w:rsidRPr="00666093" w:rsidTr="00F94FA1">
        <w:trPr>
          <w:cantSplit/>
          <w:trHeight w:val="341"/>
        </w:trPr>
        <w:tc>
          <w:tcPr>
            <w:tcW w:w="1319" w:type="pct"/>
            <w:tcBorders>
              <w:top w:val="single" w:sz="4" w:space="0" w:color="auto"/>
              <w:bottom w:val="single" w:sz="4" w:space="0" w:color="auto"/>
            </w:tcBorders>
            <w:vAlign w:val="center"/>
          </w:tcPr>
          <w:p w:rsidR="004B20E5" w:rsidRPr="00666093" w:rsidRDefault="004B20E5" w:rsidP="00663E37">
            <w:pPr>
              <w:pStyle w:val="TableTitleTargetDataSource"/>
            </w:pPr>
            <w:r>
              <w:t>Outcome Indicator</w:t>
            </w:r>
          </w:p>
        </w:tc>
        <w:tc>
          <w:tcPr>
            <w:tcW w:w="898" w:type="pct"/>
            <w:tcBorders>
              <w:top w:val="single" w:sz="4" w:space="0" w:color="auto"/>
              <w:bottom w:val="single" w:sz="4" w:space="0" w:color="auto"/>
            </w:tcBorders>
            <w:vAlign w:val="center"/>
          </w:tcPr>
          <w:p w:rsidR="004B20E5" w:rsidRPr="00666093" w:rsidRDefault="004B20E5" w:rsidP="00F94FA1">
            <w:pPr>
              <w:pStyle w:val="TableTitleBaseline2020Target"/>
            </w:pPr>
            <w:r w:rsidRPr="009171C7">
              <w:t>Baseline</w:t>
            </w:r>
          </w:p>
        </w:tc>
        <w:tc>
          <w:tcPr>
            <w:tcW w:w="898" w:type="pct"/>
            <w:tcBorders>
              <w:top w:val="single" w:sz="4" w:space="0" w:color="auto"/>
              <w:bottom w:val="single" w:sz="4" w:space="0" w:color="auto"/>
            </w:tcBorders>
            <w:vAlign w:val="center"/>
          </w:tcPr>
          <w:p w:rsidR="004B20E5" w:rsidRPr="00666093" w:rsidRDefault="004B20E5" w:rsidP="00F94FA1">
            <w:pPr>
              <w:pStyle w:val="TableTitleBaseline2020Target"/>
            </w:pPr>
            <w:r w:rsidRPr="009171C7">
              <w:t>2020 Target</w:t>
            </w:r>
          </w:p>
        </w:tc>
        <w:tc>
          <w:tcPr>
            <w:tcW w:w="1885" w:type="pct"/>
            <w:tcBorders>
              <w:top w:val="single" w:sz="4" w:space="0" w:color="auto"/>
              <w:bottom w:val="single" w:sz="4" w:space="0" w:color="auto"/>
            </w:tcBorders>
            <w:vAlign w:val="center"/>
          </w:tcPr>
          <w:p w:rsidR="004B20E5" w:rsidRPr="00666093" w:rsidRDefault="004B20E5" w:rsidP="00F94FA1">
            <w:pPr>
              <w:pStyle w:val="TableTitleTargetDataSource"/>
            </w:pPr>
            <w:r w:rsidRPr="009171C7">
              <w:t>Data Source</w:t>
            </w:r>
          </w:p>
        </w:tc>
      </w:tr>
      <w:tr w:rsidR="004B20E5" w:rsidRPr="00666093" w:rsidTr="00F94FA1">
        <w:trPr>
          <w:cantSplit/>
        </w:trPr>
        <w:tc>
          <w:tcPr>
            <w:tcW w:w="1319" w:type="pct"/>
            <w:tcBorders>
              <w:top w:val="single" w:sz="4" w:space="0" w:color="auto"/>
              <w:bottom w:val="single" w:sz="4" w:space="0" w:color="auto"/>
            </w:tcBorders>
            <w:vAlign w:val="center"/>
          </w:tcPr>
          <w:p w:rsidR="004B20E5" w:rsidRPr="00666093" w:rsidRDefault="004B20E5" w:rsidP="00F94FA1">
            <w:pPr>
              <w:pStyle w:val="TableOutcomeMeasure"/>
            </w:pPr>
            <w:r>
              <w:t>Lyme disease reported among c</w:t>
            </w:r>
            <w:r w:rsidRPr="009171C7">
              <w:t>hildren under the age of 19</w:t>
            </w:r>
          </w:p>
        </w:tc>
        <w:tc>
          <w:tcPr>
            <w:tcW w:w="898" w:type="pct"/>
            <w:tcBorders>
              <w:top w:val="single" w:sz="4" w:space="0" w:color="auto"/>
              <w:bottom w:val="single" w:sz="4" w:space="0" w:color="auto"/>
            </w:tcBorders>
            <w:vAlign w:val="center"/>
          </w:tcPr>
          <w:p w:rsidR="004B20E5" w:rsidRPr="00666093" w:rsidRDefault="004B20E5" w:rsidP="00F94FA1">
            <w:pPr>
              <w:pStyle w:val="TableBaseline2020Target"/>
            </w:pPr>
            <w:r w:rsidRPr="009171C7">
              <w:t>1,038</w:t>
            </w:r>
            <w:r>
              <w:t xml:space="preserve"> cases</w:t>
            </w:r>
          </w:p>
        </w:tc>
        <w:tc>
          <w:tcPr>
            <w:tcW w:w="898" w:type="pct"/>
            <w:tcBorders>
              <w:top w:val="single" w:sz="4" w:space="0" w:color="auto"/>
              <w:bottom w:val="single" w:sz="4" w:space="0" w:color="auto"/>
            </w:tcBorders>
            <w:vAlign w:val="center"/>
          </w:tcPr>
          <w:p w:rsidR="004B20E5" w:rsidRPr="00666093" w:rsidRDefault="004B20E5" w:rsidP="00F94FA1">
            <w:pPr>
              <w:pStyle w:val="TableBaseline2020Target"/>
            </w:pPr>
            <w:r w:rsidRPr="009171C7">
              <w:t>935</w:t>
            </w:r>
            <w:r>
              <w:t xml:space="preserve"> cases</w:t>
            </w:r>
          </w:p>
        </w:tc>
        <w:tc>
          <w:tcPr>
            <w:tcW w:w="1885" w:type="pct"/>
            <w:tcBorders>
              <w:top w:val="single" w:sz="4" w:space="0" w:color="auto"/>
              <w:bottom w:val="single" w:sz="4" w:space="0" w:color="auto"/>
            </w:tcBorders>
            <w:vAlign w:val="center"/>
          </w:tcPr>
          <w:p w:rsidR="004B20E5" w:rsidRPr="00666093" w:rsidRDefault="004B20E5" w:rsidP="00F94FA1">
            <w:pPr>
              <w:pStyle w:val="TableDataSource"/>
            </w:pPr>
            <w:r>
              <w:t>MDPH BID Epidemiology Program 2012</w:t>
            </w:r>
          </w:p>
        </w:tc>
      </w:tr>
    </w:tbl>
    <w:p w:rsidR="004B20E5" w:rsidRPr="004E5EC4" w:rsidRDefault="004B20E5" w:rsidP="00F72D59">
      <w:pPr>
        <w:pStyle w:val="StrategiesCategoryTitles"/>
        <w:rPr>
          <w:i/>
        </w:rPr>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F94FA1">
        <w:trPr>
          <w:cantSplit/>
        </w:trPr>
        <w:tc>
          <w:tcPr>
            <w:tcW w:w="1329" w:type="pct"/>
            <w:tcBorders>
              <w:top w:val="single" w:sz="4" w:space="0" w:color="auto"/>
            </w:tcBorders>
          </w:tcPr>
          <w:p w:rsidR="004B20E5" w:rsidRPr="009171C7" w:rsidDel="00F67FD0" w:rsidRDefault="004B20E5" w:rsidP="00F94FA1">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F94FA1">
            <w:pPr>
              <w:pStyle w:val="TableOutcomeMeasure"/>
            </w:pPr>
            <w:r>
              <w:t>Confirmed reported cases in children under 19 years of age</w:t>
            </w:r>
          </w:p>
        </w:tc>
      </w:tr>
      <w:tr w:rsidR="004B20E5" w:rsidRPr="00666093" w:rsidDel="00F67FD0" w:rsidTr="00F94FA1">
        <w:trPr>
          <w:cantSplit/>
        </w:trPr>
        <w:tc>
          <w:tcPr>
            <w:tcW w:w="1329" w:type="pct"/>
          </w:tcPr>
          <w:p w:rsidR="004B20E5" w:rsidRPr="009171C7" w:rsidDel="00F67FD0" w:rsidRDefault="004B20E5" w:rsidP="00F94FA1">
            <w:pPr>
              <w:pStyle w:val="TableTitleNumeratoretc"/>
            </w:pPr>
            <w:r w:rsidRPr="00A367E5">
              <w:t>Denominator</w:t>
            </w:r>
            <w:r>
              <w:t>:</w:t>
            </w:r>
          </w:p>
        </w:tc>
        <w:tc>
          <w:tcPr>
            <w:tcW w:w="3671" w:type="pct"/>
            <w:vAlign w:val="center"/>
          </w:tcPr>
          <w:p w:rsidR="004B20E5" w:rsidRPr="00391134" w:rsidDel="00F67FD0" w:rsidRDefault="004B20E5" w:rsidP="00F94FA1">
            <w:pPr>
              <w:pStyle w:val="TableOutcomeMeasure"/>
            </w:pPr>
            <w:r>
              <w:t>N/A</w:t>
            </w:r>
          </w:p>
        </w:tc>
      </w:tr>
      <w:tr w:rsidR="004B20E5" w:rsidRPr="00666093" w:rsidDel="00F67FD0" w:rsidTr="00F94FA1">
        <w:trPr>
          <w:cantSplit/>
        </w:trPr>
        <w:tc>
          <w:tcPr>
            <w:tcW w:w="1329" w:type="pct"/>
          </w:tcPr>
          <w:p w:rsidR="004B20E5" w:rsidRPr="009171C7" w:rsidDel="00F67FD0" w:rsidRDefault="004B20E5" w:rsidP="00F94FA1">
            <w:pPr>
              <w:pStyle w:val="TableTitleNumeratoretc"/>
            </w:pPr>
            <w:r w:rsidRPr="00A367E5">
              <w:t>Exclusions</w:t>
            </w:r>
            <w:r>
              <w:t>:</w:t>
            </w:r>
          </w:p>
        </w:tc>
        <w:tc>
          <w:tcPr>
            <w:tcW w:w="3671" w:type="pct"/>
            <w:vAlign w:val="center"/>
          </w:tcPr>
          <w:p w:rsidR="004B20E5" w:rsidRPr="00391134" w:rsidDel="00F67FD0" w:rsidRDefault="004B20E5" w:rsidP="00F94FA1">
            <w:pPr>
              <w:pStyle w:val="TableOutcomeMeasure"/>
            </w:pPr>
            <w:r>
              <w:t>None</w:t>
            </w:r>
          </w:p>
        </w:tc>
      </w:tr>
      <w:tr w:rsidR="004B20E5" w:rsidRPr="00666093" w:rsidDel="00F67FD0" w:rsidTr="00F94FA1">
        <w:trPr>
          <w:cantSplit/>
        </w:trPr>
        <w:tc>
          <w:tcPr>
            <w:tcW w:w="1329" w:type="pct"/>
            <w:vAlign w:val="center"/>
          </w:tcPr>
          <w:p w:rsidR="004B20E5" w:rsidRPr="009171C7" w:rsidDel="00F67FD0" w:rsidRDefault="004B20E5" w:rsidP="00F94FA1">
            <w:pPr>
              <w:pStyle w:val="TableTitleNumeratoretc"/>
            </w:pPr>
            <w:r w:rsidRPr="00F67FD0">
              <w:t>Timeframe</w:t>
            </w:r>
            <w:r>
              <w:t>:</w:t>
            </w:r>
          </w:p>
        </w:tc>
        <w:tc>
          <w:tcPr>
            <w:tcW w:w="3671" w:type="pct"/>
            <w:vAlign w:val="center"/>
          </w:tcPr>
          <w:p w:rsidR="004B20E5" w:rsidRPr="00391134" w:rsidDel="00F67FD0" w:rsidRDefault="004B20E5" w:rsidP="00F94FA1">
            <w:pPr>
              <w:pStyle w:val="TableOutcomeMeasure"/>
            </w:pPr>
            <w:r>
              <w:t>Annual</w:t>
            </w:r>
          </w:p>
        </w:tc>
      </w:tr>
      <w:tr w:rsidR="004B20E5" w:rsidRPr="00666093" w:rsidDel="00F67FD0" w:rsidTr="00F94FA1">
        <w:trPr>
          <w:cantSplit/>
        </w:trPr>
        <w:tc>
          <w:tcPr>
            <w:tcW w:w="1329" w:type="pct"/>
            <w:tcBorders>
              <w:bottom w:val="single" w:sz="4" w:space="0" w:color="auto"/>
            </w:tcBorders>
            <w:vAlign w:val="center"/>
          </w:tcPr>
          <w:p w:rsidR="004B20E5" w:rsidRPr="009171C7" w:rsidDel="00F67FD0" w:rsidRDefault="004B20E5" w:rsidP="00F94FA1">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F94FA1">
            <w:pPr>
              <w:pStyle w:val="TableOutcomeMeasure"/>
            </w:pPr>
            <w:r>
              <w:t>Routine disease surveillance (See Appendix D)</w:t>
            </w:r>
          </w:p>
        </w:tc>
      </w:tr>
    </w:tbl>
    <w:p w:rsidR="004B20E5" w:rsidRDefault="004B20E5" w:rsidP="00F72D59">
      <w:pPr>
        <w:pStyle w:val="StrategiesCategoryTitles"/>
      </w:pPr>
    </w:p>
    <w:p w:rsidR="004B20E5" w:rsidRDefault="004B20E5" w:rsidP="007C27A3">
      <w:pPr>
        <w:pStyle w:val="TableTenEssenHlthFunct"/>
      </w:pPr>
      <w:r>
        <w:t xml:space="preserve">Inform, Educate, and Empower People About Health Issues </w:t>
      </w:r>
    </w:p>
    <w:p w:rsidR="004B20E5" w:rsidRPr="00C968DB" w:rsidRDefault="004B20E5" w:rsidP="00F72D59">
      <w:pPr>
        <w:pStyle w:val="TableStrategiesunderHealthFunctions"/>
      </w:pPr>
      <w:r w:rsidRPr="00C968DB">
        <w:t>3</w:t>
      </w:r>
      <w:r>
        <w:t>.2.1</w:t>
      </w:r>
      <w:r>
        <w:tab/>
      </w:r>
      <w:r w:rsidRPr="00C968DB">
        <w:t xml:space="preserve">Distribute vector-borne disease prevention materials to </w:t>
      </w:r>
      <w:r>
        <w:t xml:space="preserve">all Massachusetts </w:t>
      </w:r>
      <w:r w:rsidRPr="00C968DB">
        <w:t>coaches and athletic associations.</w:t>
      </w:r>
    </w:p>
    <w:p w:rsidR="004B20E5" w:rsidRDefault="004B20E5" w:rsidP="00F72D59">
      <w:pPr>
        <w:pStyle w:val="TableStrategiesunderHealthFunctions"/>
      </w:pPr>
      <w:r w:rsidRPr="00C968DB">
        <w:t>3</w:t>
      </w:r>
      <w:r>
        <w:t>.2.2</w:t>
      </w:r>
      <w:r w:rsidRPr="00C968DB">
        <w:tab/>
        <w:t>Promote the appropriate use of tick and mosquito repellents</w:t>
      </w:r>
      <w:r>
        <w:t xml:space="preserve"> through public information and local health departments</w:t>
      </w:r>
      <w:r w:rsidRPr="00C968DB">
        <w:t>.</w:t>
      </w:r>
    </w:p>
    <w:p w:rsidR="004B20E5" w:rsidRPr="006256D0" w:rsidRDefault="004B20E5" w:rsidP="00F72D59">
      <w:pPr>
        <w:pStyle w:val="TableStrategiesunderHealthFunctions"/>
      </w:pPr>
      <w:r>
        <w:t>3.2.3</w:t>
      </w:r>
      <w:r>
        <w:tab/>
        <w:t>Promote adoption of workplace policies and practices to prevent tick bites in high risk outdoor industries such as landscaping, construction, parks and recreation.</w:t>
      </w:r>
    </w:p>
    <w:p w:rsidR="004B20E5" w:rsidRDefault="004B20E5" w:rsidP="007C27A3">
      <w:pPr>
        <w:pStyle w:val="TableTenEssenHlthFunct"/>
      </w:pPr>
      <w:r>
        <w:t>Mobilize Community Partnerships And Action</w:t>
      </w:r>
    </w:p>
    <w:p w:rsidR="004B20E5" w:rsidRPr="006256D0" w:rsidRDefault="004B20E5" w:rsidP="00F72D59">
      <w:pPr>
        <w:pStyle w:val="TableStrategiesunderHealthFunctions"/>
      </w:pPr>
      <w:r>
        <w:t>3.2.4</w:t>
      </w:r>
      <w:r>
        <w:tab/>
      </w:r>
      <w:r w:rsidRPr="00AD7AD3">
        <w:t xml:space="preserve">Explore collaborative opportunities for enhanced tick surveillance with local boards of health to inform patterns of </w:t>
      </w:r>
      <w:r w:rsidR="003120E8" w:rsidRPr="00AD7AD3">
        <w:t>tick-borne</w:t>
      </w:r>
      <w:r w:rsidRPr="00AD7AD3">
        <w:t xml:space="preserve"> disease risk.</w:t>
      </w:r>
    </w:p>
    <w:p w:rsidR="004B20E5" w:rsidRDefault="004B20E5" w:rsidP="007C27A3">
      <w:pPr>
        <w:pStyle w:val="TableTenEssenHlthFunct"/>
      </w:pPr>
      <w:r>
        <w:t xml:space="preserve">Develop Policies and Plans That Support Individual and Community Health Efforts </w:t>
      </w:r>
    </w:p>
    <w:p w:rsidR="004B20E5" w:rsidRPr="00C968DB" w:rsidRDefault="004B20E5" w:rsidP="00F72D59">
      <w:pPr>
        <w:pStyle w:val="TableStrategiesunderHealthFunctions"/>
      </w:pPr>
      <w:r w:rsidRPr="00C968DB">
        <w:t>3</w:t>
      </w:r>
      <w:r>
        <w:t>.2.5</w:t>
      </w:r>
      <w:r w:rsidRPr="00C968DB">
        <w:tab/>
        <w:t xml:space="preserve">Increase the number of school systems that include tick bite prevention in the </w:t>
      </w:r>
      <w:r>
        <w:t xml:space="preserve">health or science </w:t>
      </w:r>
      <w:r w:rsidRPr="00C968DB">
        <w:t>curriculum.</w:t>
      </w:r>
    </w:p>
    <w:p w:rsidR="004B20E5" w:rsidRPr="006256D0" w:rsidRDefault="004B20E5" w:rsidP="00F72D59">
      <w:pPr>
        <w:pStyle w:val="TableStrategiesunderHealthFunctions"/>
      </w:pPr>
      <w:r>
        <w:t>3.2.6</w:t>
      </w:r>
      <w:r>
        <w:tab/>
        <w:t>Reduce tick exposure by using integrated pest management and landscape maintenance strategies.</w:t>
      </w:r>
    </w:p>
    <w:p w:rsidR="004B20E5" w:rsidRDefault="004B20E5" w:rsidP="00F72D59">
      <w:pPr>
        <w:pStyle w:val="StrategiesTitle"/>
      </w:pPr>
    </w:p>
    <w:p w:rsidR="004B20E5" w:rsidRDefault="004B20E5" w:rsidP="00F72D59">
      <w:pPr>
        <w:pStyle w:val="TableStrategiesunderHealthFunctions"/>
      </w:pPr>
    </w:p>
    <w:p w:rsidR="004B20E5" w:rsidRDefault="004B20E5" w:rsidP="00F72D59">
      <w:pPr>
        <w:spacing w:after="200" w:line="276" w:lineRule="auto"/>
        <w:rPr>
          <w:rFonts w:cs="Arial"/>
          <w:b/>
          <w:szCs w:val="24"/>
        </w:rPr>
      </w:pPr>
      <w:r>
        <w:br w:type="page"/>
      </w:r>
    </w:p>
    <w:p w:rsidR="004B20E5" w:rsidRDefault="004B20E5" w:rsidP="00876533">
      <w:pPr>
        <w:pStyle w:val="StandardStatement"/>
      </w:pPr>
      <w:r>
        <w:lastRenderedPageBreak/>
        <w:t xml:space="preserve"> Standard 3C: Decrease morbidity related to sexually transmitted infections.</w:t>
      </w:r>
    </w:p>
    <w:p w:rsidR="004B20E5" w:rsidRPr="00876533" w:rsidRDefault="004B20E5" w:rsidP="00876533">
      <w:pPr>
        <w:pStyle w:val="BodyText"/>
      </w:pPr>
    </w:p>
    <w:p w:rsidR="004B20E5" w:rsidRDefault="00F03799" w:rsidP="00F72D59">
      <w:pPr>
        <w:pStyle w:val="ObjectiveStatement"/>
      </w:pPr>
      <w:r>
        <w:rPr>
          <w:noProof/>
        </w:rPr>
        <w:drawing>
          <wp:anchor distT="0" distB="0" distL="114300" distR="114300" simplePos="0" relativeHeight="251664384" behindDoc="0" locked="0" layoutInCell="1" allowOverlap="1" wp14:anchorId="7CECF6AE" wp14:editId="29C06E45">
            <wp:simplePos x="0" y="0"/>
            <wp:positionH relativeFrom="column">
              <wp:posOffset>14605</wp:posOffset>
            </wp:positionH>
            <wp:positionV relativeFrom="paragraph">
              <wp:posOffset>466725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t xml:space="preserve">Measure </w:t>
      </w:r>
      <w:r w:rsidR="004B20E5" w:rsidRPr="00C968DB">
        <w:t>3.</w:t>
      </w:r>
      <w:r w:rsidR="004B20E5">
        <w:t>3</w:t>
      </w:r>
      <w:r w:rsidR="004B20E5" w:rsidRPr="00C968DB">
        <w:t>:</w:t>
      </w:r>
      <w:r w:rsidR="004B20E5">
        <w:tab/>
      </w:r>
      <w:r w:rsidR="004B20E5" w:rsidRPr="00C968DB">
        <w:t xml:space="preserve">Decrease the incidence of sexually transmitted infections (chlamydia, gonorrhea, </w:t>
      </w:r>
      <w:r w:rsidR="004B20E5">
        <w:t xml:space="preserve">and </w:t>
      </w:r>
      <w:r w:rsidR="004B20E5" w:rsidRPr="00C968DB">
        <w:t>syphilis) in adolescents and high</w:t>
      </w:r>
      <w:r w:rsidR="004B20E5">
        <w:t>-</w:t>
      </w:r>
      <w:r w:rsidR="004B20E5" w:rsidRPr="00C968DB">
        <w:t>risk adult populations</w:t>
      </w:r>
      <w:r w:rsidR="004B20E5">
        <w:t>.</w:t>
      </w:r>
    </w:p>
    <w:tbl>
      <w:tblPr>
        <w:tblW w:w="4095" w:type="pct"/>
        <w:tblInd w:w="1755" w:type="dxa"/>
        <w:tblLayout w:type="fixed"/>
        <w:tblLook w:val="00A0" w:firstRow="1" w:lastRow="0" w:firstColumn="1" w:lastColumn="0" w:noHBand="0" w:noVBand="0"/>
      </w:tblPr>
      <w:tblGrid>
        <w:gridCol w:w="2343"/>
        <w:gridCol w:w="1799"/>
        <w:gridCol w:w="1349"/>
        <w:gridCol w:w="2941"/>
      </w:tblGrid>
      <w:tr w:rsidR="004B20E5" w:rsidRPr="00666093" w:rsidTr="00F94FA1">
        <w:trPr>
          <w:cantSplit/>
        </w:trPr>
        <w:tc>
          <w:tcPr>
            <w:tcW w:w="1389" w:type="pct"/>
            <w:tcBorders>
              <w:top w:val="single" w:sz="4" w:space="0" w:color="auto"/>
              <w:bottom w:val="single" w:sz="4" w:space="0" w:color="auto"/>
            </w:tcBorders>
            <w:vAlign w:val="center"/>
          </w:tcPr>
          <w:p w:rsidR="004B20E5" w:rsidRPr="00666093" w:rsidRDefault="004B20E5" w:rsidP="00663E37">
            <w:pPr>
              <w:pStyle w:val="TableTitleTargetDataSource"/>
            </w:pPr>
            <w:r>
              <w:t>Outcome Indicator</w:t>
            </w:r>
          </w:p>
        </w:tc>
        <w:tc>
          <w:tcPr>
            <w:tcW w:w="1067" w:type="pct"/>
            <w:tcBorders>
              <w:top w:val="single" w:sz="4" w:space="0" w:color="auto"/>
              <w:bottom w:val="single" w:sz="4" w:space="0" w:color="auto"/>
            </w:tcBorders>
            <w:vAlign w:val="center"/>
          </w:tcPr>
          <w:p w:rsidR="004B20E5" w:rsidRPr="00666093" w:rsidRDefault="004B20E5" w:rsidP="00F94FA1">
            <w:pPr>
              <w:pStyle w:val="TableTitleBaseline2020Target"/>
            </w:pPr>
            <w:r w:rsidRPr="009171C7">
              <w:t>Baseline</w:t>
            </w:r>
          </w:p>
        </w:tc>
        <w:tc>
          <w:tcPr>
            <w:tcW w:w="800" w:type="pct"/>
            <w:tcBorders>
              <w:top w:val="single" w:sz="4" w:space="0" w:color="auto"/>
              <w:bottom w:val="single" w:sz="4" w:space="0" w:color="auto"/>
            </w:tcBorders>
            <w:vAlign w:val="center"/>
          </w:tcPr>
          <w:p w:rsidR="004B20E5" w:rsidRPr="00666093" w:rsidRDefault="004B20E5" w:rsidP="00F94FA1">
            <w:pPr>
              <w:pStyle w:val="TableTitleBaseline2020Target"/>
            </w:pPr>
            <w:r w:rsidRPr="009171C7">
              <w:t>2020 Target</w:t>
            </w:r>
          </w:p>
        </w:tc>
        <w:tc>
          <w:tcPr>
            <w:tcW w:w="1744" w:type="pct"/>
            <w:tcBorders>
              <w:top w:val="single" w:sz="4" w:space="0" w:color="auto"/>
              <w:bottom w:val="single" w:sz="4" w:space="0" w:color="auto"/>
            </w:tcBorders>
            <w:vAlign w:val="center"/>
          </w:tcPr>
          <w:p w:rsidR="004B20E5" w:rsidRPr="00666093" w:rsidRDefault="004B20E5" w:rsidP="00F94FA1">
            <w:pPr>
              <w:pStyle w:val="TableTitleTargetDataSource"/>
            </w:pPr>
            <w:r w:rsidRPr="009171C7">
              <w:t>Data Source</w:t>
            </w:r>
          </w:p>
        </w:tc>
      </w:tr>
      <w:tr w:rsidR="004B20E5" w:rsidRPr="00666093" w:rsidTr="00F94FA1">
        <w:trPr>
          <w:cantSplit/>
        </w:trPr>
        <w:tc>
          <w:tcPr>
            <w:tcW w:w="1389" w:type="pct"/>
            <w:tcBorders>
              <w:top w:val="single" w:sz="4" w:space="0" w:color="auto"/>
              <w:bottom w:val="single" w:sz="4" w:space="0" w:color="auto"/>
            </w:tcBorders>
            <w:vAlign w:val="center"/>
          </w:tcPr>
          <w:p w:rsidR="004B20E5" w:rsidRPr="00666093" w:rsidRDefault="004B20E5" w:rsidP="00F94FA1">
            <w:pPr>
              <w:pStyle w:val="TableOutcomeMeasure"/>
            </w:pPr>
            <w:r w:rsidRPr="009171C7">
              <w:t xml:space="preserve">Chlamydia incidence - </w:t>
            </w:r>
            <w:r>
              <w:t xml:space="preserve"> among a</w:t>
            </w:r>
            <w:r w:rsidRPr="009171C7">
              <w:t xml:space="preserve">dults and adolescents </w:t>
            </w:r>
          </w:p>
        </w:tc>
        <w:tc>
          <w:tcPr>
            <w:tcW w:w="1067" w:type="pct"/>
            <w:tcBorders>
              <w:top w:val="single" w:sz="4" w:space="0" w:color="auto"/>
              <w:bottom w:val="single" w:sz="4" w:space="0" w:color="auto"/>
            </w:tcBorders>
            <w:vAlign w:val="center"/>
          </w:tcPr>
          <w:p w:rsidR="004B20E5" w:rsidRPr="00666093" w:rsidRDefault="004B20E5" w:rsidP="00FD6172">
            <w:pPr>
              <w:pStyle w:val="TableBaseline2020Target"/>
              <w:keepNext/>
            </w:pPr>
            <w:r w:rsidRPr="009171C7">
              <w:t>34</w:t>
            </w:r>
            <w:r>
              <w:t>9</w:t>
            </w:r>
            <w:r w:rsidRPr="009171C7">
              <w:t xml:space="preserve"> per 100,000</w:t>
            </w:r>
          </w:p>
        </w:tc>
        <w:tc>
          <w:tcPr>
            <w:tcW w:w="800" w:type="pct"/>
            <w:tcBorders>
              <w:top w:val="single" w:sz="4" w:space="0" w:color="auto"/>
              <w:bottom w:val="single" w:sz="4" w:space="0" w:color="auto"/>
            </w:tcBorders>
            <w:vAlign w:val="center"/>
          </w:tcPr>
          <w:p w:rsidR="004B20E5" w:rsidRPr="00666093" w:rsidRDefault="004B20E5" w:rsidP="00F94FA1">
            <w:pPr>
              <w:pStyle w:val="TableBaseline2020Target"/>
              <w:keepNext/>
            </w:pPr>
            <w:r w:rsidRPr="009171C7">
              <w:t>313 per 100,000</w:t>
            </w:r>
          </w:p>
        </w:tc>
        <w:tc>
          <w:tcPr>
            <w:tcW w:w="1744" w:type="pct"/>
            <w:tcBorders>
              <w:top w:val="single" w:sz="4" w:space="0" w:color="auto"/>
              <w:bottom w:val="single" w:sz="4" w:space="0" w:color="auto"/>
            </w:tcBorders>
            <w:vAlign w:val="center"/>
          </w:tcPr>
          <w:p w:rsidR="004B20E5" w:rsidRPr="00666093" w:rsidRDefault="004B20E5" w:rsidP="00F94FA1">
            <w:pPr>
              <w:pStyle w:val="TableDataSource"/>
            </w:pPr>
            <w:r w:rsidRPr="00534E63">
              <w:t>M</w:t>
            </w:r>
            <w:r>
              <w:t xml:space="preserve">DPH BID STD Surveillance Program </w:t>
            </w:r>
            <w:r w:rsidRPr="00534E63">
              <w:t>2011</w:t>
            </w:r>
          </w:p>
        </w:tc>
      </w:tr>
      <w:tr w:rsidR="004B20E5" w:rsidRPr="00666093" w:rsidTr="00F94FA1">
        <w:trPr>
          <w:cantSplit/>
        </w:trPr>
        <w:tc>
          <w:tcPr>
            <w:tcW w:w="1389" w:type="pct"/>
            <w:tcBorders>
              <w:top w:val="single" w:sz="4" w:space="0" w:color="auto"/>
              <w:bottom w:val="single" w:sz="4" w:space="0" w:color="auto"/>
            </w:tcBorders>
            <w:vAlign w:val="center"/>
          </w:tcPr>
          <w:p w:rsidR="004B20E5" w:rsidRPr="00666093" w:rsidRDefault="004B20E5" w:rsidP="00F94FA1">
            <w:pPr>
              <w:pStyle w:val="TableOutcomeMeasure"/>
            </w:pPr>
            <w:r w:rsidRPr="009171C7">
              <w:t>Gonorrhea incidence</w:t>
            </w:r>
          </w:p>
        </w:tc>
        <w:tc>
          <w:tcPr>
            <w:tcW w:w="1067" w:type="pct"/>
            <w:tcBorders>
              <w:top w:val="single" w:sz="4" w:space="0" w:color="auto"/>
              <w:bottom w:val="single" w:sz="4" w:space="0" w:color="auto"/>
            </w:tcBorders>
            <w:vAlign w:val="center"/>
          </w:tcPr>
          <w:p w:rsidR="004B20E5" w:rsidRDefault="004B20E5" w:rsidP="00F94FA1">
            <w:pPr>
              <w:pStyle w:val="TableBaseline2020Target"/>
              <w:keepNext/>
            </w:pPr>
            <w:r>
              <w:t>36 cases per 100,000</w:t>
            </w:r>
          </w:p>
          <w:p w:rsidR="004B20E5" w:rsidRDefault="004B20E5" w:rsidP="00F94FA1">
            <w:pPr>
              <w:pStyle w:val="TableBaseline2020Target"/>
              <w:keepNext/>
            </w:pPr>
            <w:r>
              <w:t xml:space="preserve">155 cases per 100,000 for </w:t>
            </w:r>
            <w:r w:rsidR="00FD6172">
              <w:t xml:space="preserve">ages </w:t>
            </w:r>
            <w:r>
              <w:t xml:space="preserve">20-24 </w:t>
            </w:r>
          </w:p>
          <w:p w:rsidR="004B20E5" w:rsidRPr="00666093" w:rsidRDefault="004B20E5" w:rsidP="00F94FA1">
            <w:pPr>
              <w:pStyle w:val="TableBaseline2020Target"/>
              <w:keepNext/>
            </w:pPr>
            <w:r>
              <w:t xml:space="preserve">106 cases per 100,000 for </w:t>
            </w:r>
            <w:r w:rsidR="00FD6172">
              <w:t xml:space="preserve">ages </w:t>
            </w:r>
            <w:r>
              <w:t>25-29</w:t>
            </w:r>
          </w:p>
        </w:tc>
        <w:tc>
          <w:tcPr>
            <w:tcW w:w="800" w:type="pct"/>
            <w:tcBorders>
              <w:top w:val="single" w:sz="4" w:space="0" w:color="auto"/>
              <w:bottom w:val="single" w:sz="4" w:space="0" w:color="auto"/>
            </w:tcBorders>
            <w:vAlign w:val="center"/>
          </w:tcPr>
          <w:p w:rsidR="004B20E5" w:rsidRDefault="004B20E5" w:rsidP="00F94FA1">
            <w:pPr>
              <w:pStyle w:val="TableBaseline2020Target"/>
              <w:keepNext/>
            </w:pPr>
            <w:r>
              <w:t>29 per 100,000</w:t>
            </w:r>
          </w:p>
          <w:p w:rsidR="004B20E5" w:rsidRDefault="004B20E5" w:rsidP="00F94FA1">
            <w:pPr>
              <w:pStyle w:val="TableBaseline2020Target"/>
              <w:keepNext/>
            </w:pPr>
            <w:r>
              <w:t>124 per 100,000</w:t>
            </w:r>
          </w:p>
          <w:p w:rsidR="004B20E5" w:rsidRPr="00666093" w:rsidRDefault="004B20E5" w:rsidP="00F94FA1">
            <w:pPr>
              <w:pStyle w:val="TableBaseline2020Target"/>
              <w:keepNext/>
            </w:pPr>
            <w:r>
              <w:t>85 per 100,000</w:t>
            </w:r>
          </w:p>
        </w:tc>
        <w:tc>
          <w:tcPr>
            <w:tcW w:w="1744" w:type="pct"/>
            <w:tcBorders>
              <w:top w:val="single" w:sz="4" w:space="0" w:color="auto"/>
              <w:bottom w:val="single" w:sz="4" w:space="0" w:color="auto"/>
            </w:tcBorders>
            <w:vAlign w:val="center"/>
          </w:tcPr>
          <w:p w:rsidR="004B20E5" w:rsidRPr="00666093" w:rsidRDefault="004B20E5" w:rsidP="00F94FA1">
            <w:pPr>
              <w:pStyle w:val="TableDataSource"/>
            </w:pPr>
            <w:r w:rsidRPr="004469F3">
              <w:t>M</w:t>
            </w:r>
            <w:r>
              <w:t xml:space="preserve">DPH BID STD Surveillance Program </w:t>
            </w:r>
            <w:r w:rsidRPr="004469F3">
              <w:t>2011</w:t>
            </w:r>
          </w:p>
        </w:tc>
      </w:tr>
      <w:tr w:rsidR="004B20E5" w:rsidRPr="00666093" w:rsidTr="00F94FA1">
        <w:trPr>
          <w:cantSplit/>
        </w:trPr>
        <w:tc>
          <w:tcPr>
            <w:tcW w:w="1389" w:type="pct"/>
            <w:tcBorders>
              <w:top w:val="single" w:sz="4" w:space="0" w:color="auto"/>
              <w:bottom w:val="single" w:sz="4" w:space="0" w:color="auto"/>
            </w:tcBorders>
            <w:vAlign w:val="center"/>
          </w:tcPr>
          <w:p w:rsidR="004B20E5" w:rsidRPr="00666093" w:rsidRDefault="004B20E5" w:rsidP="00F94FA1">
            <w:pPr>
              <w:pStyle w:val="TableOutcomeMeasure"/>
            </w:pPr>
            <w:r>
              <w:t xml:space="preserve">Gonorrhea incidence among </w:t>
            </w:r>
            <w:r w:rsidRPr="009171C7">
              <w:t>Blacks</w:t>
            </w:r>
          </w:p>
        </w:tc>
        <w:tc>
          <w:tcPr>
            <w:tcW w:w="1067" w:type="pct"/>
            <w:tcBorders>
              <w:top w:val="single" w:sz="4" w:space="0" w:color="auto"/>
              <w:bottom w:val="single" w:sz="4" w:space="0" w:color="auto"/>
            </w:tcBorders>
            <w:vAlign w:val="center"/>
          </w:tcPr>
          <w:p w:rsidR="004B20E5" w:rsidRPr="00666093" w:rsidRDefault="004B20E5" w:rsidP="00F94FA1">
            <w:pPr>
              <w:pStyle w:val="TableBaseline2020Target"/>
              <w:keepNext/>
            </w:pPr>
            <w:r w:rsidRPr="009171C7">
              <w:t>1</w:t>
            </w:r>
            <w:r>
              <w:t>75</w:t>
            </w:r>
            <w:r w:rsidRPr="009171C7">
              <w:t xml:space="preserve"> cases per 100,000</w:t>
            </w:r>
          </w:p>
        </w:tc>
        <w:tc>
          <w:tcPr>
            <w:tcW w:w="800" w:type="pct"/>
            <w:tcBorders>
              <w:top w:val="single" w:sz="4" w:space="0" w:color="auto"/>
              <w:bottom w:val="single" w:sz="4" w:space="0" w:color="auto"/>
            </w:tcBorders>
            <w:vAlign w:val="center"/>
          </w:tcPr>
          <w:p w:rsidR="004B20E5" w:rsidRPr="00666093" w:rsidRDefault="004B20E5" w:rsidP="00F94FA1">
            <w:pPr>
              <w:pStyle w:val="TableBaseline2020Target"/>
              <w:keepNext/>
            </w:pPr>
            <w:r w:rsidRPr="009171C7">
              <w:t>126 per 100,000</w:t>
            </w:r>
          </w:p>
        </w:tc>
        <w:tc>
          <w:tcPr>
            <w:tcW w:w="1744" w:type="pct"/>
            <w:tcBorders>
              <w:top w:val="single" w:sz="4" w:space="0" w:color="auto"/>
              <w:bottom w:val="single" w:sz="4" w:space="0" w:color="auto"/>
            </w:tcBorders>
          </w:tcPr>
          <w:p w:rsidR="004B20E5" w:rsidRPr="00666093" w:rsidRDefault="004B20E5" w:rsidP="00F94FA1">
            <w:pPr>
              <w:pStyle w:val="TableDataSource"/>
            </w:pPr>
            <w:r w:rsidRPr="004469F3">
              <w:t>M</w:t>
            </w:r>
            <w:r>
              <w:t xml:space="preserve">DPH BID STD Surveillance Program </w:t>
            </w:r>
            <w:r w:rsidRPr="004469F3">
              <w:t>2011</w:t>
            </w:r>
          </w:p>
        </w:tc>
      </w:tr>
      <w:tr w:rsidR="004B20E5" w:rsidRPr="00666093" w:rsidTr="00F94FA1">
        <w:trPr>
          <w:cantSplit/>
        </w:trPr>
        <w:tc>
          <w:tcPr>
            <w:tcW w:w="1389" w:type="pct"/>
            <w:tcBorders>
              <w:top w:val="single" w:sz="4" w:space="0" w:color="auto"/>
              <w:bottom w:val="single" w:sz="4" w:space="0" w:color="auto"/>
            </w:tcBorders>
            <w:vAlign w:val="center"/>
          </w:tcPr>
          <w:p w:rsidR="004B20E5" w:rsidRPr="00666093" w:rsidRDefault="004B20E5" w:rsidP="00F94FA1">
            <w:pPr>
              <w:pStyle w:val="TableOutcomeMeasure"/>
            </w:pPr>
            <w:r>
              <w:t xml:space="preserve">Gonorrhea incidence among </w:t>
            </w:r>
            <w:r w:rsidRPr="009171C7">
              <w:t>Hispanics/Latinos</w:t>
            </w:r>
          </w:p>
        </w:tc>
        <w:tc>
          <w:tcPr>
            <w:tcW w:w="1067" w:type="pct"/>
            <w:tcBorders>
              <w:top w:val="single" w:sz="4" w:space="0" w:color="auto"/>
              <w:bottom w:val="single" w:sz="4" w:space="0" w:color="auto"/>
            </w:tcBorders>
            <w:vAlign w:val="center"/>
          </w:tcPr>
          <w:p w:rsidR="004B20E5" w:rsidRPr="00666093" w:rsidRDefault="004B20E5" w:rsidP="00F94FA1">
            <w:pPr>
              <w:pStyle w:val="TableBaseline2020Target"/>
              <w:keepNext/>
            </w:pPr>
            <w:r w:rsidRPr="009171C7">
              <w:t>4</w:t>
            </w:r>
            <w:r>
              <w:t xml:space="preserve">4 </w:t>
            </w:r>
            <w:r w:rsidRPr="009171C7">
              <w:t>cases per 100,000</w:t>
            </w:r>
          </w:p>
        </w:tc>
        <w:tc>
          <w:tcPr>
            <w:tcW w:w="800" w:type="pct"/>
            <w:tcBorders>
              <w:top w:val="single" w:sz="4" w:space="0" w:color="auto"/>
              <w:bottom w:val="single" w:sz="4" w:space="0" w:color="auto"/>
            </w:tcBorders>
            <w:vAlign w:val="center"/>
          </w:tcPr>
          <w:p w:rsidR="004B20E5" w:rsidRPr="00666093" w:rsidRDefault="004B20E5" w:rsidP="00F94FA1">
            <w:pPr>
              <w:pStyle w:val="TableBaseline2020Target"/>
              <w:keepNext/>
            </w:pPr>
            <w:r w:rsidRPr="009171C7">
              <w:t>38 per 100,000</w:t>
            </w:r>
          </w:p>
        </w:tc>
        <w:tc>
          <w:tcPr>
            <w:tcW w:w="1744" w:type="pct"/>
            <w:tcBorders>
              <w:top w:val="single" w:sz="4" w:space="0" w:color="auto"/>
              <w:bottom w:val="single" w:sz="4" w:space="0" w:color="auto"/>
            </w:tcBorders>
          </w:tcPr>
          <w:p w:rsidR="004B20E5" w:rsidRPr="00666093" w:rsidRDefault="004B20E5" w:rsidP="00F94FA1">
            <w:pPr>
              <w:pStyle w:val="TableDataSource"/>
            </w:pPr>
            <w:r w:rsidRPr="004469F3">
              <w:t>M</w:t>
            </w:r>
            <w:r>
              <w:t xml:space="preserve">DPH BID STD Surveillance Program </w:t>
            </w:r>
            <w:r w:rsidRPr="004469F3">
              <w:t>2011</w:t>
            </w:r>
          </w:p>
        </w:tc>
      </w:tr>
      <w:tr w:rsidR="004B20E5" w:rsidRPr="00666093" w:rsidTr="00F94FA1">
        <w:trPr>
          <w:cantSplit/>
        </w:trPr>
        <w:tc>
          <w:tcPr>
            <w:tcW w:w="1389" w:type="pct"/>
            <w:tcBorders>
              <w:top w:val="single" w:sz="4" w:space="0" w:color="auto"/>
              <w:bottom w:val="single" w:sz="4" w:space="0" w:color="auto"/>
            </w:tcBorders>
            <w:vAlign w:val="center"/>
          </w:tcPr>
          <w:p w:rsidR="004B20E5" w:rsidRPr="00666093" w:rsidRDefault="004B20E5" w:rsidP="00F94FA1">
            <w:pPr>
              <w:pStyle w:val="TableOutcomeMeasure"/>
            </w:pPr>
            <w:r w:rsidRPr="009171C7">
              <w:t>Syphilis incidence –</w:t>
            </w:r>
            <w:r>
              <w:t xml:space="preserve"> among men who have sex with men (MSM)</w:t>
            </w:r>
          </w:p>
        </w:tc>
        <w:tc>
          <w:tcPr>
            <w:tcW w:w="1067" w:type="pct"/>
            <w:tcBorders>
              <w:top w:val="single" w:sz="4" w:space="0" w:color="auto"/>
              <w:bottom w:val="single" w:sz="4" w:space="0" w:color="auto"/>
            </w:tcBorders>
            <w:vAlign w:val="center"/>
          </w:tcPr>
          <w:p w:rsidR="004B20E5" w:rsidRPr="00666093" w:rsidRDefault="004B20E5" w:rsidP="00F94FA1">
            <w:pPr>
              <w:pStyle w:val="TableBaseline2020Target"/>
              <w:keepNext/>
            </w:pPr>
            <w:r w:rsidRPr="009171C7">
              <w:t>3</w:t>
            </w:r>
            <w:r>
              <w:t>63</w:t>
            </w:r>
            <w:r w:rsidRPr="009171C7">
              <w:t xml:space="preserve"> cases</w:t>
            </w:r>
            <w:r>
              <w:t xml:space="preserve"> in the MSM population</w:t>
            </w:r>
          </w:p>
        </w:tc>
        <w:tc>
          <w:tcPr>
            <w:tcW w:w="800" w:type="pct"/>
            <w:tcBorders>
              <w:top w:val="single" w:sz="4" w:space="0" w:color="auto"/>
              <w:bottom w:val="single" w:sz="4" w:space="0" w:color="auto"/>
            </w:tcBorders>
            <w:vAlign w:val="center"/>
          </w:tcPr>
          <w:p w:rsidR="004B20E5" w:rsidRPr="00666093" w:rsidRDefault="004B20E5" w:rsidP="00F94FA1">
            <w:pPr>
              <w:pStyle w:val="TableBaseline2020Target"/>
              <w:keepNext/>
            </w:pPr>
            <w:r w:rsidRPr="009171C7">
              <w:t>269 cases</w:t>
            </w:r>
          </w:p>
        </w:tc>
        <w:tc>
          <w:tcPr>
            <w:tcW w:w="1744" w:type="pct"/>
            <w:tcBorders>
              <w:top w:val="single" w:sz="4" w:space="0" w:color="auto"/>
              <w:bottom w:val="single" w:sz="4" w:space="0" w:color="auto"/>
            </w:tcBorders>
          </w:tcPr>
          <w:p w:rsidR="004B20E5" w:rsidRPr="00666093" w:rsidRDefault="004B20E5" w:rsidP="00F94FA1">
            <w:pPr>
              <w:pStyle w:val="TableDataSource"/>
            </w:pPr>
            <w:r w:rsidRPr="004469F3">
              <w:t>M</w:t>
            </w:r>
            <w:r>
              <w:t xml:space="preserve">DPH BID STD Surveillance Program </w:t>
            </w:r>
            <w:r w:rsidRPr="004469F3">
              <w:t>2011</w:t>
            </w:r>
          </w:p>
        </w:tc>
      </w:tr>
    </w:tbl>
    <w:p w:rsidR="004B20E5" w:rsidRDefault="004B20E5" w:rsidP="00F72D59">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F94FA1">
        <w:trPr>
          <w:cantSplit/>
        </w:trPr>
        <w:tc>
          <w:tcPr>
            <w:tcW w:w="1329" w:type="pct"/>
            <w:tcBorders>
              <w:top w:val="single" w:sz="4" w:space="0" w:color="auto"/>
            </w:tcBorders>
          </w:tcPr>
          <w:p w:rsidR="004B20E5" w:rsidRPr="009171C7" w:rsidDel="00F67FD0" w:rsidRDefault="004B20E5" w:rsidP="00F94FA1">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F94FA1">
            <w:pPr>
              <w:pStyle w:val="TableOutcomeMeasure"/>
            </w:pPr>
            <w:r>
              <w:t>Reported sexually transmitted infections</w:t>
            </w:r>
          </w:p>
        </w:tc>
      </w:tr>
      <w:tr w:rsidR="004B20E5" w:rsidRPr="00666093" w:rsidDel="00F67FD0" w:rsidTr="00F94FA1">
        <w:trPr>
          <w:cantSplit/>
        </w:trPr>
        <w:tc>
          <w:tcPr>
            <w:tcW w:w="1329" w:type="pct"/>
          </w:tcPr>
          <w:p w:rsidR="004B20E5" w:rsidRPr="009171C7" w:rsidDel="00F67FD0" w:rsidRDefault="004B20E5" w:rsidP="00F94FA1">
            <w:pPr>
              <w:pStyle w:val="TableTitleNumeratoretc"/>
            </w:pPr>
            <w:r w:rsidRPr="00A367E5">
              <w:t>Denominator</w:t>
            </w:r>
            <w:r>
              <w:t>:</w:t>
            </w:r>
          </w:p>
        </w:tc>
        <w:tc>
          <w:tcPr>
            <w:tcW w:w="3671" w:type="pct"/>
            <w:vAlign w:val="center"/>
          </w:tcPr>
          <w:p w:rsidR="004B20E5" w:rsidRPr="00391134" w:rsidDel="00F67FD0" w:rsidRDefault="004B20E5" w:rsidP="00F94FA1">
            <w:pPr>
              <w:pStyle w:val="TableOutcomeMeasure"/>
            </w:pPr>
            <w:r>
              <w:t>Total MA population by age, race, and ethnicity (US Census Bureau); N/A for MSM</w:t>
            </w:r>
          </w:p>
        </w:tc>
      </w:tr>
      <w:tr w:rsidR="004B20E5" w:rsidRPr="00666093" w:rsidDel="00F67FD0" w:rsidTr="00F94FA1">
        <w:trPr>
          <w:cantSplit/>
        </w:trPr>
        <w:tc>
          <w:tcPr>
            <w:tcW w:w="1329" w:type="pct"/>
          </w:tcPr>
          <w:p w:rsidR="004B20E5" w:rsidRPr="009171C7" w:rsidDel="00F67FD0" w:rsidRDefault="004B20E5" w:rsidP="00F94FA1">
            <w:pPr>
              <w:pStyle w:val="TableTitleNumeratoretc"/>
            </w:pPr>
            <w:r w:rsidRPr="00A367E5">
              <w:t>Exclusions</w:t>
            </w:r>
            <w:r>
              <w:t>:</w:t>
            </w:r>
          </w:p>
        </w:tc>
        <w:tc>
          <w:tcPr>
            <w:tcW w:w="3671" w:type="pct"/>
            <w:vAlign w:val="center"/>
          </w:tcPr>
          <w:p w:rsidR="004B20E5" w:rsidRPr="00391134" w:rsidDel="00F67FD0" w:rsidRDefault="004B20E5" w:rsidP="00F94FA1">
            <w:pPr>
              <w:pStyle w:val="TableOutcomeMeasure"/>
            </w:pPr>
            <w:r>
              <w:t>None</w:t>
            </w:r>
          </w:p>
        </w:tc>
      </w:tr>
      <w:tr w:rsidR="004B20E5" w:rsidRPr="00666093" w:rsidDel="00F67FD0" w:rsidTr="00F94FA1">
        <w:trPr>
          <w:cantSplit/>
        </w:trPr>
        <w:tc>
          <w:tcPr>
            <w:tcW w:w="1329" w:type="pct"/>
            <w:vAlign w:val="center"/>
          </w:tcPr>
          <w:p w:rsidR="004B20E5" w:rsidRPr="009171C7" w:rsidDel="00F67FD0" w:rsidRDefault="004B20E5" w:rsidP="00F94FA1">
            <w:pPr>
              <w:pStyle w:val="TableTitleNumeratoretc"/>
            </w:pPr>
            <w:r w:rsidRPr="00F67FD0">
              <w:t>Timeframe</w:t>
            </w:r>
            <w:r>
              <w:t>:</w:t>
            </w:r>
          </w:p>
        </w:tc>
        <w:tc>
          <w:tcPr>
            <w:tcW w:w="3671" w:type="pct"/>
            <w:vAlign w:val="center"/>
          </w:tcPr>
          <w:p w:rsidR="004B20E5" w:rsidRPr="00391134" w:rsidDel="00F67FD0" w:rsidRDefault="004B20E5" w:rsidP="00F94FA1">
            <w:pPr>
              <w:pStyle w:val="TableOutcomeMeasure"/>
            </w:pPr>
            <w:r>
              <w:t>Quarterly</w:t>
            </w:r>
          </w:p>
        </w:tc>
      </w:tr>
      <w:tr w:rsidR="004B20E5" w:rsidRPr="00666093" w:rsidDel="00F67FD0" w:rsidTr="00F94FA1">
        <w:trPr>
          <w:cantSplit/>
        </w:trPr>
        <w:tc>
          <w:tcPr>
            <w:tcW w:w="1329" w:type="pct"/>
            <w:tcBorders>
              <w:bottom w:val="single" w:sz="4" w:space="0" w:color="auto"/>
            </w:tcBorders>
            <w:vAlign w:val="center"/>
          </w:tcPr>
          <w:p w:rsidR="004B20E5" w:rsidRPr="009171C7" w:rsidDel="00F67FD0" w:rsidRDefault="004B20E5" w:rsidP="00F94FA1">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F94FA1">
            <w:pPr>
              <w:pStyle w:val="TableOutcomeMeasure"/>
            </w:pPr>
            <w:r>
              <w:t>Routine disease surveillance (See Appendix D)</w:t>
            </w:r>
          </w:p>
        </w:tc>
      </w:tr>
    </w:tbl>
    <w:p w:rsidR="004B20E5" w:rsidRDefault="004B20E5" w:rsidP="00F72D59">
      <w:pPr>
        <w:pStyle w:val="StrategiesCategoryTitles"/>
      </w:pPr>
    </w:p>
    <w:p w:rsidR="004B20E5" w:rsidRDefault="004B20E5" w:rsidP="007C27A3">
      <w:pPr>
        <w:pStyle w:val="TableTenEssenHlthFunct"/>
      </w:pPr>
      <w:r>
        <w:t xml:space="preserve">Inform, Educate, and Empower People About Health Issues </w:t>
      </w:r>
    </w:p>
    <w:p w:rsidR="004B20E5" w:rsidRDefault="004B20E5" w:rsidP="00F72D59">
      <w:pPr>
        <w:pStyle w:val="TableStrategiesunderHealthFunctions"/>
      </w:pPr>
      <w:r w:rsidRPr="0046149F">
        <w:t>3</w:t>
      </w:r>
      <w:r>
        <w:t>.3.</w:t>
      </w:r>
      <w:r w:rsidRPr="0046149F">
        <w:t>1</w:t>
      </w:r>
      <w:r w:rsidRPr="0046149F">
        <w:tab/>
        <w:t xml:space="preserve">Establish </w:t>
      </w:r>
      <w:r>
        <w:t xml:space="preserve">and promote </w:t>
      </w:r>
      <w:r w:rsidRPr="0046149F">
        <w:t>comprehensive sex education for middle school and high school</w:t>
      </w:r>
      <w:r>
        <w:t xml:space="preserve"> to enhance prevention of sexually transmitted infections (STIs), and track whether this education reduces disease rates in high risk populations.</w:t>
      </w:r>
    </w:p>
    <w:p w:rsidR="004B20E5" w:rsidRPr="00C968DB" w:rsidRDefault="004B20E5" w:rsidP="00F72D59">
      <w:pPr>
        <w:pStyle w:val="TableStrategiesunderHealthFunctions"/>
      </w:pPr>
      <w:r w:rsidRPr="00C968DB">
        <w:t>3</w:t>
      </w:r>
      <w:r>
        <w:t>.3.2</w:t>
      </w:r>
      <w:r>
        <w:tab/>
      </w:r>
      <w:r w:rsidRPr="00C968DB">
        <w:t>Educate and train providers about evidence-based treatment, resources, available referral services, and culturally and linguistically appropriate intervention</w:t>
      </w:r>
      <w:r w:rsidRPr="0046149F">
        <w:t>s.</w:t>
      </w:r>
    </w:p>
    <w:p w:rsidR="004B20E5" w:rsidRDefault="004B20E5" w:rsidP="00F72D59">
      <w:pPr>
        <w:pStyle w:val="TableStrategiesunderHealthFunctions"/>
      </w:pPr>
      <w:r w:rsidRPr="00C968DB">
        <w:t>3</w:t>
      </w:r>
      <w:r>
        <w:t>.3.3</w:t>
      </w:r>
      <w:r>
        <w:tab/>
      </w:r>
      <w:r w:rsidRPr="00C968DB">
        <w:t xml:space="preserve">Enhance levels of immunization of adolescents with HPV vaccine through provider and public education.  </w:t>
      </w:r>
    </w:p>
    <w:p w:rsidR="004B20E5" w:rsidRPr="006256D0" w:rsidRDefault="004B20E5" w:rsidP="00F72D59">
      <w:pPr>
        <w:pStyle w:val="TableStrategiesunderHealthFunctions"/>
      </w:pPr>
      <w:r>
        <w:t>3.3.4</w:t>
      </w:r>
      <w:r>
        <w:tab/>
        <w:t>Promote condom use and availability among sexually active youth and adults.</w:t>
      </w:r>
    </w:p>
    <w:p w:rsidR="004B20E5" w:rsidRDefault="004B20E5" w:rsidP="007C27A3">
      <w:pPr>
        <w:pStyle w:val="TableTenEssenHlthFunct"/>
      </w:pPr>
      <w:r>
        <w:t>Link People to Needed Personal Health Services and Health Care</w:t>
      </w:r>
    </w:p>
    <w:p w:rsidR="004B20E5" w:rsidRPr="006256D0" w:rsidRDefault="004B20E5" w:rsidP="00F72D59">
      <w:pPr>
        <w:pStyle w:val="TableStrategiesunderHealthFunctions"/>
      </w:pPr>
      <w:r w:rsidRPr="00C968DB">
        <w:t>3</w:t>
      </w:r>
      <w:r>
        <w:t>.3.5</w:t>
      </w:r>
      <w:r w:rsidRPr="00C968DB">
        <w:tab/>
      </w:r>
      <w:r w:rsidRPr="00953DA1">
        <w:t>Increase screening for STIs (chlamydia, gonorrhea and syphilis) in at risk populations (adolescents, minorities</w:t>
      </w:r>
      <w:r>
        <w:t>,</w:t>
      </w:r>
      <w:r w:rsidRPr="00953DA1">
        <w:t xml:space="preserve"> and men who have sex with men).  </w:t>
      </w:r>
    </w:p>
    <w:p w:rsidR="004B20E5" w:rsidRPr="001D21A4" w:rsidRDefault="004B20E5" w:rsidP="00F72D59">
      <w:pPr>
        <w:spacing w:before="120"/>
        <w:rPr>
          <w:rFonts w:cs="Arial"/>
        </w:rPr>
      </w:pPr>
    </w:p>
    <w:p w:rsidR="004B20E5" w:rsidRDefault="004B20E5" w:rsidP="001E441C">
      <w:r>
        <w:br w:type="page"/>
      </w:r>
    </w:p>
    <w:p w:rsidR="004B20E5" w:rsidRDefault="004B20E5" w:rsidP="001E441C"/>
    <w:p w:rsidR="004B20E5" w:rsidRDefault="004B20E5" w:rsidP="00876533">
      <w:pPr>
        <w:pStyle w:val="StandardStatement"/>
      </w:pPr>
      <w:r>
        <w:t>Standard 3D: Reduce morbidity and mortality related to HIV/AIDS.</w:t>
      </w:r>
    </w:p>
    <w:p w:rsidR="004B20E5" w:rsidRPr="00876533" w:rsidRDefault="004B20E5" w:rsidP="00876533">
      <w:pPr>
        <w:pStyle w:val="BodyText"/>
      </w:pPr>
    </w:p>
    <w:p w:rsidR="004B20E5" w:rsidRPr="001D21A4" w:rsidRDefault="00F03799" w:rsidP="001E441C">
      <w:pPr>
        <w:pStyle w:val="ObjectiveStatement"/>
      </w:pPr>
      <w:r>
        <w:rPr>
          <w:noProof/>
        </w:rPr>
        <w:drawing>
          <wp:anchor distT="0" distB="0" distL="114300" distR="114300" simplePos="0" relativeHeight="251666432" behindDoc="0" locked="0" layoutInCell="1" allowOverlap="1" wp14:anchorId="565306AF" wp14:editId="4A345B90">
            <wp:simplePos x="0" y="0"/>
            <wp:positionH relativeFrom="column">
              <wp:posOffset>57150</wp:posOffset>
            </wp:positionH>
            <wp:positionV relativeFrom="paragraph">
              <wp:posOffset>597535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rsidRPr="001D21A4">
        <w:t>Measure 3.4:</w:t>
      </w:r>
      <w:r w:rsidR="004B20E5" w:rsidRPr="001D21A4">
        <w:tab/>
        <w:t xml:space="preserve">Decrease the incidence of newly diagnosed HIV infections overall and among </w:t>
      </w:r>
      <w:r w:rsidR="004B20E5">
        <w:t>men who have sex with men (</w:t>
      </w:r>
      <w:r w:rsidR="004B20E5" w:rsidRPr="001D21A4">
        <w:t>MSM</w:t>
      </w:r>
      <w:r w:rsidR="004B20E5">
        <w:t>)</w:t>
      </w:r>
      <w:r w:rsidR="004B20E5" w:rsidRPr="001D21A4">
        <w:t xml:space="preserve"> to meet multiple specified targets, and reduce racial and ethnic </w:t>
      </w:r>
      <w:r w:rsidR="004B20E5">
        <w:t xml:space="preserve">HIV infection </w:t>
      </w:r>
      <w:r w:rsidR="004B20E5" w:rsidRPr="001D21A4">
        <w:t>disparities</w:t>
      </w:r>
      <w:r w:rsidR="00FD6172">
        <w:t xml:space="preserve"> </w:t>
      </w:r>
      <w:r w:rsidR="004B20E5" w:rsidRPr="001D21A4">
        <w:t xml:space="preserve">by </w:t>
      </w:r>
      <w:r w:rsidR="004B20E5">
        <w:t>2</w:t>
      </w:r>
      <w:r w:rsidR="004B20E5" w:rsidRPr="001D21A4">
        <w:t>0%.</w:t>
      </w:r>
    </w:p>
    <w:p w:rsidR="004B20E5" w:rsidRPr="001D21A4" w:rsidRDefault="004B20E5" w:rsidP="00F72D59">
      <w:pPr>
        <w:spacing w:before="120"/>
        <w:rPr>
          <w:rFonts w:cs="Arial"/>
        </w:rPr>
      </w:pPr>
    </w:p>
    <w:tbl>
      <w:tblPr>
        <w:tblW w:w="3806" w:type="pct"/>
        <w:tblInd w:w="1800" w:type="dxa"/>
        <w:tblLayout w:type="fixed"/>
        <w:tblLook w:val="00A0" w:firstRow="1" w:lastRow="0" w:firstColumn="1" w:lastColumn="0" w:noHBand="0" w:noVBand="0"/>
      </w:tblPr>
      <w:tblGrid>
        <w:gridCol w:w="2162"/>
        <w:gridCol w:w="1230"/>
        <w:gridCol w:w="1472"/>
        <w:gridCol w:w="2973"/>
      </w:tblGrid>
      <w:tr w:rsidR="004B20E5" w:rsidRPr="001D21A4" w:rsidTr="00541398">
        <w:trPr>
          <w:cantSplit/>
        </w:trPr>
        <w:tc>
          <w:tcPr>
            <w:tcW w:w="1379" w:type="pct"/>
            <w:tcBorders>
              <w:top w:val="single" w:sz="4" w:space="0" w:color="auto"/>
              <w:bottom w:val="single" w:sz="4" w:space="0" w:color="auto"/>
            </w:tcBorders>
            <w:vAlign w:val="center"/>
          </w:tcPr>
          <w:p w:rsidR="004B20E5" w:rsidRPr="001D21A4" w:rsidRDefault="004B20E5" w:rsidP="00663E37">
            <w:pPr>
              <w:pStyle w:val="TableTitleTargetDataSource"/>
            </w:pPr>
            <w:r w:rsidRPr="001D21A4">
              <w:t>Outcome Indicator</w:t>
            </w:r>
          </w:p>
        </w:tc>
        <w:tc>
          <w:tcPr>
            <w:tcW w:w="785" w:type="pct"/>
            <w:tcBorders>
              <w:top w:val="single" w:sz="4" w:space="0" w:color="auto"/>
              <w:bottom w:val="single" w:sz="4" w:space="0" w:color="auto"/>
            </w:tcBorders>
            <w:vAlign w:val="center"/>
          </w:tcPr>
          <w:p w:rsidR="004B20E5" w:rsidRPr="001D21A4" w:rsidRDefault="004B20E5" w:rsidP="00F94FA1">
            <w:pPr>
              <w:keepNext/>
              <w:spacing w:before="40" w:after="40"/>
              <w:jc w:val="center"/>
              <w:rPr>
                <w:rFonts w:cs="Arial"/>
                <w:b/>
                <w:sz w:val="20"/>
              </w:rPr>
            </w:pPr>
            <w:r w:rsidRPr="001D21A4">
              <w:rPr>
                <w:rFonts w:cs="Arial"/>
                <w:b/>
                <w:sz w:val="20"/>
              </w:rPr>
              <w:t>Baseline</w:t>
            </w:r>
          </w:p>
        </w:tc>
        <w:tc>
          <w:tcPr>
            <w:tcW w:w="939" w:type="pct"/>
            <w:tcBorders>
              <w:top w:val="single" w:sz="4" w:space="0" w:color="auto"/>
              <w:bottom w:val="single" w:sz="4" w:space="0" w:color="auto"/>
            </w:tcBorders>
            <w:vAlign w:val="center"/>
          </w:tcPr>
          <w:p w:rsidR="004B20E5" w:rsidRPr="001D21A4" w:rsidRDefault="004B20E5" w:rsidP="00F94FA1">
            <w:pPr>
              <w:keepNext/>
              <w:spacing w:before="40" w:after="40"/>
              <w:jc w:val="center"/>
              <w:rPr>
                <w:rFonts w:cs="Arial"/>
                <w:b/>
                <w:sz w:val="20"/>
              </w:rPr>
            </w:pPr>
            <w:r w:rsidRPr="001D21A4">
              <w:rPr>
                <w:rFonts w:cs="Arial"/>
                <w:b/>
                <w:sz w:val="20"/>
              </w:rPr>
              <w:t>2020 Target</w:t>
            </w:r>
          </w:p>
        </w:tc>
        <w:tc>
          <w:tcPr>
            <w:tcW w:w="1897" w:type="pct"/>
            <w:tcBorders>
              <w:top w:val="single" w:sz="4" w:space="0" w:color="auto"/>
              <w:bottom w:val="single" w:sz="4" w:space="0" w:color="auto"/>
            </w:tcBorders>
            <w:vAlign w:val="center"/>
          </w:tcPr>
          <w:p w:rsidR="004B20E5" w:rsidRPr="001D21A4" w:rsidRDefault="004B20E5" w:rsidP="00F94FA1">
            <w:pPr>
              <w:keepNext/>
              <w:spacing w:before="40" w:after="40"/>
              <w:rPr>
                <w:rFonts w:cs="Arial"/>
                <w:b/>
                <w:sz w:val="20"/>
              </w:rPr>
            </w:pPr>
            <w:r w:rsidRPr="001D21A4">
              <w:rPr>
                <w:rFonts w:cs="Arial"/>
                <w:b/>
                <w:sz w:val="20"/>
              </w:rPr>
              <w:t>Data Source</w:t>
            </w:r>
          </w:p>
        </w:tc>
      </w:tr>
      <w:tr w:rsidR="004B20E5" w:rsidRPr="001D21A4" w:rsidTr="00541398">
        <w:trPr>
          <w:cantSplit/>
        </w:trPr>
        <w:tc>
          <w:tcPr>
            <w:tcW w:w="1379" w:type="pct"/>
            <w:tcBorders>
              <w:top w:val="single" w:sz="4" w:space="0" w:color="auto"/>
              <w:bottom w:val="single" w:sz="4" w:space="0" w:color="auto"/>
            </w:tcBorders>
            <w:vAlign w:val="center"/>
          </w:tcPr>
          <w:p w:rsidR="004B20E5" w:rsidRPr="00E46139" w:rsidRDefault="004B20E5" w:rsidP="00F94FA1">
            <w:pPr>
              <w:keepNext/>
              <w:rPr>
                <w:rFonts w:cs="Arial"/>
                <w:sz w:val="20"/>
              </w:rPr>
            </w:pPr>
            <w:r w:rsidRPr="00E46139">
              <w:rPr>
                <w:rFonts w:cs="Arial"/>
                <w:sz w:val="20"/>
              </w:rPr>
              <w:t>Overall</w:t>
            </w:r>
          </w:p>
        </w:tc>
        <w:tc>
          <w:tcPr>
            <w:tcW w:w="785" w:type="pct"/>
            <w:tcBorders>
              <w:top w:val="single" w:sz="4" w:space="0" w:color="auto"/>
              <w:bottom w:val="single" w:sz="4" w:space="0" w:color="auto"/>
            </w:tcBorders>
            <w:vAlign w:val="center"/>
          </w:tcPr>
          <w:p w:rsidR="004B20E5" w:rsidRPr="001D21A4" w:rsidRDefault="004B20E5" w:rsidP="00F94FA1">
            <w:pPr>
              <w:ind w:left="-54"/>
              <w:jc w:val="center"/>
              <w:rPr>
                <w:rFonts w:cs="Arial"/>
                <w:sz w:val="20"/>
              </w:rPr>
            </w:pPr>
            <w:r w:rsidRPr="001D21A4">
              <w:rPr>
                <w:rFonts w:cs="Arial"/>
                <w:sz w:val="20"/>
              </w:rPr>
              <w:t>694</w:t>
            </w:r>
          </w:p>
        </w:tc>
        <w:tc>
          <w:tcPr>
            <w:tcW w:w="939" w:type="pct"/>
            <w:tcBorders>
              <w:top w:val="single" w:sz="4" w:space="0" w:color="auto"/>
              <w:bottom w:val="single" w:sz="4" w:space="0" w:color="auto"/>
            </w:tcBorders>
            <w:vAlign w:val="center"/>
          </w:tcPr>
          <w:p w:rsidR="004B20E5" w:rsidRPr="001D21A4" w:rsidRDefault="004B20E5" w:rsidP="00F94FA1">
            <w:pPr>
              <w:ind w:left="-54"/>
              <w:jc w:val="center"/>
              <w:rPr>
                <w:rFonts w:cs="Arial"/>
                <w:sz w:val="20"/>
              </w:rPr>
            </w:pPr>
            <w:r w:rsidRPr="001D21A4">
              <w:rPr>
                <w:rFonts w:cs="Arial"/>
                <w:sz w:val="20"/>
              </w:rPr>
              <w:t>652</w:t>
            </w:r>
          </w:p>
        </w:tc>
        <w:tc>
          <w:tcPr>
            <w:tcW w:w="1897" w:type="pct"/>
            <w:tcBorders>
              <w:top w:val="single" w:sz="4" w:space="0" w:color="auto"/>
              <w:bottom w:val="single" w:sz="4" w:space="0" w:color="auto"/>
            </w:tcBorders>
            <w:vAlign w:val="center"/>
          </w:tcPr>
          <w:p w:rsidR="004B20E5" w:rsidRPr="001D21A4" w:rsidRDefault="004B20E5" w:rsidP="00F94FA1">
            <w:pPr>
              <w:keepNext/>
              <w:rPr>
                <w:rFonts w:cs="Arial"/>
                <w:i/>
                <w:sz w:val="20"/>
              </w:rPr>
            </w:pPr>
            <w:r w:rsidRPr="001D21A4">
              <w:rPr>
                <w:rFonts w:cs="Arial"/>
                <w:i/>
                <w:sz w:val="20"/>
              </w:rPr>
              <w:t>MDPH HIV/AIDS Surveillance Program 2012</w:t>
            </w:r>
          </w:p>
        </w:tc>
      </w:tr>
      <w:tr w:rsidR="004B20E5" w:rsidRPr="001D21A4" w:rsidTr="00541398">
        <w:trPr>
          <w:cantSplit/>
        </w:trPr>
        <w:tc>
          <w:tcPr>
            <w:tcW w:w="1379" w:type="pct"/>
            <w:tcBorders>
              <w:top w:val="single" w:sz="4" w:space="0" w:color="auto"/>
              <w:bottom w:val="single" w:sz="4" w:space="0" w:color="auto"/>
            </w:tcBorders>
            <w:vAlign w:val="center"/>
          </w:tcPr>
          <w:p w:rsidR="004B20E5" w:rsidRPr="001D21A4" w:rsidRDefault="004B20E5" w:rsidP="00F94FA1">
            <w:pPr>
              <w:rPr>
                <w:sz w:val="20"/>
              </w:rPr>
            </w:pPr>
            <w:r>
              <w:rPr>
                <w:sz w:val="20"/>
              </w:rPr>
              <w:t>New HIV cases among m</w:t>
            </w:r>
            <w:r w:rsidRPr="001D21A4">
              <w:rPr>
                <w:sz w:val="20"/>
              </w:rPr>
              <w:t>en who have sex with men</w:t>
            </w:r>
          </w:p>
        </w:tc>
        <w:tc>
          <w:tcPr>
            <w:tcW w:w="785" w:type="pct"/>
            <w:tcBorders>
              <w:top w:val="single" w:sz="4" w:space="0" w:color="auto"/>
              <w:bottom w:val="single" w:sz="4" w:space="0" w:color="auto"/>
            </w:tcBorders>
            <w:vAlign w:val="center"/>
          </w:tcPr>
          <w:p w:rsidR="004B20E5" w:rsidRPr="001D21A4" w:rsidRDefault="004B20E5" w:rsidP="00F94FA1">
            <w:pPr>
              <w:ind w:left="-54"/>
              <w:jc w:val="center"/>
              <w:rPr>
                <w:rFonts w:cs="Arial"/>
                <w:sz w:val="20"/>
              </w:rPr>
            </w:pPr>
            <w:r w:rsidRPr="001D21A4">
              <w:rPr>
                <w:rFonts w:cs="Arial"/>
                <w:sz w:val="20"/>
              </w:rPr>
              <w:t>317</w:t>
            </w:r>
          </w:p>
        </w:tc>
        <w:tc>
          <w:tcPr>
            <w:tcW w:w="939" w:type="pct"/>
            <w:tcBorders>
              <w:top w:val="single" w:sz="4" w:space="0" w:color="auto"/>
              <w:bottom w:val="single" w:sz="4" w:space="0" w:color="auto"/>
            </w:tcBorders>
            <w:vAlign w:val="center"/>
          </w:tcPr>
          <w:p w:rsidR="004B20E5" w:rsidRPr="001D21A4" w:rsidRDefault="004B20E5" w:rsidP="00F94FA1">
            <w:pPr>
              <w:ind w:left="-54"/>
              <w:jc w:val="center"/>
              <w:rPr>
                <w:rFonts w:cs="Arial"/>
                <w:sz w:val="20"/>
              </w:rPr>
            </w:pPr>
            <w:r w:rsidRPr="001D21A4">
              <w:rPr>
                <w:rFonts w:cs="Arial"/>
                <w:sz w:val="20"/>
              </w:rPr>
              <w:t xml:space="preserve">285  </w:t>
            </w:r>
          </w:p>
        </w:tc>
        <w:tc>
          <w:tcPr>
            <w:tcW w:w="1897" w:type="pct"/>
            <w:tcBorders>
              <w:top w:val="single" w:sz="4" w:space="0" w:color="auto"/>
              <w:bottom w:val="single" w:sz="4" w:space="0" w:color="auto"/>
            </w:tcBorders>
            <w:vAlign w:val="center"/>
          </w:tcPr>
          <w:p w:rsidR="004B20E5" w:rsidRPr="001D21A4" w:rsidRDefault="004B20E5" w:rsidP="00F94FA1">
            <w:pPr>
              <w:keepNext/>
              <w:rPr>
                <w:rFonts w:cs="Arial"/>
                <w:i/>
                <w:sz w:val="20"/>
              </w:rPr>
            </w:pPr>
            <w:r>
              <w:rPr>
                <w:rFonts w:cs="Arial"/>
                <w:i/>
                <w:sz w:val="20"/>
              </w:rPr>
              <w:t>MDPH HIV/AIDS Surveillance Program 2012</w:t>
            </w:r>
          </w:p>
          <w:p w:rsidR="004B20E5" w:rsidRPr="001D21A4" w:rsidRDefault="004B20E5" w:rsidP="00F94FA1">
            <w:pPr>
              <w:keepNext/>
              <w:rPr>
                <w:rFonts w:cs="Arial"/>
                <w:i/>
                <w:sz w:val="20"/>
              </w:rPr>
            </w:pPr>
          </w:p>
        </w:tc>
      </w:tr>
      <w:tr w:rsidR="004B20E5" w:rsidRPr="001D21A4" w:rsidTr="00541398">
        <w:trPr>
          <w:cantSplit/>
        </w:trPr>
        <w:tc>
          <w:tcPr>
            <w:tcW w:w="1379" w:type="pct"/>
            <w:tcBorders>
              <w:top w:val="single" w:sz="4" w:space="0" w:color="auto"/>
              <w:bottom w:val="single" w:sz="4" w:space="0" w:color="auto"/>
            </w:tcBorders>
            <w:vAlign w:val="center"/>
          </w:tcPr>
          <w:p w:rsidR="004B20E5" w:rsidRPr="001D21A4" w:rsidRDefault="004B20E5" w:rsidP="00F94FA1">
            <w:pPr>
              <w:rPr>
                <w:sz w:val="20"/>
              </w:rPr>
            </w:pPr>
            <w:r>
              <w:rPr>
                <w:sz w:val="20"/>
              </w:rPr>
              <w:t>Relative</w:t>
            </w:r>
            <w:r w:rsidRPr="001D21A4">
              <w:rPr>
                <w:sz w:val="20"/>
              </w:rPr>
              <w:t xml:space="preserve"> rate of new </w:t>
            </w:r>
            <w:r>
              <w:rPr>
                <w:sz w:val="20"/>
              </w:rPr>
              <w:t xml:space="preserve">HIV </w:t>
            </w:r>
            <w:r w:rsidRPr="001D21A4">
              <w:rPr>
                <w:sz w:val="20"/>
              </w:rPr>
              <w:t>infections among</w:t>
            </w:r>
            <w:r w:rsidR="00FD6172">
              <w:rPr>
                <w:sz w:val="20"/>
              </w:rPr>
              <w:t xml:space="preserve"> </w:t>
            </w:r>
            <w:r w:rsidRPr="001D21A4">
              <w:rPr>
                <w:sz w:val="20"/>
              </w:rPr>
              <w:t xml:space="preserve">Black, non-Hispanic </w:t>
            </w:r>
            <w:r>
              <w:rPr>
                <w:sz w:val="20"/>
              </w:rPr>
              <w:t xml:space="preserve">vs. </w:t>
            </w:r>
            <w:r w:rsidRPr="001D21A4">
              <w:rPr>
                <w:sz w:val="20"/>
              </w:rPr>
              <w:t xml:space="preserve"> White</w:t>
            </w:r>
            <w:r>
              <w:rPr>
                <w:sz w:val="20"/>
              </w:rPr>
              <w:t>,</w:t>
            </w:r>
            <w:r w:rsidRPr="001D21A4">
              <w:rPr>
                <w:sz w:val="20"/>
              </w:rPr>
              <w:t xml:space="preserve"> Non-Hispanic</w:t>
            </w:r>
          </w:p>
        </w:tc>
        <w:tc>
          <w:tcPr>
            <w:tcW w:w="785" w:type="pct"/>
            <w:tcBorders>
              <w:top w:val="single" w:sz="4" w:space="0" w:color="auto"/>
              <w:bottom w:val="single" w:sz="4" w:space="0" w:color="auto"/>
            </w:tcBorders>
            <w:vAlign w:val="center"/>
          </w:tcPr>
          <w:p w:rsidR="004B20E5" w:rsidRPr="001D21A4" w:rsidRDefault="004B20E5" w:rsidP="00F94FA1">
            <w:pPr>
              <w:ind w:left="-54"/>
              <w:jc w:val="center"/>
              <w:rPr>
                <w:rFonts w:cs="Arial"/>
                <w:sz w:val="20"/>
              </w:rPr>
            </w:pPr>
            <w:r w:rsidRPr="001D21A4">
              <w:rPr>
                <w:rFonts w:cs="Arial"/>
                <w:sz w:val="20"/>
              </w:rPr>
              <w:t>10.0x white</w:t>
            </w:r>
          </w:p>
        </w:tc>
        <w:tc>
          <w:tcPr>
            <w:tcW w:w="939" w:type="pct"/>
            <w:tcBorders>
              <w:top w:val="single" w:sz="4" w:space="0" w:color="auto"/>
              <w:bottom w:val="single" w:sz="4" w:space="0" w:color="auto"/>
            </w:tcBorders>
            <w:vAlign w:val="center"/>
          </w:tcPr>
          <w:p w:rsidR="004B20E5" w:rsidRPr="001D21A4" w:rsidRDefault="004B20E5" w:rsidP="00F94FA1">
            <w:pPr>
              <w:ind w:left="-54"/>
              <w:jc w:val="center"/>
              <w:rPr>
                <w:rFonts w:cs="Arial"/>
                <w:sz w:val="20"/>
              </w:rPr>
            </w:pPr>
            <w:r>
              <w:rPr>
                <w:rFonts w:cs="Arial"/>
                <w:sz w:val="20"/>
              </w:rPr>
              <w:t>8</w:t>
            </w:r>
            <w:r w:rsidRPr="001D21A4">
              <w:rPr>
                <w:rFonts w:cs="Arial"/>
                <w:sz w:val="20"/>
              </w:rPr>
              <w:t>.0x white</w:t>
            </w:r>
          </w:p>
        </w:tc>
        <w:tc>
          <w:tcPr>
            <w:tcW w:w="1897" w:type="pct"/>
            <w:tcBorders>
              <w:top w:val="single" w:sz="4" w:space="0" w:color="auto"/>
              <w:bottom w:val="single" w:sz="4" w:space="0" w:color="auto"/>
            </w:tcBorders>
            <w:vAlign w:val="center"/>
          </w:tcPr>
          <w:p w:rsidR="004B20E5" w:rsidRPr="001D21A4" w:rsidRDefault="004B20E5" w:rsidP="00F94FA1">
            <w:pPr>
              <w:keepNext/>
              <w:rPr>
                <w:rFonts w:cs="Arial"/>
                <w:i/>
                <w:sz w:val="20"/>
              </w:rPr>
            </w:pPr>
            <w:r w:rsidRPr="001D21A4">
              <w:rPr>
                <w:rFonts w:cs="Arial"/>
                <w:i/>
                <w:sz w:val="20"/>
              </w:rPr>
              <w:t>MDPH BID HIV/AIDS Surveillance Program 2012</w:t>
            </w:r>
          </w:p>
        </w:tc>
      </w:tr>
      <w:tr w:rsidR="004B20E5" w:rsidRPr="001D21A4" w:rsidTr="00541398">
        <w:trPr>
          <w:cantSplit/>
        </w:trPr>
        <w:tc>
          <w:tcPr>
            <w:tcW w:w="1379" w:type="pct"/>
            <w:tcBorders>
              <w:top w:val="single" w:sz="4" w:space="0" w:color="auto"/>
              <w:bottom w:val="single" w:sz="4" w:space="0" w:color="auto"/>
            </w:tcBorders>
            <w:vAlign w:val="center"/>
          </w:tcPr>
          <w:p w:rsidR="004B20E5" w:rsidRPr="001D21A4" w:rsidRDefault="004B20E5" w:rsidP="00F94FA1">
            <w:pPr>
              <w:rPr>
                <w:sz w:val="20"/>
              </w:rPr>
            </w:pPr>
            <w:r>
              <w:rPr>
                <w:sz w:val="20"/>
              </w:rPr>
              <w:t xml:space="preserve">Relative </w:t>
            </w:r>
            <w:r w:rsidRPr="001D21A4">
              <w:rPr>
                <w:sz w:val="20"/>
              </w:rPr>
              <w:t xml:space="preserve">rate of new </w:t>
            </w:r>
            <w:r>
              <w:rPr>
                <w:sz w:val="20"/>
              </w:rPr>
              <w:t>HIV i</w:t>
            </w:r>
            <w:r w:rsidRPr="001D21A4">
              <w:rPr>
                <w:sz w:val="20"/>
              </w:rPr>
              <w:t>nfections among</w:t>
            </w:r>
          </w:p>
          <w:p w:rsidR="004B20E5" w:rsidRPr="001D21A4" w:rsidRDefault="004B20E5" w:rsidP="00236BBB">
            <w:pPr>
              <w:rPr>
                <w:sz w:val="20"/>
              </w:rPr>
            </w:pPr>
            <w:r w:rsidRPr="001D21A4">
              <w:rPr>
                <w:sz w:val="20"/>
              </w:rPr>
              <w:t>Hispanic</w:t>
            </w:r>
            <w:r>
              <w:rPr>
                <w:sz w:val="20"/>
              </w:rPr>
              <w:t xml:space="preserve"> vs.</w:t>
            </w:r>
            <w:r w:rsidRPr="001D21A4">
              <w:rPr>
                <w:sz w:val="20"/>
              </w:rPr>
              <w:t xml:space="preserve"> White</w:t>
            </w:r>
            <w:r>
              <w:rPr>
                <w:sz w:val="20"/>
              </w:rPr>
              <w:t>,</w:t>
            </w:r>
            <w:r w:rsidRPr="001D21A4">
              <w:rPr>
                <w:sz w:val="20"/>
              </w:rPr>
              <w:t xml:space="preserve"> Non-Hispanic</w:t>
            </w:r>
          </w:p>
        </w:tc>
        <w:tc>
          <w:tcPr>
            <w:tcW w:w="785" w:type="pct"/>
            <w:tcBorders>
              <w:top w:val="single" w:sz="4" w:space="0" w:color="auto"/>
              <w:bottom w:val="single" w:sz="4" w:space="0" w:color="auto"/>
            </w:tcBorders>
            <w:vAlign w:val="center"/>
          </w:tcPr>
          <w:p w:rsidR="004B20E5" w:rsidRPr="001D21A4" w:rsidRDefault="004B20E5" w:rsidP="00F94FA1">
            <w:pPr>
              <w:ind w:left="-54"/>
              <w:jc w:val="center"/>
              <w:rPr>
                <w:rFonts w:cs="Arial"/>
                <w:sz w:val="20"/>
              </w:rPr>
            </w:pPr>
            <w:r w:rsidRPr="001D21A4">
              <w:rPr>
                <w:rFonts w:cs="Arial"/>
                <w:sz w:val="20"/>
              </w:rPr>
              <w:t>8.0x white</w:t>
            </w:r>
          </w:p>
        </w:tc>
        <w:tc>
          <w:tcPr>
            <w:tcW w:w="939" w:type="pct"/>
            <w:tcBorders>
              <w:top w:val="single" w:sz="4" w:space="0" w:color="auto"/>
              <w:bottom w:val="single" w:sz="4" w:space="0" w:color="auto"/>
            </w:tcBorders>
            <w:vAlign w:val="center"/>
          </w:tcPr>
          <w:p w:rsidR="004B20E5" w:rsidRPr="001D21A4" w:rsidRDefault="004B20E5" w:rsidP="00F94FA1">
            <w:pPr>
              <w:ind w:left="-54"/>
              <w:jc w:val="center"/>
              <w:rPr>
                <w:rFonts w:cs="Arial"/>
                <w:sz w:val="20"/>
              </w:rPr>
            </w:pPr>
            <w:r>
              <w:rPr>
                <w:rFonts w:cs="Arial"/>
                <w:sz w:val="20"/>
              </w:rPr>
              <w:t>6.4</w:t>
            </w:r>
            <w:r w:rsidRPr="001D21A4">
              <w:rPr>
                <w:rFonts w:cs="Arial"/>
                <w:sz w:val="20"/>
              </w:rPr>
              <w:t>x white</w:t>
            </w:r>
          </w:p>
        </w:tc>
        <w:tc>
          <w:tcPr>
            <w:tcW w:w="1897" w:type="pct"/>
            <w:tcBorders>
              <w:top w:val="single" w:sz="4" w:space="0" w:color="auto"/>
              <w:bottom w:val="single" w:sz="4" w:space="0" w:color="auto"/>
            </w:tcBorders>
            <w:vAlign w:val="center"/>
          </w:tcPr>
          <w:p w:rsidR="004B20E5" w:rsidRPr="001D21A4" w:rsidRDefault="004B20E5" w:rsidP="00F94FA1">
            <w:pPr>
              <w:keepNext/>
              <w:rPr>
                <w:rFonts w:cs="Arial"/>
                <w:i/>
                <w:sz w:val="20"/>
              </w:rPr>
            </w:pPr>
            <w:r w:rsidRPr="001D21A4">
              <w:rPr>
                <w:rFonts w:cs="Arial"/>
                <w:i/>
                <w:sz w:val="20"/>
              </w:rPr>
              <w:t>MDPH BID HIV/AIDS Surveillance Program 2012</w:t>
            </w:r>
          </w:p>
        </w:tc>
      </w:tr>
    </w:tbl>
    <w:p w:rsidR="004B20E5" w:rsidRPr="00032F55" w:rsidRDefault="004B20E5" w:rsidP="00F72D59">
      <w:pPr>
        <w:pStyle w:val="StrategiesCategoryTitles"/>
      </w:pPr>
    </w:p>
    <w:tbl>
      <w:tblPr>
        <w:tblW w:w="4108" w:type="pct"/>
        <w:tblInd w:w="1800"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032F55" w:rsidDel="00F67FD0" w:rsidTr="00541398">
        <w:trPr>
          <w:cantSplit/>
        </w:trPr>
        <w:tc>
          <w:tcPr>
            <w:tcW w:w="1329" w:type="pct"/>
            <w:tcBorders>
              <w:top w:val="single" w:sz="4" w:space="0" w:color="auto"/>
            </w:tcBorders>
          </w:tcPr>
          <w:p w:rsidR="004B20E5" w:rsidRPr="00032F55" w:rsidDel="00F67FD0" w:rsidRDefault="004B20E5" w:rsidP="00F94FA1">
            <w:pPr>
              <w:pStyle w:val="TableTitleNumeratoretc"/>
            </w:pPr>
            <w:r w:rsidRPr="00032F55">
              <w:t xml:space="preserve">Numerator: </w:t>
            </w:r>
          </w:p>
        </w:tc>
        <w:tc>
          <w:tcPr>
            <w:tcW w:w="3671" w:type="pct"/>
            <w:tcBorders>
              <w:top w:val="single" w:sz="4" w:space="0" w:color="auto"/>
            </w:tcBorders>
            <w:vAlign w:val="center"/>
          </w:tcPr>
          <w:p w:rsidR="004B20E5" w:rsidRPr="00032F55" w:rsidDel="00F67FD0" w:rsidRDefault="004B20E5" w:rsidP="00F94FA1">
            <w:pPr>
              <w:pStyle w:val="TableOutcomeMeasure"/>
            </w:pPr>
            <w:r w:rsidRPr="00032F55">
              <w:t xml:space="preserve">(1) Number of reported cases.  (2) Age-adjusted </w:t>
            </w:r>
            <w:r>
              <w:t xml:space="preserve">incidence </w:t>
            </w:r>
            <w:r w:rsidRPr="00032F55">
              <w:t>rate</w:t>
            </w:r>
            <w:r>
              <w:t xml:space="preserve"> for population</w:t>
            </w:r>
          </w:p>
        </w:tc>
      </w:tr>
      <w:tr w:rsidR="004B20E5" w:rsidRPr="00032F55" w:rsidDel="00F67FD0" w:rsidTr="00541398">
        <w:trPr>
          <w:cantSplit/>
        </w:trPr>
        <w:tc>
          <w:tcPr>
            <w:tcW w:w="1329" w:type="pct"/>
          </w:tcPr>
          <w:p w:rsidR="004B20E5" w:rsidRPr="00032F55" w:rsidDel="00F67FD0" w:rsidRDefault="004B20E5" w:rsidP="00F94FA1">
            <w:pPr>
              <w:pStyle w:val="TableTitleNumeratoretc"/>
            </w:pPr>
            <w:r w:rsidRPr="00032F55">
              <w:t xml:space="preserve">Denominator: </w:t>
            </w:r>
          </w:p>
        </w:tc>
        <w:tc>
          <w:tcPr>
            <w:tcW w:w="3671" w:type="pct"/>
            <w:vAlign w:val="center"/>
          </w:tcPr>
          <w:p w:rsidR="004B20E5" w:rsidRPr="00032F55" w:rsidDel="00F67FD0" w:rsidRDefault="004B20E5" w:rsidP="00F94FA1">
            <w:pPr>
              <w:pStyle w:val="TableOutcomeMeasure"/>
            </w:pPr>
            <w:r w:rsidRPr="00032F55">
              <w:t xml:space="preserve">(1) N/A.  (2) Age-adjusted </w:t>
            </w:r>
            <w:r>
              <w:t xml:space="preserve">incidence </w:t>
            </w:r>
            <w:r w:rsidRPr="00032F55">
              <w:t xml:space="preserve">rate </w:t>
            </w:r>
            <w:r>
              <w:t xml:space="preserve">for </w:t>
            </w:r>
            <w:r w:rsidRPr="00032F55">
              <w:t>white non-Hispanic</w:t>
            </w:r>
          </w:p>
        </w:tc>
      </w:tr>
      <w:tr w:rsidR="004B20E5" w:rsidRPr="00032F55" w:rsidDel="00F67FD0" w:rsidTr="00541398">
        <w:trPr>
          <w:cantSplit/>
        </w:trPr>
        <w:tc>
          <w:tcPr>
            <w:tcW w:w="1329" w:type="pct"/>
          </w:tcPr>
          <w:p w:rsidR="004B20E5" w:rsidRPr="00032F55" w:rsidDel="00F67FD0" w:rsidRDefault="004B20E5" w:rsidP="00F94FA1">
            <w:pPr>
              <w:pStyle w:val="TableTitleNumeratoretc"/>
            </w:pPr>
            <w:r w:rsidRPr="00032F55">
              <w:t xml:space="preserve">Exclusions: </w:t>
            </w:r>
          </w:p>
        </w:tc>
        <w:tc>
          <w:tcPr>
            <w:tcW w:w="3671" w:type="pct"/>
            <w:vAlign w:val="center"/>
          </w:tcPr>
          <w:p w:rsidR="004B20E5" w:rsidRPr="00032F55" w:rsidDel="00F67FD0" w:rsidRDefault="004B20E5" w:rsidP="00F94FA1">
            <w:pPr>
              <w:pStyle w:val="TableOutcomeMeasure"/>
            </w:pPr>
            <w:r w:rsidRPr="00032F55">
              <w:t>None</w:t>
            </w:r>
          </w:p>
        </w:tc>
      </w:tr>
      <w:tr w:rsidR="004B20E5" w:rsidRPr="00032F55" w:rsidDel="00F67FD0" w:rsidTr="00541398">
        <w:trPr>
          <w:cantSplit/>
        </w:trPr>
        <w:tc>
          <w:tcPr>
            <w:tcW w:w="1329" w:type="pct"/>
            <w:vAlign w:val="center"/>
          </w:tcPr>
          <w:p w:rsidR="004B20E5" w:rsidRPr="00032F55" w:rsidDel="00F67FD0" w:rsidRDefault="004B20E5" w:rsidP="00F94FA1">
            <w:pPr>
              <w:pStyle w:val="TableTitleNumeratoretc"/>
            </w:pPr>
            <w:r w:rsidRPr="00032F55">
              <w:t>Timeframe:</w:t>
            </w:r>
          </w:p>
        </w:tc>
        <w:tc>
          <w:tcPr>
            <w:tcW w:w="3671" w:type="pct"/>
            <w:vAlign w:val="center"/>
          </w:tcPr>
          <w:p w:rsidR="004B20E5" w:rsidRPr="00032F55" w:rsidDel="00F67FD0" w:rsidRDefault="004B20E5" w:rsidP="00F94FA1">
            <w:pPr>
              <w:pStyle w:val="TableOutcomeMeasure"/>
            </w:pPr>
            <w:r w:rsidRPr="00032F55">
              <w:t>Annual</w:t>
            </w:r>
          </w:p>
        </w:tc>
      </w:tr>
      <w:tr w:rsidR="004B20E5" w:rsidRPr="00666093" w:rsidDel="00F67FD0" w:rsidTr="00541398">
        <w:trPr>
          <w:cantSplit/>
        </w:trPr>
        <w:tc>
          <w:tcPr>
            <w:tcW w:w="1329" w:type="pct"/>
            <w:tcBorders>
              <w:bottom w:val="single" w:sz="4" w:space="0" w:color="auto"/>
            </w:tcBorders>
            <w:vAlign w:val="center"/>
          </w:tcPr>
          <w:p w:rsidR="004B20E5" w:rsidRPr="00032F55" w:rsidDel="00F67FD0" w:rsidRDefault="004B20E5" w:rsidP="00F94FA1">
            <w:pPr>
              <w:pStyle w:val="TableTitleNumeratoretc"/>
            </w:pPr>
            <w:r w:rsidRPr="00032F55">
              <w:t>How will this be measured?</w:t>
            </w:r>
          </w:p>
        </w:tc>
        <w:tc>
          <w:tcPr>
            <w:tcW w:w="3671" w:type="pct"/>
            <w:tcBorders>
              <w:bottom w:val="single" w:sz="4" w:space="0" w:color="auto"/>
            </w:tcBorders>
            <w:vAlign w:val="center"/>
          </w:tcPr>
          <w:p w:rsidR="004B20E5" w:rsidRPr="00391134" w:rsidDel="00F67FD0" w:rsidRDefault="004B20E5" w:rsidP="00F94FA1">
            <w:pPr>
              <w:pStyle w:val="TableOutcomeMeasure"/>
            </w:pPr>
            <w:r w:rsidRPr="00032F55">
              <w:t>Routine disease  surveillance</w:t>
            </w:r>
          </w:p>
        </w:tc>
      </w:tr>
    </w:tbl>
    <w:p w:rsidR="004B20E5" w:rsidRDefault="004B20E5" w:rsidP="00F72D59">
      <w:pPr>
        <w:pStyle w:val="StrategiesCategoryTitles"/>
      </w:pPr>
    </w:p>
    <w:p w:rsidR="004B20E5" w:rsidRDefault="004B20E5" w:rsidP="007C27A3">
      <w:pPr>
        <w:pStyle w:val="TableTenEssenHlthFunct"/>
      </w:pPr>
      <w:r>
        <w:t>Monitor Health to Identify and Solve Community Health Problems</w:t>
      </w:r>
    </w:p>
    <w:p w:rsidR="004B20E5" w:rsidRPr="006256D0" w:rsidRDefault="004B20E5" w:rsidP="00F72D59">
      <w:pPr>
        <w:pStyle w:val="TableStrategiesunderHealthFunctions"/>
      </w:pPr>
      <w:r>
        <w:t>3.4.1</w:t>
      </w:r>
      <w:r>
        <w:tab/>
        <w:t>Sustain targeted testing for HIV among high-risk populations.</w:t>
      </w:r>
    </w:p>
    <w:p w:rsidR="004B20E5" w:rsidRDefault="004B20E5" w:rsidP="007C27A3">
      <w:pPr>
        <w:pStyle w:val="TableTenEssenHlthFunct"/>
      </w:pPr>
      <w:r>
        <w:t xml:space="preserve">Inform, Educate, and Empower People About Health Issues </w:t>
      </w:r>
    </w:p>
    <w:p w:rsidR="004B20E5" w:rsidRPr="0046149F" w:rsidRDefault="004B20E5" w:rsidP="00F72D59">
      <w:pPr>
        <w:pStyle w:val="TableStrategiesunderHealthFunctions"/>
      </w:pPr>
      <w:r w:rsidRPr="0046149F">
        <w:t>3.</w:t>
      </w:r>
      <w:r>
        <w:t>4.2</w:t>
      </w:r>
      <w:r w:rsidRPr="0046149F">
        <w:tab/>
        <w:t xml:space="preserve">Increase culturally- and linguistically-appropriate </w:t>
      </w:r>
      <w:r>
        <w:t>education, prevention counseling, and screening for HIV</w:t>
      </w:r>
      <w:r w:rsidRPr="0046149F">
        <w:t xml:space="preserve"> in high risk populations.</w:t>
      </w:r>
    </w:p>
    <w:p w:rsidR="004B20E5" w:rsidRDefault="004B20E5" w:rsidP="00F72D59">
      <w:pPr>
        <w:pStyle w:val="TableStrategiesunderHealthFunctions"/>
      </w:pPr>
      <w:r w:rsidRPr="0046149F">
        <w:t>3.</w:t>
      </w:r>
      <w:r>
        <w:t>4.3</w:t>
      </w:r>
      <w:r>
        <w:tab/>
      </w:r>
      <w:r w:rsidRPr="0046149F">
        <w:t>Promote utilization of partner referral services for HIV+ individuals.</w:t>
      </w:r>
    </w:p>
    <w:p w:rsidR="004B20E5" w:rsidRPr="006256D0" w:rsidRDefault="004B20E5" w:rsidP="00F72D59">
      <w:pPr>
        <w:pStyle w:val="TableStrategiesunderHealthFunctions"/>
      </w:pPr>
      <w:r>
        <w:t>3.4.4</w:t>
      </w:r>
      <w:r>
        <w:tab/>
        <w:t>Promote condom use and availability among sexually active youth and adults.</w:t>
      </w:r>
    </w:p>
    <w:p w:rsidR="004B20E5" w:rsidRDefault="004B20E5" w:rsidP="007C27A3">
      <w:pPr>
        <w:pStyle w:val="TableTenEssenHlthFunct"/>
      </w:pPr>
      <w:r>
        <w:t>Mobilize Community Partnerships And Action</w:t>
      </w:r>
    </w:p>
    <w:p w:rsidR="004B20E5" w:rsidRPr="006256D0" w:rsidRDefault="004B20E5" w:rsidP="00F72D59">
      <w:pPr>
        <w:pStyle w:val="TableStrategiesunderHealthFunctions"/>
      </w:pPr>
      <w:r>
        <w:t>3.4.5</w:t>
      </w:r>
      <w:r>
        <w:tab/>
        <w:t>Implement syringe exchange, drug treatment and other harm reduction measures.</w:t>
      </w:r>
    </w:p>
    <w:p w:rsidR="004B20E5" w:rsidRDefault="004B20E5" w:rsidP="007C27A3">
      <w:pPr>
        <w:pStyle w:val="TableTenEssenHlthFunct"/>
      </w:pPr>
      <w:r>
        <w:t>Link People to Needed Personal Health Services and Health Care</w:t>
      </w:r>
    </w:p>
    <w:p w:rsidR="004B20E5" w:rsidRDefault="004B20E5" w:rsidP="00F72D59">
      <w:pPr>
        <w:pStyle w:val="TableStrategiesunderHealthFunctions"/>
      </w:pPr>
      <w:r w:rsidRPr="0046149F">
        <w:t>3.</w:t>
      </w:r>
      <w:r>
        <w:t>4.6</w:t>
      </w:r>
      <w:r w:rsidRPr="0046149F">
        <w:tab/>
      </w:r>
      <w:r w:rsidRPr="009923B6">
        <w:t>Reinforce routine screening for HIV in clinical settings (e.g., in substance abuse programs).</w:t>
      </w:r>
    </w:p>
    <w:p w:rsidR="004B20E5" w:rsidRPr="006256D0" w:rsidRDefault="004B20E5" w:rsidP="00F72D59">
      <w:pPr>
        <w:pStyle w:val="TableStrategiesunderHealthFunctions"/>
      </w:pPr>
      <w:r>
        <w:t>3.4.7</w:t>
      </w:r>
      <w:r>
        <w:tab/>
        <w:t>Ensure sustained health insurance coverage and medication co-payment support for lower income persons with HIV infection to support adherence to medical care and medication regimens to reduce viral load.</w:t>
      </w:r>
    </w:p>
    <w:p w:rsidR="004B20E5" w:rsidRDefault="004B20E5" w:rsidP="007C27A3">
      <w:pPr>
        <w:pStyle w:val="TableTenEssenHlthFunct"/>
      </w:pPr>
      <w:r>
        <w:br w:type="page"/>
      </w:r>
    </w:p>
    <w:p w:rsidR="004B20E5" w:rsidRDefault="004B20E5" w:rsidP="007C27A3">
      <w:pPr>
        <w:pStyle w:val="TableTenEssenHlthFunct"/>
      </w:pPr>
      <w:r>
        <w:lastRenderedPageBreak/>
        <w:t>Assure a Competent Public and Personal Healthcare Workforce</w:t>
      </w:r>
    </w:p>
    <w:p w:rsidR="004B20E5" w:rsidRPr="0084408D" w:rsidRDefault="004B20E5" w:rsidP="00F72D59">
      <w:pPr>
        <w:pStyle w:val="TableStrategiesunderHealthFunctions"/>
      </w:pPr>
      <w:r>
        <w:t>3.4.8</w:t>
      </w:r>
      <w:r>
        <w:tab/>
      </w:r>
      <w:r w:rsidRPr="004E379D">
        <w:t>Educate providers about CDC guidelines regarding testing and early treatment, referrals to prevention and treatment services and culturally appropriate prevention, treatment and follow-up interventions</w:t>
      </w:r>
      <w:r>
        <w:t>, including strategies for HIV viral suppression.</w:t>
      </w:r>
    </w:p>
    <w:p w:rsidR="004B20E5" w:rsidRPr="006256D0" w:rsidRDefault="004B20E5" w:rsidP="00F72D59">
      <w:pPr>
        <w:pStyle w:val="TableStrategiesunderHealthFunctions"/>
      </w:pPr>
      <w:r>
        <w:t>3.4.9</w:t>
      </w:r>
      <w:r>
        <w:tab/>
        <w:t>Continue to utilize community health workers to reach populations at high-risk for HIV+.</w:t>
      </w:r>
    </w:p>
    <w:p w:rsidR="004B20E5" w:rsidRPr="0065155B" w:rsidRDefault="004B20E5" w:rsidP="00F72D59">
      <w:pPr>
        <w:pStyle w:val="TableStrategiesunderHealthFunctions"/>
      </w:pPr>
    </w:p>
    <w:p w:rsidR="004B20E5" w:rsidRDefault="004B20E5" w:rsidP="00876533">
      <w:pPr>
        <w:pStyle w:val="StandardStatement"/>
      </w:pPr>
      <w:r>
        <w:t>Standard 3E: Reduce mortality related to viral hepatitis.</w:t>
      </w:r>
    </w:p>
    <w:p w:rsidR="004B20E5" w:rsidRPr="00876533" w:rsidRDefault="004B20E5" w:rsidP="00876533">
      <w:pPr>
        <w:pStyle w:val="BodyText"/>
      </w:pPr>
    </w:p>
    <w:p w:rsidR="004B20E5" w:rsidRDefault="004B20E5" w:rsidP="00F72D59">
      <w:pPr>
        <w:pStyle w:val="ObjectiveStatement"/>
      </w:pPr>
      <w:r>
        <w:t xml:space="preserve">Measure </w:t>
      </w:r>
      <w:r w:rsidRPr="00C968DB">
        <w:t>3.</w:t>
      </w:r>
      <w:r>
        <w:t>5</w:t>
      </w:r>
      <w:r w:rsidRPr="00C968DB">
        <w:t>:</w:t>
      </w:r>
      <w:r>
        <w:tab/>
      </w:r>
      <w:r w:rsidRPr="00C968DB">
        <w:t xml:space="preserve">Increase </w:t>
      </w:r>
      <w:r>
        <w:t xml:space="preserve">the </w:t>
      </w:r>
      <w:r w:rsidRPr="00C968DB">
        <w:t xml:space="preserve">average time between </w:t>
      </w:r>
      <w:r>
        <w:t xml:space="preserve">diagnosis of </w:t>
      </w:r>
      <w:r w:rsidRPr="00C968DB">
        <w:t xml:space="preserve">hepatitis C virus (HCV) infection </w:t>
      </w:r>
      <w:r>
        <w:t>and</w:t>
      </w:r>
      <w:r w:rsidRPr="00C968DB">
        <w:t xml:space="preserve"> death </w:t>
      </w:r>
      <w:r>
        <w:t>due to</w:t>
      </w:r>
      <w:r w:rsidR="00FD6172">
        <w:t xml:space="preserve"> </w:t>
      </w:r>
      <w:r>
        <w:t xml:space="preserve">hepatitis C virus infection from </w:t>
      </w:r>
      <w:r w:rsidRPr="00C968DB">
        <w:t xml:space="preserve">3 </w:t>
      </w:r>
      <w:r>
        <w:t xml:space="preserve">years </w:t>
      </w:r>
      <w:r w:rsidRPr="00C968DB">
        <w:t>to 4 years</w:t>
      </w:r>
      <w:r>
        <w:t>.</w:t>
      </w:r>
    </w:p>
    <w:p w:rsidR="004B20E5" w:rsidRPr="009E570C" w:rsidRDefault="004B20E5" w:rsidP="00F72D59">
      <w:pPr>
        <w:pStyle w:val="BodyText"/>
      </w:pP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F94FA1">
        <w:trPr>
          <w:cantSplit/>
        </w:trPr>
        <w:tc>
          <w:tcPr>
            <w:tcW w:w="1329" w:type="pct"/>
            <w:tcBorders>
              <w:top w:val="single" w:sz="4" w:space="0" w:color="auto"/>
              <w:bottom w:val="single" w:sz="4" w:space="0" w:color="auto"/>
            </w:tcBorders>
            <w:vAlign w:val="center"/>
          </w:tcPr>
          <w:p w:rsidR="004B20E5" w:rsidRPr="00666093" w:rsidRDefault="004B20E5" w:rsidP="00663E37">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F94FA1">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F94FA1">
            <w:pPr>
              <w:pStyle w:val="TableTitleBaseline2020Target"/>
            </w:pPr>
            <w:r w:rsidRPr="00666093">
              <w:t>2020 Target</w:t>
            </w:r>
          </w:p>
        </w:tc>
        <w:tc>
          <w:tcPr>
            <w:tcW w:w="1861" w:type="pct"/>
            <w:tcBorders>
              <w:top w:val="single" w:sz="4" w:space="0" w:color="auto"/>
              <w:bottom w:val="single" w:sz="4" w:space="0" w:color="auto"/>
            </w:tcBorders>
            <w:vAlign w:val="center"/>
          </w:tcPr>
          <w:p w:rsidR="004B20E5" w:rsidRPr="00666093" w:rsidRDefault="004B20E5" w:rsidP="00F94FA1">
            <w:pPr>
              <w:pStyle w:val="TableTitleTargetDataSource"/>
            </w:pPr>
            <w:r w:rsidRPr="00666093">
              <w:t>Data Source</w:t>
            </w:r>
          </w:p>
        </w:tc>
      </w:tr>
      <w:tr w:rsidR="004B20E5" w:rsidRPr="00666093" w:rsidTr="00F94FA1">
        <w:trPr>
          <w:cantSplit/>
        </w:trPr>
        <w:tc>
          <w:tcPr>
            <w:tcW w:w="1329" w:type="pct"/>
            <w:tcBorders>
              <w:top w:val="single" w:sz="4" w:space="0" w:color="auto"/>
              <w:bottom w:val="single" w:sz="4" w:space="0" w:color="auto"/>
            </w:tcBorders>
            <w:vAlign w:val="center"/>
          </w:tcPr>
          <w:p w:rsidR="004B20E5" w:rsidRPr="00666093" w:rsidRDefault="004B20E5" w:rsidP="00F94FA1">
            <w:pPr>
              <w:pStyle w:val="TableOutcomeMeasure"/>
            </w:pPr>
            <w:r>
              <w:t>Average time from diagnosis with HCV infection to death</w:t>
            </w:r>
          </w:p>
        </w:tc>
        <w:tc>
          <w:tcPr>
            <w:tcW w:w="905" w:type="pct"/>
            <w:tcBorders>
              <w:top w:val="single" w:sz="4" w:space="0" w:color="auto"/>
              <w:bottom w:val="single" w:sz="4" w:space="0" w:color="auto"/>
            </w:tcBorders>
            <w:vAlign w:val="center"/>
          </w:tcPr>
          <w:p w:rsidR="004B20E5" w:rsidRPr="00666093" w:rsidRDefault="004B20E5" w:rsidP="00F94FA1">
            <w:pPr>
              <w:pStyle w:val="TableBaseline2020Target"/>
            </w:pPr>
            <w:r w:rsidRPr="00666093">
              <w:t>3 years</w:t>
            </w:r>
          </w:p>
        </w:tc>
        <w:tc>
          <w:tcPr>
            <w:tcW w:w="905" w:type="pct"/>
            <w:tcBorders>
              <w:top w:val="single" w:sz="4" w:space="0" w:color="auto"/>
              <w:bottom w:val="single" w:sz="4" w:space="0" w:color="auto"/>
            </w:tcBorders>
            <w:vAlign w:val="center"/>
          </w:tcPr>
          <w:p w:rsidR="004B20E5" w:rsidRPr="00666093" w:rsidRDefault="004B20E5" w:rsidP="00F94FA1">
            <w:pPr>
              <w:pStyle w:val="TableBaseline2020Target"/>
            </w:pPr>
            <w:r w:rsidRPr="00666093">
              <w:t>4 years</w:t>
            </w:r>
          </w:p>
        </w:tc>
        <w:tc>
          <w:tcPr>
            <w:tcW w:w="1861" w:type="pct"/>
            <w:tcBorders>
              <w:top w:val="single" w:sz="4" w:space="0" w:color="auto"/>
              <w:bottom w:val="single" w:sz="4" w:space="0" w:color="auto"/>
            </w:tcBorders>
            <w:vAlign w:val="center"/>
          </w:tcPr>
          <w:p w:rsidR="004B20E5" w:rsidRPr="00666093" w:rsidRDefault="004B20E5" w:rsidP="00F94FA1">
            <w:pPr>
              <w:pStyle w:val="TableDataSource"/>
            </w:pPr>
            <w:r>
              <w:t>MDPH BID Epidemiology Program</w:t>
            </w:r>
          </w:p>
        </w:tc>
      </w:tr>
    </w:tbl>
    <w:p w:rsidR="004B20E5" w:rsidRDefault="004B20E5" w:rsidP="00F72D59">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F94FA1">
        <w:trPr>
          <w:cantSplit/>
        </w:trPr>
        <w:tc>
          <w:tcPr>
            <w:tcW w:w="1329" w:type="pct"/>
            <w:tcBorders>
              <w:top w:val="single" w:sz="4" w:space="0" w:color="auto"/>
            </w:tcBorders>
          </w:tcPr>
          <w:p w:rsidR="004B20E5" w:rsidRPr="009171C7" w:rsidDel="00F67FD0" w:rsidRDefault="004B20E5" w:rsidP="00F94FA1">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F94FA1">
            <w:pPr>
              <w:pStyle w:val="TableOutcomeMeasure"/>
            </w:pPr>
            <w:r>
              <w:t xml:space="preserve"> Average time from diagnosis with HCV infection to death.</w:t>
            </w:r>
          </w:p>
        </w:tc>
      </w:tr>
      <w:tr w:rsidR="004B20E5" w:rsidRPr="00666093" w:rsidDel="00F67FD0" w:rsidTr="00F94FA1">
        <w:trPr>
          <w:cantSplit/>
        </w:trPr>
        <w:tc>
          <w:tcPr>
            <w:tcW w:w="1329" w:type="pct"/>
          </w:tcPr>
          <w:p w:rsidR="004B20E5" w:rsidRPr="009171C7" w:rsidDel="00F67FD0" w:rsidRDefault="004B20E5" w:rsidP="00F94FA1">
            <w:pPr>
              <w:pStyle w:val="TableTitleNumeratoretc"/>
            </w:pPr>
            <w:r w:rsidRPr="00A367E5">
              <w:t>Denominator</w:t>
            </w:r>
            <w:r>
              <w:t>:</w:t>
            </w:r>
          </w:p>
        </w:tc>
        <w:tc>
          <w:tcPr>
            <w:tcW w:w="3671" w:type="pct"/>
            <w:vAlign w:val="center"/>
          </w:tcPr>
          <w:p w:rsidR="004B20E5" w:rsidRPr="00391134" w:rsidDel="00F67FD0" w:rsidRDefault="004B20E5" w:rsidP="00F94FA1">
            <w:pPr>
              <w:pStyle w:val="TableOutcomeMeasure"/>
            </w:pPr>
            <w:r>
              <w:t>N/A</w:t>
            </w:r>
          </w:p>
        </w:tc>
      </w:tr>
      <w:tr w:rsidR="004B20E5" w:rsidRPr="00666093" w:rsidDel="00F67FD0" w:rsidTr="00F94FA1">
        <w:trPr>
          <w:cantSplit/>
        </w:trPr>
        <w:tc>
          <w:tcPr>
            <w:tcW w:w="1329" w:type="pct"/>
          </w:tcPr>
          <w:p w:rsidR="004B20E5" w:rsidRPr="009171C7" w:rsidDel="00F67FD0" w:rsidRDefault="004B20E5" w:rsidP="00F94FA1">
            <w:pPr>
              <w:pStyle w:val="TableTitleNumeratoretc"/>
            </w:pPr>
            <w:r w:rsidRPr="00A367E5">
              <w:t>Exclusions</w:t>
            </w:r>
            <w:r>
              <w:t>:</w:t>
            </w:r>
          </w:p>
        </w:tc>
        <w:tc>
          <w:tcPr>
            <w:tcW w:w="3671" w:type="pct"/>
            <w:vAlign w:val="center"/>
          </w:tcPr>
          <w:p w:rsidR="004B20E5" w:rsidRPr="00391134" w:rsidDel="00F67FD0" w:rsidRDefault="004B20E5" w:rsidP="00F94FA1">
            <w:pPr>
              <w:pStyle w:val="TableOutcomeMeasure"/>
            </w:pPr>
            <w:r>
              <w:t>None</w:t>
            </w:r>
          </w:p>
        </w:tc>
      </w:tr>
      <w:tr w:rsidR="004B20E5" w:rsidRPr="00666093" w:rsidDel="00F67FD0" w:rsidTr="00F94FA1">
        <w:trPr>
          <w:cantSplit/>
        </w:trPr>
        <w:tc>
          <w:tcPr>
            <w:tcW w:w="1329" w:type="pct"/>
            <w:vAlign w:val="center"/>
          </w:tcPr>
          <w:p w:rsidR="004B20E5" w:rsidRPr="009171C7" w:rsidDel="00F67FD0" w:rsidRDefault="004B20E5" w:rsidP="00F94FA1">
            <w:pPr>
              <w:pStyle w:val="TableTitleNumeratoretc"/>
            </w:pPr>
            <w:r w:rsidRPr="00F67FD0">
              <w:t>Timeframe</w:t>
            </w:r>
            <w:r>
              <w:t>:</w:t>
            </w:r>
          </w:p>
        </w:tc>
        <w:tc>
          <w:tcPr>
            <w:tcW w:w="3671" w:type="pct"/>
            <w:vAlign w:val="center"/>
          </w:tcPr>
          <w:p w:rsidR="004B20E5" w:rsidRPr="00391134" w:rsidDel="00F67FD0" w:rsidRDefault="004B20E5" w:rsidP="00F94FA1">
            <w:pPr>
              <w:pStyle w:val="TableOutcomeMeasure"/>
            </w:pPr>
            <w:r>
              <w:t>5 years</w:t>
            </w:r>
          </w:p>
        </w:tc>
      </w:tr>
      <w:tr w:rsidR="004B20E5" w:rsidRPr="00666093" w:rsidDel="00F67FD0" w:rsidTr="00F94FA1">
        <w:trPr>
          <w:cantSplit/>
        </w:trPr>
        <w:tc>
          <w:tcPr>
            <w:tcW w:w="1329" w:type="pct"/>
            <w:tcBorders>
              <w:bottom w:val="single" w:sz="4" w:space="0" w:color="auto"/>
            </w:tcBorders>
            <w:vAlign w:val="center"/>
          </w:tcPr>
          <w:p w:rsidR="004B20E5" w:rsidRPr="009171C7" w:rsidDel="00F67FD0" w:rsidRDefault="004B20E5" w:rsidP="00F94FA1">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F94FA1">
            <w:pPr>
              <w:pStyle w:val="TableOutcomeMeasure"/>
            </w:pPr>
            <w:r>
              <w:t>Hepatitis C surveillance data, MA death file match</w:t>
            </w:r>
          </w:p>
        </w:tc>
      </w:tr>
    </w:tbl>
    <w:p w:rsidR="004B20E5" w:rsidRDefault="004B20E5" w:rsidP="00F72D59">
      <w:pPr>
        <w:pStyle w:val="StrategiesCategoryTitles"/>
      </w:pPr>
    </w:p>
    <w:p w:rsidR="004B20E5" w:rsidRDefault="004B20E5" w:rsidP="007C27A3">
      <w:pPr>
        <w:pStyle w:val="TableTenEssenHlthFunct"/>
      </w:pPr>
      <w:r>
        <w:t>Monitor Health to Identify and Solve Community Health Problems</w:t>
      </w:r>
    </w:p>
    <w:p w:rsidR="004B20E5" w:rsidRDefault="004B20E5" w:rsidP="00F72D59">
      <w:pPr>
        <w:pStyle w:val="TableStrategiesunderHealthFunctions"/>
      </w:pPr>
      <w:r w:rsidRPr="002213A6">
        <w:t>3</w:t>
      </w:r>
      <w:r>
        <w:t>.5.1</w:t>
      </w:r>
      <w:r>
        <w:tab/>
      </w:r>
      <w:r w:rsidRPr="002213A6">
        <w:t>Maintain and enhance disease s</w:t>
      </w:r>
      <w:r>
        <w:t>urveillance for HCV infection.</w:t>
      </w:r>
    </w:p>
    <w:p w:rsidR="004B20E5" w:rsidRPr="006256D0" w:rsidRDefault="004B20E5" w:rsidP="00F72D59">
      <w:pPr>
        <w:pStyle w:val="TableStrategiesunderHealthFunctions"/>
        <w:ind w:hanging="803"/>
      </w:pPr>
      <w:r>
        <w:t>3.5.2</w:t>
      </w:r>
      <w:r>
        <w:tab/>
        <w:t>M</w:t>
      </w:r>
      <w:r w:rsidRPr="006E0DF5">
        <w:t>aintain and enhance the Massachusetts Sharps Injury Surveillance system and related intervention activities</w:t>
      </w:r>
      <w:r>
        <w:t>.</w:t>
      </w:r>
    </w:p>
    <w:p w:rsidR="004B20E5" w:rsidRDefault="004B20E5" w:rsidP="007C27A3">
      <w:pPr>
        <w:pStyle w:val="TableTenEssenHlthFunct"/>
      </w:pPr>
      <w:r>
        <w:t xml:space="preserve">Inform, Educate, and Empower People About Health Issues </w:t>
      </w:r>
    </w:p>
    <w:p w:rsidR="004B20E5" w:rsidRDefault="004B20E5" w:rsidP="001E441C">
      <w:pPr>
        <w:pStyle w:val="TableStrategiesunderHealthFunctions"/>
      </w:pPr>
      <w:r w:rsidRPr="006E0DF5">
        <w:t>3.</w:t>
      </w:r>
      <w:r>
        <w:t>5.3</w:t>
      </w:r>
      <w:r w:rsidRPr="006E0DF5">
        <w:tab/>
        <w:t>Promote adoption of best practices on sharps protection strategy for healthcare facilities as required under state and federal regulations</w:t>
      </w:r>
      <w:r>
        <w:t>.</w:t>
      </w:r>
    </w:p>
    <w:p w:rsidR="004B20E5" w:rsidRDefault="004B20E5" w:rsidP="007C27A3">
      <w:pPr>
        <w:pStyle w:val="TableTenEssenHlthFunct"/>
      </w:pPr>
      <w:r>
        <w:t xml:space="preserve">Develop Policies and Plans That Support Individual and Community Health Efforts </w:t>
      </w:r>
    </w:p>
    <w:p w:rsidR="004B20E5" w:rsidRDefault="004B20E5" w:rsidP="00F72D59">
      <w:pPr>
        <w:pStyle w:val="TableStrategiesunderHealthFunctions"/>
      </w:pPr>
      <w:r w:rsidRPr="002213A6">
        <w:t>3</w:t>
      </w:r>
      <w:r>
        <w:t>.5.4</w:t>
      </w:r>
      <w:r>
        <w:tab/>
      </w:r>
      <w:r w:rsidRPr="002213A6">
        <w:t>Increase availability of comprehensive HCV preven</w:t>
      </w:r>
      <w:r>
        <w:t>tion programs in Massachusetts.</w:t>
      </w:r>
    </w:p>
    <w:p w:rsidR="004B20E5" w:rsidRDefault="004B20E5" w:rsidP="007C27A3">
      <w:pPr>
        <w:pStyle w:val="TableTenEssenHlthFunct"/>
      </w:pPr>
      <w:r>
        <w:t>Link People to Needed Personal Health Services and Health Care</w:t>
      </w:r>
    </w:p>
    <w:p w:rsidR="004B20E5" w:rsidRPr="006256D0" w:rsidRDefault="004B20E5" w:rsidP="00F72D59">
      <w:pPr>
        <w:pStyle w:val="TableStrategiesunderHealthFunctions"/>
      </w:pPr>
      <w:r w:rsidRPr="002213A6">
        <w:t>3</w:t>
      </w:r>
      <w:r>
        <w:t>.5.5</w:t>
      </w:r>
      <w:r>
        <w:tab/>
      </w:r>
      <w:r w:rsidRPr="006E0DF5">
        <w:t>Enhance HCV testing with community-based programs and community health centers.</w:t>
      </w:r>
    </w:p>
    <w:p w:rsidR="004B20E5" w:rsidRDefault="004B20E5" w:rsidP="007C27A3">
      <w:pPr>
        <w:pStyle w:val="TableTenEssenHlthFunct"/>
      </w:pPr>
      <w:r>
        <w:t>Assure a Competent Public and Personal Healthcare Workforce</w:t>
      </w:r>
    </w:p>
    <w:p w:rsidR="004B20E5" w:rsidRPr="006256D0" w:rsidRDefault="004B20E5" w:rsidP="00F72D59">
      <w:pPr>
        <w:pStyle w:val="TableStrategiesunderHealthFunctions"/>
      </w:pPr>
      <w:r w:rsidRPr="002213A6">
        <w:t>3</w:t>
      </w:r>
      <w:r>
        <w:t>.5.6</w:t>
      </w:r>
      <w:r>
        <w:tab/>
      </w:r>
      <w:r w:rsidRPr="002213A6">
        <w:t>Educate and train providers about routine prevention, screening a</w:t>
      </w:r>
      <w:r>
        <w:t>nd treatment for HCV infection.</w:t>
      </w:r>
    </w:p>
    <w:p w:rsidR="004B20E5" w:rsidRDefault="004B20E5" w:rsidP="00F72D59">
      <w:pPr>
        <w:pStyle w:val="Strategies"/>
      </w:pPr>
    </w:p>
    <w:p w:rsidR="004B20E5" w:rsidRDefault="004B20E5" w:rsidP="00876533">
      <w:pPr>
        <w:pStyle w:val="StandardStatement"/>
      </w:pPr>
      <w:r>
        <w:br w:type="page"/>
      </w:r>
    </w:p>
    <w:p w:rsidR="004B20E5" w:rsidRDefault="004B20E5" w:rsidP="00876533">
      <w:pPr>
        <w:pStyle w:val="StandardStatement"/>
      </w:pPr>
      <w:r>
        <w:lastRenderedPageBreak/>
        <w:t>Standard 3F: Reduce morbidity related to healthcare acquired infections.</w:t>
      </w:r>
    </w:p>
    <w:p w:rsidR="004B20E5" w:rsidRPr="00876533" w:rsidRDefault="004B20E5" w:rsidP="00876533">
      <w:pPr>
        <w:pStyle w:val="BodyText"/>
      </w:pPr>
    </w:p>
    <w:p w:rsidR="004B20E5" w:rsidRPr="00C968DB" w:rsidRDefault="004B20E5" w:rsidP="00F72D59">
      <w:pPr>
        <w:pStyle w:val="ObjectiveStatement"/>
      </w:pPr>
      <w:r>
        <w:t xml:space="preserve">Measure </w:t>
      </w:r>
      <w:r w:rsidRPr="00C968DB">
        <w:t>3.</w:t>
      </w:r>
      <w:r>
        <w:t>6:</w:t>
      </w:r>
      <w:r>
        <w:tab/>
      </w:r>
      <w:r w:rsidRPr="00C968DB">
        <w:t>Reduce standard infection ratios (SIR</w:t>
      </w:r>
      <w:r w:rsidR="00FD6172">
        <w:t>s</w:t>
      </w:r>
      <w:r w:rsidRPr="00C968DB">
        <w:t xml:space="preserve">) </w:t>
      </w:r>
      <w:r>
        <w:t xml:space="preserve">to 1.00 or below </w:t>
      </w:r>
      <w:r w:rsidRPr="00C968DB">
        <w:t xml:space="preserve">for CLABSIs, SSIs, </w:t>
      </w:r>
      <w:r>
        <w:t>and CAUTI</w:t>
      </w:r>
      <w:r w:rsidRPr="00C968DB">
        <w:t>s</w:t>
      </w:r>
      <w:r w:rsidR="00FD6172">
        <w:t xml:space="preserve"> </w:t>
      </w:r>
      <w:r w:rsidRPr="00C968DB">
        <w:t xml:space="preserve">in acute care hospitals through application of evidence-based interventions. </w:t>
      </w: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F94FA1">
        <w:trPr>
          <w:cantSplit/>
          <w:tblHeader/>
        </w:trPr>
        <w:tc>
          <w:tcPr>
            <w:tcW w:w="1329" w:type="pct"/>
            <w:tcBorders>
              <w:top w:val="single" w:sz="4" w:space="0" w:color="auto"/>
              <w:bottom w:val="single" w:sz="4" w:space="0" w:color="auto"/>
            </w:tcBorders>
            <w:vAlign w:val="center"/>
          </w:tcPr>
          <w:p w:rsidR="004B20E5" w:rsidRPr="00666093" w:rsidRDefault="004B20E5" w:rsidP="00663E37">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F94FA1">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F94FA1">
            <w:pPr>
              <w:pStyle w:val="TableTitleBaseline2020Target"/>
            </w:pPr>
            <w:r w:rsidRPr="00666093">
              <w:t>2020 Target</w:t>
            </w:r>
          </w:p>
        </w:tc>
        <w:tc>
          <w:tcPr>
            <w:tcW w:w="1861" w:type="pct"/>
            <w:tcBorders>
              <w:top w:val="single" w:sz="4" w:space="0" w:color="auto"/>
              <w:bottom w:val="single" w:sz="4" w:space="0" w:color="auto"/>
            </w:tcBorders>
            <w:vAlign w:val="center"/>
          </w:tcPr>
          <w:p w:rsidR="004B20E5" w:rsidRPr="00666093" w:rsidRDefault="004B20E5" w:rsidP="00F94FA1">
            <w:pPr>
              <w:pStyle w:val="TableTitleTargetDataSource"/>
            </w:pPr>
            <w:r w:rsidRPr="00666093">
              <w:t>Data Source</w:t>
            </w:r>
          </w:p>
        </w:tc>
      </w:tr>
      <w:tr w:rsidR="004B20E5" w:rsidRPr="00666093" w:rsidTr="00F94FA1">
        <w:trPr>
          <w:cantSplit/>
        </w:trPr>
        <w:tc>
          <w:tcPr>
            <w:tcW w:w="1329" w:type="pct"/>
            <w:tcBorders>
              <w:top w:val="single" w:sz="4" w:space="0" w:color="auto"/>
              <w:bottom w:val="single" w:sz="4" w:space="0" w:color="auto"/>
            </w:tcBorders>
            <w:vAlign w:val="center"/>
          </w:tcPr>
          <w:p w:rsidR="004B20E5" w:rsidRPr="00666093" w:rsidRDefault="004B20E5" w:rsidP="00F94FA1">
            <w:pPr>
              <w:pStyle w:val="TableOutcomeMeasure"/>
            </w:pPr>
            <w:r>
              <w:t>C</w:t>
            </w:r>
            <w:r w:rsidRPr="00666093">
              <w:t>entral line associated bloodstream infections (CLABSI)</w:t>
            </w:r>
            <w:r w:rsidR="00FD6172">
              <w:t xml:space="preserve"> </w:t>
            </w:r>
            <w:r w:rsidRPr="00666093">
              <w:t xml:space="preserve">SIR </w:t>
            </w:r>
          </w:p>
        </w:tc>
        <w:tc>
          <w:tcPr>
            <w:tcW w:w="905" w:type="pct"/>
            <w:tcBorders>
              <w:top w:val="single" w:sz="4" w:space="0" w:color="auto"/>
              <w:bottom w:val="single" w:sz="4" w:space="0" w:color="auto"/>
            </w:tcBorders>
            <w:vAlign w:val="center"/>
          </w:tcPr>
          <w:p w:rsidR="004B20E5" w:rsidRPr="00666093" w:rsidRDefault="004B20E5" w:rsidP="00F94FA1">
            <w:pPr>
              <w:pStyle w:val="TableBaseline2020Target"/>
            </w:pPr>
            <w:r w:rsidRPr="00666093">
              <w:t>0.7</w:t>
            </w:r>
          </w:p>
        </w:tc>
        <w:tc>
          <w:tcPr>
            <w:tcW w:w="905" w:type="pct"/>
            <w:tcBorders>
              <w:top w:val="single" w:sz="4" w:space="0" w:color="auto"/>
              <w:bottom w:val="single" w:sz="4" w:space="0" w:color="auto"/>
            </w:tcBorders>
            <w:vAlign w:val="center"/>
          </w:tcPr>
          <w:p w:rsidR="004B20E5" w:rsidRPr="00666093" w:rsidRDefault="004B20E5" w:rsidP="00F94FA1">
            <w:pPr>
              <w:pStyle w:val="TableBaseline2020Target"/>
            </w:pPr>
            <w:r>
              <w:t>&lt;0.7</w:t>
            </w:r>
          </w:p>
        </w:tc>
        <w:tc>
          <w:tcPr>
            <w:tcW w:w="1861" w:type="pct"/>
            <w:tcBorders>
              <w:top w:val="single" w:sz="4" w:space="0" w:color="auto"/>
              <w:bottom w:val="single" w:sz="4" w:space="0" w:color="auto"/>
            </w:tcBorders>
            <w:vAlign w:val="center"/>
          </w:tcPr>
          <w:p w:rsidR="004B20E5" w:rsidRPr="00666093" w:rsidRDefault="004B20E5" w:rsidP="00F94FA1">
            <w:pPr>
              <w:pStyle w:val="TableDataSource"/>
            </w:pPr>
            <w:r>
              <w:t xml:space="preserve">National Healthcare Safety Network (NHSN), </w:t>
            </w:r>
            <w:r w:rsidRPr="00666093">
              <w:t xml:space="preserve"> 2012</w:t>
            </w:r>
          </w:p>
        </w:tc>
      </w:tr>
      <w:tr w:rsidR="004B20E5" w:rsidRPr="00666093" w:rsidTr="00F94FA1">
        <w:trPr>
          <w:cantSplit/>
        </w:trPr>
        <w:tc>
          <w:tcPr>
            <w:tcW w:w="1329" w:type="pct"/>
            <w:tcBorders>
              <w:top w:val="single" w:sz="4" w:space="0" w:color="auto"/>
              <w:bottom w:val="single" w:sz="4" w:space="0" w:color="auto"/>
            </w:tcBorders>
            <w:vAlign w:val="center"/>
          </w:tcPr>
          <w:p w:rsidR="004B20E5" w:rsidRPr="00666093" w:rsidRDefault="004B20E5" w:rsidP="00F94FA1">
            <w:pPr>
              <w:pStyle w:val="TableOutcomeMeasure"/>
            </w:pPr>
            <w:r>
              <w:t>V</w:t>
            </w:r>
            <w:r w:rsidRPr="00666093">
              <w:t>aginal hysterectomy surgical site infection SIR</w:t>
            </w:r>
          </w:p>
        </w:tc>
        <w:tc>
          <w:tcPr>
            <w:tcW w:w="905" w:type="pct"/>
            <w:tcBorders>
              <w:top w:val="single" w:sz="4" w:space="0" w:color="auto"/>
              <w:bottom w:val="single" w:sz="4" w:space="0" w:color="auto"/>
            </w:tcBorders>
            <w:vAlign w:val="center"/>
          </w:tcPr>
          <w:p w:rsidR="004B20E5" w:rsidRPr="00666093" w:rsidRDefault="004B20E5" w:rsidP="00F94FA1">
            <w:pPr>
              <w:pStyle w:val="TableBaseline2020Target"/>
            </w:pPr>
            <w:r w:rsidRPr="00666093">
              <w:t>1.9</w:t>
            </w:r>
          </w:p>
        </w:tc>
        <w:tc>
          <w:tcPr>
            <w:tcW w:w="905" w:type="pct"/>
            <w:tcBorders>
              <w:top w:val="single" w:sz="4" w:space="0" w:color="auto"/>
              <w:bottom w:val="single" w:sz="4" w:space="0" w:color="auto"/>
            </w:tcBorders>
            <w:vAlign w:val="center"/>
          </w:tcPr>
          <w:p w:rsidR="004B20E5" w:rsidRPr="00666093" w:rsidRDefault="004B20E5" w:rsidP="00F94FA1">
            <w:pPr>
              <w:pStyle w:val="TableBaseline2020Target"/>
            </w:pPr>
            <w:r>
              <w:t>&lt;1.00</w:t>
            </w:r>
          </w:p>
        </w:tc>
        <w:tc>
          <w:tcPr>
            <w:tcW w:w="1861" w:type="pct"/>
            <w:tcBorders>
              <w:top w:val="single" w:sz="4" w:space="0" w:color="auto"/>
              <w:bottom w:val="single" w:sz="4" w:space="0" w:color="auto"/>
            </w:tcBorders>
            <w:vAlign w:val="center"/>
          </w:tcPr>
          <w:p w:rsidR="004B20E5" w:rsidRPr="00666093" w:rsidRDefault="004B20E5" w:rsidP="00F94FA1">
            <w:pPr>
              <w:pStyle w:val="TableDataSource"/>
            </w:pPr>
            <w:r>
              <w:t xml:space="preserve">National Healthcare Safety Network (NHSN), </w:t>
            </w:r>
            <w:r w:rsidRPr="00666093">
              <w:t xml:space="preserve"> 2012</w:t>
            </w:r>
          </w:p>
        </w:tc>
      </w:tr>
      <w:tr w:rsidR="004B20E5" w:rsidRPr="00666093" w:rsidTr="00F94FA1">
        <w:trPr>
          <w:cantSplit/>
          <w:trHeight w:val="998"/>
        </w:trPr>
        <w:tc>
          <w:tcPr>
            <w:tcW w:w="1329" w:type="pct"/>
            <w:tcBorders>
              <w:top w:val="single" w:sz="4" w:space="0" w:color="auto"/>
              <w:bottom w:val="single" w:sz="4" w:space="0" w:color="auto"/>
            </w:tcBorders>
            <w:vAlign w:val="center"/>
          </w:tcPr>
          <w:p w:rsidR="004B20E5" w:rsidRPr="001E441C" w:rsidRDefault="004B20E5" w:rsidP="001E441C">
            <w:pPr>
              <w:rPr>
                <w:sz w:val="20"/>
                <w:szCs w:val="20"/>
              </w:rPr>
            </w:pPr>
            <w:r>
              <w:rPr>
                <w:sz w:val="20"/>
                <w:szCs w:val="20"/>
              </w:rPr>
              <w:t>C</w:t>
            </w:r>
            <w:r w:rsidRPr="00032F55">
              <w:rPr>
                <w:sz w:val="20"/>
                <w:szCs w:val="20"/>
              </w:rPr>
              <w:t>atheter-associated urinary tract infections (CAUTI)</w:t>
            </w:r>
            <w:r>
              <w:rPr>
                <w:sz w:val="20"/>
                <w:szCs w:val="20"/>
              </w:rPr>
              <w:t xml:space="preserve"> SIR</w:t>
            </w:r>
          </w:p>
        </w:tc>
        <w:tc>
          <w:tcPr>
            <w:tcW w:w="905" w:type="pct"/>
            <w:tcBorders>
              <w:top w:val="single" w:sz="4" w:space="0" w:color="auto"/>
              <w:bottom w:val="single" w:sz="4" w:space="0" w:color="auto"/>
            </w:tcBorders>
            <w:vAlign w:val="center"/>
          </w:tcPr>
          <w:p w:rsidR="004B20E5" w:rsidRPr="00666093" w:rsidRDefault="004B20E5" w:rsidP="00F94FA1">
            <w:pPr>
              <w:pStyle w:val="TableBaseline2020Target"/>
            </w:pPr>
            <w:r>
              <w:t>1.45</w:t>
            </w:r>
          </w:p>
        </w:tc>
        <w:tc>
          <w:tcPr>
            <w:tcW w:w="905" w:type="pct"/>
            <w:tcBorders>
              <w:top w:val="single" w:sz="4" w:space="0" w:color="auto"/>
              <w:bottom w:val="single" w:sz="4" w:space="0" w:color="auto"/>
            </w:tcBorders>
            <w:vAlign w:val="center"/>
          </w:tcPr>
          <w:p w:rsidR="004B20E5" w:rsidRPr="00666093" w:rsidRDefault="004B20E5" w:rsidP="00F94FA1">
            <w:pPr>
              <w:pStyle w:val="TableBaseline2020Target"/>
            </w:pPr>
            <w:r>
              <w:t>&lt;1.00</w:t>
            </w:r>
          </w:p>
        </w:tc>
        <w:tc>
          <w:tcPr>
            <w:tcW w:w="1861" w:type="pct"/>
            <w:tcBorders>
              <w:top w:val="single" w:sz="4" w:space="0" w:color="auto"/>
              <w:bottom w:val="single" w:sz="4" w:space="0" w:color="auto"/>
            </w:tcBorders>
            <w:vAlign w:val="center"/>
          </w:tcPr>
          <w:p w:rsidR="004B20E5" w:rsidRPr="00666093" w:rsidRDefault="004B20E5" w:rsidP="00F94FA1">
            <w:pPr>
              <w:pStyle w:val="TableDataSource"/>
            </w:pPr>
            <w:r>
              <w:t xml:space="preserve">National Healthcare Safety Network (NHSN), </w:t>
            </w:r>
            <w:r w:rsidRPr="00666093">
              <w:t xml:space="preserve"> 2012</w:t>
            </w:r>
          </w:p>
        </w:tc>
      </w:tr>
      <w:tr w:rsidR="004B20E5" w:rsidRPr="00666093" w:rsidDel="00F67FD0" w:rsidTr="00F94FA1">
        <w:tblPrEx>
          <w:tblBorders>
            <w:top w:val="single" w:sz="4" w:space="0" w:color="auto"/>
            <w:bottom w:val="single" w:sz="4" w:space="0" w:color="auto"/>
            <w:insideH w:val="single" w:sz="4" w:space="0" w:color="FFFFFF"/>
          </w:tblBorders>
        </w:tblPrEx>
        <w:trPr>
          <w:cantSplit/>
        </w:trPr>
        <w:tc>
          <w:tcPr>
            <w:tcW w:w="1329" w:type="pct"/>
            <w:tcBorders>
              <w:top w:val="single" w:sz="4" w:space="0" w:color="auto"/>
            </w:tcBorders>
          </w:tcPr>
          <w:p w:rsidR="004B20E5" w:rsidRPr="009171C7" w:rsidDel="00F67FD0" w:rsidRDefault="004B20E5" w:rsidP="00F94FA1">
            <w:pPr>
              <w:pStyle w:val="TableTitleNumeratoretc"/>
            </w:pPr>
            <w:r w:rsidRPr="00A367E5">
              <w:t>Numerator</w:t>
            </w:r>
            <w:r>
              <w:t>:</w:t>
            </w:r>
          </w:p>
        </w:tc>
        <w:tc>
          <w:tcPr>
            <w:tcW w:w="3671" w:type="pct"/>
            <w:gridSpan w:val="3"/>
            <w:tcBorders>
              <w:top w:val="single" w:sz="4" w:space="0" w:color="auto"/>
            </w:tcBorders>
            <w:vAlign w:val="center"/>
          </w:tcPr>
          <w:p w:rsidR="004B20E5" w:rsidRPr="00F7487F" w:rsidDel="00F67FD0" w:rsidRDefault="004B20E5" w:rsidP="00F94FA1">
            <w:pPr>
              <w:pStyle w:val="TableOutcomeMeasure"/>
            </w:pPr>
            <w:r w:rsidRPr="00F7487F">
              <w:t>Massachusetts-specific infection rate</w:t>
            </w:r>
          </w:p>
        </w:tc>
      </w:tr>
      <w:tr w:rsidR="004B20E5" w:rsidRPr="00666093" w:rsidDel="00F67FD0" w:rsidTr="00F94FA1">
        <w:tblPrEx>
          <w:tblBorders>
            <w:top w:val="single" w:sz="4" w:space="0" w:color="auto"/>
            <w:bottom w:val="single" w:sz="4" w:space="0" w:color="auto"/>
            <w:insideH w:val="single" w:sz="4" w:space="0" w:color="FFFFFF"/>
          </w:tblBorders>
        </w:tblPrEx>
        <w:trPr>
          <w:cantSplit/>
        </w:trPr>
        <w:tc>
          <w:tcPr>
            <w:tcW w:w="1329" w:type="pct"/>
          </w:tcPr>
          <w:p w:rsidR="004B20E5" w:rsidRPr="009171C7" w:rsidDel="00F67FD0" w:rsidRDefault="004B20E5" w:rsidP="00F94FA1">
            <w:pPr>
              <w:pStyle w:val="TableTitleNumeratoretc"/>
            </w:pPr>
            <w:r w:rsidRPr="00A367E5">
              <w:t>Denominator</w:t>
            </w:r>
            <w:r>
              <w:t>:</w:t>
            </w:r>
          </w:p>
        </w:tc>
        <w:tc>
          <w:tcPr>
            <w:tcW w:w="3671" w:type="pct"/>
            <w:gridSpan w:val="3"/>
            <w:vAlign w:val="center"/>
          </w:tcPr>
          <w:p w:rsidR="004B20E5" w:rsidRPr="00F7487F" w:rsidDel="00F67FD0" w:rsidRDefault="004B20E5" w:rsidP="00F94FA1">
            <w:pPr>
              <w:pStyle w:val="TableOutcomeMeasure"/>
            </w:pPr>
            <w:r w:rsidRPr="00F7487F">
              <w:t>National average infection rate</w:t>
            </w:r>
          </w:p>
        </w:tc>
      </w:tr>
      <w:tr w:rsidR="004B20E5" w:rsidRPr="00666093" w:rsidDel="00F67FD0" w:rsidTr="00F94FA1">
        <w:tblPrEx>
          <w:tblBorders>
            <w:top w:val="single" w:sz="4" w:space="0" w:color="auto"/>
            <w:bottom w:val="single" w:sz="4" w:space="0" w:color="auto"/>
            <w:insideH w:val="single" w:sz="4" w:space="0" w:color="FFFFFF"/>
          </w:tblBorders>
        </w:tblPrEx>
        <w:trPr>
          <w:cantSplit/>
        </w:trPr>
        <w:tc>
          <w:tcPr>
            <w:tcW w:w="1329" w:type="pct"/>
          </w:tcPr>
          <w:p w:rsidR="004B20E5" w:rsidRPr="009171C7" w:rsidDel="00F67FD0" w:rsidRDefault="004B20E5" w:rsidP="00F94FA1">
            <w:pPr>
              <w:pStyle w:val="TableTitleNumeratoretc"/>
            </w:pPr>
            <w:r w:rsidRPr="00A367E5">
              <w:t>Exclusions</w:t>
            </w:r>
            <w:r>
              <w:t>:</w:t>
            </w:r>
          </w:p>
        </w:tc>
        <w:tc>
          <w:tcPr>
            <w:tcW w:w="3671" w:type="pct"/>
            <w:gridSpan w:val="3"/>
            <w:vAlign w:val="center"/>
          </w:tcPr>
          <w:p w:rsidR="004B20E5" w:rsidRPr="00F7487F" w:rsidDel="00F67FD0" w:rsidRDefault="004B20E5" w:rsidP="00F94FA1">
            <w:pPr>
              <w:pStyle w:val="TableOutcomeMeasure"/>
            </w:pPr>
            <w:r w:rsidRPr="00F7487F">
              <w:t>Measures relate to specified procedures</w:t>
            </w:r>
          </w:p>
        </w:tc>
      </w:tr>
      <w:tr w:rsidR="004B20E5" w:rsidRPr="00666093" w:rsidDel="00F67FD0" w:rsidTr="00F94FA1">
        <w:tblPrEx>
          <w:tblBorders>
            <w:top w:val="single" w:sz="4" w:space="0" w:color="auto"/>
            <w:bottom w:val="single" w:sz="4" w:space="0" w:color="auto"/>
            <w:insideH w:val="single" w:sz="4" w:space="0" w:color="FFFFFF"/>
          </w:tblBorders>
        </w:tblPrEx>
        <w:trPr>
          <w:cantSplit/>
        </w:trPr>
        <w:tc>
          <w:tcPr>
            <w:tcW w:w="1329" w:type="pct"/>
            <w:vAlign w:val="center"/>
          </w:tcPr>
          <w:p w:rsidR="004B20E5" w:rsidRPr="009171C7" w:rsidDel="00F67FD0" w:rsidRDefault="004B20E5" w:rsidP="00F94FA1">
            <w:pPr>
              <w:pStyle w:val="TableTitleNumeratoretc"/>
            </w:pPr>
            <w:r w:rsidRPr="00F67FD0">
              <w:t>Timeframe</w:t>
            </w:r>
            <w:r>
              <w:t>:</w:t>
            </w:r>
          </w:p>
        </w:tc>
        <w:tc>
          <w:tcPr>
            <w:tcW w:w="3671" w:type="pct"/>
            <w:gridSpan w:val="3"/>
            <w:vAlign w:val="center"/>
          </w:tcPr>
          <w:p w:rsidR="004B20E5" w:rsidRPr="00F7487F" w:rsidDel="00F67FD0" w:rsidRDefault="004B20E5" w:rsidP="00F94FA1">
            <w:pPr>
              <w:pStyle w:val="TableOutcomeMeasure"/>
            </w:pPr>
            <w:r w:rsidRPr="00F7487F">
              <w:t>Annual</w:t>
            </w:r>
          </w:p>
        </w:tc>
      </w:tr>
      <w:tr w:rsidR="004B20E5" w:rsidRPr="00666093" w:rsidDel="00F67FD0" w:rsidTr="00F94FA1">
        <w:tblPrEx>
          <w:tblBorders>
            <w:top w:val="single" w:sz="4" w:space="0" w:color="auto"/>
            <w:bottom w:val="single" w:sz="4" w:space="0" w:color="auto"/>
            <w:insideH w:val="single" w:sz="4" w:space="0" w:color="FFFFFF"/>
          </w:tblBorders>
        </w:tblPrEx>
        <w:trPr>
          <w:cantSplit/>
        </w:trPr>
        <w:tc>
          <w:tcPr>
            <w:tcW w:w="1329" w:type="pct"/>
            <w:tcBorders>
              <w:bottom w:val="single" w:sz="4" w:space="0" w:color="auto"/>
            </w:tcBorders>
            <w:vAlign w:val="center"/>
          </w:tcPr>
          <w:p w:rsidR="004B20E5" w:rsidRPr="009171C7" w:rsidDel="00F67FD0" w:rsidRDefault="004B20E5" w:rsidP="00F94FA1">
            <w:pPr>
              <w:pStyle w:val="TableTitleNumeratoretc"/>
            </w:pPr>
            <w:r w:rsidRPr="00F67FD0">
              <w:t>How will this be measured?</w:t>
            </w:r>
          </w:p>
        </w:tc>
        <w:tc>
          <w:tcPr>
            <w:tcW w:w="3671" w:type="pct"/>
            <w:gridSpan w:val="3"/>
            <w:tcBorders>
              <w:bottom w:val="single" w:sz="4" w:space="0" w:color="auto"/>
            </w:tcBorders>
            <w:vAlign w:val="center"/>
          </w:tcPr>
          <w:p w:rsidR="004B20E5" w:rsidRPr="00F7487F" w:rsidDel="00F67FD0" w:rsidRDefault="004B20E5" w:rsidP="00F94FA1">
            <w:pPr>
              <w:pStyle w:val="TableOutcomeMeasure"/>
            </w:pPr>
            <w:r w:rsidRPr="00F7487F">
              <w:t>National Healthcare Safety Network (NHSN)</w:t>
            </w:r>
          </w:p>
        </w:tc>
      </w:tr>
    </w:tbl>
    <w:p w:rsidR="004B20E5" w:rsidRDefault="004B20E5" w:rsidP="00F72D59">
      <w:pPr>
        <w:pStyle w:val="StrategiesCategoryTitles"/>
      </w:pPr>
    </w:p>
    <w:p w:rsidR="004B20E5" w:rsidRDefault="004B20E5" w:rsidP="007C27A3">
      <w:pPr>
        <w:pStyle w:val="TableTenEssenHlthFunct"/>
      </w:pPr>
      <w:r>
        <w:t>Monitor Health to Identify and Solve Community Health Problems</w:t>
      </w:r>
    </w:p>
    <w:p w:rsidR="004B20E5" w:rsidRPr="006256D0" w:rsidRDefault="004B20E5" w:rsidP="00F72D59">
      <w:pPr>
        <w:pStyle w:val="TableStrategiesunderHealthFunctions"/>
      </w:pPr>
      <w:r>
        <w:t>3.6.1</w:t>
      </w:r>
      <w:r>
        <w:tab/>
      </w:r>
      <w:r w:rsidRPr="0046149F">
        <w:t xml:space="preserve">Maintain and enhance the </w:t>
      </w:r>
      <w:r>
        <w:t>Commonwealth’s</w:t>
      </w:r>
      <w:r w:rsidRPr="0046149F">
        <w:t xml:space="preserve"> public reporting infrastructure for </w:t>
      </w:r>
      <w:r>
        <w:t>Healthcare Associated Infections (</w:t>
      </w:r>
      <w:r w:rsidRPr="0046149F">
        <w:t>HAI’s</w:t>
      </w:r>
      <w:r>
        <w:t>), including sharing on a routine basis with the local health department in whose jurisdiction that healthcare facility is located</w:t>
      </w:r>
      <w:r w:rsidRPr="0046149F">
        <w:t>.</w:t>
      </w:r>
    </w:p>
    <w:p w:rsidR="004B20E5" w:rsidRDefault="004B20E5" w:rsidP="007C27A3">
      <w:pPr>
        <w:pStyle w:val="TableTenEssenHlthFunct"/>
      </w:pPr>
      <w:r>
        <w:t xml:space="preserve">Inform, Educate, and Empower People About Health Issues </w:t>
      </w:r>
    </w:p>
    <w:p w:rsidR="004B20E5" w:rsidRPr="006256D0" w:rsidRDefault="004B20E5" w:rsidP="00F72D59">
      <w:pPr>
        <w:pStyle w:val="TableStrategiesunderHealthFunctions"/>
      </w:pPr>
      <w:r w:rsidRPr="00C968DB">
        <w:t>3</w:t>
      </w:r>
      <w:r>
        <w:t>.6.2</w:t>
      </w:r>
      <w:r w:rsidRPr="00C968DB">
        <w:tab/>
        <w:t xml:space="preserve">Enhance public education and quality of evidence-based infection prevention strategies (hand washing, aseptic technique, etc.) and prudent </w:t>
      </w:r>
      <w:r>
        <w:t xml:space="preserve">and effective </w:t>
      </w:r>
      <w:r w:rsidRPr="00C968DB">
        <w:t xml:space="preserve">use of antimicrobials in </w:t>
      </w:r>
      <w:r>
        <w:t xml:space="preserve">all health care settings, including </w:t>
      </w:r>
      <w:r w:rsidRPr="00C968DB">
        <w:t>acute, ambula</w:t>
      </w:r>
      <w:r>
        <w:t>tory and chronic care settings.</w:t>
      </w:r>
    </w:p>
    <w:p w:rsidR="004B20E5" w:rsidRDefault="004B20E5" w:rsidP="007C27A3">
      <w:pPr>
        <w:pStyle w:val="TableTenEssenHlthFunct"/>
      </w:pPr>
      <w:r>
        <w:t>Mobilize Community Partnerships And Action</w:t>
      </w:r>
    </w:p>
    <w:p w:rsidR="004B20E5" w:rsidRPr="006256D0" w:rsidRDefault="004B20E5" w:rsidP="00F72D59">
      <w:pPr>
        <w:pStyle w:val="TableStrategiesunderHealthFunctions"/>
      </w:pPr>
      <w:r>
        <w:t>3.6.3</w:t>
      </w:r>
      <w:r>
        <w:tab/>
      </w:r>
      <w:r w:rsidRPr="00E6187B">
        <w:t xml:space="preserve">Establish collaborative prevention programs between the public health and ambulatory care centers, dialysis units and long–term care facilities.  </w:t>
      </w:r>
    </w:p>
    <w:p w:rsidR="004B20E5" w:rsidRDefault="004B20E5" w:rsidP="007C27A3">
      <w:pPr>
        <w:pStyle w:val="TableTenEssenHlthFunct"/>
      </w:pPr>
      <w:r>
        <w:t>Assure a Competent Public and Personal Healthcare Workforce</w:t>
      </w:r>
    </w:p>
    <w:p w:rsidR="004B20E5" w:rsidRPr="006256D0" w:rsidRDefault="004B20E5" w:rsidP="00F72D59">
      <w:pPr>
        <w:pStyle w:val="TableStrategiesunderHealthFunctions"/>
      </w:pPr>
      <w:r w:rsidRPr="00C968DB">
        <w:t>3</w:t>
      </w:r>
      <w:r>
        <w:t>.6.4</w:t>
      </w:r>
      <w:r>
        <w:tab/>
      </w:r>
      <w:r w:rsidRPr="00C968DB">
        <w:t>Establish and support routines for potentially infected healthcare workers to minimize contact with clients during periods of possible contagion, including sick leave.</w:t>
      </w:r>
    </w:p>
    <w:p w:rsidR="004B20E5" w:rsidRPr="00032F55" w:rsidRDefault="004B20E5" w:rsidP="00F72D59">
      <w:pPr>
        <w:pStyle w:val="StrategiesTitle"/>
        <w:ind w:left="0" w:firstLine="0"/>
        <w:rPr>
          <w:b/>
          <w:i w:val="0"/>
        </w:rPr>
      </w:pPr>
      <w:r>
        <w:br w:type="page"/>
      </w:r>
    </w:p>
    <w:p w:rsidR="004B20E5" w:rsidRPr="00F13702" w:rsidRDefault="004B20E5" w:rsidP="00F72D59">
      <w:pPr>
        <w:pStyle w:val="BodyText"/>
      </w:pPr>
    </w:p>
    <w:p w:rsidR="004B20E5" w:rsidRDefault="004B20E5" w:rsidP="00876533">
      <w:pPr>
        <w:pStyle w:val="StandardStatement"/>
      </w:pPr>
      <w:r>
        <w:t>Standard 3G: Reduce morbidity related to foodborne infections.</w:t>
      </w:r>
    </w:p>
    <w:p w:rsidR="004B20E5" w:rsidRPr="00876533" w:rsidRDefault="004B20E5" w:rsidP="00876533">
      <w:pPr>
        <w:pStyle w:val="BodyText"/>
      </w:pPr>
    </w:p>
    <w:p w:rsidR="004B20E5" w:rsidRDefault="004B20E5" w:rsidP="00F72D59">
      <w:pPr>
        <w:pStyle w:val="ObjectiveStatement"/>
      </w:pPr>
      <w:r>
        <w:t xml:space="preserve">Measure </w:t>
      </w:r>
      <w:r w:rsidRPr="00C968DB">
        <w:t>3.</w:t>
      </w:r>
      <w:r>
        <w:t>7</w:t>
      </w:r>
      <w:r w:rsidRPr="00C968DB">
        <w:t>:</w:t>
      </w:r>
      <w:r>
        <w:tab/>
        <w:t>L</w:t>
      </w:r>
      <w:r w:rsidRPr="00860A36">
        <w:t xml:space="preserve">imit the yearly increase in </w:t>
      </w:r>
      <w:r>
        <w:t xml:space="preserve">reported </w:t>
      </w:r>
      <w:r w:rsidRPr="00860A36">
        <w:t>campylobacter cases to less than 1%</w:t>
      </w:r>
      <w:r>
        <w:t xml:space="preserve"> and m</w:t>
      </w:r>
      <w:r w:rsidRPr="00860A36">
        <w:t>aintain reported cases of salmonella at fewer than 1</w:t>
      </w:r>
      <w:r>
        <w:t>,</w:t>
      </w:r>
      <w:r w:rsidRPr="00860A36">
        <w:t>200 per year</w:t>
      </w:r>
      <w:r>
        <w:t>.</w:t>
      </w:r>
    </w:p>
    <w:tbl>
      <w:tblPr>
        <w:tblW w:w="4095" w:type="pct"/>
        <w:tblInd w:w="1755" w:type="dxa"/>
        <w:tblLayout w:type="fixed"/>
        <w:tblLook w:val="00A0" w:firstRow="1" w:lastRow="0" w:firstColumn="1" w:lastColumn="0" w:noHBand="0" w:noVBand="0"/>
      </w:tblPr>
      <w:tblGrid>
        <w:gridCol w:w="2248"/>
        <w:gridCol w:w="1531"/>
        <w:gridCol w:w="1531"/>
        <w:gridCol w:w="3122"/>
      </w:tblGrid>
      <w:tr w:rsidR="004B20E5" w:rsidRPr="00666093" w:rsidTr="00F94FA1">
        <w:trPr>
          <w:cantSplit/>
        </w:trPr>
        <w:tc>
          <w:tcPr>
            <w:tcW w:w="1333" w:type="pct"/>
            <w:tcBorders>
              <w:top w:val="single" w:sz="4" w:space="0" w:color="auto"/>
              <w:bottom w:val="single" w:sz="4" w:space="0" w:color="auto"/>
            </w:tcBorders>
            <w:vAlign w:val="center"/>
          </w:tcPr>
          <w:p w:rsidR="004B20E5" w:rsidRPr="00666093" w:rsidRDefault="004B20E5" w:rsidP="00663E37">
            <w:pPr>
              <w:pStyle w:val="TableTitleTargetDataSource"/>
            </w:pPr>
            <w:r>
              <w:t>Outcome Indicator</w:t>
            </w:r>
          </w:p>
        </w:tc>
        <w:tc>
          <w:tcPr>
            <w:tcW w:w="908" w:type="pct"/>
            <w:tcBorders>
              <w:top w:val="single" w:sz="4" w:space="0" w:color="auto"/>
              <w:bottom w:val="single" w:sz="4" w:space="0" w:color="auto"/>
            </w:tcBorders>
            <w:vAlign w:val="center"/>
          </w:tcPr>
          <w:p w:rsidR="004B20E5" w:rsidRPr="00666093" w:rsidRDefault="004B20E5" w:rsidP="00F94FA1">
            <w:pPr>
              <w:pStyle w:val="TableTitleBaseline2020Target"/>
            </w:pPr>
            <w:r w:rsidRPr="00666093">
              <w:t>Baseline</w:t>
            </w:r>
          </w:p>
        </w:tc>
        <w:tc>
          <w:tcPr>
            <w:tcW w:w="908" w:type="pct"/>
            <w:tcBorders>
              <w:top w:val="single" w:sz="4" w:space="0" w:color="auto"/>
              <w:bottom w:val="single" w:sz="4" w:space="0" w:color="auto"/>
            </w:tcBorders>
            <w:vAlign w:val="center"/>
          </w:tcPr>
          <w:p w:rsidR="004B20E5" w:rsidRPr="00666093" w:rsidRDefault="004B20E5" w:rsidP="00F94FA1">
            <w:pPr>
              <w:pStyle w:val="TableTitleBaseline2020Target"/>
            </w:pPr>
            <w:r w:rsidRPr="00666093">
              <w:t>2020 Target</w:t>
            </w:r>
          </w:p>
        </w:tc>
        <w:tc>
          <w:tcPr>
            <w:tcW w:w="1851" w:type="pct"/>
            <w:tcBorders>
              <w:top w:val="single" w:sz="4" w:space="0" w:color="auto"/>
              <w:bottom w:val="single" w:sz="4" w:space="0" w:color="auto"/>
            </w:tcBorders>
            <w:vAlign w:val="center"/>
          </w:tcPr>
          <w:p w:rsidR="004B20E5" w:rsidRPr="00666093" w:rsidRDefault="004B20E5" w:rsidP="00F94FA1">
            <w:pPr>
              <w:pStyle w:val="TableTitleTargetDataSource"/>
            </w:pPr>
            <w:r w:rsidRPr="00666093">
              <w:t>Data Source</w:t>
            </w:r>
          </w:p>
        </w:tc>
      </w:tr>
      <w:tr w:rsidR="004B20E5" w:rsidRPr="00666093" w:rsidTr="00F94FA1">
        <w:trPr>
          <w:cantSplit/>
        </w:trPr>
        <w:tc>
          <w:tcPr>
            <w:tcW w:w="1333" w:type="pct"/>
            <w:tcBorders>
              <w:top w:val="single" w:sz="4" w:space="0" w:color="auto"/>
              <w:bottom w:val="single" w:sz="4" w:space="0" w:color="auto"/>
            </w:tcBorders>
            <w:vAlign w:val="center"/>
          </w:tcPr>
          <w:p w:rsidR="004B20E5" w:rsidRPr="00666093" w:rsidRDefault="004B20E5" w:rsidP="00F94FA1">
            <w:pPr>
              <w:pStyle w:val="TableOutcomeMeasure"/>
            </w:pPr>
            <w:r>
              <w:t>Incidence of c</w:t>
            </w:r>
            <w:r w:rsidRPr="00666093">
              <w:t>ampylobacteriosis</w:t>
            </w:r>
          </w:p>
        </w:tc>
        <w:tc>
          <w:tcPr>
            <w:tcW w:w="908" w:type="pct"/>
            <w:tcBorders>
              <w:top w:val="single" w:sz="4" w:space="0" w:color="auto"/>
              <w:bottom w:val="single" w:sz="4" w:space="0" w:color="auto"/>
            </w:tcBorders>
            <w:vAlign w:val="center"/>
          </w:tcPr>
          <w:p w:rsidR="004B20E5" w:rsidRPr="00666093" w:rsidRDefault="004B20E5" w:rsidP="00F94FA1">
            <w:pPr>
              <w:pStyle w:val="TableBaseline2020Target"/>
            </w:pPr>
            <w:r w:rsidRPr="00666093">
              <w:t>1,350 cases</w:t>
            </w:r>
          </w:p>
        </w:tc>
        <w:tc>
          <w:tcPr>
            <w:tcW w:w="908" w:type="pct"/>
            <w:tcBorders>
              <w:top w:val="single" w:sz="4" w:space="0" w:color="auto"/>
              <w:bottom w:val="single" w:sz="4" w:space="0" w:color="auto"/>
            </w:tcBorders>
            <w:vAlign w:val="center"/>
          </w:tcPr>
          <w:p w:rsidR="004B20E5" w:rsidRPr="00666093" w:rsidRDefault="004B20E5" w:rsidP="00F94FA1">
            <w:pPr>
              <w:pStyle w:val="TableBaseline2020Target"/>
            </w:pPr>
            <w:r>
              <w:t>&lt;1,462 cases</w:t>
            </w:r>
          </w:p>
        </w:tc>
        <w:tc>
          <w:tcPr>
            <w:tcW w:w="1851" w:type="pct"/>
            <w:tcBorders>
              <w:top w:val="single" w:sz="4" w:space="0" w:color="auto"/>
              <w:bottom w:val="single" w:sz="4" w:space="0" w:color="auto"/>
            </w:tcBorders>
            <w:vAlign w:val="center"/>
          </w:tcPr>
          <w:p w:rsidR="004B20E5" w:rsidRPr="00666093" w:rsidRDefault="004B20E5" w:rsidP="00F94FA1">
            <w:pPr>
              <w:pStyle w:val="TableDataSource"/>
            </w:pPr>
            <w:r>
              <w:t xml:space="preserve">MDPH BID Epidemiology Program </w:t>
            </w:r>
            <w:r w:rsidRPr="00666093">
              <w:t>2012</w:t>
            </w:r>
          </w:p>
        </w:tc>
      </w:tr>
      <w:tr w:rsidR="004B20E5" w:rsidRPr="00666093" w:rsidTr="00F94FA1">
        <w:trPr>
          <w:cantSplit/>
        </w:trPr>
        <w:tc>
          <w:tcPr>
            <w:tcW w:w="1333" w:type="pct"/>
            <w:tcBorders>
              <w:top w:val="single" w:sz="4" w:space="0" w:color="auto"/>
              <w:bottom w:val="single" w:sz="4" w:space="0" w:color="auto"/>
            </w:tcBorders>
            <w:vAlign w:val="center"/>
          </w:tcPr>
          <w:p w:rsidR="004B20E5" w:rsidRPr="00666093" w:rsidRDefault="004B20E5" w:rsidP="00F94FA1">
            <w:pPr>
              <w:pStyle w:val="TableOutcomeMeasure"/>
            </w:pPr>
            <w:r>
              <w:t>Incidence of s</w:t>
            </w:r>
            <w:r w:rsidRPr="00666093">
              <w:t xml:space="preserve">almonellosis </w:t>
            </w:r>
          </w:p>
        </w:tc>
        <w:tc>
          <w:tcPr>
            <w:tcW w:w="908" w:type="pct"/>
            <w:tcBorders>
              <w:top w:val="single" w:sz="4" w:space="0" w:color="auto"/>
              <w:bottom w:val="single" w:sz="4" w:space="0" w:color="auto"/>
            </w:tcBorders>
            <w:vAlign w:val="center"/>
          </w:tcPr>
          <w:p w:rsidR="004B20E5" w:rsidRPr="00666093" w:rsidRDefault="004B20E5" w:rsidP="00F94FA1">
            <w:pPr>
              <w:pStyle w:val="TableBaseline2020Target"/>
            </w:pPr>
            <w:r w:rsidRPr="00666093">
              <w:t>1,050 cases</w:t>
            </w:r>
          </w:p>
        </w:tc>
        <w:tc>
          <w:tcPr>
            <w:tcW w:w="908" w:type="pct"/>
            <w:tcBorders>
              <w:top w:val="single" w:sz="4" w:space="0" w:color="auto"/>
              <w:bottom w:val="single" w:sz="4" w:space="0" w:color="auto"/>
            </w:tcBorders>
            <w:vAlign w:val="center"/>
          </w:tcPr>
          <w:p w:rsidR="004B20E5" w:rsidRPr="00666093" w:rsidRDefault="004B20E5" w:rsidP="00F94FA1">
            <w:pPr>
              <w:pStyle w:val="TableBaseline2020Target"/>
            </w:pPr>
            <w:r>
              <w:t>&lt;1,200 cases</w:t>
            </w:r>
          </w:p>
        </w:tc>
        <w:tc>
          <w:tcPr>
            <w:tcW w:w="1851" w:type="pct"/>
            <w:tcBorders>
              <w:top w:val="single" w:sz="4" w:space="0" w:color="auto"/>
              <w:bottom w:val="single" w:sz="4" w:space="0" w:color="auto"/>
            </w:tcBorders>
            <w:vAlign w:val="center"/>
          </w:tcPr>
          <w:p w:rsidR="004B20E5" w:rsidRPr="00666093" w:rsidRDefault="004B20E5" w:rsidP="00F94FA1">
            <w:pPr>
              <w:pStyle w:val="TableDataSource"/>
            </w:pPr>
            <w:r w:rsidRPr="009A29FF">
              <w:t xml:space="preserve">MDPH BID Epidemiology </w:t>
            </w:r>
            <w:r>
              <w:t>Program</w:t>
            </w:r>
            <w:r w:rsidRPr="00666093">
              <w:t>2012</w:t>
            </w:r>
          </w:p>
        </w:tc>
      </w:tr>
    </w:tbl>
    <w:p w:rsidR="004B20E5" w:rsidRDefault="004B20E5" w:rsidP="00F72D59">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F94FA1">
        <w:trPr>
          <w:cantSplit/>
        </w:trPr>
        <w:tc>
          <w:tcPr>
            <w:tcW w:w="1329" w:type="pct"/>
            <w:tcBorders>
              <w:top w:val="single" w:sz="4" w:space="0" w:color="auto"/>
            </w:tcBorders>
          </w:tcPr>
          <w:p w:rsidR="004B20E5" w:rsidRPr="009171C7" w:rsidDel="00F67FD0" w:rsidRDefault="004B20E5" w:rsidP="00F94FA1">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F94FA1">
            <w:pPr>
              <w:pStyle w:val="TableOutcomeMeasure"/>
            </w:pPr>
            <w:r>
              <w:t>Number of reported campylobacteriosis and salmonellosis cases</w:t>
            </w:r>
          </w:p>
        </w:tc>
      </w:tr>
      <w:tr w:rsidR="004B20E5" w:rsidRPr="00666093" w:rsidDel="00F67FD0" w:rsidTr="00F94FA1">
        <w:trPr>
          <w:cantSplit/>
        </w:trPr>
        <w:tc>
          <w:tcPr>
            <w:tcW w:w="1329" w:type="pct"/>
          </w:tcPr>
          <w:p w:rsidR="004B20E5" w:rsidRPr="009171C7" w:rsidDel="00F67FD0" w:rsidRDefault="004B20E5" w:rsidP="00F94FA1">
            <w:pPr>
              <w:pStyle w:val="TableTitleNumeratoretc"/>
            </w:pPr>
            <w:r w:rsidRPr="00A367E5">
              <w:t>Denominator</w:t>
            </w:r>
            <w:r>
              <w:t>:</w:t>
            </w:r>
          </w:p>
        </w:tc>
        <w:tc>
          <w:tcPr>
            <w:tcW w:w="3671" w:type="pct"/>
            <w:vAlign w:val="center"/>
          </w:tcPr>
          <w:p w:rsidR="004B20E5" w:rsidRPr="00391134" w:rsidDel="00F67FD0" w:rsidRDefault="004B20E5" w:rsidP="00F94FA1">
            <w:pPr>
              <w:pStyle w:val="TableOutcomeMeasure"/>
            </w:pPr>
            <w:r>
              <w:t>N/A</w:t>
            </w:r>
          </w:p>
        </w:tc>
      </w:tr>
      <w:tr w:rsidR="004B20E5" w:rsidRPr="00666093" w:rsidDel="00F67FD0" w:rsidTr="00F94FA1">
        <w:trPr>
          <w:cantSplit/>
        </w:trPr>
        <w:tc>
          <w:tcPr>
            <w:tcW w:w="1329" w:type="pct"/>
          </w:tcPr>
          <w:p w:rsidR="004B20E5" w:rsidRPr="009171C7" w:rsidDel="00F67FD0" w:rsidRDefault="004B20E5" w:rsidP="00F94FA1">
            <w:pPr>
              <w:pStyle w:val="TableTitleNumeratoretc"/>
            </w:pPr>
            <w:r w:rsidRPr="00A367E5">
              <w:t>Exclusions</w:t>
            </w:r>
            <w:r>
              <w:t>:</w:t>
            </w:r>
          </w:p>
        </w:tc>
        <w:tc>
          <w:tcPr>
            <w:tcW w:w="3671" w:type="pct"/>
            <w:vAlign w:val="center"/>
          </w:tcPr>
          <w:p w:rsidR="004B20E5" w:rsidRPr="00391134" w:rsidDel="00F67FD0" w:rsidRDefault="004B20E5" w:rsidP="00F94FA1">
            <w:pPr>
              <w:pStyle w:val="TableOutcomeMeasure"/>
            </w:pPr>
            <w:r>
              <w:t>None</w:t>
            </w:r>
          </w:p>
        </w:tc>
      </w:tr>
      <w:tr w:rsidR="004B20E5" w:rsidRPr="00666093" w:rsidDel="00F67FD0" w:rsidTr="00F94FA1">
        <w:trPr>
          <w:cantSplit/>
        </w:trPr>
        <w:tc>
          <w:tcPr>
            <w:tcW w:w="1329" w:type="pct"/>
            <w:vAlign w:val="center"/>
          </w:tcPr>
          <w:p w:rsidR="004B20E5" w:rsidRPr="009171C7" w:rsidDel="00F67FD0" w:rsidRDefault="004B20E5" w:rsidP="00F94FA1">
            <w:pPr>
              <w:pStyle w:val="TableTitleNumeratoretc"/>
            </w:pPr>
            <w:r w:rsidRPr="00F67FD0">
              <w:t>Timeframe</w:t>
            </w:r>
            <w:r>
              <w:t>:</w:t>
            </w:r>
          </w:p>
        </w:tc>
        <w:tc>
          <w:tcPr>
            <w:tcW w:w="3671" w:type="pct"/>
            <w:vAlign w:val="center"/>
          </w:tcPr>
          <w:p w:rsidR="004B20E5" w:rsidRPr="00391134" w:rsidDel="00F67FD0" w:rsidRDefault="004B20E5" w:rsidP="00F94FA1">
            <w:pPr>
              <w:pStyle w:val="TableOutcomeMeasure"/>
            </w:pPr>
            <w:r>
              <w:t>Annual</w:t>
            </w:r>
          </w:p>
        </w:tc>
      </w:tr>
      <w:tr w:rsidR="004B20E5" w:rsidRPr="00666093" w:rsidDel="00F67FD0" w:rsidTr="00F94FA1">
        <w:trPr>
          <w:cantSplit/>
          <w:trHeight w:val="575"/>
        </w:trPr>
        <w:tc>
          <w:tcPr>
            <w:tcW w:w="1329" w:type="pct"/>
            <w:tcBorders>
              <w:bottom w:val="single" w:sz="4" w:space="0" w:color="auto"/>
            </w:tcBorders>
            <w:vAlign w:val="center"/>
          </w:tcPr>
          <w:p w:rsidR="004B20E5" w:rsidRPr="009171C7" w:rsidDel="00F67FD0" w:rsidRDefault="004B20E5" w:rsidP="00F94FA1">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F94FA1">
            <w:pPr>
              <w:pStyle w:val="TableOutcomeMeasure"/>
            </w:pPr>
            <w:r>
              <w:t>Routine disease surveillance (See Appendix D)</w:t>
            </w:r>
          </w:p>
        </w:tc>
      </w:tr>
    </w:tbl>
    <w:p w:rsidR="004B20E5" w:rsidRDefault="004B20E5" w:rsidP="00F72D59">
      <w:pPr>
        <w:pStyle w:val="StrategiesCategoryTitles"/>
      </w:pPr>
    </w:p>
    <w:p w:rsidR="004B20E5" w:rsidRDefault="004B20E5" w:rsidP="007C27A3">
      <w:pPr>
        <w:pStyle w:val="TableTenEssenHlthFunct"/>
      </w:pPr>
      <w:r>
        <w:t>Diagnose and Investigate Health Problems and Hazards in the Community</w:t>
      </w:r>
    </w:p>
    <w:p w:rsidR="004B20E5" w:rsidRPr="006256D0" w:rsidRDefault="004B20E5" w:rsidP="00F72D59">
      <w:pPr>
        <w:pStyle w:val="TableStrategiesunderHealthFunctions"/>
      </w:pPr>
      <w:r w:rsidRPr="00C968DB">
        <w:t>3.</w:t>
      </w:r>
      <w:r>
        <w:t>7.1</w:t>
      </w:r>
      <w:r>
        <w:tab/>
      </w:r>
      <w:r w:rsidRPr="00456428">
        <w:t>Maintain the activities of the Working Group on Foodborne Illness Control which includes epidemiologists, laboratorians and environmental specialists.</w:t>
      </w:r>
    </w:p>
    <w:p w:rsidR="004B20E5" w:rsidRDefault="004B20E5" w:rsidP="007C27A3">
      <w:pPr>
        <w:pStyle w:val="TableTenEssenHlthFunct"/>
      </w:pPr>
      <w:r>
        <w:t xml:space="preserve">Inform, Educate, and Empower People About Health Issues </w:t>
      </w:r>
    </w:p>
    <w:p w:rsidR="004B20E5" w:rsidRPr="006B5547" w:rsidRDefault="004B20E5" w:rsidP="00F72D59">
      <w:pPr>
        <w:pStyle w:val="TableStrategiesunderHealthFunctions"/>
      </w:pPr>
      <w:r w:rsidRPr="00C968DB">
        <w:t>3</w:t>
      </w:r>
      <w:r w:rsidRPr="006B5547">
        <w:t>.</w:t>
      </w:r>
      <w:r>
        <w:t>7.2</w:t>
      </w:r>
      <w:r w:rsidRPr="006B5547">
        <w:tab/>
        <w:t>Increase public awareness of foodborne illness infection by providing current information on the MDPH website on all foodborne illnesses.</w:t>
      </w:r>
    </w:p>
    <w:p w:rsidR="004B20E5" w:rsidRPr="006256D0" w:rsidRDefault="004B20E5" w:rsidP="00F72D59">
      <w:pPr>
        <w:pStyle w:val="TableStrategiesunderHealthFunctions"/>
      </w:pPr>
      <w:r w:rsidRPr="006B5547">
        <w:t>3.</w:t>
      </w:r>
      <w:r>
        <w:t>7.3</w:t>
      </w:r>
      <w:r w:rsidRPr="006B5547">
        <w:tab/>
        <w:t>Update and distribute educational materials regarding hand washing and the appropriate handling of high risk foods.</w:t>
      </w:r>
    </w:p>
    <w:p w:rsidR="004B20E5" w:rsidRDefault="004B20E5" w:rsidP="007C27A3">
      <w:pPr>
        <w:pStyle w:val="TableTenEssenHlthFunct"/>
      </w:pPr>
      <w:r>
        <w:t>Enforce Laws and Regulations That Protect Health and Ensure Safety</w:t>
      </w:r>
    </w:p>
    <w:p w:rsidR="004B20E5" w:rsidRPr="006256D0" w:rsidRDefault="004B20E5" w:rsidP="00F72D59">
      <w:pPr>
        <w:pStyle w:val="TableStrategiesunderHealthFunctions"/>
      </w:pPr>
      <w:r w:rsidRPr="00C968DB">
        <w:t>3.</w:t>
      </w:r>
      <w:r>
        <w:t>7.4</w:t>
      </w:r>
      <w:r>
        <w:tab/>
      </w:r>
      <w:r w:rsidRPr="00C968DB">
        <w:t xml:space="preserve">Enforce </w:t>
      </w:r>
      <w:r w:rsidR="00FD6172">
        <w:t>i</w:t>
      </w:r>
      <w:r w:rsidRPr="00C968DB">
        <w:t xml:space="preserve">solation and </w:t>
      </w:r>
      <w:r w:rsidR="00FD6172">
        <w:t>q</w:t>
      </w:r>
      <w:r w:rsidRPr="00C968DB">
        <w:t xml:space="preserve">uarantine </w:t>
      </w:r>
      <w:r w:rsidR="00FD6172">
        <w:t>r</w:t>
      </w:r>
      <w:r w:rsidRPr="00C968DB">
        <w:t>egulations for food</w:t>
      </w:r>
      <w:r>
        <w:t xml:space="preserve"> handlers infected with enteric pathogens</w:t>
      </w:r>
      <w:r w:rsidRPr="00C968DB">
        <w:t>, and for contacts of cases with diarrhea who are food</w:t>
      </w:r>
      <w:r w:rsidR="00ED56C0">
        <w:t xml:space="preserve"> </w:t>
      </w:r>
      <w:r w:rsidRPr="00C968DB">
        <w:t>handlers</w:t>
      </w:r>
      <w:r>
        <w:t>.</w:t>
      </w:r>
    </w:p>
    <w:p w:rsidR="004B20E5" w:rsidRPr="00C968DB" w:rsidRDefault="004B20E5" w:rsidP="00F72D59">
      <w:pPr>
        <w:pStyle w:val="TableStrategiesunderHealthFunctions"/>
      </w:pPr>
    </w:p>
    <w:p w:rsidR="004B20E5" w:rsidRDefault="004B20E5" w:rsidP="00F72D59">
      <w:pPr>
        <w:pStyle w:val="PartnersTitle"/>
      </w:pPr>
      <w:r>
        <w:br w:type="page"/>
      </w:r>
    </w:p>
    <w:p w:rsidR="004B20E5" w:rsidRPr="00474C41" w:rsidRDefault="004B20E5" w:rsidP="00F72D59">
      <w:pPr>
        <w:pStyle w:val="PartnersTitle"/>
      </w:pPr>
      <w:r w:rsidRPr="00474C41">
        <w:lastRenderedPageBreak/>
        <w:t>Partners/Resources for Infectious Disease</w:t>
      </w:r>
      <w:r>
        <w:t xml:space="preserve"> Prevention and Control</w:t>
      </w:r>
    </w:p>
    <w:p w:rsidR="004B20E5" w:rsidRDefault="004B20E5" w:rsidP="00F72D59">
      <w:pPr>
        <w:pStyle w:val="Partners"/>
      </w:pPr>
      <w:r w:rsidRPr="00C968DB">
        <w:t xml:space="preserve">Businesses and professional organizations  </w:t>
      </w:r>
    </w:p>
    <w:p w:rsidR="002A6C56" w:rsidRDefault="002A6C56" w:rsidP="00F72D59">
      <w:pPr>
        <w:pStyle w:val="Partners"/>
      </w:pPr>
      <w:r>
        <w:t>Coalition for Local Public Health</w:t>
      </w:r>
    </w:p>
    <w:p w:rsidR="004B20E5" w:rsidRPr="00C968DB" w:rsidRDefault="004B20E5" w:rsidP="00F72D59">
      <w:pPr>
        <w:pStyle w:val="Partners"/>
      </w:pPr>
      <w:r w:rsidRPr="00C968DB">
        <w:t xml:space="preserve">Community health centers </w:t>
      </w:r>
    </w:p>
    <w:p w:rsidR="004B20E5" w:rsidRDefault="004B20E5" w:rsidP="00F72D59">
      <w:pPr>
        <w:pStyle w:val="Partners"/>
      </w:pPr>
      <w:r w:rsidRPr="00C968DB">
        <w:t>Community-based organizations</w:t>
      </w:r>
    </w:p>
    <w:p w:rsidR="00381F08" w:rsidRPr="00C968DB" w:rsidRDefault="00381F08" w:rsidP="00F72D59">
      <w:pPr>
        <w:pStyle w:val="Partners"/>
      </w:pPr>
      <w:r>
        <w:t>Elder service organizations</w:t>
      </w:r>
    </w:p>
    <w:p w:rsidR="004B20E5" w:rsidRPr="00C968DB" w:rsidRDefault="004B20E5" w:rsidP="00F72D59">
      <w:pPr>
        <w:pStyle w:val="Partners"/>
      </w:pPr>
      <w:r>
        <w:t>Faith-</w:t>
      </w:r>
      <w:r w:rsidRPr="00C968DB">
        <w:t xml:space="preserve">based organizations  </w:t>
      </w:r>
    </w:p>
    <w:p w:rsidR="004B20E5" w:rsidRPr="00C968DB" w:rsidRDefault="004B20E5" w:rsidP="00F72D59">
      <w:pPr>
        <w:pStyle w:val="Partners"/>
      </w:pPr>
      <w:r w:rsidRPr="00C968DB">
        <w:t xml:space="preserve">Health insurers </w:t>
      </w:r>
    </w:p>
    <w:p w:rsidR="004B20E5" w:rsidRDefault="004B20E5" w:rsidP="00F72D59">
      <w:pPr>
        <w:pStyle w:val="Partners"/>
      </w:pPr>
      <w:r w:rsidRPr="00C968DB">
        <w:t>Healthcare epidemiologists</w:t>
      </w:r>
    </w:p>
    <w:p w:rsidR="007509D9" w:rsidRPr="00C968DB" w:rsidRDefault="007509D9" w:rsidP="00F72D59">
      <w:pPr>
        <w:pStyle w:val="Partners"/>
      </w:pPr>
      <w:r>
        <w:t>Healthcare Providers</w:t>
      </w:r>
    </w:p>
    <w:p w:rsidR="004B20E5" w:rsidRDefault="004B20E5" w:rsidP="00F72D59">
      <w:pPr>
        <w:pStyle w:val="Partners"/>
      </w:pPr>
      <w:r>
        <w:t>Healthy Schools</w:t>
      </w:r>
      <w:r w:rsidR="00ED56C0">
        <w:t xml:space="preserve"> </w:t>
      </w:r>
      <w:r>
        <w:t>Network</w:t>
      </w:r>
    </w:p>
    <w:p w:rsidR="004B20E5" w:rsidRPr="00C968DB" w:rsidRDefault="004B20E5" w:rsidP="00F72D59">
      <w:pPr>
        <w:pStyle w:val="Partners"/>
      </w:pPr>
      <w:r w:rsidRPr="00C968DB">
        <w:t xml:space="preserve">Infection </w:t>
      </w:r>
      <w:r w:rsidR="00ED56C0">
        <w:t>p</w:t>
      </w:r>
      <w:r w:rsidRPr="00C968DB">
        <w:t xml:space="preserve">reventionists </w:t>
      </w:r>
    </w:p>
    <w:p w:rsidR="004B20E5" w:rsidRPr="00C968DB" w:rsidRDefault="004B20E5" w:rsidP="00F72D59">
      <w:pPr>
        <w:pStyle w:val="Partners"/>
      </w:pPr>
      <w:r w:rsidRPr="00C968DB">
        <w:t>Infectious disease specialists</w:t>
      </w:r>
    </w:p>
    <w:p w:rsidR="004B20E5" w:rsidRPr="00C968DB" w:rsidRDefault="004B20E5" w:rsidP="00F72D59">
      <w:pPr>
        <w:pStyle w:val="Partners"/>
      </w:pPr>
      <w:r w:rsidRPr="00C968DB">
        <w:t xml:space="preserve">Local public health </w:t>
      </w:r>
      <w:r w:rsidR="00ED56C0">
        <w:t>departments</w:t>
      </w:r>
    </w:p>
    <w:p w:rsidR="004B20E5" w:rsidRPr="00AF0910" w:rsidRDefault="00C36277" w:rsidP="00F72D59">
      <w:pPr>
        <w:pStyle w:val="Partners"/>
      </w:pPr>
      <w:r w:rsidRPr="00AF0910">
        <w:t>M</w:t>
      </w:r>
      <w:r>
        <w:t>A</w:t>
      </w:r>
      <w:r w:rsidRPr="00AF0910">
        <w:t xml:space="preserve"> </w:t>
      </w:r>
      <w:r w:rsidR="004B20E5" w:rsidRPr="00AF0910">
        <w:t>Association of Occupational Health Nurses</w:t>
      </w:r>
    </w:p>
    <w:p w:rsidR="004B20E5" w:rsidRPr="00AF0910" w:rsidRDefault="00C36277" w:rsidP="00EF3F95">
      <w:pPr>
        <w:pStyle w:val="Partners"/>
      </w:pPr>
      <w:r>
        <w:t xml:space="preserve">MA </w:t>
      </w:r>
      <w:r w:rsidR="004B20E5">
        <w:t>Operational Services Division (</w:t>
      </w:r>
      <w:r w:rsidR="004B20E5" w:rsidRPr="00AF0910">
        <w:t>OSD</w:t>
      </w:r>
      <w:r w:rsidR="004B20E5">
        <w:t>)</w:t>
      </w:r>
    </w:p>
    <w:p w:rsidR="004B20E5" w:rsidRPr="00C968DB" w:rsidRDefault="004B20E5" w:rsidP="00F72D59">
      <w:pPr>
        <w:pStyle w:val="Partners"/>
      </w:pPr>
      <w:r w:rsidRPr="00C968DB">
        <w:t>Media: including alternative media and non-English language</w:t>
      </w:r>
      <w:r w:rsidR="00ED56C0">
        <w:t xml:space="preserve"> media</w:t>
      </w:r>
    </w:p>
    <w:p w:rsidR="004B20E5" w:rsidRPr="00AF0910" w:rsidRDefault="004B20E5" w:rsidP="00F72D59">
      <w:pPr>
        <w:pStyle w:val="Partners"/>
      </w:pPr>
      <w:r>
        <w:t>New England</w:t>
      </w:r>
      <w:r w:rsidRPr="00AF0910">
        <w:t xml:space="preserve"> College of Occupational and Environmental Medicine</w:t>
      </w:r>
    </w:p>
    <w:p w:rsidR="004B20E5" w:rsidRPr="00C968DB" w:rsidRDefault="004B20E5" w:rsidP="00F72D59">
      <w:pPr>
        <w:pStyle w:val="Partners"/>
      </w:pPr>
      <w:r w:rsidRPr="00C968DB">
        <w:t xml:space="preserve">Other health care providers </w:t>
      </w:r>
    </w:p>
    <w:p w:rsidR="004B20E5" w:rsidRPr="00C968DB" w:rsidRDefault="004B20E5" w:rsidP="00F72D59">
      <w:pPr>
        <w:pStyle w:val="Partners"/>
      </w:pPr>
      <w:r w:rsidRPr="00C968DB">
        <w:t>Pharmacies</w:t>
      </w:r>
    </w:p>
    <w:p w:rsidR="004B20E5" w:rsidRPr="00C968DB" w:rsidRDefault="004B20E5" w:rsidP="00F72D59">
      <w:pPr>
        <w:pStyle w:val="Partners"/>
      </w:pPr>
      <w:r w:rsidRPr="00C968DB">
        <w:t xml:space="preserve">Schools, colleges and universities </w:t>
      </w:r>
    </w:p>
    <w:p w:rsidR="004B20E5" w:rsidRPr="00AF0910" w:rsidRDefault="004B20E5" w:rsidP="00F72D59">
      <w:pPr>
        <w:pStyle w:val="Partners"/>
      </w:pPr>
      <w:r w:rsidRPr="00AF0910">
        <w:t>Sustainable Hospital Program in the Center for Sustainable Production at U Mass Lowell</w:t>
      </w:r>
    </w:p>
    <w:p w:rsidR="004B20E5" w:rsidRPr="00AF0910" w:rsidRDefault="004B20E5" w:rsidP="00F72D59">
      <w:pPr>
        <w:pStyle w:val="Partners"/>
      </w:pPr>
      <w:r w:rsidRPr="00AF0910">
        <w:t xml:space="preserve">Toxic </w:t>
      </w:r>
      <w:r>
        <w:t>U</w:t>
      </w:r>
      <w:r w:rsidRPr="00AF0910">
        <w:t>se Reduction Institute</w:t>
      </w:r>
    </w:p>
    <w:p w:rsidR="004B20E5" w:rsidRPr="00C968DB" w:rsidRDefault="004B20E5" w:rsidP="00F72D59">
      <w:pPr>
        <w:pStyle w:val="Partners"/>
      </w:pPr>
      <w:r w:rsidRPr="00C968DB">
        <w:t>Veterinarians</w:t>
      </w:r>
    </w:p>
    <w:p w:rsidR="004B20E5" w:rsidRDefault="004B20E5" w:rsidP="00F72D59">
      <w:pPr>
        <w:pStyle w:val="PartnersTitle"/>
        <w:rPr>
          <w:highlight w:val="yellow"/>
        </w:rPr>
      </w:pPr>
      <w:r>
        <w:t>Other Plans That are Incorporated Directly or by Reference in Infectious Disease Prevention and Control</w:t>
      </w:r>
    </w:p>
    <w:p w:rsidR="004B20E5" w:rsidRPr="001D7421" w:rsidRDefault="004B20E5" w:rsidP="00F72D59">
      <w:pPr>
        <w:pStyle w:val="Partners"/>
      </w:pPr>
      <w:r w:rsidRPr="001D7421">
        <w:t>Comprehensive HIV/AIDS and HCV Monitoring and Evaluation Plan</w:t>
      </w:r>
    </w:p>
    <w:p w:rsidR="004B20E5" w:rsidRPr="0046149F" w:rsidRDefault="004B20E5" w:rsidP="00F72D59">
      <w:pPr>
        <w:rPr>
          <w:rFonts w:cs="Arial"/>
          <w:b/>
          <w:smallCaps/>
        </w:rPr>
      </w:pPr>
    </w:p>
    <w:p w:rsidR="004B20E5" w:rsidRDefault="004B20E5" w:rsidP="00F72D59"/>
    <w:p w:rsidR="004B20E5" w:rsidRDefault="004B20E5" w:rsidP="00107245">
      <w:pPr>
        <w:pStyle w:val="Heading2"/>
        <w:sectPr w:rsidR="004B20E5" w:rsidSect="000D3A34">
          <w:headerReference w:type="even" r:id="rId30"/>
          <w:headerReference w:type="default" r:id="rId31"/>
          <w:headerReference w:type="first" r:id="rId32"/>
          <w:endnotePr>
            <w:numFmt w:val="decimal"/>
          </w:endnotePr>
          <w:pgSz w:w="12240" w:h="15840" w:code="1"/>
          <w:pgMar w:top="1080" w:right="1080" w:bottom="1080" w:left="1080" w:header="648" w:footer="504" w:gutter="0"/>
          <w:cols w:space="720"/>
          <w:docGrid w:linePitch="360"/>
        </w:sectPr>
      </w:pPr>
    </w:p>
    <w:p w:rsidR="004B20E5" w:rsidRDefault="004B20E5" w:rsidP="005E7ABB">
      <w:pPr>
        <w:pStyle w:val="Heading2"/>
      </w:pPr>
      <w:bookmarkStart w:id="51" w:name="_Toc398819277"/>
      <w:r>
        <w:lastRenderedPageBreak/>
        <w:t>Domain</w:t>
      </w:r>
      <w:r w:rsidRPr="0046149F">
        <w:t xml:space="preserve"> 4:  </w:t>
      </w:r>
      <w:r>
        <w:t>Substance Abuse Prevention, Intervention, Treatment and Recovery</w:t>
      </w:r>
      <w:bookmarkEnd w:id="51"/>
    </w:p>
    <w:p w:rsidR="004B20E5" w:rsidRPr="00876533" w:rsidRDefault="004B20E5" w:rsidP="00CB2B0E">
      <w:pPr>
        <w:pStyle w:val="GoalStatement"/>
        <w:rPr>
          <w:sz w:val="12"/>
        </w:rPr>
      </w:pPr>
    </w:p>
    <w:p w:rsidR="004B20E5" w:rsidRPr="005E7ABB" w:rsidRDefault="004B20E5" w:rsidP="00CB2B0E">
      <w:pPr>
        <w:pStyle w:val="GoalStatement"/>
      </w:pPr>
      <w:r w:rsidRPr="005E7ABB">
        <w:t>Promote mental and emotional health and reduce drug and alcohol abuse through prevention, treatment, and integration of care.</w:t>
      </w:r>
    </w:p>
    <w:p w:rsidR="004B20E5" w:rsidRPr="00876533" w:rsidRDefault="004B20E5" w:rsidP="00CB2B0E">
      <w:pPr>
        <w:pStyle w:val="GoalStatement"/>
        <w:rPr>
          <w:sz w:val="12"/>
        </w:rPr>
      </w:pPr>
    </w:p>
    <w:p w:rsidR="004B20E5" w:rsidRPr="00AD0251" w:rsidRDefault="004B20E5" w:rsidP="004E0856">
      <w:pPr>
        <w:pStyle w:val="BodyText"/>
        <w:rPr>
          <w:b/>
        </w:rPr>
      </w:pPr>
      <w:r w:rsidRPr="00AD0251">
        <w:rPr>
          <w:b/>
        </w:rPr>
        <w:t xml:space="preserve">Why </w:t>
      </w:r>
      <w:r>
        <w:rPr>
          <w:b/>
        </w:rPr>
        <w:t>T</w:t>
      </w:r>
      <w:r w:rsidRPr="00AD0251">
        <w:rPr>
          <w:b/>
        </w:rPr>
        <w:t xml:space="preserve">his </w:t>
      </w:r>
      <w:r>
        <w:rPr>
          <w:b/>
        </w:rPr>
        <w:t>Domain Is Important for Massachusetts:</w:t>
      </w:r>
    </w:p>
    <w:p w:rsidR="004B20E5" w:rsidRDefault="004B20E5" w:rsidP="004E0856">
      <w:pPr>
        <w:pStyle w:val="BodyText"/>
      </w:pPr>
      <w:r w:rsidRPr="00AD0251">
        <w:rPr>
          <w:b/>
        </w:rPr>
        <w:t xml:space="preserve">Burden (Where We Are):  </w:t>
      </w:r>
      <w:r w:rsidRPr="00441981">
        <w:t>Substance abuse affects the physical, social, and emotional health of millions of individuals each year. From a developmental perspective, individuals who begin drinking at a young age are more likely to develop alcohol dependence and use illicit drugs.  47% of adolescents who started to use alcohol before age 14 went on to use illicit drugs.</w:t>
      </w:r>
      <w:r w:rsidRPr="00925017">
        <w:rPr>
          <w:rStyle w:val="EndnoteReference"/>
        </w:rPr>
        <w:endnoteReference w:id="19"/>
      </w:r>
      <w:r w:rsidRPr="00441981">
        <w:t xml:space="preserve">  On average, the lifespan of individuals with substance use disorders is 22.5 years less than those without a substance use disorder.</w:t>
      </w:r>
      <w:r w:rsidRPr="00925017">
        <w:rPr>
          <w:rStyle w:val="EndnoteReference"/>
        </w:rPr>
        <w:endnoteReference w:id="20"/>
      </w:r>
      <w:r w:rsidR="00ED56C0">
        <w:t xml:space="preserve"> </w:t>
      </w:r>
      <w:r w:rsidRPr="00E74F31">
        <w:t>According to</w:t>
      </w:r>
      <w:r w:rsidR="00ED56C0">
        <w:t xml:space="preserve"> </w:t>
      </w:r>
      <w:r w:rsidRPr="004A6893">
        <w:t xml:space="preserve">the </w:t>
      </w:r>
      <w:r w:rsidRPr="00E74F31">
        <w:t xml:space="preserve">National Survey on Drug Use </w:t>
      </w:r>
      <w:r w:rsidR="00ED56C0">
        <w:t xml:space="preserve">and Health </w:t>
      </w:r>
      <w:r>
        <w:t>(</w:t>
      </w:r>
      <w:r w:rsidRPr="005D14AE">
        <w:t>NSD</w:t>
      </w:r>
      <w:r>
        <w:t xml:space="preserve">UH) 2011-2012, </w:t>
      </w:r>
      <w:r w:rsidRPr="004A6893">
        <w:t xml:space="preserve">9.1% of </w:t>
      </w:r>
      <w:r>
        <w:t xml:space="preserve">the </w:t>
      </w:r>
      <w:r w:rsidRPr="004A6893">
        <w:t xml:space="preserve">MA population </w:t>
      </w:r>
      <w:r>
        <w:t xml:space="preserve">age </w:t>
      </w:r>
      <w:r w:rsidRPr="004A6893">
        <w:t>12 and older had a past year dependence or abuse of illicit drugs or alcohol.  Based on the same survey results, past year dependence and abuse of illicit drugs in MA was 2.51%, lower than the national average (2.67%).</w:t>
      </w:r>
      <w:r>
        <w:t xml:space="preserve">  About 40% of individuals receiving substance abuse treatment within the public system are between the ages of 16 to 29 and 45% reported heroin as their primary drug of choice.</w:t>
      </w:r>
      <w:r w:rsidRPr="00925017">
        <w:rPr>
          <w:rStyle w:val="EndnoteReference"/>
        </w:rPr>
        <w:endnoteReference w:id="21"/>
      </w:r>
      <w:r>
        <w:t xml:space="preserve">  In 2012, unintentional opioid related overdose deaths were 668, which is a rate of 10.1 per 100,000.</w:t>
      </w:r>
      <w:r w:rsidRPr="00925017">
        <w:rPr>
          <w:rStyle w:val="EndnoteReference"/>
        </w:rPr>
        <w:endnoteReference w:id="22"/>
      </w:r>
      <w:r>
        <w:t xml:space="preserve">  The 5 year average (2008-2012) of non-fatal opioid related overdose hospital events (unintentional/undetermined) was 58.2 per 100,000.</w:t>
      </w:r>
      <w:r w:rsidRPr="00925017">
        <w:rPr>
          <w:rStyle w:val="EndnoteReference"/>
        </w:rPr>
        <w:endnoteReference w:id="23"/>
      </w:r>
      <w:r>
        <w:t xml:space="preserve">  During 1999-2008, overdose death rates, sales, and substance abuse treatment admissions related to Opioid Pain Relievers (OPR</w:t>
      </w:r>
      <w:r w:rsidR="00ED56C0">
        <w:t>s</w:t>
      </w:r>
      <w:r>
        <w:t>) increased in parallel. The overdose death rate in 2008 was nearly four times the rate in 1999. Sales of OPR</w:t>
      </w:r>
      <w:r w:rsidR="00ED56C0">
        <w:t>s</w:t>
      </w:r>
      <w:r>
        <w:t xml:space="preserve"> in 2010 were four times those in 1999. According to the Centers for Disease Control</w:t>
      </w:r>
      <w:r w:rsidR="00ED56C0">
        <w:t xml:space="preserve"> and Prevention</w:t>
      </w:r>
      <w:r>
        <w:t>, in 2010, enough OPR</w:t>
      </w:r>
      <w:r w:rsidR="00ED56C0">
        <w:t>s</w:t>
      </w:r>
      <w:r>
        <w:t xml:space="preserve"> were sold to medicate every American adult with a typical dose of 5 mg of hydrocodone every 4 hours for 1 month. Increased use of OPR</w:t>
      </w:r>
      <w:r w:rsidR="00ED56C0">
        <w:t>s</w:t>
      </w:r>
      <w:r>
        <w:t xml:space="preserve"> has contributed to the overall increases in rates of overdose death and nonmedical use, and variation among states in OPR sales probably contributes to state variation in these outcomes.</w:t>
      </w:r>
      <w:r>
        <w:rPr>
          <w:rStyle w:val="EndnoteReference"/>
        </w:rPr>
        <w:endnoteReference w:id="24"/>
      </w:r>
    </w:p>
    <w:p w:rsidR="004B20E5" w:rsidRDefault="004B20E5" w:rsidP="004E0856">
      <w:pPr>
        <w:pStyle w:val="BodyText"/>
      </w:pPr>
      <w:r w:rsidRPr="00441981">
        <w:t>Although there are many programs and services that are available to treat individuals with substance use disorders, the majority of individuals who need substance abuse treatment are not receiving</w:t>
      </w:r>
      <w:r>
        <w:t xml:space="preserve"> it</w:t>
      </w:r>
      <w:r w:rsidRPr="00441981">
        <w:t>.</w:t>
      </w:r>
      <w:r w:rsidR="00ED56C0">
        <w:t xml:space="preserve"> </w:t>
      </w:r>
      <w:r>
        <w:t xml:space="preserve">Based on </w:t>
      </w:r>
      <w:r w:rsidRPr="005D14AE">
        <w:t>NSD</w:t>
      </w:r>
      <w:r>
        <w:t>UH 2012, 94.6</w:t>
      </w:r>
      <w:r w:rsidR="00ED56C0">
        <w:t>%</w:t>
      </w:r>
      <w:r>
        <w:t xml:space="preserve"> of individuals with substance use disorders do not recognize a need for treatment; 3.7% recognized need for treatment and did not seek it; 1.7% recognized need for treatment and sought treatment.  </w:t>
      </w:r>
    </w:p>
    <w:p w:rsidR="004B20E5" w:rsidRPr="00CD4F8B" w:rsidRDefault="004B20E5" w:rsidP="004E0856">
      <w:pPr>
        <w:pStyle w:val="BodyText"/>
      </w:pPr>
      <w:r w:rsidRPr="00AD0251">
        <w:rPr>
          <w:b/>
        </w:rPr>
        <w:t xml:space="preserve">Result (How This Affects Us):  </w:t>
      </w:r>
      <w:r w:rsidRPr="00CD4F8B">
        <w:t>In March 2014, Governor Deval Patrick declared a public health emergency in Massachusetts in response to the growing opioid addiction epidemic. The Governor directed the Department of Public Health (</w:t>
      </w:r>
      <w:r w:rsidR="001D686E">
        <w:t>M</w:t>
      </w:r>
      <w:r w:rsidRPr="00CD4F8B">
        <w:t>DPH) to take several action steps that will combat overdoses, stop the epidemic from getting worse, help those already addicted to recover and map a long-term solution to ending widespread opi</w:t>
      </w:r>
      <w:r w:rsidR="00270196">
        <w:t>oid</w:t>
      </w:r>
      <w:r w:rsidRPr="00CD4F8B">
        <w:t xml:space="preserve"> abuse in the Commonwealth.</w:t>
      </w:r>
      <w:r w:rsidR="00270196">
        <w:t xml:space="preserve"> </w:t>
      </w:r>
      <w:r w:rsidRPr="00CD4F8B">
        <w:t>Governor Patrick also convened the New England Governors to establish multi-state and regional strategies to respond to the opioid epidemic in the region. These strategies include cross border data sharing from the Prescription Monitoring Program (PMP), safe opioid prescribing, alignment of law enforcement and prevention efforts, and access to treatment through cross border substance abuse treatment sharing.</w:t>
      </w:r>
    </w:p>
    <w:p w:rsidR="004B20E5" w:rsidRDefault="004B20E5" w:rsidP="004E0856">
      <w:pPr>
        <w:pStyle w:val="BodyText"/>
      </w:pPr>
      <w:r w:rsidRPr="00AD0251">
        <w:rPr>
          <w:b/>
        </w:rPr>
        <w:t xml:space="preserve">Action (What We </w:t>
      </w:r>
      <w:r>
        <w:rPr>
          <w:b/>
        </w:rPr>
        <w:t xml:space="preserve">Will </w:t>
      </w:r>
      <w:r w:rsidRPr="00AD0251">
        <w:rPr>
          <w:b/>
        </w:rPr>
        <w:t xml:space="preserve">Do):  </w:t>
      </w:r>
      <w:r w:rsidRPr="00306495">
        <w:t xml:space="preserve">Ongoing efforts </w:t>
      </w:r>
      <w:r>
        <w:t xml:space="preserve">are needed </w:t>
      </w:r>
      <w:r w:rsidRPr="00306495">
        <w:t xml:space="preserve">to provide a continuum of prevention, intervention, treatment and recovery support services.  </w:t>
      </w:r>
      <w:r w:rsidRPr="00CD4F8B">
        <w:t xml:space="preserve">On August 6, 2014 Governor Patrick signed into law S. 2142, “An Act to Increase Opportunities for Long-Term Substance Abuse Recovery.”  The new law:  (a) grants the Department of Public Health </w:t>
      </w:r>
      <w:r w:rsidR="00270196">
        <w:t xml:space="preserve">additional </w:t>
      </w:r>
      <w:r w:rsidRPr="00CD4F8B">
        <w:t>regulatory authority to control opioid</w:t>
      </w:r>
      <w:r>
        <w:t>s</w:t>
      </w:r>
      <w:r w:rsidRPr="00CD4F8B">
        <w:t xml:space="preserve">; (b) mandates timely reporting from Chief Medical Examiners to </w:t>
      </w:r>
      <w:r w:rsidR="009F3D12">
        <w:t>M</w:t>
      </w:r>
      <w:r w:rsidRPr="00CD4F8B">
        <w:t xml:space="preserve">DPH and </w:t>
      </w:r>
      <w:r w:rsidR="00270196">
        <w:t xml:space="preserve">the </w:t>
      </w:r>
      <w:r w:rsidRPr="00CD4F8B">
        <w:t>U.S. Food and Drug Administration on overdose deaths, for early identification of risks and implementation of measures to reduce overdoses</w:t>
      </w:r>
      <w:r>
        <w:t>;</w:t>
      </w:r>
      <w:r w:rsidRPr="00CD4F8B">
        <w:t xml:space="preserve"> (c) supports patient and clinician decision for treatment; and (d) supports access to treatment through mandatory reimbursement of Licensed Alcohol and Drug Counselors (LADC) by insurers and promotes coordination of care by granting </w:t>
      </w:r>
      <w:r w:rsidR="009F3D12">
        <w:t>M</w:t>
      </w:r>
      <w:r w:rsidRPr="00CD4F8B">
        <w:t>DPH the authority to issue new regulations and practice guidance.</w:t>
      </w:r>
      <w:r>
        <w:br w:type="page"/>
      </w:r>
    </w:p>
    <w:p w:rsidR="004B20E5" w:rsidRPr="00306495" w:rsidRDefault="004B20E5" w:rsidP="004E0856">
      <w:pPr>
        <w:pStyle w:val="BodyText"/>
      </w:pPr>
    </w:p>
    <w:p w:rsidR="004B20E5" w:rsidRPr="00876533" w:rsidRDefault="004B20E5" w:rsidP="00876533">
      <w:pPr>
        <w:pStyle w:val="StandardStatement"/>
      </w:pPr>
      <w:r w:rsidRPr="00876533">
        <w:t>Standard 4A: Prevent the development of alcohol and substance use disorders.</w:t>
      </w:r>
    </w:p>
    <w:p w:rsidR="004B20E5" w:rsidRPr="00876533" w:rsidRDefault="004B20E5" w:rsidP="00876533">
      <w:pPr>
        <w:pStyle w:val="BodyText"/>
      </w:pPr>
    </w:p>
    <w:p w:rsidR="004B20E5" w:rsidRDefault="004B20E5" w:rsidP="00CB2B0E">
      <w:pPr>
        <w:pStyle w:val="ObjectiveStatement"/>
      </w:pPr>
      <w:r>
        <w:t>Measure 4.1:</w:t>
      </w:r>
      <w:r>
        <w:tab/>
        <w:t>Reduce the relative percentage of youth who report having tried alcohol for the first time before age 13</w:t>
      </w:r>
      <w:r w:rsidR="00270196">
        <w:t xml:space="preserve"> </w:t>
      </w:r>
      <w:r>
        <w:t>by 5%.</w:t>
      </w:r>
    </w:p>
    <w:p w:rsidR="004B20E5" w:rsidRPr="00E72864" w:rsidRDefault="004B20E5" w:rsidP="00E72864">
      <w:pPr>
        <w:pStyle w:val="BodyText"/>
      </w:pPr>
    </w:p>
    <w:tbl>
      <w:tblPr>
        <w:tblW w:w="4095" w:type="pct"/>
        <w:tblInd w:w="1755" w:type="dxa"/>
        <w:tblLayout w:type="fixed"/>
        <w:tblLook w:val="00A0" w:firstRow="1" w:lastRow="0" w:firstColumn="1" w:lastColumn="0" w:noHBand="0" w:noVBand="0"/>
      </w:tblPr>
      <w:tblGrid>
        <w:gridCol w:w="2247"/>
        <w:gridCol w:w="1532"/>
        <w:gridCol w:w="1531"/>
        <w:gridCol w:w="3122"/>
      </w:tblGrid>
      <w:tr w:rsidR="004B20E5" w:rsidRPr="00666093" w:rsidTr="00E72864">
        <w:trPr>
          <w:cantSplit/>
        </w:trPr>
        <w:tc>
          <w:tcPr>
            <w:tcW w:w="1332" w:type="pct"/>
            <w:tcBorders>
              <w:top w:val="single" w:sz="4" w:space="0" w:color="auto"/>
              <w:bottom w:val="single" w:sz="4" w:space="0" w:color="auto"/>
            </w:tcBorders>
            <w:vAlign w:val="center"/>
          </w:tcPr>
          <w:p w:rsidR="004B20E5" w:rsidRPr="00666093" w:rsidRDefault="004B20E5" w:rsidP="00B23383">
            <w:pPr>
              <w:pStyle w:val="TableOutcomeIndicator"/>
            </w:pPr>
            <w:r>
              <w:t>Outcome Indicator</w:t>
            </w:r>
          </w:p>
        </w:tc>
        <w:tc>
          <w:tcPr>
            <w:tcW w:w="908" w:type="pct"/>
            <w:tcBorders>
              <w:top w:val="single" w:sz="4" w:space="0" w:color="auto"/>
              <w:bottom w:val="single" w:sz="4" w:space="0" w:color="auto"/>
            </w:tcBorders>
            <w:vAlign w:val="center"/>
          </w:tcPr>
          <w:p w:rsidR="004B20E5" w:rsidRPr="00666093" w:rsidRDefault="004B20E5" w:rsidP="00E55486">
            <w:pPr>
              <w:pStyle w:val="TableTitleBaseline2020Target"/>
            </w:pPr>
            <w:r w:rsidRPr="009171C7">
              <w:t>Baseline</w:t>
            </w:r>
          </w:p>
        </w:tc>
        <w:tc>
          <w:tcPr>
            <w:tcW w:w="908" w:type="pct"/>
            <w:tcBorders>
              <w:top w:val="single" w:sz="4" w:space="0" w:color="auto"/>
              <w:bottom w:val="single" w:sz="4" w:space="0" w:color="auto"/>
            </w:tcBorders>
            <w:vAlign w:val="center"/>
          </w:tcPr>
          <w:p w:rsidR="004B20E5" w:rsidRPr="00666093" w:rsidRDefault="004B20E5" w:rsidP="00E55486">
            <w:pPr>
              <w:pStyle w:val="TableTitleBaseline2020Target"/>
            </w:pPr>
            <w:r w:rsidRPr="009171C7">
              <w:t>2020 Target</w:t>
            </w:r>
          </w:p>
        </w:tc>
        <w:tc>
          <w:tcPr>
            <w:tcW w:w="1851" w:type="pct"/>
            <w:tcBorders>
              <w:top w:val="single" w:sz="4" w:space="0" w:color="auto"/>
              <w:bottom w:val="single" w:sz="4" w:space="0" w:color="auto"/>
            </w:tcBorders>
            <w:vAlign w:val="center"/>
          </w:tcPr>
          <w:p w:rsidR="004B20E5" w:rsidRPr="00666093" w:rsidRDefault="004B20E5" w:rsidP="00E55486">
            <w:pPr>
              <w:pStyle w:val="TableTitleTargetDataSource"/>
            </w:pPr>
            <w:r w:rsidRPr="009171C7">
              <w:t>Data Source</w:t>
            </w:r>
          </w:p>
        </w:tc>
      </w:tr>
      <w:tr w:rsidR="004B20E5" w:rsidRPr="00666093" w:rsidTr="00E72864">
        <w:trPr>
          <w:cantSplit/>
        </w:trPr>
        <w:tc>
          <w:tcPr>
            <w:tcW w:w="1332" w:type="pct"/>
            <w:tcBorders>
              <w:top w:val="single" w:sz="4" w:space="0" w:color="auto"/>
              <w:bottom w:val="single" w:sz="4" w:space="0" w:color="auto"/>
            </w:tcBorders>
            <w:vAlign w:val="center"/>
          </w:tcPr>
          <w:p w:rsidR="004B20E5" w:rsidRPr="00666093" w:rsidRDefault="004B20E5" w:rsidP="00D966C8">
            <w:pPr>
              <w:pStyle w:val="TableOutcomeMeasure"/>
            </w:pPr>
            <w:r w:rsidRPr="009171C7">
              <w:t>High school</w:t>
            </w:r>
            <w:r>
              <w:t xml:space="preserve"> youth who have tried alcohol </w:t>
            </w:r>
            <w:r w:rsidRPr="009171C7">
              <w:t>for the first time before age 13 years</w:t>
            </w:r>
          </w:p>
        </w:tc>
        <w:tc>
          <w:tcPr>
            <w:tcW w:w="908" w:type="pct"/>
            <w:tcBorders>
              <w:top w:val="single" w:sz="4" w:space="0" w:color="auto"/>
              <w:bottom w:val="single" w:sz="4" w:space="0" w:color="auto"/>
            </w:tcBorders>
            <w:vAlign w:val="center"/>
          </w:tcPr>
          <w:p w:rsidR="004B20E5" w:rsidRPr="00666093" w:rsidRDefault="004B20E5" w:rsidP="00D966C8">
            <w:pPr>
              <w:pStyle w:val="TableBaseline2020Target"/>
            </w:pPr>
            <w:r>
              <w:t>14.6%</w:t>
            </w:r>
          </w:p>
        </w:tc>
        <w:tc>
          <w:tcPr>
            <w:tcW w:w="908" w:type="pct"/>
            <w:tcBorders>
              <w:top w:val="single" w:sz="4" w:space="0" w:color="auto"/>
              <w:bottom w:val="single" w:sz="4" w:space="0" w:color="auto"/>
            </w:tcBorders>
            <w:vAlign w:val="center"/>
          </w:tcPr>
          <w:p w:rsidR="004B20E5" w:rsidRPr="00666093" w:rsidRDefault="004B20E5" w:rsidP="00D966C8">
            <w:pPr>
              <w:pStyle w:val="TableBaseline2020Target"/>
            </w:pPr>
            <w:r>
              <w:t>13.9%</w:t>
            </w:r>
          </w:p>
        </w:tc>
        <w:tc>
          <w:tcPr>
            <w:tcW w:w="1851" w:type="pct"/>
            <w:tcBorders>
              <w:top w:val="single" w:sz="4" w:space="0" w:color="auto"/>
              <w:bottom w:val="single" w:sz="4" w:space="0" w:color="auto"/>
            </w:tcBorders>
            <w:vAlign w:val="center"/>
          </w:tcPr>
          <w:p w:rsidR="004B20E5" w:rsidRPr="00666093" w:rsidRDefault="004B20E5" w:rsidP="00D966C8">
            <w:pPr>
              <w:pStyle w:val="TableDataSource"/>
            </w:pPr>
            <w:r w:rsidRPr="001C59CE">
              <w:t>CDC MMWR YRBS 2012</w:t>
            </w:r>
            <w:r>
              <w:t xml:space="preserve"> (</w:t>
            </w:r>
            <w:r w:rsidRPr="001C59CE">
              <w:t>Data for 2011</w:t>
            </w:r>
            <w:r>
              <w:t>)</w:t>
            </w: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CA7899">
        <w:trPr>
          <w:cantSplit/>
        </w:trPr>
        <w:tc>
          <w:tcPr>
            <w:tcW w:w="1329" w:type="pct"/>
            <w:tcBorders>
              <w:top w:val="single" w:sz="4" w:space="0" w:color="auto"/>
            </w:tcBorders>
          </w:tcPr>
          <w:p w:rsidR="004B20E5" w:rsidRPr="009171C7" w:rsidDel="00F67FD0" w:rsidRDefault="004B20E5" w:rsidP="004C0088">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7348F7">
            <w:pPr>
              <w:pStyle w:val="TableOutcomeMeasure"/>
            </w:pPr>
            <w:r>
              <w:t>High School youth who reported to have tried alcohol for the first time before age 13 in the statewide survey</w:t>
            </w:r>
          </w:p>
        </w:tc>
      </w:tr>
      <w:tr w:rsidR="004B20E5" w:rsidRPr="00666093" w:rsidDel="00F67FD0" w:rsidTr="00CA7899">
        <w:trPr>
          <w:cantSplit/>
        </w:trPr>
        <w:tc>
          <w:tcPr>
            <w:tcW w:w="1329" w:type="pct"/>
          </w:tcPr>
          <w:p w:rsidR="004B20E5" w:rsidRPr="009171C7" w:rsidDel="00F67FD0" w:rsidRDefault="004B20E5" w:rsidP="004C0088">
            <w:pPr>
              <w:pStyle w:val="TableTitleNumeratoretc"/>
            </w:pPr>
            <w:r w:rsidRPr="00A367E5">
              <w:t>Denominator</w:t>
            </w:r>
            <w:r>
              <w:t>:</w:t>
            </w:r>
          </w:p>
        </w:tc>
        <w:tc>
          <w:tcPr>
            <w:tcW w:w="3671" w:type="pct"/>
            <w:vAlign w:val="center"/>
          </w:tcPr>
          <w:p w:rsidR="004B20E5" w:rsidRPr="00391134" w:rsidDel="00F67FD0" w:rsidRDefault="004B20E5" w:rsidP="007348F7">
            <w:pPr>
              <w:pStyle w:val="TableOutcomeMeasure"/>
            </w:pPr>
            <w:r>
              <w:t>All high school youth who participated in the statewide survey</w:t>
            </w:r>
          </w:p>
        </w:tc>
      </w:tr>
      <w:tr w:rsidR="004B20E5" w:rsidRPr="00666093" w:rsidDel="00F67FD0" w:rsidTr="00CA7899">
        <w:trPr>
          <w:cantSplit/>
        </w:trPr>
        <w:tc>
          <w:tcPr>
            <w:tcW w:w="1329" w:type="pct"/>
          </w:tcPr>
          <w:p w:rsidR="004B20E5" w:rsidRPr="009171C7" w:rsidDel="00F67FD0" w:rsidRDefault="004B20E5" w:rsidP="004C0088">
            <w:pPr>
              <w:pStyle w:val="TableTitleNumeratoretc"/>
            </w:pPr>
            <w:r w:rsidRPr="00A367E5">
              <w:t>Exclusions</w:t>
            </w:r>
            <w:r>
              <w:t>:</w:t>
            </w:r>
          </w:p>
        </w:tc>
        <w:tc>
          <w:tcPr>
            <w:tcW w:w="3671" w:type="pct"/>
            <w:vAlign w:val="center"/>
          </w:tcPr>
          <w:p w:rsidR="004B20E5" w:rsidRPr="00391134" w:rsidDel="00F67FD0" w:rsidRDefault="004B20E5" w:rsidP="007348F7">
            <w:pPr>
              <w:pStyle w:val="TableOutcomeMeasure"/>
            </w:pPr>
            <w:r>
              <w:t>High Schools not participating in the statewide survey</w:t>
            </w:r>
          </w:p>
        </w:tc>
      </w:tr>
      <w:tr w:rsidR="004B20E5" w:rsidRPr="00666093" w:rsidDel="00F67FD0" w:rsidTr="00CA7899">
        <w:trPr>
          <w:cantSplit/>
        </w:trPr>
        <w:tc>
          <w:tcPr>
            <w:tcW w:w="1329" w:type="pct"/>
          </w:tcPr>
          <w:p w:rsidR="004B20E5" w:rsidRPr="009171C7" w:rsidDel="00F67FD0" w:rsidRDefault="004B20E5" w:rsidP="004C0088">
            <w:pPr>
              <w:pStyle w:val="TableTitleNumeratoretc"/>
            </w:pPr>
            <w:r w:rsidRPr="00F67FD0">
              <w:t>Timeframe</w:t>
            </w:r>
            <w:r>
              <w:t>:</w:t>
            </w:r>
          </w:p>
        </w:tc>
        <w:tc>
          <w:tcPr>
            <w:tcW w:w="3671" w:type="pct"/>
            <w:vAlign w:val="center"/>
          </w:tcPr>
          <w:p w:rsidR="004B20E5" w:rsidRPr="00391134" w:rsidDel="00F67FD0" w:rsidRDefault="004B20E5" w:rsidP="007348F7">
            <w:pPr>
              <w:pStyle w:val="TableOutcomeMeasure"/>
            </w:pPr>
            <w:r>
              <w:t>Bi-Annual measure</w:t>
            </w:r>
          </w:p>
        </w:tc>
      </w:tr>
      <w:tr w:rsidR="004B20E5" w:rsidRPr="00666093" w:rsidDel="00F67FD0" w:rsidTr="00CA7899">
        <w:trPr>
          <w:cantSplit/>
        </w:trPr>
        <w:tc>
          <w:tcPr>
            <w:tcW w:w="1329" w:type="pct"/>
            <w:tcBorders>
              <w:bottom w:val="single" w:sz="4" w:space="0" w:color="auto"/>
            </w:tcBorders>
          </w:tcPr>
          <w:p w:rsidR="004B20E5" w:rsidRPr="009171C7" w:rsidDel="00F67FD0" w:rsidRDefault="004B20E5" w:rsidP="004C0088">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7348F7">
            <w:pPr>
              <w:pStyle w:val="TableOutcomeMeasure"/>
            </w:pPr>
            <w:r>
              <w:t>YRBS has a question on alcohol use in the High School module.  The values in question “How old were you when you had your first drink of alcohol other than a few sips?” will be grouped as follows: “A” will indicate no use, “B”-“D” will indicate use before 13 and “E”-“G” will indicate use after 13.</w:t>
            </w:r>
          </w:p>
        </w:tc>
      </w:tr>
    </w:tbl>
    <w:p w:rsidR="004B20E5" w:rsidRDefault="004B20E5" w:rsidP="004E0856">
      <w:pPr>
        <w:pStyle w:val="StrategiesTitle"/>
      </w:pPr>
    </w:p>
    <w:p w:rsidR="004B20E5" w:rsidRDefault="004B20E5" w:rsidP="007C27A3">
      <w:pPr>
        <w:pStyle w:val="TableTenEssenHlthFunct"/>
      </w:pPr>
      <w:r>
        <w:t>Monitor Health to Identify and Solve Community Health Problems</w:t>
      </w:r>
    </w:p>
    <w:p w:rsidR="004B20E5" w:rsidRPr="006256D0" w:rsidRDefault="004B20E5" w:rsidP="00D00411">
      <w:pPr>
        <w:pStyle w:val="TableStrategiesunderHealthFunctions"/>
      </w:pPr>
      <w:r w:rsidRPr="00F54731">
        <w:t>4.1.1</w:t>
      </w:r>
      <w:r w:rsidRPr="00F54731">
        <w:tab/>
      </w:r>
      <w:r>
        <w:t xml:space="preserve">Expand efforts to collect data on under-age substance use and misuse at the community level to monitor progress and implement targeted </w:t>
      </w:r>
      <w:r w:rsidRPr="00161EF6">
        <w:t>culturally and linguistically appropriate</w:t>
      </w:r>
      <w:r w:rsidR="00270196">
        <w:t xml:space="preserve"> </w:t>
      </w:r>
      <w:r>
        <w:t>prevention strategies.</w:t>
      </w:r>
    </w:p>
    <w:p w:rsidR="004B20E5" w:rsidRDefault="004B20E5" w:rsidP="007C27A3">
      <w:pPr>
        <w:pStyle w:val="TableTenEssenHlthFunct"/>
      </w:pPr>
      <w:r>
        <w:t xml:space="preserve">Inform, Educate, and Empower People About Health Issues </w:t>
      </w:r>
    </w:p>
    <w:p w:rsidR="004B20E5" w:rsidRPr="00F54731" w:rsidRDefault="004B20E5" w:rsidP="00D00411">
      <w:pPr>
        <w:pStyle w:val="TableStrategiesunderHealthFunctions"/>
      </w:pPr>
      <w:r w:rsidRPr="00F54731">
        <w:t>4.1.</w:t>
      </w:r>
      <w:r>
        <w:t>2</w:t>
      </w:r>
      <w:r>
        <w:tab/>
      </w:r>
      <w:r w:rsidRPr="00F54731">
        <w:t>Promote the use of evidence-based strategies to support/enhance community prevention efforts and understanding of substance abuse and mental health related issues</w:t>
      </w:r>
      <w:r>
        <w:t>.</w:t>
      </w:r>
    </w:p>
    <w:p w:rsidR="004B20E5" w:rsidRPr="00F54731" w:rsidRDefault="004B20E5" w:rsidP="00D00411">
      <w:pPr>
        <w:pStyle w:val="TableStrategiesunderHealthFunctions"/>
      </w:pPr>
      <w:r w:rsidRPr="00F54731">
        <w:t>4.1.</w:t>
      </w:r>
      <w:r>
        <w:t>3</w:t>
      </w:r>
      <w:r>
        <w:tab/>
      </w:r>
      <w:r w:rsidRPr="00F54731">
        <w:t>Increase social media and traditional media outreach through statewide public awarenes</w:t>
      </w:r>
      <w:r>
        <w:t>s and- parent-oriented campaigns that are built on evidence-based prevention that are culturally and linguistically adapted</w:t>
      </w:r>
      <w:r w:rsidRPr="00F54731">
        <w:t>.</w:t>
      </w:r>
    </w:p>
    <w:p w:rsidR="004B20E5" w:rsidRPr="006256D0" w:rsidRDefault="004B20E5" w:rsidP="00D00411">
      <w:pPr>
        <w:pStyle w:val="TableStrategiesunderHealthFunctions"/>
      </w:pPr>
      <w:r w:rsidRPr="00F54731">
        <w:t>4.1.</w:t>
      </w:r>
      <w:r>
        <w:t>4</w:t>
      </w:r>
      <w:r w:rsidRPr="00F54731">
        <w:tab/>
        <w:t>Promote the use of evidence-based strategies to address the environmental aspects of substance abuse</w:t>
      </w:r>
      <w:r w:rsidR="00270196">
        <w:t xml:space="preserve"> </w:t>
      </w:r>
      <w:r w:rsidRPr="00F54731">
        <w:t>(healthy and safe homes, workpla</w:t>
      </w:r>
      <w:r>
        <w:t>ces, schools, and communities).</w:t>
      </w:r>
    </w:p>
    <w:p w:rsidR="004B20E5" w:rsidRDefault="004B20E5" w:rsidP="007C27A3">
      <w:pPr>
        <w:pStyle w:val="TableTenEssenHlthFunct"/>
      </w:pPr>
      <w:r>
        <w:t>Mobilize Community Partnerships to Identify and Solve Health Problems</w:t>
      </w:r>
    </w:p>
    <w:p w:rsidR="004B20E5" w:rsidRDefault="004B20E5" w:rsidP="00D00411">
      <w:pPr>
        <w:pStyle w:val="TableStrategiesunderHealthFunctions"/>
      </w:pPr>
      <w:r w:rsidRPr="00F54731">
        <w:t>4.1.</w:t>
      </w:r>
      <w:r>
        <w:t>5</w:t>
      </w:r>
      <w:r w:rsidRPr="00F54731">
        <w:tab/>
        <w:t xml:space="preserve">Increase the number of communities and </w:t>
      </w:r>
      <w:r>
        <w:t xml:space="preserve">multi-sector </w:t>
      </w:r>
      <w:r w:rsidRPr="00F54731">
        <w:t xml:space="preserve">community </w:t>
      </w:r>
      <w:r>
        <w:t>partners</w:t>
      </w:r>
      <w:r w:rsidRPr="00F54731">
        <w:t xml:space="preserve"> engaged in policy/practice change to prevent/reduce underage drinking.</w:t>
      </w:r>
    </w:p>
    <w:p w:rsidR="004B20E5" w:rsidRPr="006256D0" w:rsidRDefault="004B20E5" w:rsidP="00D00411">
      <w:pPr>
        <w:pStyle w:val="TableStrategiesunderHealthFunctions"/>
      </w:pPr>
      <w:r>
        <w:t>4.1.6</w:t>
      </w:r>
      <w:r>
        <w:tab/>
        <w:t xml:space="preserve">Ensure that </w:t>
      </w:r>
      <w:r w:rsidR="009F3D12">
        <w:t>M</w:t>
      </w:r>
      <w:r>
        <w:t>DPH/BSAS funded substance abuse prevention coalitions include community partners representing populations disproportionately impacted by substance abuse to prevent/reduce underage drinking.</w:t>
      </w:r>
    </w:p>
    <w:p w:rsidR="004B20E5" w:rsidRDefault="004B20E5" w:rsidP="007C27A3">
      <w:pPr>
        <w:pStyle w:val="TableTenEssenHlthFunct"/>
      </w:pPr>
      <w:r>
        <w:t xml:space="preserve">Develop Policies and Plans That Support Individual and Community Health Efforts </w:t>
      </w:r>
    </w:p>
    <w:p w:rsidR="004B20E5" w:rsidRPr="006256D0" w:rsidRDefault="004B20E5" w:rsidP="00D00411">
      <w:pPr>
        <w:pStyle w:val="TableStrategiesunderHealthFunctions"/>
      </w:pPr>
      <w:r w:rsidRPr="00F54731">
        <w:t>4.1.</w:t>
      </w:r>
      <w:r>
        <w:t>7</w:t>
      </w:r>
      <w:r w:rsidRPr="00F54731">
        <w:tab/>
        <w:t>Allocate and coordinate resources</w:t>
      </w:r>
      <w:r w:rsidR="00270196">
        <w:t xml:space="preserve"> </w:t>
      </w:r>
      <w:r w:rsidRPr="00F54731">
        <w:t>for substance abuse prevention with other state prevention providers/agencies</w:t>
      </w:r>
      <w:r>
        <w:t xml:space="preserve"> to maximize community impact and effectiveness.</w:t>
      </w:r>
    </w:p>
    <w:p w:rsidR="004B20E5" w:rsidRDefault="004B20E5" w:rsidP="004E0856">
      <w:pPr>
        <w:pStyle w:val="StrategiesTitle"/>
      </w:pPr>
      <w:r>
        <w:br w:type="page"/>
      </w:r>
    </w:p>
    <w:p w:rsidR="004B20E5" w:rsidRDefault="004B20E5" w:rsidP="00CB2B0E">
      <w:pPr>
        <w:pStyle w:val="ObjectiveStatement"/>
      </w:pPr>
      <w:r>
        <w:lastRenderedPageBreak/>
        <w:t>Measure 4.2:</w:t>
      </w:r>
      <w:r>
        <w:tab/>
      </w:r>
      <w:r w:rsidRPr="00B15EE2">
        <w:t xml:space="preserve">Increase the annual number of healthcare providers trained by </w:t>
      </w:r>
      <w:r w:rsidR="009F3D12">
        <w:t>M</w:t>
      </w:r>
      <w:r>
        <w:t>DPH/</w:t>
      </w:r>
      <w:r w:rsidRPr="00B15EE2">
        <w:t>BSAS to incor</w:t>
      </w:r>
      <w:r>
        <w:t>porate screening and intervention</w:t>
      </w:r>
      <w:r w:rsidRPr="00B15EE2">
        <w:t xml:space="preserve"> for unhealthy substance use</w:t>
      </w:r>
      <w:r w:rsidR="00270196">
        <w:t xml:space="preserve"> </w:t>
      </w:r>
      <w:r w:rsidRPr="00B15EE2">
        <w:t>by 5%</w:t>
      </w:r>
      <w:r>
        <w:t>.</w:t>
      </w:r>
    </w:p>
    <w:p w:rsidR="004B20E5" w:rsidRPr="00093C24" w:rsidRDefault="004B20E5" w:rsidP="009718C8">
      <w:pPr>
        <w:pStyle w:val="StrategiesCategoryTitles"/>
      </w:pP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125098">
        <w:trPr>
          <w:cantSplit/>
        </w:trPr>
        <w:tc>
          <w:tcPr>
            <w:tcW w:w="1329"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125098">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125098">
            <w:pPr>
              <w:pStyle w:val="TableTitleBaseline2020Target"/>
            </w:pPr>
            <w:r w:rsidRPr="00666093">
              <w:t>2020 Target</w:t>
            </w:r>
          </w:p>
        </w:tc>
        <w:tc>
          <w:tcPr>
            <w:tcW w:w="1861" w:type="pct"/>
            <w:tcBorders>
              <w:top w:val="single" w:sz="4" w:space="0" w:color="auto"/>
              <w:bottom w:val="single" w:sz="4" w:space="0" w:color="auto"/>
            </w:tcBorders>
            <w:vAlign w:val="center"/>
          </w:tcPr>
          <w:p w:rsidR="004B20E5" w:rsidRPr="00666093" w:rsidRDefault="004B20E5" w:rsidP="00125098">
            <w:pPr>
              <w:pStyle w:val="TableTitleTargetDataSource"/>
            </w:pPr>
            <w:r w:rsidRPr="00666093">
              <w:t>Data Source</w:t>
            </w:r>
          </w:p>
        </w:tc>
      </w:tr>
      <w:tr w:rsidR="004B20E5" w:rsidRPr="00470CC6" w:rsidTr="00125098">
        <w:trPr>
          <w:cantSplit/>
        </w:trPr>
        <w:tc>
          <w:tcPr>
            <w:tcW w:w="1329" w:type="pct"/>
            <w:tcBorders>
              <w:top w:val="single" w:sz="4" w:space="0" w:color="auto"/>
              <w:bottom w:val="single" w:sz="4" w:space="0" w:color="auto"/>
            </w:tcBorders>
            <w:vAlign w:val="center"/>
          </w:tcPr>
          <w:p w:rsidR="004B20E5" w:rsidRPr="00470CC6" w:rsidRDefault="004B20E5" w:rsidP="00125098">
            <w:pPr>
              <w:pStyle w:val="TableOutcomeMeasure"/>
            </w:pPr>
            <w:r>
              <w:t xml:space="preserve">Number of </w:t>
            </w:r>
            <w:r w:rsidRPr="00470CC6">
              <w:t>Health Care Providers</w:t>
            </w:r>
            <w:r>
              <w:t xml:space="preserve"> trained annually </w:t>
            </w:r>
          </w:p>
        </w:tc>
        <w:tc>
          <w:tcPr>
            <w:tcW w:w="905" w:type="pct"/>
            <w:tcBorders>
              <w:top w:val="single" w:sz="4" w:space="0" w:color="auto"/>
              <w:bottom w:val="single" w:sz="4" w:space="0" w:color="auto"/>
            </w:tcBorders>
            <w:vAlign w:val="center"/>
          </w:tcPr>
          <w:p w:rsidR="004B20E5" w:rsidRPr="00093C24" w:rsidRDefault="004B20E5" w:rsidP="00125098">
            <w:pPr>
              <w:pStyle w:val="TableBaseline2020Target"/>
            </w:pPr>
            <w:r w:rsidRPr="00093C24">
              <w:t>60</w:t>
            </w:r>
          </w:p>
        </w:tc>
        <w:tc>
          <w:tcPr>
            <w:tcW w:w="905" w:type="pct"/>
            <w:tcBorders>
              <w:top w:val="single" w:sz="4" w:space="0" w:color="auto"/>
              <w:bottom w:val="single" w:sz="4" w:space="0" w:color="auto"/>
            </w:tcBorders>
            <w:vAlign w:val="center"/>
          </w:tcPr>
          <w:p w:rsidR="004B20E5" w:rsidRPr="00093C24" w:rsidRDefault="004B20E5" w:rsidP="00125098">
            <w:pPr>
              <w:pStyle w:val="TableBaseline2020Target"/>
            </w:pPr>
            <w:r w:rsidRPr="00093C24">
              <w:t xml:space="preserve">75 </w:t>
            </w:r>
          </w:p>
        </w:tc>
        <w:tc>
          <w:tcPr>
            <w:tcW w:w="1861" w:type="pct"/>
            <w:tcBorders>
              <w:top w:val="single" w:sz="4" w:space="0" w:color="auto"/>
              <w:bottom w:val="single" w:sz="4" w:space="0" w:color="auto"/>
            </w:tcBorders>
            <w:vAlign w:val="center"/>
          </w:tcPr>
          <w:p w:rsidR="004B20E5" w:rsidRDefault="004B20E5" w:rsidP="00125098">
            <w:pPr>
              <w:pStyle w:val="TableDataSource"/>
            </w:pPr>
            <w:r w:rsidRPr="00470CC6">
              <w:t>MDPH/BSAS</w:t>
            </w:r>
          </w:p>
          <w:p w:rsidR="004B20E5" w:rsidRPr="00470CC6" w:rsidRDefault="004B20E5" w:rsidP="00125098">
            <w:pPr>
              <w:pStyle w:val="TableDataSource"/>
            </w:pPr>
            <w:r>
              <w:t>Quarterly reports from contracted training vendor</w:t>
            </w:r>
          </w:p>
        </w:tc>
      </w:tr>
    </w:tbl>
    <w:p w:rsidR="004B20E5" w:rsidRDefault="004B20E5" w:rsidP="009718C8">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125098">
        <w:trPr>
          <w:cantSplit/>
        </w:trPr>
        <w:tc>
          <w:tcPr>
            <w:tcW w:w="1329" w:type="pct"/>
            <w:tcBorders>
              <w:top w:val="single" w:sz="4" w:space="0" w:color="auto"/>
            </w:tcBorders>
          </w:tcPr>
          <w:p w:rsidR="004B20E5" w:rsidRPr="009171C7" w:rsidDel="00F67FD0" w:rsidRDefault="004B20E5" w:rsidP="00125098">
            <w:pPr>
              <w:pStyle w:val="TableTitleNumeratoretc"/>
            </w:pPr>
            <w:r w:rsidRPr="00A367E5">
              <w:t>Numerator</w:t>
            </w:r>
            <w:r>
              <w:t>:</w:t>
            </w:r>
          </w:p>
        </w:tc>
        <w:tc>
          <w:tcPr>
            <w:tcW w:w="3671" w:type="pct"/>
            <w:tcBorders>
              <w:top w:val="single" w:sz="4" w:space="0" w:color="auto"/>
            </w:tcBorders>
            <w:vAlign w:val="center"/>
          </w:tcPr>
          <w:p w:rsidR="004B20E5" w:rsidRPr="009718C8" w:rsidDel="00F67FD0" w:rsidRDefault="004B20E5" w:rsidP="009718C8">
            <w:pPr>
              <w:pStyle w:val="TableOutcomeMeasure"/>
            </w:pPr>
            <w:r w:rsidRPr="009718C8">
              <w:t>Number trained annually</w:t>
            </w:r>
          </w:p>
        </w:tc>
      </w:tr>
      <w:tr w:rsidR="004B20E5" w:rsidRPr="00666093" w:rsidDel="00F67FD0" w:rsidTr="00125098">
        <w:trPr>
          <w:cantSplit/>
        </w:trPr>
        <w:tc>
          <w:tcPr>
            <w:tcW w:w="1329" w:type="pct"/>
          </w:tcPr>
          <w:p w:rsidR="004B20E5" w:rsidRPr="009171C7" w:rsidDel="00F67FD0" w:rsidRDefault="004B20E5" w:rsidP="00125098">
            <w:pPr>
              <w:pStyle w:val="TableTitleNumeratoretc"/>
            </w:pPr>
            <w:r w:rsidRPr="00A367E5">
              <w:t>Denominator</w:t>
            </w:r>
            <w:r>
              <w:t>:</w:t>
            </w:r>
          </w:p>
        </w:tc>
        <w:tc>
          <w:tcPr>
            <w:tcW w:w="3671" w:type="pct"/>
            <w:vAlign w:val="center"/>
          </w:tcPr>
          <w:p w:rsidR="004B20E5" w:rsidRPr="009718C8" w:rsidDel="00F67FD0" w:rsidRDefault="004B20E5" w:rsidP="009718C8">
            <w:pPr>
              <w:pStyle w:val="TableOutcomeMeasure"/>
            </w:pPr>
            <w:r w:rsidRPr="009718C8">
              <w:t>Number trained FY2014</w:t>
            </w:r>
          </w:p>
        </w:tc>
      </w:tr>
      <w:tr w:rsidR="004B20E5" w:rsidRPr="00666093" w:rsidDel="00F67FD0" w:rsidTr="00125098">
        <w:trPr>
          <w:cantSplit/>
        </w:trPr>
        <w:tc>
          <w:tcPr>
            <w:tcW w:w="1329" w:type="pct"/>
          </w:tcPr>
          <w:p w:rsidR="004B20E5" w:rsidRPr="009171C7" w:rsidDel="00F67FD0" w:rsidRDefault="004B20E5" w:rsidP="00125098">
            <w:pPr>
              <w:pStyle w:val="TableTitleNumeratoretc"/>
            </w:pPr>
            <w:r w:rsidRPr="00A367E5">
              <w:t>Exclusions</w:t>
            </w:r>
            <w:r>
              <w:t>:</w:t>
            </w:r>
          </w:p>
        </w:tc>
        <w:tc>
          <w:tcPr>
            <w:tcW w:w="3671" w:type="pct"/>
            <w:vAlign w:val="center"/>
          </w:tcPr>
          <w:p w:rsidR="004B20E5" w:rsidRPr="009718C8" w:rsidDel="00F67FD0" w:rsidRDefault="004B20E5" w:rsidP="009718C8">
            <w:pPr>
              <w:pStyle w:val="TableOutcomeMeasure"/>
            </w:pPr>
            <w:r w:rsidRPr="009718C8">
              <w:t xml:space="preserve">Healthcare providers not trained by </w:t>
            </w:r>
            <w:r w:rsidR="009F3D12">
              <w:t>M</w:t>
            </w:r>
            <w:r w:rsidRPr="009718C8">
              <w:t>DPH/BSAS</w:t>
            </w:r>
          </w:p>
        </w:tc>
      </w:tr>
      <w:tr w:rsidR="004B20E5" w:rsidRPr="00666093" w:rsidDel="00F67FD0" w:rsidTr="00125098">
        <w:trPr>
          <w:cantSplit/>
        </w:trPr>
        <w:tc>
          <w:tcPr>
            <w:tcW w:w="1329" w:type="pct"/>
            <w:vAlign w:val="center"/>
          </w:tcPr>
          <w:p w:rsidR="004B20E5" w:rsidRPr="009171C7" w:rsidDel="00F67FD0" w:rsidRDefault="004B20E5" w:rsidP="00125098">
            <w:pPr>
              <w:pStyle w:val="TableTitleNumeratoretc"/>
            </w:pPr>
            <w:r w:rsidRPr="00F67FD0">
              <w:t>Timeframe</w:t>
            </w:r>
            <w:r>
              <w:t>:</w:t>
            </w:r>
          </w:p>
        </w:tc>
        <w:tc>
          <w:tcPr>
            <w:tcW w:w="3671" w:type="pct"/>
            <w:vAlign w:val="center"/>
          </w:tcPr>
          <w:p w:rsidR="004B20E5" w:rsidRPr="009718C8" w:rsidDel="00F67FD0" w:rsidRDefault="004B20E5" w:rsidP="009718C8">
            <w:pPr>
              <w:pStyle w:val="TableOutcomeMeasure"/>
            </w:pPr>
            <w:r w:rsidRPr="009718C8">
              <w:t>Quarterly Measure</w:t>
            </w:r>
          </w:p>
        </w:tc>
      </w:tr>
      <w:tr w:rsidR="004B20E5" w:rsidRPr="00666093" w:rsidDel="00F67FD0" w:rsidTr="00125098">
        <w:trPr>
          <w:cantSplit/>
        </w:trPr>
        <w:tc>
          <w:tcPr>
            <w:tcW w:w="1329" w:type="pct"/>
            <w:tcBorders>
              <w:bottom w:val="single" w:sz="4" w:space="0" w:color="auto"/>
            </w:tcBorders>
            <w:vAlign w:val="center"/>
          </w:tcPr>
          <w:p w:rsidR="004B20E5" w:rsidRPr="009171C7" w:rsidDel="00F67FD0" w:rsidRDefault="004B20E5" w:rsidP="00125098">
            <w:pPr>
              <w:pStyle w:val="TableTitleNumeratoretc"/>
            </w:pPr>
            <w:r w:rsidRPr="00F67FD0">
              <w:t>How will this be measured?</w:t>
            </w:r>
          </w:p>
        </w:tc>
        <w:tc>
          <w:tcPr>
            <w:tcW w:w="3671" w:type="pct"/>
            <w:tcBorders>
              <w:bottom w:val="single" w:sz="4" w:space="0" w:color="auto"/>
            </w:tcBorders>
            <w:vAlign w:val="center"/>
          </w:tcPr>
          <w:p w:rsidR="004B20E5" w:rsidRPr="009718C8" w:rsidDel="00F67FD0" w:rsidRDefault="004B20E5" w:rsidP="009718C8">
            <w:pPr>
              <w:pStyle w:val="TableOutcomeMeasure"/>
            </w:pPr>
            <w:r w:rsidRPr="009718C8">
              <w:t>Ongoing communication and mo</w:t>
            </w:r>
            <w:r>
              <w:t>nitoring of quarterly reports.</w:t>
            </w:r>
            <w:r w:rsidRPr="009718C8">
              <w:t xml:space="preserve"> BSAS vendor, MA</w:t>
            </w:r>
            <w:r w:rsidR="00270196">
              <w:t xml:space="preserve"> </w:t>
            </w:r>
            <w:r w:rsidRPr="009718C8">
              <w:t>SBIRT Training and Technical Assistance (TTA), maintains a Google</w:t>
            </w:r>
            <w:r w:rsidR="002A6C56">
              <w:t xml:space="preserve"> </w:t>
            </w:r>
            <w:r w:rsidRPr="009718C8">
              <w:t xml:space="preserve">Docs reporting mechanism used by all trainers (staff and consultants) to report the date and type of training, topic, number trained and credentials of those trained. These can be compiled quarterly to measure progress and reach. </w:t>
            </w:r>
          </w:p>
        </w:tc>
      </w:tr>
    </w:tbl>
    <w:p w:rsidR="004B20E5" w:rsidRDefault="004B20E5" w:rsidP="009718C8">
      <w:pPr>
        <w:pStyle w:val="StrategiesCategoryTitles"/>
      </w:pPr>
    </w:p>
    <w:p w:rsidR="004B20E5" w:rsidRDefault="004B20E5" w:rsidP="007C27A3">
      <w:pPr>
        <w:pStyle w:val="TableTenEssenHlthFunct"/>
      </w:pPr>
      <w:r>
        <w:t>Mobilize Community Partnerships to Identify and Solve Health Problems</w:t>
      </w:r>
    </w:p>
    <w:p w:rsidR="004B20E5" w:rsidRPr="006256D0" w:rsidRDefault="004B20E5" w:rsidP="009718C8">
      <w:pPr>
        <w:pStyle w:val="TableStrategiesunderHealthFunctions"/>
      </w:pPr>
      <w:r w:rsidRPr="0046149F">
        <w:t>4.</w:t>
      </w:r>
      <w:r>
        <w:t>2</w:t>
      </w:r>
      <w:r w:rsidRPr="0046149F">
        <w:t>.</w:t>
      </w:r>
      <w:r>
        <w:t>1</w:t>
      </w:r>
      <w:r w:rsidRPr="0046149F">
        <w:tab/>
      </w:r>
      <w:r>
        <w:t xml:space="preserve">Consult with and coach practices to incorporate </w:t>
      </w:r>
      <w:r w:rsidRPr="00FD219E">
        <w:t xml:space="preserve">Screening, Brief Intervention, and Referral to Treatment </w:t>
      </w:r>
      <w:r>
        <w:t>(SBIRT) protocols into health care setting</w:t>
      </w:r>
      <w:r w:rsidR="00270196">
        <w:t>s</w:t>
      </w:r>
      <w:r>
        <w:t xml:space="preserve"> and practices, including primary care, hospitals, and school-based health practices in all middle and high schools.</w:t>
      </w:r>
    </w:p>
    <w:p w:rsidR="004B20E5" w:rsidRDefault="004B20E5" w:rsidP="007C27A3">
      <w:pPr>
        <w:pStyle w:val="TableTenEssenHlthFunct"/>
      </w:pPr>
      <w:r>
        <w:t>Assure a Competent Public and Personal Healthcare Workforce</w:t>
      </w:r>
    </w:p>
    <w:p w:rsidR="004B20E5" w:rsidRPr="0046149F" w:rsidRDefault="004B20E5" w:rsidP="009718C8">
      <w:pPr>
        <w:pStyle w:val="TableStrategiesunderHealthFunctions"/>
      </w:pPr>
      <w:r>
        <w:t>4.2.2</w:t>
      </w:r>
      <w:r w:rsidRPr="0046149F">
        <w:tab/>
      </w:r>
      <w:r>
        <w:t>Promote practitioner use of</w:t>
      </w:r>
      <w:r w:rsidR="00270196">
        <w:t xml:space="preserve"> </w:t>
      </w:r>
      <w:r>
        <w:t xml:space="preserve">validated screening tools for adults and youth when screening for alcohol and other drug use.  </w:t>
      </w:r>
    </w:p>
    <w:p w:rsidR="004B20E5" w:rsidRDefault="004B20E5" w:rsidP="009718C8">
      <w:pPr>
        <w:pStyle w:val="TableStrategiesunderHealthFunctions"/>
      </w:pPr>
      <w:r w:rsidRPr="0046149F">
        <w:t>4.</w:t>
      </w:r>
      <w:r>
        <w:t>2</w:t>
      </w:r>
      <w:r w:rsidRPr="0046149F">
        <w:t>.</w:t>
      </w:r>
      <w:r>
        <w:t>3</w:t>
      </w:r>
      <w:r w:rsidRPr="0046149F">
        <w:tab/>
        <w:t>Conduct and promote provider training to implement culturally-competent screening</w:t>
      </w:r>
      <w:r>
        <w:t xml:space="preserve"> and interventions.</w:t>
      </w:r>
    </w:p>
    <w:p w:rsidR="004B20E5" w:rsidRPr="0046149F" w:rsidRDefault="004B20E5" w:rsidP="009718C8">
      <w:pPr>
        <w:pStyle w:val="TableStrategiesunderHealthFunctions"/>
      </w:pPr>
      <w:r w:rsidRPr="0046149F">
        <w:t>4.</w:t>
      </w:r>
      <w:r>
        <w:t>2</w:t>
      </w:r>
      <w:r w:rsidRPr="0046149F">
        <w:t>.</w:t>
      </w:r>
      <w:r>
        <w:t>4</w:t>
      </w:r>
      <w:r w:rsidRPr="0046149F">
        <w:tab/>
      </w:r>
      <w:r>
        <w:t>Offer SBIRT training and technical assistance to healthcare, social service and behavioral health providers.</w:t>
      </w:r>
    </w:p>
    <w:p w:rsidR="004B20E5" w:rsidRDefault="004B20E5" w:rsidP="009718C8">
      <w:pPr>
        <w:pStyle w:val="TableStrategiesunderHealthFunctions"/>
        <w:rPr>
          <w:rFonts w:eastAsia="MS Mincho"/>
        </w:rPr>
      </w:pPr>
      <w:r>
        <w:t>4.2.5</w:t>
      </w:r>
      <w:r>
        <w:tab/>
        <w:t xml:space="preserve">Collaborate with </w:t>
      </w:r>
      <w:r w:rsidRPr="00FD219E">
        <w:rPr>
          <w:rFonts w:eastAsia="MS Mincho"/>
        </w:rPr>
        <w:t xml:space="preserve">Massachusetts Child Psychiatry Access Project </w:t>
      </w:r>
      <w:r>
        <w:rPr>
          <w:rFonts w:eastAsia="MS Mincho"/>
        </w:rPr>
        <w:t xml:space="preserve">(MCPAP) to train and coach pediatricians and family practitioners in using SBIRT. </w:t>
      </w:r>
    </w:p>
    <w:p w:rsidR="004B20E5" w:rsidRPr="006256D0" w:rsidRDefault="004B20E5" w:rsidP="009718C8">
      <w:pPr>
        <w:pStyle w:val="TableStrategiesunderHealthFunctions"/>
      </w:pPr>
      <w:r>
        <w:t>4.2.6</w:t>
      </w:r>
      <w:r>
        <w:tab/>
        <w:t xml:space="preserve">Support the availability of validated screening tools that are translated </w:t>
      </w:r>
      <w:r w:rsidRPr="00161EF6">
        <w:t>and culturally adapted</w:t>
      </w:r>
      <w:r w:rsidR="00270196">
        <w:t xml:space="preserve"> </w:t>
      </w:r>
      <w:r>
        <w:t>for various patient populations.</w:t>
      </w:r>
    </w:p>
    <w:p w:rsidR="004B20E5" w:rsidRDefault="004B20E5" w:rsidP="004E0856">
      <w:pPr>
        <w:pStyle w:val="StrategiesTitle"/>
      </w:pPr>
      <w:r>
        <w:br w:type="page"/>
      </w:r>
    </w:p>
    <w:p w:rsidR="004B20E5" w:rsidRDefault="004B20E5" w:rsidP="004E0856">
      <w:pPr>
        <w:pStyle w:val="StrategiesTitle"/>
      </w:pPr>
    </w:p>
    <w:p w:rsidR="004B20E5" w:rsidRDefault="004B20E5" w:rsidP="00CB2B0E">
      <w:pPr>
        <w:pStyle w:val="ObjectiveStatement"/>
      </w:pPr>
      <w:r>
        <w:t>Measure 4.3:</w:t>
      </w:r>
      <w:r>
        <w:tab/>
        <w:t>Reduce a specified multiple provider episode (MPE) rate in the state by 20% (i.e., the number of individuals who receive at least one Schedule II and/or III prescription opi</w:t>
      </w:r>
      <w:r w:rsidR="00797853">
        <w:t>oid</w:t>
      </w:r>
      <w:r>
        <w:t xml:space="preserve"> from 4 </w:t>
      </w:r>
      <w:r w:rsidR="00797853">
        <w:t xml:space="preserve">or more </w:t>
      </w:r>
      <w:r>
        <w:t xml:space="preserve">different prescribers and 4 </w:t>
      </w:r>
      <w:r w:rsidR="00797853">
        <w:t xml:space="preserve">or more </w:t>
      </w:r>
      <w:r>
        <w:t>different pharmacies during the calendar year divided by the state population).</w:t>
      </w:r>
    </w:p>
    <w:p w:rsidR="004B20E5" w:rsidRPr="00093C24" w:rsidRDefault="004B20E5" w:rsidP="009718C8">
      <w:pPr>
        <w:pStyle w:val="StrategiesCategoryTitles"/>
      </w:pP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125098">
        <w:trPr>
          <w:cantSplit/>
        </w:trPr>
        <w:tc>
          <w:tcPr>
            <w:tcW w:w="1329"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125098">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125098">
            <w:pPr>
              <w:pStyle w:val="TableTitleBaseline2020Target"/>
            </w:pPr>
            <w:r w:rsidRPr="00666093">
              <w:t>2020 Target</w:t>
            </w:r>
          </w:p>
        </w:tc>
        <w:tc>
          <w:tcPr>
            <w:tcW w:w="1861" w:type="pct"/>
            <w:tcBorders>
              <w:top w:val="single" w:sz="4" w:space="0" w:color="auto"/>
              <w:bottom w:val="single" w:sz="4" w:space="0" w:color="auto"/>
            </w:tcBorders>
            <w:vAlign w:val="center"/>
          </w:tcPr>
          <w:p w:rsidR="004B20E5" w:rsidRPr="00666093" w:rsidRDefault="004B20E5" w:rsidP="00125098">
            <w:pPr>
              <w:pStyle w:val="TableTitleTargetDataSource"/>
            </w:pPr>
            <w:r w:rsidRPr="00666093">
              <w:t>Data Source</w:t>
            </w:r>
          </w:p>
        </w:tc>
      </w:tr>
      <w:tr w:rsidR="004B20E5" w:rsidRPr="00470CC6" w:rsidTr="00125098">
        <w:trPr>
          <w:cantSplit/>
        </w:trPr>
        <w:tc>
          <w:tcPr>
            <w:tcW w:w="1329" w:type="pct"/>
            <w:tcBorders>
              <w:top w:val="single" w:sz="4" w:space="0" w:color="auto"/>
              <w:bottom w:val="single" w:sz="4" w:space="0" w:color="auto"/>
            </w:tcBorders>
            <w:vAlign w:val="center"/>
          </w:tcPr>
          <w:p w:rsidR="004B20E5" w:rsidRPr="00470CC6" w:rsidRDefault="004B20E5" w:rsidP="009718C8">
            <w:pPr>
              <w:pStyle w:val="TableOutcomeMeasure"/>
            </w:pPr>
            <w:r>
              <w:t xml:space="preserve">Rate per 100,000 individuals </w:t>
            </w:r>
            <w:r w:rsidRPr="00851A74">
              <w:t>who receive</w:t>
            </w:r>
            <w:r>
              <w:t>d</w:t>
            </w:r>
            <w:r w:rsidRPr="00851A74">
              <w:t xml:space="preserve"> at least one </w:t>
            </w:r>
            <w:r>
              <w:t xml:space="preserve">Schedule </w:t>
            </w:r>
            <w:r w:rsidRPr="00851A74">
              <w:t xml:space="preserve">II and/or </w:t>
            </w:r>
            <w:r>
              <w:t>I</w:t>
            </w:r>
            <w:r w:rsidRPr="00851A74">
              <w:t xml:space="preserve">II </w:t>
            </w:r>
            <w:r>
              <w:t>prescription</w:t>
            </w:r>
            <w:r w:rsidRPr="00851A74">
              <w:t xml:space="preserve"> opi</w:t>
            </w:r>
            <w:r w:rsidR="00C8042B">
              <w:t>oid</w:t>
            </w:r>
            <w:r w:rsidRPr="00851A74">
              <w:t xml:space="preserve"> from 4 </w:t>
            </w:r>
            <w:r w:rsidR="00797853">
              <w:t xml:space="preserve">or more </w:t>
            </w:r>
            <w:r w:rsidRPr="00851A74">
              <w:t xml:space="preserve">different prescribers and 4 </w:t>
            </w:r>
            <w:r w:rsidR="00797853">
              <w:t xml:space="preserve">or more </w:t>
            </w:r>
            <w:r w:rsidRPr="00851A74">
              <w:t>different pharmacies during the year</w:t>
            </w:r>
            <w:r>
              <w:t xml:space="preserve">.  </w:t>
            </w:r>
            <w:r w:rsidRPr="00851A74">
              <w:t xml:space="preserve">4 </w:t>
            </w:r>
            <w:r w:rsidR="00797853">
              <w:t xml:space="preserve">or more </w:t>
            </w:r>
            <w:r w:rsidRPr="00851A74">
              <w:t xml:space="preserve">different prescribers and 4 </w:t>
            </w:r>
            <w:r w:rsidR="00797853">
              <w:t xml:space="preserve">or more </w:t>
            </w:r>
            <w:r w:rsidRPr="00851A74">
              <w:t>different pharmacies during the year</w:t>
            </w:r>
            <w:r>
              <w:t xml:space="preserve"> is the multiple provider episode (MPE) threshold</w:t>
            </w:r>
            <w:r w:rsidRPr="00851A74">
              <w:t>.</w:t>
            </w:r>
          </w:p>
        </w:tc>
        <w:tc>
          <w:tcPr>
            <w:tcW w:w="905" w:type="pct"/>
            <w:tcBorders>
              <w:top w:val="single" w:sz="4" w:space="0" w:color="auto"/>
              <w:bottom w:val="single" w:sz="4" w:space="0" w:color="auto"/>
            </w:tcBorders>
            <w:vAlign w:val="center"/>
          </w:tcPr>
          <w:p w:rsidR="004B20E5" w:rsidRDefault="004B20E5" w:rsidP="009718C8">
            <w:pPr>
              <w:pStyle w:val="TableBaseline2020Target"/>
            </w:pPr>
            <w:r>
              <w:t>Number:</w:t>
            </w:r>
          </w:p>
          <w:p w:rsidR="004B20E5" w:rsidRDefault="004B20E5" w:rsidP="009718C8">
            <w:pPr>
              <w:pStyle w:val="TableBaseline2020Target"/>
            </w:pPr>
            <w:r>
              <w:t>17,709</w:t>
            </w:r>
          </w:p>
          <w:p w:rsidR="004B20E5" w:rsidRDefault="004B20E5" w:rsidP="009718C8">
            <w:pPr>
              <w:pStyle w:val="TableBaseline2020Target"/>
            </w:pPr>
          </w:p>
          <w:p w:rsidR="004B20E5" w:rsidRPr="00093C24" w:rsidRDefault="004B20E5" w:rsidP="009718C8">
            <w:pPr>
              <w:pStyle w:val="TableBaseline2020Target"/>
            </w:pPr>
            <w:r>
              <w:t>Rate: 266.5/100,000</w:t>
            </w:r>
          </w:p>
        </w:tc>
        <w:tc>
          <w:tcPr>
            <w:tcW w:w="905" w:type="pct"/>
            <w:tcBorders>
              <w:top w:val="single" w:sz="4" w:space="0" w:color="auto"/>
              <w:bottom w:val="single" w:sz="4" w:space="0" w:color="auto"/>
            </w:tcBorders>
            <w:vAlign w:val="center"/>
          </w:tcPr>
          <w:p w:rsidR="004B20E5" w:rsidRDefault="004B20E5" w:rsidP="009718C8">
            <w:pPr>
              <w:pStyle w:val="TableBaseline2020Target"/>
            </w:pPr>
            <w:r>
              <w:t>Target MPE Rate:</w:t>
            </w:r>
          </w:p>
          <w:p w:rsidR="004B20E5" w:rsidRPr="00093C24" w:rsidRDefault="004B20E5" w:rsidP="009718C8">
            <w:pPr>
              <w:pStyle w:val="TableBaseline2020Target"/>
            </w:pPr>
            <w:r>
              <w:t>218/100,000</w:t>
            </w:r>
          </w:p>
        </w:tc>
        <w:tc>
          <w:tcPr>
            <w:tcW w:w="1861" w:type="pct"/>
            <w:tcBorders>
              <w:top w:val="single" w:sz="4" w:space="0" w:color="auto"/>
              <w:bottom w:val="single" w:sz="4" w:space="0" w:color="auto"/>
            </w:tcBorders>
            <w:vAlign w:val="center"/>
          </w:tcPr>
          <w:p w:rsidR="004B20E5" w:rsidRPr="00470CC6" w:rsidRDefault="004B20E5" w:rsidP="009718C8">
            <w:pPr>
              <w:pStyle w:val="TableDataSource"/>
            </w:pPr>
            <w:r>
              <w:t>MA ambulatory pharmacies and out-of-state pharmacies delivering to MA residents report dispensing data on all Schedule II – V prescriptions</w:t>
            </w:r>
          </w:p>
        </w:tc>
      </w:tr>
    </w:tbl>
    <w:p w:rsidR="004B20E5" w:rsidRDefault="004B20E5" w:rsidP="009718C8">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7"/>
        <w:gridCol w:w="6212"/>
      </w:tblGrid>
      <w:tr w:rsidR="004B20E5" w:rsidRPr="00666093" w:rsidDel="00F67FD0" w:rsidTr="009718C8">
        <w:trPr>
          <w:cantSplit/>
        </w:trPr>
        <w:tc>
          <w:tcPr>
            <w:tcW w:w="1328" w:type="pct"/>
            <w:tcBorders>
              <w:top w:val="single" w:sz="4" w:space="0" w:color="auto"/>
            </w:tcBorders>
          </w:tcPr>
          <w:p w:rsidR="004B20E5" w:rsidRPr="009171C7" w:rsidDel="00F67FD0" w:rsidRDefault="004B20E5" w:rsidP="009718C8">
            <w:pPr>
              <w:pStyle w:val="TableTitleNumeratoretc"/>
            </w:pPr>
            <w:r w:rsidRPr="00A367E5">
              <w:t>Numerator</w:t>
            </w:r>
            <w:r>
              <w:t>:</w:t>
            </w:r>
          </w:p>
        </w:tc>
        <w:tc>
          <w:tcPr>
            <w:tcW w:w="3672" w:type="pct"/>
            <w:tcBorders>
              <w:top w:val="single" w:sz="4" w:space="0" w:color="auto"/>
            </w:tcBorders>
            <w:vAlign w:val="center"/>
          </w:tcPr>
          <w:p w:rsidR="004B20E5" w:rsidRPr="009718C8" w:rsidDel="00F67FD0" w:rsidRDefault="004B20E5" w:rsidP="009718C8">
            <w:pPr>
              <w:pStyle w:val="TableOutcomeMeasure"/>
            </w:pPr>
            <w:r w:rsidRPr="009718C8">
              <w:t>Number of individuals who meet the MPE threshold specified above</w:t>
            </w:r>
          </w:p>
        </w:tc>
      </w:tr>
      <w:tr w:rsidR="004B20E5" w:rsidRPr="00666093" w:rsidDel="00F67FD0" w:rsidTr="009718C8">
        <w:trPr>
          <w:cantSplit/>
        </w:trPr>
        <w:tc>
          <w:tcPr>
            <w:tcW w:w="1328" w:type="pct"/>
          </w:tcPr>
          <w:p w:rsidR="004B20E5" w:rsidRPr="009171C7" w:rsidDel="00F67FD0" w:rsidRDefault="004B20E5" w:rsidP="009718C8">
            <w:pPr>
              <w:pStyle w:val="TableTitleNumeratoretc"/>
            </w:pPr>
            <w:r w:rsidRPr="00A367E5">
              <w:t>Denominator</w:t>
            </w:r>
            <w:r>
              <w:t>:</w:t>
            </w:r>
          </w:p>
        </w:tc>
        <w:tc>
          <w:tcPr>
            <w:tcW w:w="3672" w:type="pct"/>
            <w:vAlign w:val="center"/>
          </w:tcPr>
          <w:p w:rsidR="004B20E5" w:rsidRPr="009718C8" w:rsidDel="00F67FD0" w:rsidRDefault="004B20E5" w:rsidP="009718C8">
            <w:pPr>
              <w:pStyle w:val="TableOutcomeMeasure"/>
            </w:pPr>
            <w:r w:rsidRPr="009718C8">
              <w:t>The population of Massachusetts for baseline year</w:t>
            </w:r>
          </w:p>
        </w:tc>
      </w:tr>
      <w:tr w:rsidR="004B20E5" w:rsidRPr="00666093" w:rsidDel="00F67FD0" w:rsidTr="009718C8">
        <w:trPr>
          <w:cantSplit/>
        </w:trPr>
        <w:tc>
          <w:tcPr>
            <w:tcW w:w="1328" w:type="pct"/>
          </w:tcPr>
          <w:p w:rsidR="004B20E5" w:rsidRPr="009171C7" w:rsidDel="00F67FD0" w:rsidRDefault="004B20E5" w:rsidP="009718C8">
            <w:pPr>
              <w:pStyle w:val="TableTitleNumeratoretc"/>
            </w:pPr>
            <w:r w:rsidRPr="00A367E5">
              <w:t>Exclusions</w:t>
            </w:r>
            <w:r>
              <w:t>:</w:t>
            </w:r>
          </w:p>
        </w:tc>
        <w:tc>
          <w:tcPr>
            <w:tcW w:w="3672" w:type="pct"/>
            <w:vAlign w:val="center"/>
          </w:tcPr>
          <w:p w:rsidR="004B20E5" w:rsidRPr="009718C8" w:rsidDel="00F67FD0" w:rsidRDefault="004B20E5" w:rsidP="009718C8">
            <w:pPr>
              <w:pStyle w:val="TableOutcomeMeasure"/>
            </w:pPr>
            <w:r w:rsidRPr="009718C8">
              <w:t>None</w:t>
            </w:r>
          </w:p>
        </w:tc>
      </w:tr>
      <w:tr w:rsidR="004B20E5" w:rsidRPr="00666093" w:rsidDel="00F67FD0" w:rsidTr="009718C8">
        <w:trPr>
          <w:cantSplit/>
        </w:trPr>
        <w:tc>
          <w:tcPr>
            <w:tcW w:w="1328" w:type="pct"/>
            <w:vAlign w:val="center"/>
          </w:tcPr>
          <w:p w:rsidR="004B20E5" w:rsidRPr="009171C7" w:rsidDel="00F67FD0" w:rsidRDefault="004B20E5" w:rsidP="009718C8">
            <w:pPr>
              <w:pStyle w:val="TableTitleNumeratoretc"/>
            </w:pPr>
            <w:r w:rsidRPr="00F67FD0">
              <w:t>Timeframe</w:t>
            </w:r>
            <w:r>
              <w:t>:</w:t>
            </w:r>
          </w:p>
        </w:tc>
        <w:tc>
          <w:tcPr>
            <w:tcW w:w="3672" w:type="pct"/>
            <w:vAlign w:val="center"/>
          </w:tcPr>
          <w:p w:rsidR="004B20E5" w:rsidRPr="009718C8" w:rsidDel="00F67FD0" w:rsidRDefault="004B20E5" w:rsidP="009718C8">
            <w:pPr>
              <w:pStyle w:val="TableOutcomeMeasure"/>
            </w:pPr>
            <w:r w:rsidRPr="009718C8">
              <w:t>Annual measure</w:t>
            </w:r>
          </w:p>
        </w:tc>
      </w:tr>
      <w:tr w:rsidR="004B20E5" w:rsidRPr="00666093" w:rsidDel="00F67FD0" w:rsidTr="009718C8">
        <w:trPr>
          <w:cantSplit/>
        </w:trPr>
        <w:tc>
          <w:tcPr>
            <w:tcW w:w="1328" w:type="pct"/>
            <w:tcBorders>
              <w:bottom w:val="single" w:sz="4" w:space="0" w:color="auto"/>
            </w:tcBorders>
            <w:vAlign w:val="center"/>
          </w:tcPr>
          <w:p w:rsidR="004B20E5" w:rsidRPr="009171C7" w:rsidDel="00F67FD0" w:rsidRDefault="004B20E5" w:rsidP="009718C8">
            <w:pPr>
              <w:pStyle w:val="TableTitleNumeratoretc"/>
            </w:pPr>
            <w:r w:rsidRPr="00F67FD0">
              <w:t>How will this be measured?</w:t>
            </w:r>
          </w:p>
        </w:tc>
        <w:tc>
          <w:tcPr>
            <w:tcW w:w="3672" w:type="pct"/>
            <w:tcBorders>
              <w:bottom w:val="single" w:sz="4" w:space="0" w:color="auto"/>
            </w:tcBorders>
            <w:vAlign w:val="center"/>
          </w:tcPr>
          <w:p w:rsidR="004B20E5" w:rsidRPr="009718C8" w:rsidDel="00F67FD0" w:rsidRDefault="004B20E5" w:rsidP="009718C8">
            <w:pPr>
              <w:pStyle w:val="TableOutcomeMeasure"/>
            </w:pPr>
            <w:r w:rsidRPr="009718C8">
              <w:t>Query the MA PMP database using an algorithm developed by MA PMP that identifies individuals with specified MPE thresholds within a sp</w:t>
            </w:r>
            <w:r>
              <w:t>ecified date range</w:t>
            </w:r>
          </w:p>
        </w:tc>
      </w:tr>
    </w:tbl>
    <w:p w:rsidR="004B20E5" w:rsidRDefault="004B20E5" w:rsidP="004E0856">
      <w:pPr>
        <w:ind w:left="1170" w:hanging="990"/>
        <w:rPr>
          <w:rFonts w:cs="Arial"/>
        </w:rPr>
      </w:pPr>
    </w:p>
    <w:p w:rsidR="004B20E5" w:rsidRDefault="004B20E5" w:rsidP="007C27A3">
      <w:pPr>
        <w:pStyle w:val="TableTenEssenHlthFunct"/>
      </w:pPr>
      <w:r>
        <w:t>Monitor Health to Identify and Solve Community Health Problems</w:t>
      </w:r>
    </w:p>
    <w:p w:rsidR="004B20E5" w:rsidRPr="009718C8" w:rsidRDefault="004B20E5" w:rsidP="009718C8">
      <w:pPr>
        <w:pStyle w:val="TableStrategiesunderHealthFunctions"/>
      </w:pPr>
      <w:r w:rsidRPr="009718C8">
        <w:t>4.3.1</w:t>
      </w:r>
      <w:r w:rsidRPr="009718C8">
        <w:tab/>
        <w:t>Send out monthly electronic alert notifications to prescribers for those patients that meet a specified MPE threshold.</w:t>
      </w:r>
    </w:p>
    <w:p w:rsidR="004B20E5" w:rsidRDefault="004B20E5" w:rsidP="007C27A3">
      <w:pPr>
        <w:pStyle w:val="TableTenEssenHlthFunct"/>
      </w:pPr>
      <w:r>
        <w:t>Inform, Educate, and Empower People About Health Issues</w:t>
      </w:r>
    </w:p>
    <w:p w:rsidR="004B20E5" w:rsidRDefault="004B20E5" w:rsidP="009718C8">
      <w:pPr>
        <w:pStyle w:val="TableStrategiesunderHealthFunctions"/>
      </w:pPr>
      <w:r w:rsidRPr="00F54731">
        <w:t>4.</w:t>
      </w:r>
      <w:r>
        <w:t>3.2</w:t>
      </w:r>
      <w:r>
        <w:tab/>
        <w:t xml:space="preserve">Develop and disseminate county- and community-level PMP reports to help educate </w:t>
      </w:r>
      <w:r w:rsidR="00797853">
        <w:t xml:space="preserve">the </w:t>
      </w:r>
      <w:r>
        <w:t>public about controlled drug prescribing trends.</w:t>
      </w:r>
    </w:p>
    <w:p w:rsidR="004B20E5" w:rsidRDefault="004B20E5" w:rsidP="00345DC7">
      <w:pPr>
        <w:pStyle w:val="TableTenEssenHlthFunct"/>
      </w:pPr>
      <w:r>
        <w:t>Mobilize Community Partnerships to Identify and Solve Health Problems</w:t>
      </w:r>
    </w:p>
    <w:p w:rsidR="004B20E5" w:rsidRDefault="004B20E5" w:rsidP="009718C8">
      <w:pPr>
        <w:pStyle w:val="TableStrategiesunderHealthFunctions"/>
      </w:pPr>
      <w:r w:rsidRPr="00F54731">
        <w:t>4.</w:t>
      </w:r>
      <w:r>
        <w:t xml:space="preserve">3.3 </w:t>
      </w:r>
      <w:r>
        <w:tab/>
        <w:t>Educate local law enforcement community about detecting controlled prescription drug diversion and misuse.</w:t>
      </w:r>
    </w:p>
    <w:p w:rsidR="004B20E5" w:rsidRDefault="004B20E5" w:rsidP="007C27A3">
      <w:pPr>
        <w:pStyle w:val="TableTenEssenHlthFunct"/>
      </w:pPr>
      <w:r>
        <w:t>Develop Policies and Plans That Support Individual and Community Health Efforts</w:t>
      </w:r>
    </w:p>
    <w:p w:rsidR="004B20E5" w:rsidRDefault="004B20E5" w:rsidP="009718C8">
      <w:pPr>
        <w:pStyle w:val="TableStrategiesunderHealthFunctions"/>
      </w:pPr>
      <w:r w:rsidRPr="00F54731">
        <w:t>4.</w:t>
      </w:r>
      <w:r>
        <w:t>3.4</w:t>
      </w:r>
      <w:r>
        <w:tab/>
        <w:t>Achieve maximum enrollment of practitioners into the MA Online PMP through automatic enrollment process.</w:t>
      </w:r>
    </w:p>
    <w:p w:rsidR="004B20E5" w:rsidRPr="00F54731" w:rsidRDefault="004B20E5" w:rsidP="007C27A3">
      <w:pPr>
        <w:pStyle w:val="TableTenEssenHlthFunct"/>
      </w:pPr>
      <w:r>
        <w:t>Enforce Laws and Regulations That Protect Health and Ensure Safety</w:t>
      </w:r>
    </w:p>
    <w:p w:rsidR="004B20E5" w:rsidRPr="006256D0" w:rsidRDefault="004B20E5" w:rsidP="009718C8">
      <w:pPr>
        <w:pStyle w:val="TableStrategiesunderHealthFunctions"/>
      </w:pPr>
      <w:r w:rsidRPr="00F54731">
        <w:t>4.</w:t>
      </w:r>
      <w:r>
        <w:t>3.5</w:t>
      </w:r>
      <w:r w:rsidRPr="00F54731">
        <w:tab/>
      </w:r>
      <w:r>
        <w:t>Communicate new statutory requirements t</w:t>
      </w:r>
      <w:r w:rsidR="00797853">
        <w:t>hat</w:t>
      </w:r>
      <w:r>
        <w:t xml:space="preserve"> mandate use of the MA Online PMP prior to prescribing certain controlled drugs </w:t>
      </w:r>
      <w:r w:rsidR="00797853">
        <w:t xml:space="preserve">to a patient for the first time </w:t>
      </w:r>
      <w:r>
        <w:t>(e.g., Schedule II and III opioids).</w:t>
      </w:r>
    </w:p>
    <w:p w:rsidR="004B20E5" w:rsidRDefault="004B20E5" w:rsidP="007C27A3">
      <w:pPr>
        <w:pStyle w:val="TableTenEssenHlthFunct"/>
      </w:pPr>
      <w:r>
        <w:t>Assure a Competent Public and Personal Healthcare Workforce</w:t>
      </w:r>
    </w:p>
    <w:p w:rsidR="004B20E5" w:rsidRDefault="004B20E5" w:rsidP="009718C8">
      <w:pPr>
        <w:pStyle w:val="TableStrategiesunderHealthFunctions"/>
      </w:pPr>
      <w:r w:rsidRPr="00F54731">
        <w:t>4.</w:t>
      </w:r>
      <w:r>
        <w:t>3.6</w:t>
      </w:r>
      <w:r w:rsidRPr="00F54731">
        <w:tab/>
      </w:r>
      <w:r>
        <w:t xml:space="preserve">Develop training videos for end users within </w:t>
      </w:r>
      <w:r w:rsidR="00797853">
        <w:t xml:space="preserve">the </w:t>
      </w:r>
      <w:r>
        <w:t>provider community (prescribers, dispensers, and delegates) on how to use the MA Online PMP</w:t>
      </w:r>
      <w:r w:rsidRPr="00F54731">
        <w:t>.</w:t>
      </w:r>
    </w:p>
    <w:p w:rsidR="004B20E5" w:rsidRDefault="004B20E5" w:rsidP="004E0856">
      <w:pPr>
        <w:ind w:left="1170" w:hanging="990"/>
        <w:rPr>
          <w:rFonts w:cs="Arial"/>
        </w:rPr>
      </w:pPr>
    </w:p>
    <w:p w:rsidR="004B20E5" w:rsidRDefault="004B20E5" w:rsidP="00CB2B0E">
      <w:pPr>
        <w:pStyle w:val="ObjectiveStatement"/>
      </w:pPr>
      <w:r>
        <w:lastRenderedPageBreak/>
        <w:t>Measure 4.4:</w:t>
      </w:r>
      <w:r>
        <w:tab/>
        <w:t xml:space="preserve">Reduce the number of individuals identified per year with </w:t>
      </w:r>
      <w:r w:rsidR="00797853">
        <w:t xml:space="preserve">combined opioid prescriptions with </w:t>
      </w:r>
      <w:r>
        <w:t>an average morphine milligram equivalent (MME) greater than 100 mg per day</w:t>
      </w:r>
      <w:r w:rsidR="00797853">
        <w:t xml:space="preserve"> </w:t>
      </w:r>
      <w:r>
        <w:t>by 10%.</w:t>
      </w:r>
    </w:p>
    <w:p w:rsidR="004B20E5" w:rsidRPr="00093C24" w:rsidRDefault="004B20E5" w:rsidP="00FC2F85">
      <w:pPr>
        <w:pStyle w:val="StrategiesCategoryTitles"/>
      </w:pP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125098">
        <w:trPr>
          <w:cantSplit/>
        </w:trPr>
        <w:tc>
          <w:tcPr>
            <w:tcW w:w="1329"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125098">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125098">
            <w:pPr>
              <w:pStyle w:val="TableTitleBaseline2020Target"/>
            </w:pPr>
            <w:r w:rsidRPr="00666093">
              <w:t>2020 Target</w:t>
            </w:r>
          </w:p>
        </w:tc>
        <w:tc>
          <w:tcPr>
            <w:tcW w:w="1861" w:type="pct"/>
            <w:tcBorders>
              <w:top w:val="single" w:sz="4" w:space="0" w:color="auto"/>
              <w:bottom w:val="single" w:sz="4" w:space="0" w:color="auto"/>
            </w:tcBorders>
            <w:vAlign w:val="center"/>
          </w:tcPr>
          <w:p w:rsidR="004B20E5" w:rsidRPr="00666093" w:rsidRDefault="004B20E5" w:rsidP="00125098">
            <w:pPr>
              <w:pStyle w:val="TableTitleTargetDataSource"/>
            </w:pPr>
            <w:r w:rsidRPr="00666093">
              <w:t>Data Source</w:t>
            </w:r>
          </w:p>
        </w:tc>
      </w:tr>
      <w:tr w:rsidR="004B20E5" w:rsidRPr="00470CC6" w:rsidTr="00125098">
        <w:trPr>
          <w:cantSplit/>
        </w:trPr>
        <w:tc>
          <w:tcPr>
            <w:tcW w:w="1329" w:type="pct"/>
            <w:tcBorders>
              <w:top w:val="single" w:sz="4" w:space="0" w:color="auto"/>
              <w:bottom w:val="single" w:sz="4" w:space="0" w:color="auto"/>
            </w:tcBorders>
            <w:vAlign w:val="center"/>
          </w:tcPr>
          <w:p w:rsidR="004B20E5" w:rsidRPr="00470CC6" w:rsidRDefault="004B20E5" w:rsidP="00797853">
            <w:pPr>
              <w:pStyle w:val="TableOutcomeMeasure"/>
            </w:pPr>
            <w:r>
              <w:t>Num</w:t>
            </w:r>
            <w:r w:rsidRPr="00851A74">
              <w:t xml:space="preserve">ber of individuals </w:t>
            </w:r>
            <w:r w:rsidR="00797853">
              <w:t xml:space="preserve">with combined opioid prescriptions with </w:t>
            </w:r>
            <w:r>
              <w:t>an average MME greater than 100 mg per day over the specified one year time period</w:t>
            </w:r>
          </w:p>
        </w:tc>
        <w:tc>
          <w:tcPr>
            <w:tcW w:w="905" w:type="pct"/>
            <w:tcBorders>
              <w:top w:val="single" w:sz="4" w:space="0" w:color="auto"/>
              <w:bottom w:val="single" w:sz="4" w:space="0" w:color="auto"/>
            </w:tcBorders>
            <w:vAlign w:val="center"/>
          </w:tcPr>
          <w:p w:rsidR="004B20E5" w:rsidRDefault="004B20E5" w:rsidP="00FC2F85">
            <w:pPr>
              <w:pStyle w:val="TableTitleBaseline2020Target"/>
            </w:pPr>
            <w:r>
              <w:t>Number:</w:t>
            </w:r>
          </w:p>
          <w:p w:rsidR="004B20E5" w:rsidRDefault="004B20E5" w:rsidP="00FC2F85">
            <w:pPr>
              <w:pStyle w:val="TableTitleBaseline2020Target"/>
            </w:pPr>
            <w:r>
              <w:t>30,828</w:t>
            </w:r>
          </w:p>
          <w:p w:rsidR="004B20E5" w:rsidRPr="00093C24" w:rsidRDefault="004B20E5" w:rsidP="00FC2F85">
            <w:pPr>
              <w:pStyle w:val="TableBaseline2020Target"/>
            </w:pPr>
          </w:p>
        </w:tc>
        <w:tc>
          <w:tcPr>
            <w:tcW w:w="905" w:type="pct"/>
            <w:tcBorders>
              <w:top w:val="single" w:sz="4" w:space="0" w:color="auto"/>
              <w:bottom w:val="single" w:sz="4" w:space="0" w:color="auto"/>
            </w:tcBorders>
            <w:vAlign w:val="center"/>
          </w:tcPr>
          <w:p w:rsidR="004B20E5" w:rsidRDefault="004B20E5" w:rsidP="00FC2F85">
            <w:pPr>
              <w:pStyle w:val="TableTitleBaseline2020Target"/>
            </w:pPr>
            <w:r>
              <w:t>Number:</w:t>
            </w:r>
          </w:p>
          <w:p w:rsidR="004B20E5" w:rsidRDefault="004B20E5" w:rsidP="00FC2F85">
            <w:pPr>
              <w:pStyle w:val="TableTitleBaseline2020Target"/>
            </w:pPr>
            <w:r>
              <w:t>27,745</w:t>
            </w:r>
          </w:p>
          <w:p w:rsidR="004B20E5" w:rsidRPr="00093C24" w:rsidRDefault="004B20E5" w:rsidP="00FC2F85">
            <w:pPr>
              <w:pStyle w:val="TableBaseline2020Target"/>
            </w:pPr>
          </w:p>
        </w:tc>
        <w:tc>
          <w:tcPr>
            <w:tcW w:w="1861" w:type="pct"/>
            <w:tcBorders>
              <w:top w:val="single" w:sz="4" w:space="0" w:color="auto"/>
              <w:bottom w:val="single" w:sz="4" w:space="0" w:color="auto"/>
            </w:tcBorders>
            <w:vAlign w:val="center"/>
          </w:tcPr>
          <w:p w:rsidR="004B20E5" w:rsidRPr="00470CC6" w:rsidRDefault="004B20E5" w:rsidP="00FC2F85">
            <w:pPr>
              <w:pStyle w:val="TableDataSource"/>
            </w:pPr>
            <w:r>
              <w:t>MA ambulatory pharmacies and out-of-state pharmacies delivering to MA residents report dispensing data on all Schedule II – V prescriptions</w:t>
            </w:r>
          </w:p>
        </w:tc>
      </w:tr>
    </w:tbl>
    <w:p w:rsidR="004B20E5" w:rsidRDefault="004B20E5" w:rsidP="00FC2F85">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7"/>
        <w:gridCol w:w="6212"/>
      </w:tblGrid>
      <w:tr w:rsidR="004B20E5" w:rsidRPr="00666093" w:rsidDel="00F67FD0" w:rsidTr="00FC2F85">
        <w:trPr>
          <w:cantSplit/>
        </w:trPr>
        <w:tc>
          <w:tcPr>
            <w:tcW w:w="1328" w:type="pct"/>
            <w:tcBorders>
              <w:top w:val="single" w:sz="4" w:space="0" w:color="auto"/>
            </w:tcBorders>
          </w:tcPr>
          <w:p w:rsidR="004B20E5" w:rsidRPr="009171C7" w:rsidDel="00F67FD0" w:rsidRDefault="004B20E5" w:rsidP="00FC2F85">
            <w:pPr>
              <w:pStyle w:val="TableTitleNumeratoretc"/>
            </w:pPr>
            <w:r w:rsidRPr="00A367E5">
              <w:t>Numerator</w:t>
            </w:r>
            <w:r>
              <w:t>:</w:t>
            </w:r>
          </w:p>
        </w:tc>
        <w:tc>
          <w:tcPr>
            <w:tcW w:w="3672" w:type="pct"/>
            <w:tcBorders>
              <w:top w:val="single" w:sz="4" w:space="0" w:color="auto"/>
            </w:tcBorders>
            <w:vAlign w:val="center"/>
          </w:tcPr>
          <w:p w:rsidR="004B20E5" w:rsidRPr="00FC2F85" w:rsidRDefault="004B20E5" w:rsidP="00FC2F85">
            <w:pPr>
              <w:pStyle w:val="TableOutcomeMeasure"/>
            </w:pPr>
            <w:r w:rsidRPr="00FC2F85">
              <w:t>Number of individuals whose combined opi</w:t>
            </w:r>
            <w:r w:rsidR="00797853">
              <w:t>oid</w:t>
            </w:r>
            <w:r w:rsidRPr="00FC2F85">
              <w:t xml:space="preserve"> prescriptions exceed an average of 100 mg per day morphine equivalen</w:t>
            </w:r>
            <w:r w:rsidR="00797853">
              <w:t>ts</w:t>
            </w:r>
            <w:r w:rsidRPr="00FC2F85">
              <w:t xml:space="preserve"> over the year</w:t>
            </w:r>
          </w:p>
        </w:tc>
      </w:tr>
      <w:tr w:rsidR="004B20E5" w:rsidRPr="00666093" w:rsidDel="00F67FD0" w:rsidTr="00FC2F85">
        <w:trPr>
          <w:cantSplit/>
        </w:trPr>
        <w:tc>
          <w:tcPr>
            <w:tcW w:w="1328" w:type="pct"/>
          </w:tcPr>
          <w:p w:rsidR="004B20E5" w:rsidRPr="009171C7" w:rsidDel="00F67FD0" w:rsidRDefault="004B20E5" w:rsidP="00FC2F85">
            <w:pPr>
              <w:pStyle w:val="TableTitleNumeratoretc"/>
            </w:pPr>
            <w:r w:rsidRPr="00A367E5">
              <w:t>Denominator</w:t>
            </w:r>
            <w:r>
              <w:t>:</w:t>
            </w:r>
          </w:p>
        </w:tc>
        <w:tc>
          <w:tcPr>
            <w:tcW w:w="3672" w:type="pct"/>
            <w:vAlign w:val="center"/>
          </w:tcPr>
          <w:p w:rsidR="004B20E5" w:rsidRPr="00FC2F85" w:rsidRDefault="004B20E5" w:rsidP="00FC2F85">
            <w:pPr>
              <w:pStyle w:val="TableOutcomeMeasure"/>
            </w:pPr>
            <w:r w:rsidRPr="00FC2F85">
              <w:t>No denominator for this measure</w:t>
            </w:r>
          </w:p>
        </w:tc>
      </w:tr>
      <w:tr w:rsidR="004B20E5" w:rsidRPr="00666093" w:rsidDel="00F67FD0" w:rsidTr="00FC2F85">
        <w:trPr>
          <w:cantSplit/>
        </w:trPr>
        <w:tc>
          <w:tcPr>
            <w:tcW w:w="1328" w:type="pct"/>
          </w:tcPr>
          <w:p w:rsidR="004B20E5" w:rsidRPr="009171C7" w:rsidDel="00F67FD0" w:rsidRDefault="004B20E5" w:rsidP="00FC2F85">
            <w:pPr>
              <w:pStyle w:val="TableTitleNumeratoretc"/>
            </w:pPr>
            <w:r w:rsidRPr="00A367E5">
              <w:t>Exclusions</w:t>
            </w:r>
            <w:r>
              <w:t>:</w:t>
            </w:r>
          </w:p>
        </w:tc>
        <w:tc>
          <w:tcPr>
            <w:tcW w:w="3672" w:type="pct"/>
            <w:vAlign w:val="center"/>
          </w:tcPr>
          <w:p w:rsidR="004B20E5" w:rsidRPr="00FC2F85" w:rsidRDefault="004B20E5" w:rsidP="00FC2F85">
            <w:pPr>
              <w:pStyle w:val="TableOutcomeMeasure"/>
            </w:pPr>
            <w:r w:rsidRPr="00FC2F85">
              <w:t>None</w:t>
            </w:r>
          </w:p>
        </w:tc>
      </w:tr>
      <w:tr w:rsidR="004B20E5" w:rsidRPr="00666093" w:rsidDel="00F67FD0" w:rsidTr="00FC2F85">
        <w:trPr>
          <w:cantSplit/>
        </w:trPr>
        <w:tc>
          <w:tcPr>
            <w:tcW w:w="1328" w:type="pct"/>
            <w:vAlign w:val="center"/>
          </w:tcPr>
          <w:p w:rsidR="004B20E5" w:rsidRPr="009171C7" w:rsidDel="00F67FD0" w:rsidRDefault="004B20E5" w:rsidP="00FC2F85">
            <w:pPr>
              <w:pStyle w:val="TableTitleNumeratoretc"/>
            </w:pPr>
            <w:r w:rsidRPr="00F67FD0">
              <w:t>Timeframe</w:t>
            </w:r>
            <w:r>
              <w:t>:</w:t>
            </w:r>
          </w:p>
        </w:tc>
        <w:tc>
          <w:tcPr>
            <w:tcW w:w="3672" w:type="pct"/>
            <w:vAlign w:val="center"/>
          </w:tcPr>
          <w:p w:rsidR="004B20E5" w:rsidRPr="00FC2F85" w:rsidRDefault="004B20E5" w:rsidP="00FC2F85">
            <w:pPr>
              <w:pStyle w:val="TableOutcomeMeasure"/>
            </w:pPr>
            <w:r>
              <w:t>Annual</w:t>
            </w:r>
          </w:p>
        </w:tc>
      </w:tr>
      <w:tr w:rsidR="004B20E5" w:rsidRPr="00666093" w:rsidDel="00F67FD0" w:rsidTr="00FC2F85">
        <w:trPr>
          <w:cantSplit/>
        </w:trPr>
        <w:tc>
          <w:tcPr>
            <w:tcW w:w="1328" w:type="pct"/>
            <w:tcBorders>
              <w:bottom w:val="single" w:sz="4" w:space="0" w:color="auto"/>
            </w:tcBorders>
            <w:vAlign w:val="center"/>
          </w:tcPr>
          <w:p w:rsidR="004B20E5" w:rsidRPr="009171C7" w:rsidDel="00F67FD0" w:rsidRDefault="004B20E5" w:rsidP="00FC2F85">
            <w:pPr>
              <w:pStyle w:val="TableTitleNumeratoretc"/>
            </w:pPr>
            <w:r w:rsidRPr="00F67FD0">
              <w:t>How will this be measured?</w:t>
            </w:r>
          </w:p>
        </w:tc>
        <w:tc>
          <w:tcPr>
            <w:tcW w:w="3672" w:type="pct"/>
            <w:tcBorders>
              <w:bottom w:val="single" w:sz="4" w:space="0" w:color="auto"/>
            </w:tcBorders>
            <w:vAlign w:val="center"/>
          </w:tcPr>
          <w:p w:rsidR="004B20E5" w:rsidRPr="00FC2F85" w:rsidRDefault="004B20E5" w:rsidP="00FC2F85">
            <w:pPr>
              <w:pStyle w:val="TableOutcomeMeasure"/>
            </w:pPr>
            <w:r w:rsidRPr="00FC2F85">
              <w:t xml:space="preserve">Query the MA PMP database using a standardized morphine equivalent conversion factor table. An algorithm developed by MA PMP converts the daily dosages for opioids into MME. </w:t>
            </w:r>
          </w:p>
        </w:tc>
      </w:tr>
    </w:tbl>
    <w:p w:rsidR="004B20E5" w:rsidRDefault="004B20E5" w:rsidP="00FC2F85">
      <w:pPr>
        <w:ind w:left="1170" w:hanging="990"/>
        <w:rPr>
          <w:rFonts w:cs="Arial"/>
        </w:rPr>
      </w:pPr>
    </w:p>
    <w:p w:rsidR="004B20E5" w:rsidRDefault="004B20E5" w:rsidP="007C27A3">
      <w:pPr>
        <w:pStyle w:val="TableTenEssenHlthFunct"/>
      </w:pPr>
      <w:r>
        <w:t>Monitor Health to Identify and Solve Community Health Problems</w:t>
      </w:r>
    </w:p>
    <w:p w:rsidR="004B20E5" w:rsidRPr="006256D0" w:rsidRDefault="004B20E5" w:rsidP="00FC2F85">
      <w:pPr>
        <w:pStyle w:val="TableStrategiesunderHealthFunctions"/>
      </w:pPr>
      <w:r w:rsidRPr="00F54731">
        <w:t>4.</w:t>
      </w:r>
      <w:r>
        <w:t>4.1</w:t>
      </w:r>
      <w:r w:rsidRPr="00F54731">
        <w:tab/>
      </w:r>
      <w:r>
        <w:t>Send out monthly electronic alert notifications to prescribers for those patients that meet a specified MPE threshold.</w:t>
      </w:r>
    </w:p>
    <w:p w:rsidR="004B20E5" w:rsidRDefault="004B20E5" w:rsidP="007C27A3">
      <w:pPr>
        <w:pStyle w:val="TableTenEssenHlthFunct"/>
      </w:pPr>
      <w:r>
        <w:t>Inform, Educate, and Empower People About Health Issues</w:t>
      </w:r>
    </w:p>
    <w:p w:rsidR="004B20E5" w:rsidRDefault="004B20E5" w:rsidP="00FC2F85">
      <w:pPr>
        <w:pStyle w:val="TableStrategiesunderHealthFunctions"/>
      </w:pPr>
      <w:r w:rsidRPr="00F54731">
        <w:t>4.</w:t>
      </w:r>
      <w:r>
        <w:t>4.2</w:t>
      </w:r>
      <w:r>
        <w:tab/>
        <w:t xml:space="preserve">Develop and disseminate county- and community-level PMP reports to help educate </w:t>
      </w:r>
      <w:r w:rsidR="00595D41">
        <w:t xml:space="preserve">the </w:t>
      </w:r>
      <w:r>
        <w:t>public about controlled drug prescribing trends.</w:t>
      </w:r>
    </w:p>
    <w:p w:rsidR="004B20E5" w:rsidRDefault="004B20E5">
      <w:pPr>
        <w:pStyle w:val="TableTenEssenHlthFunct"/>
      </w:pPr>
      <w:r>
        <w:t>Mobilize Community Partnerships to Identify and Solve Health Problems</w:t>
      </w:r>
    </w:p>
    <w:p w:rsidR="004B20E5" w:rsidRDefault="004B20E5" w:rsidP="00FC2F85">
      <w:pPr>
        <w:pStyle w:val="TableStrategiesunderHealthFunctions"/>
      </w:pPr>
      <w:r w:rsidRPr="00F54731">
        <w:t>4.</w:t>
      </w:r>
      <w:r>
        <w:t>4.3</w:t>
      </w:r>
      <w:r>
        <w:tab/>
        <w:t>Educate local law enforcement community about detecting controlled prescription drug diversion and misuse.</w:t>
      </w:r>
    </w:p>
    <w:p w:rsidR="004B20E5" w:rsidRDefault="004B20E5" w:rsidP="007C27A3">
      <w:pPr>
        <w:pStyle w:val="TableTenEssenHlthFunct"/>
      </w:pPr>
      <w:r>
        <w:t>Develop Policies and Plans That Support Individual and Community Health Efforts</w:t>
      </w:r>
    </w:p>
    <w:p w:rsidR="004B20E5" w:rsidRDefault="004B20E5" w:rsidP="00FC2F85">
      <w:pPr>
        <w:pStyle w:val="TableStrategiesunderHealthFunctions"/>
      </w:pPr>
      <w:r w:rsidRPr="00F54731">
        <w:t>4.</w:t>
      </w:r>
      <w:r>
        <w:t>4.4</w:t>
      </w:r>
      <w:r>
        <w:tab/>
        <w:t>Achieve maximum enrollment of practitioners into the MA Online PMP through automatic enrollment process.</w:t>
      </w:r>
    </w:p>
    <w:p w:rsidR="004B20E5" w:rsidRPr="00F54731" w:rsidRDefault="004B20E5" w:rsidP="007C27A3">
      <w:pPr>
        <w:pStyle w:val="TableTenEssenHlthFunct"/>
      </w:pPr>
      <w:r>
        <w:t>Enforce Laws and Regulations That Protect Health and Ensure Safety</w:t>
      </w:r>
    </w:p>
    <w:p w:rsidR="004B20E5" w:rsidRPr="006256D0" w:rsidRDefault="004B20E5" w:rsidP="00FC2F85">
      <w:pPr>
        <w:pStyle w:val="TableStrategiesunderHealthFunctions"/>
      </w:pPr>
      <w:r w:rsidRPr="00F54731">
        <w:t>4.</w:t>
      </w:r>
      <w:r>
        <w:t>4.5</w:t>
      </w:r>
      <w:r w:rsidRPr="00F54731">
        <w:tab/>
      </w:r>
      <w:r>
        <w:t>Communicate new statutory requirements t</w:t>
      </w:r>
      <w:r w:rsidR="00595D41">
        <w:t>hat</w:t>
      </w:r>
      <w:r>
        <w:t xml:space="preserve"> mandate use of the MA Online PMP prior to prescribing certain controlled drugs </w:t>
      </w:r>
      <w:r w:rsidR="00595D41">
        <w:t xml:space="preserve">to a patient for the first time </w:t>
      </w:r>
      <w:r>
        <w:t>(e.g., Schedule II and III opioids).</w:t>
      </w:r>
    </w:p>
    <w:p w:rsidR="004B20E5" w:rsidRDefault="004B20E5" w:rsidP="007C27A3">
      <w:pPr>
        <w:pStyle w:val="TableTenEssenHlthFunct"/>
      </w:pPr>
      <w:r>
        <w:t>Assure a Competent Public and Personal Healthcare Workforce</w:t>
      </w:r>
    </w:p>
    <w:p w:rsidR="004B20E5" w:rsidRPr="006256D0" w:rsidRDefault="004B20E5" w:rsidP="00FC2F85">
      <w:pPr>
        <w:pStyle w:val="TableStrategiesunderHealthFunctions"/>
      </w:pPr>
      <w:r w:rsidRPr="00F54731">
        <w:t>4.</w:t>
      </w:r>
      <w:r>
        <w:t>4.6</w:t>
      </w:r>
      <w:r w:rsidRPr="00F54731">
        <w:tab/>
      </w:r>
      <w:r>
        <w:t xml:space="preserve">Develop training videos for end users within </w:t>
      </w:r>
      <w:r w:rsidR="00595D41">
        <w:t xml:space="preserve">the </w:t>
      </w:r>
      <w:r>
        <w:t>provider community (prescribers, dispensers, and delegates) on how to use the MA Online PMP</w:t>
      </w:r>
      <w:r w:rsidRPr="00F54731">
        <w:t>.</w:t>
      </w:r>
    </w:p>
    <w:p w:rsidR="004B20E5" w:rsidRDefault="004B20E5" w:rsidP="004E0856">
      <w:pPr>
        <w:ind w:left="1170" w:hanging="990"/>
        <w:rPr>
          <w:rFonts w:cs="Arial"/>
        </w:rPr>
      </w:pPr>
    </w:p>
    <w:p w:rsidR="004B20E5" w:rsidRPr="00671D21" w:rsidRDefault="004B20E5" w:rsidP="004E0856">
      <w:pPr>
        <w:ind w:left="1170" w:hanging="990"/>
        <w:rPr>
          <w:rFonts w:cs="Arial"/>
        </w:rPr>
      </w:pPr>
    </w:p>
    <w:p w:rsidR="004B20E5" w:rsidRDefault="004B20E5" w:rsidP="00876533">
      <w:pPr>
        <w:pStyle w:val="BodyText"/>
      </w:pPr>
      <w:r>
        <w:br w:type="page"/>
      </w:r>
    </w:p>
    <w:p w:rsidR="004B20E5" w:rsidRDefault="004B20E5" w:rsidP="00CB2B0E">
      <w:pPr>
        <w:pStyle w:val="StandardStatement"/>
      </w:pPr>
      <w:r>
        <w:lastRenderedPageBreak/>
        <w:t>Standard 4B</w:t>
      </w:r>
      <w:r w:rsidRPr="00200797">
        <w:t xml:space="preserve">:  </w:t>
      </w:r>
      <w:r>
        <w:tab/>
      </w:r>
      <w:r w:rsidRPr="00200797">
        <w:t xml:space="preserve">Strengthen local capacity to prevent substance </w:t>
      </w:r>
      <w:r>
        <w:t>ab</w:t>
      </w:r>
      <w:r w:rsidRPr="00200797">
        <w:t>use</w:t>
      </w:r>
      <w:r>
        <w:t>.</w:t>
      </w:r>
    </w:p>
    <w:p w:rsidR="004B20E5" w:rsidRPr="00876533" w:rsidRDefault="004B20E5" w:rsidP="00876533">
      <w:pPr>
        <w:pStyle w:val="BodyText"/>
      </w:pPr>
    </w:p>
    <w:p w:rsidR="004B20E5" w:rsidRDefault="004B20E5" w:rsidP="00CB2B0E">
      <w:pPr>
        <w:pStyle w:val="ObjectiveStatement"/>
      </w:pPr>
      <w:r>
        <w:t xml:space="preserve">Measure </w:t>
      </w:r>
      <w:r w:rsidRPr="0089411C">
        <w:t>4.</w:t>
      </w:r>
      <w:r>
        <w:t>5</w:t>
      </w:r>
      <w:r w:rsidRPr="0089411C">
        <w:t>:</w:t>
      </w:r>
      <w:r w:rsidRPr="0089411C">
        <w:tab/>
      </w:r>
      <w:r>
        <w:t>Ensure that 10</w:t>
      </w:r>
      <w:r w:rsidRPr="00200797">
        <w:t xml:space="preserve">0% of </w:t>
      </w:r>
      <w:r>
        <w:t xml:space="preserve">BSAS-funded </w:t>
      </w:r>
      <w:r w:rsidRPr="00200797">
        <w:t xml:space="preserve">prevention coalitions </w:t>
      </w:r>
      <w:r>
        <w:t xml:space="preserve">and the integrated communities and municipalities </w:t>
      </w:r>
      <w:r w:rsidRPr="00200797">
        <w:t xml:space="preserve">use the </w:t>
      </w:r>
      <w:r>
        <w:t>S</w:t>
      </w:r>
      <w:r w:rsidRPr="00200797">
        <w:t xml:space="preserve">trategic </w:t>
      </w:r>
      <w:r>
        <w:t>P</w:t>
      </w:r>
      <w:r w:rsidRPr="00200797">
        <w:t xml:space="preserve">revention </w:t>
      </w:r>
      <w:r>
        <w:t>F</w:t>
      </w:r>
      <w:r w:rsidRPr="00200797">
        <w:t>ramework</w:t>
      </w:r>
      <w:r>
        <w:t xml:space="preserve"> (SPF).</w:t>
      </w:r>
    </w:p>
    <w:p w:rsidR="004B20E5" w:rsidRDefault="004B20E5" w:rsidP="0093661D">
      <w:pPr>
        <w:pStyle w:val="StrategiesCategoryTitles"/>
      </w:pP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993A68">
        <w:trPr>
          <w:cantSplit/>
        </w:trPr>
        <w:tc>
          <w:tcPr>
            <w:tcW w:w="1329"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993A68">
            <w:pPr>
              <w:pStyle w:val="TableTitleBaseline2020Target"/>
            </w:pPr>
            <w:r w:rsidRPr="009171C7">
              <w:t>Baseline</w:t>
            </w:r>
          </w:p>
        </w:tc>
        <w:tc>
          <w:tcPr>
            <w:tcW w:w="905" w:type="pct"/>
            <w:tcBorders>
              <w:top w:val="single" w:sz="4" w:space="0" w:color="auto"/>
              <w:bottom w:val="single" w:sz="4" w:space="0" w:color="auto"/>
            </w:tcBorders>
            <w:vAlign w:val="center"/>
          </w:tcPr>
          <w:p w:rsidR="004B20E5" w:rsidRPr="00666093" w:rsidRDefault="004B20E5" w:rsidP="00993A68">
            <w:pPr>
              <w:pStyle w:val="TableTitleBaseline2020Target"/>
            </w:pPr>
            <w:r w:rsidRPr="009171C7">
              <w:t>2020 Target</w:t>
            </w:r>
          </w:p>
        </w:tc>
        <w:tc>
          <w:tcPr>
            <w:tcW w:w="1861" w:type="pct"/>
            <w:tcBorders>
              <w:top w:val="single" w:sz="4" w:space="0" w:color="auto"/>
              <w:bottom w:val="single" w:sz="4" w:space="0" w:color="auto"/>
            </w:tcBorders>
            <w:vAlign w:val="center"/>
          </w:tcPr>
          <w:p w:rsidR="004B20E5" w:rsidRPr="00666093" w:rsidRDefault="004B20E5" w:rsidP="00993A68">
            <w:pPr>
              <w:pStyle w:val="TableTitleTargetDataSource"/>
            </w:pPr>
            <w:r w:rsidRPr="009171C7">
              <w:t>Data Source</w:t>
            </w:r>
          </w:p>
        </w:tc>
      </w:tr>
      <w:tr w:rsidR="004B20E5" w:rsidRPr="00666093" w:rsidTr="00993A68">
        <w:trPr>
          <w:cantSplit/>
        </w:trPr>
        <w:tc>
          <w:tcPr>
            <w:tcW w:w="1329" w:type="pct"/>
            <w:tcBorders>
              <w:top w:val="single" w:sz="4" w:space="0" w:color="auto"/>
              <w:bottom w:val="single" w:sz="4" w:space="0" w:color="auto"/>
            </w:tcBorders>
            <w:vAlign w:val="center"/>
          </w:tcPr>
          <w:p w:rsidR="004B20E5" w:rsidRPr="00666093" w:rsidRDefault="004B20E5" w:rsidP="0041781D">
            <w:pPr>
              <w:pStyle w:val="TableOutcomeMeasure"/>
            </w:pPr>
            <w:r>
              <w:t>BSAS-funded substance abuse prevention coalitions using the Strategic Prevention Framework (SPF)</w:t>
            </w:r>
          </w:p>
        </w:tc>
        <w:tc>
          <w:tcPr>
            <w:tcW w:w="905" w:type="pct"/>
            <w:tcBorders>
              <w:top w:val="single" w:sz="4" w:space="0" w:color="auto"/>
              <w:bottom w:val="single" w:sz="4" w:space="0" w:color="auto"/>
            </w:tcBorders>
            <w:vAlign w:val="center"/>
          </w:tcPr>
          <w:p w:rsidR="004B20E5" w:rsidRDefault="004B20E5" w:rsidP="0041781D">
            <w:pPr>
              <w:pStyle w:val="TableBaseline2020Target"/>
            </w:pPr>
            <w:r>
              <w:t>100%</w:t>
            </w:r>
          </w:p>
          <w:p w:rsidR="004B20E5" w:rsidRPr="00666093" w:rsidRDefault="004B20E5" w:rsidP="0041781D">
            <w:pPr>
              <w:pStyle w:val="TableBaseline2020Target"/>
            </w:pPr>
          </w:p>
        </w:tc>
        <w:tc>
          <w:tcPr>
            <w:tcW w:w="905" w:type="pct"/>
            <w:tcBorders>
              <w:top w:val="single" w:sz="4" w:space="0" w:color="auto"/>
              <w:bottom w:val="single" w:sz="4" w:space="0" w:color="auto"/>
            </w:tcBorders>
            <w:vAlign w:val="center"/>
          </w:tcPr>
          <w:p w:rsidR="004B20E5" w:rsidRDefault="004B20E5" w:rsidP="0041781D">
            <w:pPr>
              <w:pStyle w:val="TableBaseline2020Target"/>
            </w:pPr>
            <w:r>
              <w:t>100%</w:t>
            </w:r>
          </w:p>
          <w:p w:rsidR="004B20E5" w:rsidRPr="00666093" w:rsidRDefault="004B20E5" w:rsidP="0041781D">
            <w:pPr>
              <w:pStyle w:val="TableBaseline2020Target"/>
            </w:pPr>
          </w:p>
        </w:tc>
        <w:tc>
          <w:tcPr>
            <w:tcW w:w="1861" w:type="pct"/>
            <w:tcBorders>
              <w:top w:val="single" w:sz="4" w:space="0" w:color="auto"/>
              <w:bottom w:val="single" w:sz="4" w:space="0" w:color="auto"/>
            </w:tcBorders>
            <w:vAlign w:val="center"/>
          </w:tcPr>
          <w:p w:rsidR="004B20E5" w:rsidRPr="00EB6CD2" w:rsidRDefault="004B20E5" w:rsidP="0041781D">
            <w:pPr>
              <w:pStyle w:val="TableDataSource"/>
            </w:pPr>
            <w:r w:rsidRPr="00EB6CD2">
              <w:t>MDPH/BSAS</w:t>
            </w:r>
          </w:p>
          <w:p w:rsidR="004B20E5" w:rsidRPr="00666093" w:rsidRDefault="004B20E5" w:rsidP="0041781D">
            <w:pPr>
              <w:pStyle w:val="TableDataSource"/>
            </w:pPr>
            <w:r>
              <w:t xml:space="preserve">Required Reports from contracted coalitions and </w:t>
            </w:r>
            <w:r w:rsidR="009F3D12">
              <w:t>M</w:t>
            </w:r>
            <w:r>
              <w:t>DPH contract management reports</w:t>
            </w: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7348F7">
        <w:trPr>
          <w:cantSplit/>
        </w:trPr>
        <w:tc>
          <w:tcPr>
            <w:tcW w:w="1329" w:type="pct"/>
            <w:tcBorders>
              <w:top w:val="single" w:sz="4" w:space="0" w:color="auto"/>
            </w:tcBorders>
          </w:tcPr>
          <w:p w:rsidR="004B20E5" w:rsidRPr="009171C7" w:rsidDel="00F67FD0" w:rsidRDefault="004B20E5" w:rsidP="004C0088">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7348F7">
            <w:pPr>
              <w:pStyle w:val="TableOutcomeMeasure"/>
            </w:pPr>
            <w:r>
              <w:t xml:space="preserve">Number of </w:t>
            </w:r>
            <w:r w:rsidR="009F3D12">
              <w:t>M</w:t>
            </w:r>
            <w:r>
              <w:t>DPH/BSAS-funded substance abuse prevention coalitions using the SPF</w:t>
            </w:r>
          </w:p>
        </w:tc>
      </w:tr>
      <w:tr w:rsidR="004B20E5" w:rsidRPr="00666093" w:rsidDel="00F67FD0" w:rsidTr="007348F7">
        <w:trPr>
          <w:cantSplit/>
        </w:trPr>
        <w:tc>
          <w:tcPr>
            <w:tcW w:w="1329" w:type="pct"/>
          </w:tcPr>
          <w:p w:rsidR="004B20E5" w:rsidRPr="009171C7" w:rsidDel="00F67FD0" w:rsidRDefault="004B20E5" w:rsidP="004C0088">
            <w:pPr>
              <w:pStyle w:val="TableTitleNumeratoretc"/>
            </w:pPr>
            <w:r w:rsidRPr="00A367E5">
              <w:t>Denominator</w:t>
            </w:r>
            <w:r>
              <w:t>:</w:t>
            </w:r>
          </w:p>
        </w:tc>
        <w:tc>
          <w:tcPr>
            <w:tcW w:w="3671" w:type="pct"/>
            <w:vAlign w:val="center"/>
          </w:tcPr>
          <w:p w:rsidR="004B20E5" w:rsidRPr="00391134" w:rsidDel="00F67FD0" w:rsidRDefault="004B20E5" w:rsidP="007348F7">
            <w:pPr>
              <w:pStyle w:val="TableOutcomeMeasure"/>
            </w:pPr>
            <w:r>
              <w:t>Total number of funded substance abuse prevention coalitions</w:t>
            </w:r>
          </w:p>
        </w:tc>
      </w:tr>
      <w:tr w:rsidR="004B20E5" w:rsidRPr="00666093" w:rsidDel="00F67FD0" w:rsidTr="007348F7">
        <w:trPr>
          <w:cantSplit/>
        </w:trPr>
        <w:tc>
          <w:tcPr>
            <w:tcW w:w="1329" w:type="pct"/>
          </w:tcPr>
          <w:p w:rsidR="004B20E5" w:rsidRPr="009171C7" w:rsidDel="00F67FD0" w:rsidRDefault="004B20E5" w:rsidP="004C0088">
            <w:pPr>
              <w:pStyle w:val="TableTitleNumeratoretc"/>
            </w:pPr>
            <w:r w:rsidRPr="00A367E5">
              <w:t>Exclusions</w:t>
            </w:r>
            <w:r>
              <w:t>:</w:t>
            </w:r>
          </w:p>
        </w:tc>
        <w:tc>
          <w:tcPr>
            <w:tcW w:w="3671" w:type="pct"/>
            <w:vAlign w:val="center"/>
          </w:tcPr>
          <w:p w:rsidR="004B20E5" w:rsidRPr="0041781D" w:rsidDel="00F67FD0" w:rsidRDefault="004B20E5" w:rsidP="0041781D">
            <w:pPr>
              <w:pStyle w:val="TableOutcomeMeasure"/>
            </w:pPr>
            <w:r w:rsidRPr="0041781D">
              <w:t xml:space="preserve">Non </w:t>
            </w:r>
            <w:r w:rsidR="009F3D12">
              <w:t>M</w:t>
            </w:r>
            <w:r w:rsidRPr="0041781D">
              <w:t>DPH/BSAS-funded substance abuse prevention coalitions</w:t>
            </w:r>
          </w:p>
        </w:tc>
      </w:tr>
      <w:tr w:rsidR="004B20E5" w:rsidRPr="00666093" w:rsidDel="00F67FD0" w:rsidTr="007348F7">
        <w:trPr>
          <w:cantSplit/>
        </w:trPr>
        <w:tc>
          <w:tcPr>
            <w:tcW w:w="1329" w:type="pct"/>
            <w:vAlign w:val="center"/>
          </w:tcPr>
          <w:p w:rsidR="004B20E5" w:rsidRPr="009171C7" w:rsidDel="00F67FD0" w:rsidRDefault="004B20E5" w:rsidP="004C0088">
            <w:pPr>
              <w:pStyle w:val="TableTitleNumeratoretc"/>
            </w:pPr>
            <w:r w:rsidRPr="00F67FD0">
              <w:t>Timeframe</w:t>
            </w:r>
            <w:r>
              <w:t>:</w:t>
            </w:r>
          </w:p>
        </w:tc>
        <w:tc>
          <w:tcPr>
            <w:tcW w:w="3671" w:type="pct"/>
            <w:vAlign w:val="center"/>
          </w:tcPr>
          <w:p w:rsidR="004B20E5" w:rsidRPr="0041781D" w:rsidDel="00F67FD0" w:rsidRDefault="004B20E5" w:rsidP="0041781D">
            <w:pPr>
              <w:pStyle w:val="TableOutcomeMeasure"/>
            </w:pPr>
            <w:r w:rsidRPr="0041781D">
              <w:t>Quarterly Measure</w:t>
            </w:r>
          </w:p>
        </w:tc>
      </w:tr>
      <w:tr w:rsidR="004B20E5" w:rsidRPr="00666093" w:rsidDel="00F67FD0" w:rsidTr="007348F7">
        <w:trPr>
          <w:cantSplit/>
        </w:trPr>
        <w:tc>
          <w:tcPr>
            <w:tcW w:w="1329" w:type="pct"/>
            <w:tcBorders>
              <w:bottom w:val="single" w:sz="4" w:space="0" w:color="auto"/>
            </w:tcBorders>
            <w:vAlign w:val="center"/>
          </w:tcPr>
          <w:p w:rsidR="004B20E5" w:rsidRPr="009171C7" w:rsidDel="00F67FD0" w:rsidRDefault="004B20E5" w:rsidP="004C0088">
            <w:pPr>
              <w:pStyle w:val="TableTitleNumeratoretc"/>
            </w:pPr>
            <w:r w:rsidRPr="00F67FD0">
              <w:t>How will this be measured?</w:t>
            </w:r>
          </w:p>
        </w:tc>
        <w:tc>
          <w:tcPr>
            <w:tcW w:w="3671" w:type="pct"/>
            <w:tcBorders>
              <w:bottom w:val="single" w:sz="4" w:space="0" w:color="auto"/>
            </w:tcBorders>
            <w:vAlign w:val="center"/>
          </w:tcPr>
          <w:p w:rsidR="004B20E5" w:rsidRPr="0041781D" w:rsidDel="00F67FD0" w:rsidRDefault="004B20E5" w:rsidP="0041781D">
            <w:pPr>
              <w:pStyle w:val="TableOutcomeMeasure"/>
            </w:pPr>
            <w:r w:rsidRPr="0041781D">
              <w:t>Providers’ yearly strategic plans, sit</w:t>
            </w:r>
            <w:r>
              <w:t>e visit and semi-annual reports</w:t>
            </w:r>
          </w:p>
        </w:tc>
      </w:tr>
    </w:tbl>
    <w:p w:rsidR="004B20E5" w:rsidRDefault="004B20E5" w:rsidP="007348F7">
      <w:pPr>
        <w:pStyle w:val="StrategiesCategoryTitles"/>
      </w:pPr>
    </w:p>
    <w:p w:rsidR="004B20E5" w:rsidRDefault="004B20E5" w:rsidP="007C27A3">
      <w:pPr>
        <w:pStyle w:val="TableTenEssenHlthFunct"/>
      </w:pPr>
      <w:r>
        <w:t>Mobilize Community Partnerships to Identify and Solve Health Problems</w:t>
      </w:r>
    </w:p>
    <w:p w:rsidR="004B20E5" w:rsidRDefault="004B20E5" w:rsidP="00D00411">
      <w:pPr>
        <w:pStyle w:val="TableStrategiesunderHealthFunctions"/>
      </w:pPr>
      <w:r>
        <w:t>4.5.1</w:t>
      </w:r>
      <w:r>
        <w:tab/>
      </w:r>
      <w:r w:rsidRPr="009A2BDB">
        <w:t>Increase community and statewide capacity to implement and sustain a Strategic Prevention Framework based, comprehensive prevention approach that includes evidence-based policies, programs and strategies and/or environmental strategies to prevent</w:t>
      </w:r>
      <w:r>
        <w:t xml:space="preserve"> substance abuse.  </w:t>
      </w:r>
    </w:p>
    <w:p w:rsidR="004B20E5" w:rsidRDefault="004B20E5" w:rsidP="00D00411">
      <w:pPr>
        <w:pStyle w:val="TableStrategiesunderHealthFunctions"/>
      </w:pPr>
      <w:r>
        <w:t>4.5.2</w:t>
      </w:r>
      <w:r>
        <w:tab/>
        <w:t xml:space="preserve">Ensure that </w:t>
      </w:r>
      <w:r w:rsidR="009F3D12">
        <w:t>M</w:t>
      </w:r>
      <w:r>
        <w:t>DPH/BSAS funded substance abuse prevention coalitions include community partners who represent populations disproportionately impacted by substance abuse.</w:t>
      </w:r>
    </w:p>
    <w:p w:rsidR="004B20E5" w:rsidRDefault="004B20E5" w:rsidP="007C27A3">
      <w:pPr>
        <w:pStyle w:val="TableTenEssenHlthFunct"/>
      </w:pPr>
      <w:r>
        <w:t>Assure a Competent Public and Personal Healthcare Workforce</w:t>
      </w:r>
    </w:p>
    <w:p w:rsidR="004B20E5" w:rsidRPr="006256D0" w:rsidRDefault="004B20E5" w:rsidP="00D00411">
      <w:pPr>
        <w:pStyle w:val="TableStrategiesunderHealthFunctions"/>
      </w:pPr>
      <w:r>
        <w:t>4.5.3</w:t>
      </w:r>
      <w:r>
        <w:tab/>
        <w:t>Provide technical assistance to coalitions on evidence-based practices including the Strategic Prevention Framework (SPF).</w:t>
      </w:r>
    </w:p>
    <w:p w:rsidR="004B20E5" w:rsidRDefault="004B20E5" w:rsidP="007C27A3">
      <w:pPr>
        <w:pStyle w:val="TableTenEssenHlthFunct"/>
      </w:pPr>
      <w:r>
        <w:t>Evaluate Effectiveness, Accessibility, and Quality of Health Services</w:t>
      </w:r>
    </w:p>
    <w:p w:rsidR="004B20E5" w:rsidRDefault="004B20E5" w:rsidP="00D00411">
      <w:pPr>
        <w:pStyle w:val="TableStrategiesunderHealthFunctions"/>
      </w:pPr>
      <w:r>
        <w:t>4.5.4</w:t>
      </w:r>
      <w:r>
        <w:tab/>
        <w:t>Provide assistance to coalitions to evaluate implemented strategies.</w:t>
      </w:r>
    </w:p>
    <w:p w:rsidR="004B20E5" w:rsidRPr="006256D0" w:rsidRDefault="004B20E5" w:rsidP="00D00411">
      <w:pPr>
        <w:pStyle w:val="TableStrategiesunderHealthFunctions"/>
      </w:pPr>
    </w:p>
    <w:p w:rsidR="004B20E5" w:rsidRPr="0046149F" w:rsidRDefault="004B20E5" w:rsidP="00D00411">
      <w:pPr>
        <w:pStyle w:val="TableStrategiesunderHealthFunctions"/>
      </w:pPr>
    </w:p>
    <w:p w:rsidR="004B20E5" w:rsidRDefault="004B20E5" w:rsidP="00876533">
      <w:pPr>
        <w:pStyle w:val="BodyText"/>
      </w:pPr>
      <w:r>
        <w:br w:type="page"/>
      </w:r>
    </w:p>
    <w:p w:rsidR="004B20E5" w:rsidRDefault="004B20E5" w:rsidP="00CB2B0E">
      <w:pPr>
        <w:pStyle w:val="StandardStatement"/>
      </w:pPr>
      <w:r>
        <w:lastRenderedPageBreak/>
        <w:t>Standard 4C</w:t>
      </w:r>
      <w:r w:rsidRPr="00200797">
        <w:t xml:space="preserve">: </w:t>
      </w:r>
      <w:r>
        <w:tab/>
      </w:r>
      <w:r w:rsidRPr="00200797">
        <w:t>Improve diversity among individuals served</w:t>
      </w:r>
      <w:r>
        <w:t>.</w:t>
      </w:r>
    </w:p>
    <w:p w:rsidR="004B20E5" w:rsidRPr="00876533" w:rsidRDefault="004B20E5" w:rsidP="00876533">
      <w:pPr>
        <w:pStyle w:val="BodyText"/>
      </w:pPr>
    </w:p>
    <w:p w:rsidR="004B20E5" w:rsidRDefault="00F03799" w:rsidP="00CB2B0E">
      <w:pPr>
        <w:pStyle w:val="ObjectiveStatement"/>
      </w:pPr>
      <w:r>
        <w:rPr>
          <w:noProof/>
        </w:rPr>
        <w:drawing>
          <wp:anchor distT="0" distB="0" distL="114300" distR="114300" simplePos="0" relativeHeight="251642880" behindDoc="0" locked="0" layoutInCell="1" allowOverlap="1" wp14:anchorId="55A9840B" wp14:editId="633B86F1">
            <wp:simplePos x="0" y="0"/>
            <wp:positionH relativeFrom="column">
              <wp:posOffset>24765</wp:posOffset>
            </wp:positionH>
            <wp:positionV relativeFrom="paragraph">
              <wp:posOffset>429260</wp:posOffset>
            </wp:positionV>
            <wp:extent cx="182880" cy="182880"/>
            <wp:effectExtent l="0" t="0" r="7620" b="7620"/>
            <wp:wrapThrough wrapText="bothSides">
              <wp:wrapPolygon edited="0">
                <wp:start x="2250" y="0"/>
                <wp:lineTo x="0" y="2250"/>
                <wp:lineTo x="0" y="15750"/>
                <wp:lineTo x="2250" y="20250"/>
                <wp:lineTo x="20250" y="20250"/>
                <wp:lineTo x="20250" y="0"/>
                <wp:lineTo x="2250" y="0"/>
              </wp:wrapPolygon>
            </wp:wrapThrough>
            <wp:docPr id="6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4B20E5">
        <w:t xml:space="preserve">Measure </w:t>
      </w:r>
      <w:r w:rsidR="004B20E5" w:rsidRPr="00993A68">
        <w:t>4.</w:t>
      </w:r>
      <w:r w:rsidR="004B20E5">
        <w:t>6</w:t>
      </w:r>
      <w:r w:rsidR="004B20E5" w:rsidRPr="00993A68">
        <w:t>:</w:t>
      </w:r>
      <w:r w:rsidR="004B20E5" w:rsidRPr="00993A68">
        <w:tab/>
        <w:t xml:space="preserve">Increase the </w:t>
      </w:r>
      <w:r w:rsidR="004B20E5">
        <w:t>relative percentage</w:t>
      </w:r>
      <w:r w:rsidR="004B20E5" w:rsidRPr="00993A68">
        <w:t xml:space="preserve"> of non-white opioid addicted individuals enrolled in </w:t>
      </w:r>
      <w:r w:rsidR="009F3D12">
        <w:t>M</w:t>
      </w:r>
      <w:r w:rsidR="004B20E5" w:rsidRPr="00993A68">
        <w:t>DPH/BSAS-funded medication assisted treatment programs</w:t>
      </w:r>
      <w:r w:rsidR="00595D41">
        <w:t xml:space="preserve"> </w:t>
      </w:r>
      <w:r w:rsidR="004B20E5" w:rsidRPr="00993A68">
        <w:t>by 5%</w:t>
      </w:r>
      <w:r w:rsidR="004B20E5">
        <w:t>.</w:t>
      </w:r>
    </w:p>
    <w:p w:rsidR="004B20E5" w:rsidRPr="00093C24" w:rsidRDefault="004B20E5" w:rsidP="0093661D">
      <w:pPr>
        <w:pStyle w:val="StrategiesCategoryTitles"/>
      </w:pPr>
    </w:p>
    <w:tbl>
      <w:tblPr>
        <w:tblW w:w="4095" w:type="pct"/>
        <w:tblInd w:w="1755" w:type="dxa"/>
        <w:tblLayout w:type="fixed"/>
        <w:tblLook w:val="00A0" w:firstRow="1" w:lastRow="0" w:firstColumn="1" w:lastColumn="0" w:noHBand="0" w:noVBand="0"/>
      </w:tblPr>
      <w:tblGrid>
        <w:gridCol w:w="2248"/>
        <w:gridCol w:w="1531"/>
        <w:gridCol w:w="1531"/>
        <w:gridCol w:w="3122"/>
      </w:tblGrid>
      <w:tr w:rsidR="004B20E5" w:rsidRPr="00666093" w:rsidTr="00993A68">
        <w:trPr>
          <w:cantSplit/>
        </w:trPr>
        <w:tc>
          <w:tcPr>
            <w:tcW w:w="1333"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8" w:type="pct"/>
            <w:tcBorders>
              <w:top w:val="single" w:sz="4" w:space="0" w:color="auto"/>
              <w:bottom w:val="single" w:sz="4" w:space="0" w:color="auto"/>
            </w:tcBorders>
            <w:vAlign w:val="center"/>
          </w:tcPr>
          <w:p w:rsidR="004B20E5" w:rsidRPr="00666093" w:rsidRDefault="004B20E5" w:rsidP="00993A68">
            <w:pPr>
              <w:pStyle w:val="TableTitleBaseline2020Target"/>
            </w:pPr>
            <w:r w:rsidRPr="00666093">
              <w:t>Baseline</w:t>
            </w:r>
          </w:p>
        </w:tc>
        <w:tc>
          <w:tcPr>
            <w:tcW w:w="908" w:type="pct"/>
            <w:tcBorders>
              <w:top w:val="single" w:sz="4" w:space="0" w:color="auto"/>
              <w:bottom w:val="single" w:sz="4" w:space="0" w:color="auto"/>
            </w:tcBorders>
            <w:vAlign w:val="center"/>
          </w:tcPr>
          <w:p w:rsidR="004B20E5" w:rsidRPr="00666093" w:rsidRDefault="004B20E5" w:rsidP="00993A68">
            <w:pPr>
              <w:pStyle w:val="TableTitleBaseline2020Target"/>
            </w:pPr>
            <w:r w:rsidRPr="00666093">
              <w:t>2020 Target</w:t>
            </w:r>
          </w:p>
        </w:tc>
        <w:tc>
          <w:tcPr>
            <w:tcW w:w="1851" w:type="pct"/>
            <w:tcBorders>
              <w:top w:val="single" w:sz="4" w:space="0" w:color="auto"/>
              <w:bottom w:val="single" w:sz="4" w:space="0" w:color="auto"/>
            </w:tcBorders>
            <w:vAlign w:val="center"/>
          </w:tcPr>
          <w:p w:rsidR="004B20E5" w:rsidRPr="00666093" w:rsidRDefault="004B20E5" w:rsidP="00993A68">
            <w:pPr>
              <w:pStyle w:val="TableTitleTargetDataSource"/>
            </w:pPr>
            <w:r w:rsidRPr="00666093">
              <w:t>Data Source</w:t>
            </w:r>
          </w:p>
        </w:tc>
      </w:tr>
      <w:tr w:rsidR="004B20E5" w:rsidRPr="00666093" w:rsidTr="00993A68">
        <w:trPr>
          <w:cantSplit/>
        </w:trPr>
        <w:tc>
          <w:tcPr>
            <w:tcW w:w="1333" w:type="pct"/>
            <w:tcBorders>
              <w:top w:val="single" w:sz="4" w:space="0" w:color="auto"/>
              <w:bottom w:val="single" w:sz="4" w:space="0" w:color="auto"/>
            </w:tcBorders>
            <w:vAlign w:val="center"/>
          </w:tcPr>
          <w:p w:rsidR="004B20E5" w:rsidRPr="000038A7" w:rsidDel="004809E6" w:rsidRDefault="004B20E5" w:rsidP="00993A68">
            <w:pPr>
              <w:pStyle w:val="TableOutcomeMeasure"/>
            </w:pPr>
            <w:r>
              <w:t>Number</w:t>
            </w:r>
            <w:r w:rsidRPr="000038A7">
              <w:t xml:space="preserve"> of non-whites enrolled in medication assisted treatment in </w:t>
            </w:r>
            <w:r w:rsidR="009F3D12">
              <w:t>M</w:t>
            </w:r>
            <w:r w:rsidRPr="000038A7">
              <w:t>DPH/BSAS-funded programs</w:t>
            </w:r>
          </w:p>
        </w:tc>
        <w:tc>
          <w:tcPr>
            <w:tcW w:w="908" w:type="pct"/>
            <w:tcBorders>
              <w:top w:val="single" w:sz="4" w:space="0" w:color="auto"/>
              <w:bottom w:val="single" w:sz="4" w:space="0" w:color="auto"/>
            </w:tcBorders>
            <w:vAlign w:val="center"/>
          </w:tcPr>
          <w:p w:rsidR="004B20E5" w:rsidRPr="000038A7" w:rsidRDefault="004B20E5" w:rsidP="00993A68">
            <w:pPr>
              <w:pStyle w:val="TableBaseline2020Target"/>
            </w:pPr>
            <w:r w:rsidRPr="000038A7">
              <w:t>15.8%</w:t>
            </w:r>
          </w:p>
        </w:tc>
        <w:tc>
          <w:tcPr>
            <w:tcW w:w="908" w:type="pct"/>
            <w:tcBorders>
              <w:top w:val="single" w:sz="4" w:space="0" w:color="auto"/>
              <w:bottom w:val="single" w:sz="4" w:space="0" w:color="auto"/>
            </w:tcBorders>
            <w:vAlign w:val="center"/>
          </w:tcPr>
          <w:p w:rsidR="004B20E5" w:rsidRPr="000038A7" w:rsidDel="004809E6" w:rsidRDefault="004B20E5" w:rsidP="00993A68">
            <w:pPr>
              <w:pStyle w:val="TableBaseline2020Target"/>
            </w:pPr>
            <w:r w:rsidRPr="000038A7">
              <w:t>16.6%</w:t>
            </w:r>
          </w:p>
        </w:tc>
        <w:tc>
          <w:tcPr>
            <w:tcW w:w="1851" w:type="pct"/>
            <w:tcBorders>
              <w:top w:val="single" w:sz="4" w:space="0" w:color="auto"/>
              <w:bottom w:val="single" w:sz="4" w:space="0" w:color="auto"/>
            </w:tcBorders>
            <w:vAlign w:val="center"/>
          </w:tcPr>
          <w:p w:rsidR="004B20E5" w:rsidRDefault="004B20E5" w:rsidP="00993A68">
            <w:pPr>
              <w:pStyle w:val="TableDataSource"/>
            </w:pPr>
            <w:r w:rsidRPr="000038A7">
              <w:t>DPH/BSAS enrollment data</w:t>
            </w: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7348F7">
        <w:trPr>
          <w:cantSplit/>
        </w:trPr>
        <w:tc>
          <w:tcPr>
            <w:tcW w:w="1329" w:type="pct"/>
            <w:tcBorders>
              <w:top w:val="single" w:sz="4" w:space="0" w:color="auto"/>
            </w:tcBorders>
          </w:tcPr>
          <w:p w:rsidR="004B20E5" w:rsidRPr="009171C7" w:rsidDel="00F67FD0" w:rsidRDefault="004B20E5" w:rsidP="004C0088">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7348F7">
            <w:pPr>
              <w:pStyle w:val="TableOutcomeMeasure"/>
            </w:pPr>
            <w:r>
              <w:t xml:space="preserve">Number of non-whites enrolled in medication assisted treatment in </w:t>
            </w:r>
            <w:r w:rsidR="009F3D12">
              <w:t>M</w:t>
            </w:r>
            <w:r>
              <w:t>DPH/BSAS-funded programs</w:t>
            </w:r>
          </w:p>
        </w:tc>
      </w:tr>
      <w:tr w:rsidR="004B20E5" w:rsidRPr="00666093" w:rsidDel="00F67FD0" w:rsidTr="007348F7">
        <w:trPr>
          <w:cantSplit/>
        </w:trPr>
        <w:tc>
          <w:tcPr>
            <w:tcW w:w="1329" w:type="pct"/>
          </w:tcPr>
          <w:p w:rsidR="004B20E5" w:rsidRPr="009171C7" w:rsidDel="00F67FD0" w:rsidRDefault="004B20E5" w:rsidP="004C0088">
            <w:pPr>
              <w:pStyle w:val="TableTitleNumeratoretc"/>
            </w:pPr>
            <w:r w:rsidRPr="00A367E5">
              <w:t>Denominator</w:t>
            </w:r>
            <w:r>
              <w:t>:</w:t>
            </w:r>
          </w:p>
        </w:tc>
        <w:tc>
          <w:tcPr>
            <w:tcW w:w="3671" w:type="pct"/>
            <w:vAlign w:val="center"/>
          </w:tcPr>
          <w:p w:rsidR="004B20E5" w:rsidRPr="00391134" w:rsidDel="00F67FD0" w:rsidRDefault="004B20E5" w:rsidP="007348F7">
            <w:pPr>
              <w:pStyle w:val="TableOutcomeMeasure"/>
            </w:pPr>
            <w:r>
              <w:t>Total number of individuals enrolled in medication assisted treatment in DPH/BSAS-funded programs</w:t>
            </w:r>
          </w:p>
        </w:tc>
      </w:tr>
      <w:tr w:rsidR="004B20E5" w:rsidRPr="00666093" w:rsidDel="00F67FD0" w:rsidTr="007348F7">
        <w:trPr>
          <w:cantSplit/>
        </w:trPr>
        <w:tc>
          <w:tcPr>
            <w:tcW w:w="1329" w:type="pct"/>
          </w:tcPr>
          <w:p w:rsidR="004B20E5" w:rsidRPr="009171C7" w:rsidDel="00F67FD0" w:rsidRDefault="004B20E5" w:rsidP="004C0088">
            <w:pPr>
              <w:pStyle w:val="TableTitleNumeratoretc"/>
            </w:pPr>
            <w:r w:rsidRPr="00A367E5">
              <w:t>Exclusions</w:t>
            </w:r>
            <w:r>
              <w:t>:</w:t>
            </w:r>
          </w:p>
        </w:tc>
        <w:tc>
          <w:tcPr>
            <w:tcW w:w="3671" w:type="pct"/>
            <w:vAlign w:val="center"/>
          </w:tcPr>
          <w:p w:rsidR="004B20E5" w:rsidRPr="00391134" w:rsidDel="00F67FD0" w:rsidRDefault="004B20E5" w:rsidP="007348F7">
            <w:pPr>
              <w:pStyle w:val="TableOutcomeMeasure"/>
            </w:pPr>
            <w:r>
              <w:t xml:space="preserve">Individuals served in medication assisted treatment programs not funded by </w:t>
            </w:r>
            <w:r w:rsidR="009F3D12">
              <w:t>M</w:t>
            </w:r>
            <w:r>
              <w:t>DPH/BSAS.</w:t>
            </w:r>
          </w:p>
        </w:tc>
      </w:tr>
      <w:tr w:rsidR="004B20E5" w:rsidRPr="00666093" w:rsidDel="00F67FD0" w:rsidTr="007348F7">
        <w:trPr>
          <w:cantSplit/>
        </w:trPr>
        <w:tc>
          <w:tcPr>
            <w:tcW w:w="1329" w:type="pct"/>
            <w:vAlign w:val="center"/>
          </w:tcPr>
          <w:p w:rsidR="004B20E5" w:rsidRPr="009171C7" w:rsidDel="00F67FD0" w:rsidRDefault="004B20E5" w:rsidP="004C0088">
            <w:pPr>
              <w:pStyle w:val="TableTitleNumeratoretc"/>
            </w:pPr>
            <w:r w:rsidRPr="00F67FD0">
              <w:t>Timeframe</w:t>
            </w:r>
            <w:r>
              <w:t>:</w:t>
            </w:r>
          </w:p>
        </w:tc>
        <w:tc>
          <w:tcPr>
            <w:tcW w:w="3671" w:type="pct"/>
            <w:vAlign w:val="center"/>
          </w:tcPr>
          <w:p w:rsidR="004B20E5" w:rsidRPr="00391134" w:rsidDel="00F67FD0" w:rsidRDefault="004B20E5" w:rsidP="007348F7">
            <w:pPr>
              <w:pStyle w:val="TableOutcomeMeasure"/>
            </w:pPr>
            <w:r>
              <w:t>Annual</w:t>
            </w:r>
          </w:p>
        </w:tc>
      </w:tr>
      <w:tr w:rsidR="004B20E5" w:rsidRPr="00666093" w:rsidDel="00F67FD0" w:rsidTr="007348F7">
        <w:trPr>
          <w:cantSplit/>
        </w:trPr>
        <w:tc>
          <w:tcPr>
            <w:tcW w:w="1329" w:type="pct"/>
            <w:tcBorders>
              <w:bottom w:val="single" w:sz="4" w:space="0" w:color="auto"/>
            </w:tcBorders>
            <w:vAlign w:val="center"/>
          </w:tcPr>
          <w:p w:rsidR="004B20E5" w:rsidRPr="009171C7" w:rsidDel="00F67FD0" w:rsidRDefault="004B20E5" w:rsidP="004C0088">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7348F7">
            <w:pPr>
              <w:pStyle w:val="TableOutcomeMeasure"/>
            </w:pPr>
            <w:r>
              <w:t>BSAS MIS includes a question on race. Using this variable we can calculate the % of enrollments that are non-white.</w:t>
            </w:r>
          </w:p>
        </w:tc>
      </w:tr>
    </w:tbl>
    <w:p w:rsidR="004B20E5" w:rsidRDefault="004B20E5" w:rsidP="007348F7">
      <w:pPr>
        <w:pStyle w:val="StrategiesCategoryTitles"/>
      </w:pPr>
    </w:p>
    <w:p w:rsidR="004B20E5" w:rsidRDefault="004B20E5" w:rsidP="007C27A3">
      <w:pPr>
        <w:pStyle w:val="TableTenEssenHlthFunct"/>
      </w:pPr>
      <w:r>
        <w:t>Mobilize Community Partnerships to Identify and Solve Health Problems</w:t>
      </w:r>
    </w:p>
    <w:p w:rsidR="004B20E5" w:rsidRPr="00760F2E" w:rsidRDefault="004B20E5" w:rsidP="00D00411">
      <w:pPr>
        <w:pStyle w:val="TableStrategiesunderHealthFunctions"/>
      </w:pPr>
      <w:r>
        <w:t>4.6.1</w:t>
      </w:r>
      <w:r>
        <w:tab/>
        <w:t>S</w:t>
      </w:r>
      <w:r w:rsidRPr="00760F2E">
        <w:t>upport providers in developing plans to engage a more diverse population through increased outreach to diverse community groups.</w:t>
      </w:r>
    </w:p>
    <w:p w:rsidR="004B20E5" w:rsidRPr="006256D0" w:rsidRDefault="004B20E5" w:rsidP="00D00411">
      <w:pPr>
        <w:pStyle w:val="TableStrategiesunderHealthFunctions"/>
      </w:pPr>
      <w:r>
        <w:t>4.6.2</w:t>
      </w:r>
      <w:r>
        <w:tab/>
      </w:r>
      <w:r w:rsidRPr="00760F2E">
        <w:t>Promote program outreach plan</w:t>
      </w:r>
      <w:r>
        <w:t>s</w:t>
      </w:r>
      <w:r w:rsidRPr="00760F2E">
        <w:t xml:space="preserve"> to increase client participation in </w:t>
      </w:r>
      <w:r>
        <w:t>medication assisted treatment.</w:t>
      </w:r>
    </w:p>
    <w:p w:rsidR="004B20E5" w:rsidRDefault="004B20E5" w:rsidP="007C27A3">
      <w:pPr>
        <w:pStyle w:val="TableTenEssenHlthFunct"/>
      </w:pPr>
      <w:r>
        <w:t xml:space="preserve">Develop Policies and Plans That Support Individual and Community Health Efforts </w:t>
      </w:r>
    </w:p>
    <w:p w:rsidR="004B20E5" w:rsidRDefault="004B20E5" w:rsidP="00D00411">
      <w:pPr>
        <w:pStyle w:val="TableStrategiesunderHealthFunctions"/>
      </w:pPr>
      <w:r>
        <w:t>4.6.3</w:t>
      </w:r>
      <w:r w:rsidRPr="0089411C">
        <w:tab/>
        <w:t xml:space="preserve">Support recommendations from the Health Planning Council (created under Chapter 224) relevant to </w:t>
      </w:r>
      <w:r w:rsidRPr="00096036">
        <w:t>the appropriate supply and distribution of substance abuse resources.</w:t>
      </w:r>
    </w:p>
    <w:p w:rsidR="004B20E5" w:rsidRPr="006256D0" w:rsidRDefault="004B20E5" w:rsidP="00D00411">
      <w:pPr>
        <w:pStyle w:val="TableStrategiesunderHealthFunctions"/>
      </w:pPr>
      <w:r>
        <w:t>4.6.4</w:t>
      </w:r>
      <w:r>
        <w:tab/>
        <w:t xml:space="preserve">Facilitate performance incentives to support outreach and treatment enrollment of individuals representing populations that are disproportionately represented.  </w:t>
      </w:r>
    </w:p>
    <w:p w:rsidR="004B20E5" w:rsidRDefault="004B20E5" w:rsidP="007C27A3">
      <w:pPr>
        <w:pStyle w:val="TableTenEssenHlthFunct"/>
      </w:pPr>
      <w:r>
        <w:t>Link People to Needed Personal Health Services and Health Care</w:t>
      </w:r>
    </w:p>
    <w:p w:rsidR="004B20E5" w:rsidRPr="009F76E0" w:rsidRDefault="004B20E5" w:rsidP="00D00411">
      <w:pPr>
        <w:pStyle w:val="TableStrategiesunderHealthFunctions"/>
      </w:pPr>
      <w:r>
        <w:t>4.6.5</w:t>
      </w:r>
      <w:r w:rsidRPr="00760F2E">
        <w:tab/>
        <w:t xml:space="preserve">Support community based programs that target and are operated by </w:t>
      </w:r>
      <w:r w:rsidRPr="009F76E0">
        <w:t xml:space="preserve">traditionally underserved populations.  </w:t>
      </w:r>
    </w:p>
    <w:p w:rsidR="004B20E5" w:rsidRPr="009F76E0" w:rsidRDefault="004B20E5" w:rsidP="00D00411">
      <w:pPr>
        <w:pStyle w:val="TableStrategiesunderHealthFunctions"/>
      </w:pPr>
      <w:r>
        <w:t>4.6.6</w:t>
      </w:r>
      <w:r w:rsidRPr="009F76E0">
        <w:tab/>
        <w:t xml:space="preserve">Support clients to effectively navigate and access care. </w:t>
      </w:r>
    </w:p>
    <w:p w:rsidR="004B20E5" w:rsidRPr="006256D0" w:rsidRDefault="004B20E5" w:rsidP="00D00411">
      <w:pPr>
        <w:pStyle w:val="TableStrategiesunderHealthFunctions"/>
      </w:pPr>
      <w:r>
        <w:t>4.6.7</w:t>
      </w:r>
      <w:r w:rsidRPr="009F76E0">
        <w:tab/>
        <w:t>Promote the integration of cultural and linguistically</w:t>
      </w:r>
      <w:r>
        <w:t xml:space="preserve"> appropriate services (CLAS) in service delivery throughout the treatment system.</w:t>
      </w:r>
    </w:p>
    <w:p w:rsidR="004B20E5" w:rsidRPr="0046149F" w:rsidRDefault="004B20E5" w:rsidP="00D00411">
      <w:pPr>
        <w:pStyle w:val="TableStrategiesunderHealthFunctions"/>
      </w:pPr>
    </w:p>
    <w:p w:rsidR="004B20E5" w:rsidRDefault="004B20E5" w:rsidP="00571897">
      <w:pPr>
        <w:pStyle w:val="PartnersTitle"/>
      </w:pPr>
      <w:r>
        <w:br w:type="page"/>
      </w:r>
    </w:p>
    <w:p w:rsidR="004B20E5" w:rsidRPr="00571897" w:rsidRDefault="004B20E5" w:rsidP="00571897">
      <w:pPr>
        <w:pStyle w:val="PartnersTitle"/>
      </w:pPr>
      <w:r w:rsidRPr="00571897">
        <w:lastRenderedPageBreak/>
        <w:t xml:space="preserve">Partners/Resources for </w:t>
      </w:r>
      <w:r>
        <w:t>Substance Abuse Prevention, Intervention, Treatment and Recovery</w:t>
      </w:r>
    </w:p>
    <w:p w:rsidR="004B20E5" w:rsidRPr="00AF0910" w:rsidRDefault="004B20E5" w:rsidP="004E0856">
      <w:pPr>
        <w:pStyle w:val="Partners"/>
      </w:pPr>
      <w:r w:rsidRPr="00AF0910">
        <w:t>Academic partners</w:t>
      </w:r>
    </w:p>
    <w:p w:rsidR="00645690" w:rsidRDefault="00645690" w:rsidP="00645690">
      <w:pPr>
        <w:pStyle w:val="Partners"/>
      </w:pPr>
      <w:r w:rsidRPr="00645690">
        <w:t>Behavioral health organizations</w:t>
      </w:r>
    </w:p>
    <w:p w:rsidR="004B20E5" w:rsidRPr="00AF0910" w:rsidRDefault="004B20E5" w:rsidP="00645690">
      <w:pPr>
        <w:pStyle w:val="Partners"/>
      </w:pPr>
      <w:r w:rsidRPr="00AF0910">
        <w:t xml:space="preserve">Children and </w:t>
      </w:r>
      <w:r w:rsidR="00595D41">
        <w:t>f</w:t>
      </w:r>
      <w:r w:rsidRPr="00AF0910">
        <w:t>amily services</w:t>
      </w:r>
    </w:p>
    <w:p w:rsidR="004B20E5" w:rsidRPr="00AF0910" w:rsidRDefault="004B20E5" w:rsidP="004E0856">
      <w:pPr>
        <w:pStyle w:val="Partners"/>
      </w:pPr>
      <w:r w:rsidRPr="00AF0910">
        <w:t>Children’s Behavioral Health Initiative</w:t>
      </w:r>
    </w:p>
    <w:p w:rsidR="004B20E5" w:rsidRPr="00AF0910" w:rsidRDefault="004B20E5" w:rsidP="004E0856">
      <w:pPr>
        <w:pStyle w:val="Partners"/>
      </w:pPr>
      <w:r w:rsidRPr="00AF0910">
        <w:t xml:space="preserve">Community </w:t>
      </w:r>
      <w:r w:rsidR="00595D41">
        <w:t>c</w:t>
      </w:r>
      <w:r w:rsidRPr="00AF0910">
        <w:t>oalitions</w:t>
      </w:r>
    </w:p>
    <w:p w:rsidR="004B20E5" w:rsidRPr="00AF0910" w:rsidRDefault="004B20E5" w:rsidP="004E0856">
      <w:pPr>
        <w:pStyle w:val="Partners"/>
      </w:pPr>
      <w:r w:rsidRPr="00AF0910">
        <w:t xml:space="preserve">Consumer </w:t>
      </w:r>
      <w:r w:rsidR="00595D41">
        <w:t>q</w:t>
      </w:r>
      <w:r w:rsidRPr="00AF0910">
        <w:t xml:space="preserve">uality </w:t>
      </w:r>
      <w:r w:rsidR="00595D41">
        <w:t>i</w:t>
      </w:r>
      <w:r w:rsidRPr="00AF0910">
        <w:t>nitiatives (</w:t>
      </w:r>
      <w:hyperlink r:id="rId33" w:history="1">
        <w:r w:rsidRPr="00AF0910">
          <w:rPr>
            <w:rStyle w:val="Hyperlink"/>
            <w:rFonts w:cs="Arial"/>
          </w:rPr>
          <w:t>www.cqi-mass.org</w:t>
        </w:r>
      </w:hyperlink>
      <w:r w:rsidRPr="00AF0910">
        <w:t>)</w:t>
      </w:r>
    </w:p>
    <w:p w:rsidR="004B20E5" w:rsidRPr="00AF0910" w:rsidRDefault="004B20E5" w:rsidP="004E0856">
      <w:pPr>
        <w:pStyle w:val="Partners"/>
      </w:pPr>
      <w:r w:rsidRPr="00AF0910">
        <w:t xml:space="preserve">Criminal </w:t>
      </w:r>
      <w:r w:rsidR="00595D41">
        <w:t>j</w:t>
      </w:r>
      <w:r w:rsidRPr="00AF0910">
        <w:t>ustice system</w:t>
      </w:r>
    </w:p>
    <w:p w:rsidR="004B20E5" w:rsidRPr="00AF0910" w:rsidRDefault="004B20E5" w:rsidP="004E0856">
      <w:pPr>
        <w:pStyle w:val="Partners"/>
      </w:pPr>
      <w:r w:rsidRPr="00AF0910">
        <w:t>Elder service</w:t>
      </w:r>
      <w:r w:rsidR="002A6C56">
        <w:t xml:space="preserve"> organizations</w:t>
      </w:r>
    </w:p>
    <w:p w:rsidR="004B20E5" w:rsidRPr="00AF0910" w:rsidRDefault="004B20E5" w:rsidP="004E0856">
      <w:pPr>
        <w:pStyle w:val="Partners"/>
      </w:pPr>
      <w:r w:rsidRPr="00AF0910">
        <w:t>Employers</w:t>
      </w:r>
    </w:p>
    <w:p w:rsidR="004B20E5" w:rsidRPr="00AF0910" w:rsidRDefault="004B20E5" w:rsidP="004E0856">
      <w:pPr>
        <w:pStyle w:val="Partners"/>
      </w:pPr>
      <w:r w:rsidRPr="00AF0910">
        <w:t>Faith communities</w:t>
      </w:r>
    </w:p>
    <w:p w:rsidR="004B20E5" w:rsidRDefault="004B20E5" w:rsidP="004E0856">
      <w:pPr>
        <w:pStyle w:val="Partners"/>
      </w:pPr>
      <w:r w:rsidRPr="00AF0910">
        <w:t>Health insurers</w:t>
      </w:r>
    </w:p>
    <w:p w:rsidR="00E21431" w:rsidRPr="00AF0910" w:rsidRDefault="00E21431" w:rsidP="004E0856">
      <w:pPr>
        <w:pStyle w:val="Partners"/>
      </w:pPr>
      <w:r>
        <w:t xml:space="preserve">Healthcare </w:t>
      </w:r>
      <w:r w:rsidR="00427832">
        <w:t>P</w:t>
      </w:r>
      <w:r>
        <w:t>roviders</w:t>
      </w:r>
    </w:p>
    <w:p w:rsidR="004B20E5" w:rsidRPr="00AF0910" w:rsidRDefault="004B20E5" w:rsidP="004E0856">
      <w:pPr>
        <w:pStyle w:val="Partners"/>
      </w:pPr>
      <w:r w:rsidRPr="00AF0910">
        <w:t>Hospitals and clinics and CHC’s</w:t>
      </w:r>
    </w:p>
    <w:p w:rsidR="002A6C56" w:rsidRDefault="002A6C56" w:rsidP="004E0856">
      <w:pPr>
        <w:pStyle w:val="Partners"/>
      </w:pPr>
      <w:r>
        <w:t>Local Housing Authorities</w:t>
      </w:r>
    </w:p>
    <w:p w:rsidR="004B20E5" w:rsidRPr="00AF0910" w:rsidRDefault="004B20E5" w:rsidP="004E0856">
      <w:pPr>
        <w:pStyle w:val="Partners"/>
      </w:pPr>
      <w:r w:rsidRPr="00AF0910">
        <w:t xml:space="preserve">MA </w:t>
      </w:r>
      <w:r>
        <w:t>Department of Elementary and Secondary Education (</w:t>
      </w:r>
      <w:r w:rsidRPr="00AF0910">
        <w:t>DESE</w:t>
      </w:r>
      <w:r>
        <w:t>)</w:t>
      </w:r>
    </w:p>
    <w:p w:rsidR="004B20E5" w:rsidRPr="00AF0910" w:rsidRDefault="00C36277" w:rsidP="004E0856">
      <w:pPr>
        <w:pStyle w:val="Partners"/>
      </w:pPr>
      <w:r w:rsidRPr="00AF0910">
        <w:t>M</w:t>
      </w:r>
      <w:r>
        <w:t>A</w:t>
      </w:r>
      <w:r w:rsidRPr="00AF0910">
        <w:t xml:space="preserve"> </w:t>
      </w:r>
      <w:r w:rsidR="004B20E5" w:rsidRPr="00AF0910">
        <w:t xml:space="preserve">Chapter of </w:t>
      </w:r>
      <w:r w:rsidR="004B20E5" w:rsidRPr="00FD219E">
        <w:t>American Academy of Pediatrics</w:t>
      </w:r>
      <w:r w:rsidR="004B20E5">
        <w:t xml:space="preserve"> (</w:t>
      </w:r>
      <w:r w:rsidR="004B20E5" w:rsidRPr="00AF0910">
        <w:t>AAP</w:t>
      </w:r>
      <w:r w:rsidR="004B20E5">
        <w:t>)</w:t>
      </w:r>
      <w:r w:rsidR="004B20E5" w:rsidRPr="00AF0910">
        <w:t xml:space="preserve"> Children’s Mental Health Task Force</w:t>
      </w:r>
    </w:p>
    <w:p w:rsidR="004B20E5" w:rsidRPr="00AF0910" w:rsidRDefault="00C36277" w:rsidP="004E0856">
      <w:pPr>
        <w:pStyle w:val="Partners"/>
      </w:pPr>
      <w:r w:rsidRPr="00AF0910">
        <w:t>M</w:t>
      </w:r>
      <w:r>
        <w:t>A</w:t>
      </w:r>
      <w:r w:rsidRPr="00AF0910">
        <w:t xml:space="preserve"> </w:t>
      </w:r>
      <w:r w:rsidR="004B20E5" w:rsidRPr="00AF0910">
        <w:t>Council on Compulsive Gambling</w:t>
      </w:r>
    </w:p>
    <w:p w:rsidR="004B20E5" w:rsidRDefault="00C36277" w:rsidP="004E0856">
      <w:pPr>
        <w:pStyle w:val="Partners"/>
      </w:pPr>
      <w:r w:rsidRPr="00AF0910">
        <w:t>M</w:t>
      </w:r>
      <w:r>
        <w:t>A</w:t>
      </w:r>
      <w:r w:rsidRPr="00AF0910">
        <w:t xml:space="preserve"> </w:t>
      </w:r>
      <w:r w:rsidR="004B20E5" w:rsidRPr="00AF0910">
        <w:t>Gaming Commission</w:t>
      </w:r>
    </w:p>
    <w:p w:rsidR="004B20E5" w:rsidRPr="006A48A1" w:rsidRDefault="004B20E5" w:rsidP="004E0856">
      <w:pPr>
        <w:pStyle w:val="Partners"/>
      </w:pPr>
      <w:r w:rsidRPr="006A48A1">
        <w:t>Health Planning Council</w:t>
      </w:r>
    </w:p>
    <w:p w:rsidR="004B20E5" w:rsidRDefault="00C36277" w:rsidP="004E0856">
      <w:pPr>
        <w:pStyle w:val="Partners"/>
      </w:pPr>
      <w:r w:rsidRPr="00AF0910">
        <w:t>M</w:t>
      </w:r>
      <w:r>
        <w:t>A</w:t>
      </w:r>
      <w:r w:rsidRPr="00AF0910">
        <w:t xml:space="preserve"> </w:t>
      </w:r>
      <w:r w:rsidR="004B20E5" w:rsidRPr="00AF0910">
        <w:t>Child Psychiatr</w:t>
      </w:r>
      <w:r w:rsidR="00595D41">
        <w:t>y</w:t>
      </w:r>
      <w:r w:rsidR="004B20E5" w:rsidRPr="00AF0910">
        <w:t xml:space="preserve"> Access Project (MCPAP) and MCPAP for Moms</w:t>
      </w:r>
    </w:p>
    <w:p w:rsidR="004B20E5" w:rsidRPr="00AF0910" w:rsidRDefault="00C36277" w:rsidP="004E0856">
      <w:pPr>
        <w:pStyle w:val="Partners"/>
      </w:pPr>
      <w:r>
        <w:t xml:space="preserve">MA </w:t>
      </w:r>
      <w:r w:rsidR="004B20E5">
        <w:t>Psychological Association</w:t>
      </w:r>
    </w:p>
    <w:p w:rsidR="004B20E5" w:rsidRPr="00AF0910" w:rsidRDefault="004B20E5" w:rsidP="004E0856">
      <w:pPr>
        <w:pStyle w:val="Partners"/>
      </w:pPr>
      <w:r w:rsidRPr="00AF0910">
        <w:t>National Empowerment Center (</w:t>
      </w:r>
      <w:hyperlink r:id="rId34" w:history="1">
        <w:r w:rsidRPr="00637132">
          <w:rPr>
            <w:rStyle w:val="Hyperlink"/>
            <w:rFonts w:cs="Arial"/>
          </w:rPr>
          <w:t>www.power2u.org</w:t>
        </w:r>
      </w:hyperlink>
      <w:r w:rsidRPr="00AF0910">
        <w:t>)</w:t>
      </w:r>
    </w:p>
    <w:p w:rsidR="004B20E5" w:rsidRPr="00AF0910" w:rsidRDefault="004B20E5" w:rsidP="004E0856">
      <w:pPr>
        <w:pStyle w:val="Partners"/>
      </w:pPr>
      <w:r w:rsidRPr="00AF0910">
        <w:t>Outreach programs</w:t>
      </w:r>
    </w:p>
    <w:p w:rsidR="004B20E5" w:rsidRPr="00AF0910" w:rsidRDefault="004B20E5" w:rsidP="004E0856">
      <w:pPr>
        <w:pStyle w:val="Partners"/>
      </w:pPr>
      <w:r w:rsidRPr="00AF0910">
        <w:t>Peer to peer programs</w:t>
      </w:r>
    </w:p>
    <w:p w:rsidR="004B20E5" w:rsidRPr="00AF0910" w:rsidRDefault="004B20E5" w:rsidP="004E0856">
      <w:pPr>
        <w:pStyle w:val="Partners"/>
      </w:pPr>
      <w:r w:rsidRPr="00AF0910">
        <w:t>Post-Partum Depression Commission</w:t>
      </w:r>
    </w:p>
    <w:p w:rsidR="004B20E5" w:rsidRPr="00AF0910" w:rsidRDefault="004B20E5" w:rsidP="004E0856">
      <w:pPr>
        <w:pStyle w:val="Partners"/>
      </w:pPr>
      <w:r w:rsidRPr="00AF0910">
        <w:t xml:space="preserve">Recovery Learning Communities (6 throughout Massachusetts) </w:t>
      </w:r>
    </w:p>
    <w:p w:rsidR="004B20E5" w:rsidRDefault="004B20E5" w:rsidP="004E0856">
      <w:pPr>
        <w:pStyle w:val="Partners"/>
      </w:pPr>
      <w:r w:rsidRPr="00AF0910">
        <w:t xml:space="preserve">Substance abuse treatment </w:t>
      </w:r>
      <w:r w:rsidR="004259D3">
        <w:t>providers</w:t>
      </w:r>
    </w:p>
    <w:p w:rsidR="004B20E5" w:rsidRPr="00AF0910" w:rsidRDefault="004B20E5" w:rsidP="004E0856">
      <w:pPr>
        <w:pStyle w:val="Partners"/>
      </w:pPr>
      <w:r w:rsidRPr="00AF0910">
        <w:t>Tobacco Prevention and Control</w:t>
      </w:r>
    </w:p>
    <w:p w:rsidR="004B20E5" w:rsidRPr="00AF0910" w:rsidRDefault="004B20E5" w:rsidP="004E0856">
      <w:pPr>
        <w:pStyle w:val="Partners"/>
      </w:pPr>
      <w:r w:rsidRPr="00AF0910">
        <w:t>Veterans groups / services</w:t>
      </w:r>
    </w:p>
    <w:p w:rsidR="004B20E5" w:rsidRPr="00AF0910" w:rsidRDefault="004B20E5" w:rsidP="004E0856">
      <w:pPr>
        <w:pStyle w:val="Partners"/>
      </w:pPr>
      <w:r w:rsidRPr="00AF0910">
        <w:t>Youth programs/organizations</w:t>
      </w:r>
    </w:p>
    <w:p w:rsidR="004B20E5" w:rsidRDefault="004B20E5" w:rsidP="004E0856">
      <w:pPr>
        <w:pStyle w:val="Partners"/>
        <w:numPr>
          <w:ilvl w:val="0"/>
          <w:numId w:val="0"/>
        </w:numPr>
        <w:ind w:left="180"/>
      </w:pPr>
    </w:p>
    <w:p w:rsidR="004B20E5" w:rsidRPr="0046149F" w:rsidRDefault="004B20E5">
      <w:pPr>
        <w:spacing w:after="200" w:line="276" w:lineRule="auto"/>
        <w:rPr>
          <w:rFonts w:cs="Arial"/>
          <w:b/>
        </w:rPr>
      </w:pPr>
    </w:p>
    <w:p w:rsidR="004B20E5" w:rsidRDefault="004B20E5" w:rsidP="00E55486">
      <w:pPr>
        <w:pStyle w:val="Heading2"/>
        <w:sectPr w:rsidR="004B20E5" w:rsidSect="000D3A34">
          <w:headerReference w:type="even" r:id="rId35"/>
          <w:headerReference w:type="default" r:id="rId36"/>
          <w:headerReference w:type="first" r:id="rId37"/>
          <w:endnotePr>
            <w:numFmt w:val="decimal"/>
          </w:endnotePr>
          <w:pgSz w:w="12240" w:h="15840" w:code="1"/>
          <w:pgMar w:top="1080" w:right="1080" w:bottom="1080" w:left="1080" w:header="648" w:footer="504" w:gutter="0"/>
          <w:cols w:space="720"/>
          <w:docGrid w:linePitch="360"/>
        </w:sectPr>
      </w:pPr>
    </w:p>
    <w:p w:rsidR="004B20E5" w:rsidRDefault="004B20E5" w:rsidP="00E55486">
      <w:pPr>
        <w:pStyle w:val="Heading2"/>
      </w:pPr>
      <w:bookmarkStart w:id="52" w:name="_Toc398819278"/>
      <w:r>
        <w:lastRenderedPageBreak/>
        <w:t>Domain 5</w:t>
      </w:r>
      <w:r w:rsidRPr="0046149F">
        <w:t xml:space="preserve">:  </w:t>
      </w:r>
      <w:r>
        <w:t>Injury, Suicide and Violence Prevention</w:t>
      </w:r>
      <w:bookmarkEnd w:id="52"/>
    </w:p>
    <w:p w:rsidR="004B20E5" w:rsidRPr="00A204E6" w:rsidRDefault="004B20E5" w:rsidP="00E55486"/>
    <w:p w:rsidR="004B20E5" w:rsidRDefault="004B20E5" w:rsidP="00CB2B0E">
      <w:pPr>
        <w:pStyle w:val="GoalStatement"/>
      </w:pPr>
      <w:r w:rsidRPr="0046149F">
        <w:t>Prevent injuries</w:t>
      </w:r>
      <w:r>
        <w:t>, suicide</w:t>
      </w:r>
      <w:r w:rsidRPr="0046149F">
        <w:t xml:space="preserve"> and violence</w:t>
      </w:r>
      <w:r>
        <w:t xml:space="preserve"> and promote trauma-informed care across all settings, particularly in clinical and public health services.</w:t>
      </w:r>
    </w:p>
    <w:p w:rsidR="004B20E5" w:rsidRDefault="004B20E5" w:rsidP="00E55486">
      <w:pPr>
        <w:pStyle w:val="BodyText"/>
        <w:rPr>
          <w:b/>
        </w:rPr>
      </w:pPr>
    </w:p>
    <w:p w:rsidR="004B20E5" w:rsidRPr="00A204E6" w:rsidRDefault="004B20E5" w:rsidP="00E55486">
      <w:pPr>
        <w:pStyle w:val="BodyText"/>
        <w:rPr>
          <w:b/>
        </w:rPr>
      </w:pPr>
      <w:r w:rsidRPr="00A204E6">
        <w:rPr>
          <w:b/>
        </w:rPr>
        <w:t xml:space="preserve">Why </w:t>
      </w:r>
      <w:r>
        <w:rPr>
          <w:b/>
        </w:rPr>
        <w:t>T</w:t>
      </w:r>
      <w:r w:rsidRPr="00A204E6">
        <w:rPr>
          <w:b/>
        </w:rPr>
        <w:t xml:space="preserve">his </w:t>
      </w:r>
      <w:r>
        <w:rPr>
          <w:b/>
        </w:rPr>
        <w:t xml:space="preserve">Domain </w:t>
      </w:r>
      <w:r w:rsidRPr="00A204E6">
        <w:rPr>
          <w:b/>
        </w:rPr>
        <w:t>Is Important f</w:t>
      </w:r>
      <w:r>
        <w:rPr>
          <w:b/>
        </w:rPr>
        <w:t>or Massachusetts:</w:t>
      </w:r>
    </w:p>
    <w:p w:rsidR="004B20E5" w:rsidRPr="00966E02" w:rsidRDefault="004B20E5" w:rsidP="00E55486">
      <w:pPr>
        <w:pStyle w:val="BodyText"/>
      </w:pPr>
      <w:r w:rsidRPr="00A204E6">
        <w:rPr>
          <w:b/>
        </w:rPr>
        <w:t>Burden (Where We Are):</w:t>
      </w:r>
      <w:r w:rsidRPr="00966E02">
        <w:t>MA residents have the right to be safe in their homes, communities and workplaces.  Injuries from all causes (unintentional, self-inflicted, violence) are the number one cause of mortality and morbidity for people age 1-44 in the Commonwealth and the third leading cause of death for all ages.  Violence, suicide and injuries can have significant physical consequences, but they also result in significant social, emotional, and financial consequences. They impact our lives, our families, our communities, and our institutions.</w:t>
      </w:r>
    </w:p>
    <w:p w:rsidR="004B20E5" w:rsidRPr="00966E02" w:rsidRDefault="004B20E5" w:rsidP="005F23F3">
      <w:pPr>
        <w:pStyle w:val="BodyText"/>
      </w:pPr>
      <w:r w:rsidRPr="00966E02">
        <w:t>However, violence, suicide and unintentional injury do not affect all populations equally.  The death rate for falls is highest among the elderly</w:t>
      </w:r>
      <w:r>
        <w:t xml:space="preserve"> at 49.8 deaths per 100,000 MA residents aged 65 and older</w:t>
      </w:r>
      <w:r w:rsidRPr="00966E02">
        <w:t xml:space="preserve">.  The death rate for poisoning is highest among males.  </w:t>
      </w:r>
      <w:r>
        <w:t>Males ages 60 and older are almost twice as likely to commit suicide when compared to the statewide average, 14.7 and 8.8 per 100,000, respectively</w:t>
      </w:r>
      <w:r w:rsidRPr="00966E02">
        <w:t xml:space="preserve">.  </w:t>
      </w:r>
      <w:r>
        <w:t>Among youth age 15-24, homicide rates are highest among Black Non-Hispanic males and Hispanic males with 82.7 and 40.7 homicides per 100,000, respectively.</w:t>
      </w:r>
      <w:r w:rsidR="00CE6330">
        <w:t xml:space="preserve"> </w:t>
      </w:r>
      <w:r>
        <w:t>Conversely,</w:t>
      </w:r>
      <w:r w:rsidRPr="00966E02">
        <w:t xml:space="preserve"> young women experience the highest rates of sexual violence</w:t>
      </w:r>
      <w:r>
        <w:t xml:space="preserve">. Prevalence of lifetime dating violence victimization experiences among MA high school students is highest among LGBT students and females at 32.7% and 15.1%, respectively. In addition, the rate of hospitalizations for work-related injuries is 1.5 times higher among Hispanic workers than Non-Hispanic Whites. </w:t>
      </w:r>
    </w:p>
    <w:p w:rsidR="004B20E5" w:rsidRPr="00966E02" w:rsidRDefault="004B20E5" w:rsidP="006F546A">
      <w:pPr>
        <w:pStyle w:val="BodyText"/>
      </w:pPr>
      <w:r w:rsidRPr="00A204E6">
        <w:rPr>
          <w:b/>
        </w:rPr>
        <w:t>Result (How This Affects Us):</w:t>
      </w:r>
      <w:r w:rsidRPr="00966E02">
        <w:t>Violence, suicide and unintentional injury have serious impacts on lifetime health with substantial human and economic costs borne by individuals, families, employers and society at large. In addition to the physical consequences of the injury, research has documented lifetime impacts related to chronic disease and behavior</w:t>
      </w:r>
      <w:r>
        <w:t>al</w:t>
      </w:r>
      <w:r w:rsidRPr="00966E02">
        <w:t xml:space="preserve"> health outcomes.  These issues significantly add to the burden on our healthcare system and have additional impact in terms of thousands of lost workdays and other indirect costs to families, communities, and employers.    </w:t>
      </w:r>
    </w:p>
    <w:p w:rsidR="004B20E5" w:rsidRDefault="004B20E5" w:rsidP="00E55486">
      <w:pPr>
        <w:pStyle w:val="BodyText"/>
      </w:pPr>
      <w:r w:rsidRPr="00A204E6">
        <w:rPr>
          <w:b/>
        </w:rPr>
        <w:t>Action (What We Can Do):</w:t>
      </w:r>
      <w:r w:rsidRPr="00966E02">
        <w:t xml:space="preserve">Violence, suicide and unintentional injury are in large part preventable.  There is an expanding evidence base for effective prevention strategies that include environmental and engineering approaches, policy and regulation, as well as professional and public education.  Violence, injury and suicide prevention require collaborative approaches among multidisciplinary stakeholders.  Public health and healthcare practitioners have important roles to play.  </w:t>
      </w:r>
      <w:r>
        <w:t xml:space="preserve">Our health and public health systems must become “trauma-informed” – by developing approaches that do not </w:t>
      </w:r>
      <w:r w:rsidR="003120E8">
        <w:t>re-traumatize</w:t>
      </w:r>
      <w:r>
        <w:t xml:space="preserve"> survivors, whether or not they chose to disclose a trauma history, and by improving screening and referral practices.  Additionally, </w:t>
      </w:r>
      <w:r w:rsidRPr="00966E02">
        <w:t>partnerships with community-based organizations, policy makers (at local, regional, and state level</w:t>
      </w:r>
      <w:r>
        <w:t>s</w:t>
      </w:r>
      <w:r w:rsidRPr="00966E02">
        <w:t>), public safety, child protection, education, employers and community members, including survivors, are essential for developing and implementing effective prevention and response strategies</w:t>
      </w:r>
      <w:r w:rsidRPr="00F62784">
        <w:t xml:space="preserve">. </w:t>
      </w:r>
      <w:r>
        <w:t>Sudden Unexplained Infant Death remains a critical area for data collection and analysis as represented by the strategies in the SHIP.</w:t>
      </w:r>
    </w:p>
    <w:p w:rsidR="004B20E5" w:rsidRDefault="004B20E5" w:rsidP="00E55486">
      <w:pPr>
        <w:pStyle w:val="BodyText"/>
      </w:pPr>
      <w:r>
        <w:br w:type="page"/>
      </w:r>
    </w:p>
    <w:p w:rsidR="004B20E5" w:rsidRPr="0046149F" w:rsidRDefault="004B20E5" w:rsidP="00E55486"/>
    <w:p w:rsidR="004B20E5" w:rsidRDefault="004B20E5" w:rsidP="00D00411">
      <w:pPr>
        <w:pStyle w:val="TableStrategiesunderHealthFunctions"/>
      </w:pPr>
    </w:p>
    <w:p w:rsidR="004B20E5" w:rsidRDefault="004B20E5" w:rsidP="00CB2B0E">
      <w:pPr>
        <w:pStyle w:val="StandardStatement"/>
      </w:pPr>
      <w:r>
        <w:t>Standard</w:t>
      </w:r>
      <w:r w:rsidRPr="0046149F">
        <w:t xml:space="preserve"> 5</w:t>
      </w:r>
      <w:r>
        <w:t xml:space="preserve">A:  </w:t>
      </w:r>
      <w:r>
        <w:tab/>
        <w:t>Reduce unintentional injury</w:t>
      </w:r>
      <w:r w:rsidRPr="0046149F">
        <w:t>.</w:t>
      </w:r>
    </w:p>
    <w:p w:rsidR="004B20E5" w:rsidRPr="00876533" w:rsidRDefault="004B20E5" w:rsidP="00876533">
      <w:pPr>
        <w:pStyle w:val="BodyText"/>
      </w:pPr>
    </w:p>
    <w:p w:rsidR="004B20E5" w:rsidRDefault="004B20E5" w:rsidP="00CB2B0E">
      <w:pPr>
        <w:pStyle w:val="ObjectiveStatement"/>
      </w:pPr>
      <w:r>
        <w:t>Measure</w:t>
      </w:r>
      <w:r w:rsidRPr="0046149F">
        <w:t xml:space="preserve"> 5.</w:t>
      </w:r>
      <w:r>
        <w:t>1:</w:t>
      </w:r>
      <w:r>
        <w:tab/>
        <w:t>Stabilize the rate of fatal poisonings, with particular focus on opioid related poisonings.</w:t>
      </w:r>
    </w:p>
    <w:p w:rsidR="004B20E5" w:rsidRDefault="004B20E5" w:rsidP="00161EF6">
      <w:pPr>
        <w:pStyle w:val="BodyText"/>
      </w:pPr>
    </w:p>
    <w:tbl>
      <w:tblPr>
        <w:tblW w:w="4108" w:type="pct"/>
        <w:tblInd w:w="1755" w:type="dxa"/>
        <w:tblLayout w:type="fixed"/>
        <w:tblLook w:val="00A0" w:firstRow="1" w:lastRow="0" w:firstColumn="1" w:lastColumn="0" w:noHBand="0" w:noVBand="0"/>
      </w:tblPr>
      <w:tblGrid>
        <w:gridCol w:w="2071"/>
        <w:gridCol w:w="1710"/>
        <w:gridCol w:w="1531"/>
        <w:gridCol w:w="3147"/>
      </w:tblGrid>
      <w:tr w:rsidR="004B20E5" w:rsidRPr="00666093" w:rsidTr="00014F7A">
        <w:trPr>
          <w:cantSplit/>
        </w:trPr>
        <w:tc>
          <w:tcPr>
            <w:tcW w:w="1224"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1011" w:type="pct"/>
            <w:tcBorders>
              <w:top w:val="single" w:sz="4" w:space="0" w:color="auto"/>
              <w:bottom w:val="single" w:sz="4" w:space="0" w:color="auto"/>
            </w:tcBorders>
            <w:vAlign w:val="center"/>
          </w:tcPr>
          <w:p w:rsidR="004B20E5" w:rsidRPr="00666093" w:rsidRDefault="004B20E5" w:rsidP="00014F7A">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014F7A">
            <w:pPr>
              <w:pStyle w:val="TableTitleBaseline2020Target"/>
            </w:pPr>
            <w:r w:rsidRPr="00666093">
              <w:t>2020 Target</w:t>
            </w:r>
          </w:p>
        </w:tc>
        <w:tc>
          <w:tcPr>
            <w:tcW w:w="1860" w:type="pct"/>
            <w:tcBorders>
              <w:top w:val="single" w:sz="4" w:space="0" w:color="auto"/>
              <w:bottom w:val="single" w:sz="4" w:space="0" w:color="auto"/>
            </w:tcBorders>
            <w:vAlign w:val="center"/>
          </w:tcPr>
          <w:p w:rsidR="004B20E5" w:rsidRPr="00666093" w:rsidRDefault="004B20E5" w:rsidP="00014F7A">
            <w:pPr>
              <w:pStyle w:val="TableTitleTargetDataSource"/>
            </w:pPr>
            <w:r w:rsidRPr="00666093">
              <w:t>Data Source</w:t>
            </w:r>
          </w:p>
        </w:tc>
      </w:tr>
      <w:tr w:rsidR="004B20E5" w:rsidRPr="00666093" w:rsidTr="00014F7A">
        <w:trPr>
          <w:cantSplit/>
        </w:trPr>
        <w:tc>
          <w:tcPr>
            <w:tcW w:w="1224" w:type="pct"/>
            <w:tcBorders>
              <w:top w:val="single" w:sz="4" w:space="0" w:color="auto"/>
              <w:bottom w:val="single" w:sz="4" w:space="0" w:color="auto"/>
            </w:tcBorders>
            <w:vAlign w:val="center"/>
          </w:tcPr>
          <w:p w:rsidR="004B20E5" w:rsidRPr="00666093" w:rsidRDefault="004B20E5" w:rsidP="00014F7A">
            <w:pPr>
              <w:pStyle w:val="TableOutcomeMeasure"/>
            </w:pPr>
            <w:r>
              <w:t>Age adjusted rate of unintentional and undetermined intent poisoning deaths</w:t>
            </w:r>
          </w:p>
        </w:tc>
        <w:tc>
          <w:tcPr>
            <w:tcW w:w="1011" w:type="pct"/>
            <w:tcBorders>
              <w:top w:val="single" w:sz="4" w:space="0" w:color="auto"/>
              <w:bottom w:val="single" w:sz="4" w:space="0" w:color="auto"/>
            </w:tcBorders>
            <w:vAlign w:val="center"/>
          </w:tcPr>
          <w:p w:rsidR="004B20E5" w:rsidRPr="00666093" w:rsidRDefault="004B20E5" w:rsidP="00014F7A">
            <w:pPr>
              <w:pStyle w:val="TableBaseline2020Target"/>
            </w:pPr>
            <w:r>
              <w:t xml:space="preserve"> 12.4 per 100,000 residents</w:t>
            </w:r>
          </w:p>
        </w:tc>
        <w:tc>
          <w:tcPr>
            <w:tcW w:w="905" w:type="pct"/>
            <w:tcBorders>
              <w:top w:val="single" w:sz="4" w:space="0" w:color="auto"/>
              <w:bottom w:val="single" w:sz="4" w:space="0" w:color="auto"/>
            </w:tcBorders>
            <w:vAlign w:val="center"/>
          </w:tcPr>
          <w:p w:rsidR="004B20E5" w:rsidRPr="00666093" w:rsidRDefault="004B20E5" w:rsidP="00014F7A">
            <w:pPr>
              <w:pStyle w:val="TableBaseline2020Target"/>
            </w:pPr>
            <w:r>
              <w:t xml:space="preserve"> 12.4 per 100,000 residents</w:t>
            </w:r>
          </w:p>
        </w:tc>
        <w:tc>
          <w:tcPr>
            <w:tcW w:w="1860" w:type="pct"/>
            <w:tcBorders>
              <w:top w:val="single" w:sz="4" w:space="0" w:color="auto"/>
              <w:bottom w:val="single" w:sz="4" w:space="0" w:color="auto"/>
            </w:tcBorders>
            <w:vAlign w:val="center"/>
          </w:tcPr>
          <w:p w:rsidR="004B20E5" w:rsidRPr="00666093" w:rsidRDefault="004B20E5" w:rsidP="00014F7A">
            <w:pPr>
              <w:pStyle w:val="TableDataSource"/>
            </w:pPr>
            <w:r>
              <w:t>Registry of Vital Records and Statistics, MDPH</w:t>
            </w:r>
          </w:p>
        </w:tc>
      </w:tr>
      <w:tr w:rsidR="004B20E5" w:rsidRPr="00666093" w:rsidTr="00F446EB">
        <w:trPr>
          <w:cantSplit/>
        </w:trPr>
        <w:tc>
          <w:tcPr>
            <w:tcW w:w="1224" w:type="pct"/>
            <w:tcBorders>
              <w:top w:val="single" w:sz="4" w:space="0" w:color="auto"/>
              <w:bottom w:val="single" w:sz="4" w:space="0" w:color="auto"/>
            </w:tcBorders>
            <w:vAlign w:val="center"/>
          </w:tcPr>
          <w:p w:rsidR="004B20E5" w:rsidRPr="00666093" w:rsidRDefault="004B20E5" w:rsidP="00F446EB">
            <w:pPr>
              <w:pStyle w:val="TableOutcomeMeasure"/>
            </w:pPr>
            <w:r>
              <w:t>Age adjusted rate of unintentional and undetermined intent opioid poisoning deaths</w:t>
            </w:r>
          </w:p>
        </w:tc>
        <w:tc>
          <w:tcPr>
            <w:tcW w:w="1011" w:type="pct"/>
            <w:tcBorders>
              <w:top w:val="single" w:sz="4" w:space="0" w:color="auto"/>
              <w:bottom w:val="single" w:sz="4" w:space="0" w:color="auto"/>
            </w:tcBorders>
            <w:vAlign w:val="center"/>
          </w:tcPr>
          <w:p w:rsidR="004B20E5" w:rsidRPr="00666093" w:rsidRDefault="004B20E5" w:rsidP="00F446EB">
            <w:pPr>
              <w:pStyle w:val="TableBaseline2020Target"/>
            </w:pPr>
            <w:r>
              <w:t>10.1 per 100,000 residents</w:t>
            </w:r>
          </w:p>
        </w:tc>
        <w:tc>
          <w:tcPr>
            <w:tcW w:w="905" w:type="pct"/>
            <w:tcBorders>
              <w:top w:val="single" w:sz="4" w:space="0" w:color="auto"/>
              <w:bottom w:val="single" w:sz="4" w:space="0" w:color="auto"/>
            </w:tcBorders>
            <w:vAlign w:val="center"/>
          </w:tcPr>
          <w:p w:rsidR="004B20E5" w:rsidRPr="00666093" w:rsidRDefault="004B20E5" w:rsidP="00F446EB">
            <w:pPr>
              <w:pStyle w:val="TableBaseline2020Target"/>
            </w:pPr>
            <w:r>
              <w:t>10.1 per 100,000 residents</w:t>
            </w:r>
          </w:p>
        </w:tc>
        <w:tc>
          <w:tcPr>
            <w:tcW w:w="1860" w:type="pct"/>
            <w:tcBorders>
              <w:top w:val="single" w:sz="4" w:space="0" w:color="auto"/>
              <w:bottom w:val="single" w:sz="4" w:space="0" w:color="auto"/>
            </w:tcBorders>
            <w:vAlign w:val="center"/>
          </w:tcPr>
          <w:p w:rsidR="004B20E5" w:rsidRPr="00666093" w:rsidRDefault="004B20E5" w:rsidP="00F446EB">
            <w:pPr>
              <w:pStyle w:val="TableDataSource"/>
            </w:pPr>
            <w:r>
              <w:t>Registry of Vital Records and Statistics, MDPH</w:t>
            </w:r>
          </w:p>
        </w:tc>
      </w:tr>
    </w:tbl>
    <w:p w:rsidR="004B20E5" w:rsidRDefault="004B20E5" w:rsidP="00161EF6">
      <w:pPr>
        <w:pStyle w:val="BodyText"/>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7"/>
        <w:gridCol w:w="6212"/>
      </w:tblGrid>
      <w:tr w:rsidR="004B20E5" w:rsidRPr="00666093" w:rsidDel="00F67FD0" w:rsidTr="006F546A">
        <w:trPr>
          <w:cantSplit/>
        </w:trPr>
        <w:tc>
          <w:tcPr>
            <w:tcW w:w="1328" w:type="pct"/>
            <w:tcBorders>
              <w:top w:val="single" w:sz="4" w:space="0" w:color="auto"/>
            </w:tcBorders>
          </w:tcPr>
          <w:p w:rsidR="004B20E5" w:rsidRPr="009171C7" w:rsidDel="00F67FD0" w:rsidRDefault="004B20E5" w:rsidP="006F546A">
            <w:pPr>
              <w:pStyle w:val="TableTitleNumeratoretc"/>
            </w:pPr>
            <w:r w:rsidRPr="00A367E5">
              <w:t>Numerator</w:t>
            </w:r>
            <w:r>
              <w:t>:</w:t>
            </w:r>
          </w:p>
        </w:tc>
        <w:tc>
          <w:tcPr>
            <w:tcW w:w="3672" w:type="pct"/>
            <w:tcBorders>
              <w:top w:val="single" w:sz="4" w:space="0" w:color="auto"/>
            </w:tcBorders>
            <w:vAlign w:val="center"/>
          </w:tcPr>
          <w:p w:rsidR="004B20E5" w:rsidRPr="00391134" w:rsidDel="00F67FD0" w:rsidRDefault="004B20E5" w:rsidP="006F546A">
            <w:pPr>
              <w:pStyle w:val="TableOutcomeMeasure"/>
            </w:pPr>
            <w:r w:rsidRPr="00A001BB">
              <w:t xml:space="preserve">Total number of unintentional </w:t>
            </w:r>
            <w:r>
              <w:t xml:space="preserve">and undetermined intent </w:t>
            </w:r>
            <w:r w:rsidRPr="00A001BB">
              <w:t>poisoning deaths</w:t>
            </w:r>
          </w:p>
        </w:tc>
      </w:tr>
      <w:tr w:rsidR="004B20E5" w:rsidRPr="00666093" w:rsidDel="00F67FD0" w:rsidTr="006F546A">
        <w:trPr>
          <w:cantSplit/>
        </w:trPr>
        <w:tc>
          <w:tcPr>
            <w:tcW w:w="1328" w:type="pct"/>
          </w:tcPr>
          <w:p w:rsidR="004B20E5" w:rsidRPr="009171C7" w:rsidDel="00F67FD0" w:rsidRDefault="004B20E5" w:rsidP="006F546A">
            <w:pPr>
              <w:pStyle w:val="TableTitleNumeratoretc"/>
            </w:pPr>
            <w:r w:rsidRPr="00A367E5">
              <w:t>Denominator</w:t>
            </w:r>
            <w:r>
              <w:t>:</w:t>
            </w:r>
          </w:p>
        </w:tc>
        <w:tc>
          <w:tcPr>
            <w:tcW w:w="3672" w:type="pct"/>
            <w:vAlign w:val="center"/>
          </w:tcPr>
          <w:p w:rsidR="004B20E5" w:rsidRPr="00391134" w:rsidDel="00F67FD0" w:rsidRDefault="004B20E5" w:rsidP="00866C8C">
            <w:pPr>
              <w:pStyle w:val="TableOutcomeMeasure"/>
            </w:pPr>
            <w:r>
              <w:t>Total number of MA residents</w:t>
            </w:r>
          </w:p>
        </w:tc>
      </w:tr>
      <w:tr w:rsidR="004B20E5" w:rsidRPr="00666093" w:rsidDel="00F67FD0" w:rsidTr="006F546A">
        <w:trPr>
          <w:cantSplit/>
        </w:trPr>
        <w:tc>
          <w:tcPr>
            <w:tcW w:w="1328" w:type="pct"/>
          </w:tcPr>
          <w:p w:rsidR="004B20E5" w:rsidRPr="009171C7" w:rsidDel="00F67FD0" w:rsidRDefault="004B20E5" w:rsidP="006F546A">
            <w:pPr>
              <w:pStyle w:val="TableTitleNumeratoretc"/>
            </w:pPr>
            <w:r w:rsidRPr="00A367E5">
              <w:t>Exclusions</w:t>
            </w:r>
            <w:r>
              <w:t>:</w:t>
            </w:r>
          </w:p>
        </w:tc>
        <w:tc>
          <w:tcPr>
            <w:tcW w:w="3672" w:type="pct"/>
            <w:vAlign w:val="center"/>
          </w:tcPr>
          <w:p w:rsidR="004B20E5" w:rsidRPr="00391134" w:rsidDel="00F67FD0" w:rsidRDefault="004B20E5" w:rsidP="006F546A">
            <w:pPr>
              <w:pStyle w:val="TableOutcomeMeasure"/>
            </w:pPr>
            <w:r w:rsidRPr="00841F07">
              <w:t>None</w:t>
            </w:r>
          </w:p>
        </w:tc>
      </w:tr>
      <w:tr w:rsidR="004B20E5" w:rsidRPr="00666093" w:rsidDel="00F67FD0" w:rsidTr="006F546A">
        <w:trPr>
          <w:cantSplit/>
        </w:trPr>
        <w:tc>
          <w:tcPr>
            <w:tcW w:w="1328" w:type="pct"/>
            <w:vAlign w:val="center"/>
          </w:tcPr>
          <w:p w:rsidR="004B20E5" w:rsidRPr="009171C7" w:rsidDel="00F67FD0" w:rsidRDefault="004B20E5" w:rsidP="006F546A">
            <w:pPr>
              <w:pStyle w:val="TableTitleNumeratoretc"/>
            </w:pPr>
            <w:r w:rsidRPr="00F67FD0">
              <w:t>Timeframe</w:t>
            </w:r>
            <w:r>
              <w:t>:</w:t>
            </w:r>
          </w:p>
        </w:tc>
        <w:tc>
          <w:tcPr>
            <w:tcW w:w="3672" w:type="pct"/>
            <w:vAlign w:val="center"/>
          </w:tcPr>
          <w:p w:rsidR="004B20E5" w:rsidRPr="00391134" w:rsidDel="00F67FD0" w:rsidRDefault="004B20E5" w:rsidP="006F546A">
            <w:pPr>
              <w:pStyle w:val="TableOutcomeMeasure"/>
            </w:pPr>
            <w:r w:rsidRPr="00841F07">
              <w:t>Annual</w:t>
            </w:r>
          </w:p>
        </w:tc>
      </w:tr>
      <w:tr w:rsidR="004B20E5" w:rsidRPr="00666093" w:rsidDel="00F67FD0" w:rsidTr="006F546A">
        <w:trPr>
          <w:cantSplit/>
        </w:trPr>
        <w:tc>
          <w:tcPr>
            <w:tcW w:w="1328" w:type="pct"/>
            <w:tcBorders>
              <w:bottom w:val="single" w:sz="4" w:space="0" w:color="auto"/>
            </w:tcBorders>
            <w:vAlign w:val="center"/>
          </w:tcPr>
          <w:p w:rsidR="004B20E5" w:rsidRPr="009171C7" w:rsidDel="00F67FD0" w:rsidRDefault="004B20E5" w:rsidP="006F546A">
            <w:pPr>
              <w:pStyle w:val="TableTitleNumeratoretc"/>
            </w:pPr>
            <w:r w:rsidRPr="00F67FD0">
              <w:t>How will this be measured?</w:t>
            </w:r>
          </w:p>
        </w:tc>
        <w:tc>
          <w:tcPr>
            <w:tcW w:w="3672" w:type="pct"/>
            <w:tcBorders>
              <w:bottom w:val="single" w:sz="4" w:space="0" w:color="auto"/>
            </w:tcBorders>
            <w:vAlign w:val="center"/>
          </w:tcPr>
          <w:p w:rsidR="004B20E5" w:rsidRPr="00391134" w:rsidDel="00F67FD0" w:rsidRDefault="004B20E5" w:rsidP="00850B92">
            <w:pPr>
              <w:pStyle w:val="TableOutcomeMeasure"/>
            </w:pPr>
            <w:r>
              <w:t>Annual reporting from the Injury Surveillance Program</w:t>
            </w: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3A0937">
        <w:trPr>
          <w:cantSplit/>
        </w:trPr>
        <w:tc>
          <w:tcPr>
            <w:tcW w:w="1329" w:type="pct"/>
            <w:tcBorders>
              <w:top w:val="single" w:sz="4" w:space="0" w:color="auto"/>
            </w:tcBorders>
          </w:tcPr>
          <w:p w:rsidR="004B20E5" w:rsidRPr="009171C7" w:rsidDel="00F67FD0" w:rsidRDefault="004B20E5" w:rsidP="00125098">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125098">
            <w:pPr>
              <w:pStyle w:val="TableOutcomeMeasure"/>
            </w:pPr>
            <w:r>
              <w:t>Number</w:t>
            </w:r>
            <w:r w:rsidRPr="00A001BB">
              <w:t xml:space="preserve"> of </w:t>
            </w:r>
            <w:r>
              <w:t xml:space="preserve">unintentional and undetermined intent </w:t>
            </w:r>
            <w:r w:rsidRPr="00A001BB">
              <w:t xml:space="preserve">opioid </w:t>
            </w:r>
            <w:r>
              <w:t>poisoning deaths</w:t>
            </w:r>
          </w:p>
        </w:tc>
      </w:tr>
      <w:tr w:rsidR="004B20E5" w:rsidRPr="00666093" w:rsidDel="00F67FD0" w:rsidTr="003A0937">
        <w:trPr>
          <w:cantSplit/>
        </w:trPr>
        <w:tc>
          <w:tcPr>
            <w:tcW w:w="1329" w:type="pct"/>
          </w:tcPr>
          <w:p w:rsidR="004B20E5" w:rsidRPr="009171C7" w:rsidDel="00F67FD0" w:rsidRDefault="004B20E5" w:rsidP="00125098">
            <w:pPr>
              <w:pStyle w:val="TableTitleNumeratoretc"/>
            </w:pPr>
            <w:r w:rsidRPr="00A367E5">
              <w:t>Denominator</w:t>
            </w:r>
            <w:r>
              <w:t>:</w:t>
            </w:r>
          </w:p>
        </w:tc>
        <w:tc>
          <w:tcPr>
            <w:tcW w:w="3671" w:type="pct"/>
            <w:vAlign w:val="center"/>
          </w:tcPr>
          <w:p w:rsidR="004B20E5" w:rsidRPr="00391134" w:rsidDel="00F67FD0" w:rsidRDefault="004B20E5" w:rsidP="00125098">
            <w:pPr>
              <w:pStyle w:val="TableOutcomeMeasure"/>
            </w:pPr>
            <w:r>
              <w:t>Total number MA residents</w:t>
            </w:r>
          </w:p>
        </w:tc>
      </w:tr>
      <w:tr w:rsidR="004B20E5" w:rsidRPr="00666093" w:rsidDel="00F67FD0" w:rsidTr="003A0937">
        <w:trPr>
          <w:cantSplit/>
        </w:trPr>
        <w:tc>
          <w:tcPr>
            <w:tcW w:w="1329" w:type="pct"/>
          </w:tcPr>
          <w:p w:rsidR="004B20E5" w:rsidRPr="009171C7" w:rsidDel="00F67FD0" w:rsidRDefault="004B20E5" w:rsidP="00125098">
            <w:pPr>
              <w:pStyle w:val="TableTitleNumeratoretc"/>
            </w:pPr>
            <w:r w:rsidRPr="00A367E5">
              <w:t>Exclusions</w:t>
            </w:r>
            <w:r>
              <w:t>:</w:t>
            </w:r>
          </w:p>
        </w:tc>
        <w:tc>
          <w:tcPr>
            <w:tcW w:w="3671" w:type="pct"/>
            <w:vAlign w:val="center"/>
          </w:tcPr>
          <w:p w:rsidR="004B20E5" w:rsidRPr="00391134" w:rsidDel="00F67FD0" w:rsidRDefault="004B20E5" w:rsidP="00125098">
            <w:pPr>
              <w:pStyle w:val="TableOutcomeMeasure"/>
            </w:pPr>
            <w:r w:rsidRPr="00460EBA">
              <w:t>None</w:t>
            </w:r>
          </w:p>
        </w:tc>
      </w:tr>
      <w:tr w:rsidR="004B20E5" w:rsidRPr="00666093" w:rsidDel="00F67FD0" w:rsidTr="003A0937">
        <w:trPr>
          <w:cantSplit/>
        </w:trPr>
        <w:tc>
          <w:tcPr>
            <w:tcW w:w="1329" w:type="pct"/>
            <w:vAlign w:val="center"/>
          </w:tcPr>
          <w:p w:rsidR="004B20E5" w:rsidRPr="009171C7" w:rsidDel="00F67FD0" w:rsidRDefault="004B20E5" w:rsidP="00125098">
            <w:pPr>
              <w:pStyle w:val="TableTitleNumeratoretc"/>
            </w:pPr>
            <w:r w:rsidRPr="00F67FD0">
              <w:t>Timeframe</w:t>
            </w:r>
            <w:r>
              <w:t>:</w:t>
            </w:r>
          </w:p>
        </w:tc>
        <w:tc>
          <w:tcPr>
            <w:tcW w:w="3671" w:type="pct"/>
            <w:vAlign w:val="center"/>
          </w:tcPr>
          <w:p w:rsidR="004B20E5" w:rsidRPr="00391134" w:rsidDel="00F67FD0" w:rsidRDefault="004B20E5" w:rsidP="00125098">
            <w:pPr>
              <w:pStyle w:val="TableOutcomeMeasure"/>
            </w:pPr>
            <w:r w:rsidRPr="00460EBA">
              <w:t>Annual</w:t>
            </w:r>
          </w:p>
        </w:tc>
      </w:tr>
      <w:tr w:rsidR="004B20E5" w:rsidRPr="00666093" w:rsidDel="00F67FD0" w:rsidTr="003A0937">
        <w:trPr>
          <w:cantSplit/>
        </w:trPr>
        <w:tc>
          <w:tcPr>
            <w:tcW w:w="1329" w:type="pct"/>
            <w:tcBorders>
              <w:bottom w:val="single" w:sz="4" w:space="0" w:color="auto"/>
            </w:tcBorders>
            <w:vAlign w:val="center"/>
          </w:tcPr>
          <w:p w:rsidR="004B20E5" w:rsidRPr="009171C7" w:rsidDel="00F67FD0" w:rsidRDefault="004B20E5" w:rsidP="00125098">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125098">
            <w:pPr>
              <w:pStyle w:val="TableOutcomeMeasure"/>
            </w:pPr>
            <w:r>
              <w:t>Annual reporting from the Injury Surveillance Program</w:t>
            </w:r>
          </w:p>
        </w:tc>
      </w:tr>
    </w:tbl>
    <w:p w:rsidR="004B20E5" w:rsidRPr="00CB72DF" w:rsidRDefault="004B20E5" w:rsidP="006F546A">
      <w:pPr>
        <w:pStyle w:val="Strategies"/>
      </w:pPr>
    </w:p>
    <w:p w:rsidR="004B20E5" w:rsidRDefault="004B20E5" w:rsidP="007C27A3">
      <w:pPr>
        <w:pStyle w:val="TableTenEssenHlthFunct"/>
      </w:pPr>
      <w:r>
        <w:t>Monitor Health to Identify and Solve Community Health Problems</w:t>
      </w:r>
    </w:p>
    <w:p w:rsidR="004B20E5" w:rsidRPr="006256D0" w:rsidRDefault="004B20E5" w:rsidP="00757460">
      <w:pPr>
        <w:pStyle w:val="TableStrategiesunderHealthFunctions"/>
      </w:pPr>
      <w:r>
        <w:t>5.1.1</w:t>
      </w:r>
      <w:r>
        <w:tab/>
        <w:t>Support efforts to obtain poison-related data that can provide timely and accurate information to inform program and policy initiatives.</w:t>
      </w:r>
    </w:p>
    <w:p w:rsidR="004B20E5" w:rsidRDefault="004B20E5" w:rsidP="007C27A3">
      <w:pPr>
        <w:pStyle w:val="TableTenEssenHlthFunct"/>
      </w:pPr>
      <w:r>
        <w:t xml:space="preserve">Inform, Educate, and Empower People About Health Issues </w:t>
      </w:r>
    </w:p>
    <w:p w:rsidR="004B20E5" w:rsidRPr="006256D0" w:rsidRDefault="004B20E5" w:rsidP="00757460">
      <w:pPr>
        <w:pStyle w:val="TableStrategiesunderHealthFunctions"/>
      </w:pPr>
      <w:r w:rsidRPr="009A70B4">
        <w:rPr>
          <w:szCs w:val="22"/>
        </w:rPr>
        <w:t>5.</w:t>
      </w:r>
      <w:r>
        <w:rPr>
          <w:szCs w:val="22"/>
        </w:rPr>
        <w:t>1.2</w:t>
      </w:r>
      <w:r>
        <w:rPr>
          <w:szCs w:val="22"/>
        </w:rPr>
        <w:tab/>
      </w:r>
      <w:r w:rsidRPr="009A70B4">
        <w:t>Support efforts for poison prevention education to parents.</w:t>
      </w:r>
    </w:p>
    <w:p w:rsidR="004B20E5" w:rsidRDefault="004B20E5" w:rsidP="007C27A3">
      <w:pPr>
        <w:pStyle w:val="TableTenEssenHlthFunct"/>
      </w:pPr>
      <w:r>
        <w:t>Mobilize Community Partnerships to Identify and Solve Health Problems</w:t>
      </w:r>
    </w:p>
    <w:p w:rsidR="004B20E5" w:rsidRDefault="004B20E5" w:rsidP="00757460">
      <w:pPr>
        <w:pStyle w:val="TableStrategiesunderHealthFunctions"/>
      </w:pPr>
      <w:r>
        <w:t>5.1.3</w:t>
      </w:r>
      <w:r w:rsidRPr="0046149F">
        <w:tab/>
      </w:r>
      <w:r>
        <w:t>Sustain and enhance collaborations among MDPH partners (injury prevention, substance abuse, prescription monitoring) and non-governmental partners/stakeholders to reduce the rate of opioid related deaths.</w:t>
      </w:r>
    </w:p>
    <w:p w:rsidR="004B20E5" w:rsidRPr="006256D0" w:rsidRDefault="004B20E5" w:rsidP="00757460">
      <w:pPr>
        <w:pStyle w:val="TableStrategiesunderHealthFunctions"/>
      </w:pPr>
      <w:r>
        <w:t>5.1.4</w:t>
      </w:r>
      <w:r>
        <w:tab/>
        <w:t>Support poison prevention efforts for people of all ages through the Poison Control Center.</w:t>
      </w:r>
    </w:p>
    <w:p w:rsidR="004B20E5" w:rsidRDefault="004B20E5" w:rsidP="00D00411">
      <w:pPr>
        <w:pStyle w:val="TableStrategiesunderHealthFunctions"/>
      </w:pPr>
    </w:p>
    <w:p w:rsidR="004B20E5" w:rsidRDefault="004B20E5" w:rsidP="00D00411">
      <w:pPr>
        <w:pStyle w:val="TableStrategiesunderHealthFunctions"/>
      </w:pPr>
    </w:p>
    <w:p w:rsidR="004B20E5" w:rsidRDefault="004B20E5" w:rsidP="00485C87">
      <w:pPr>
        <w:pStyle w:val="BodyText"/>
      </w:pPr>
    </w:p>
    <w:p w:rsidR="004B20E5" w:rsidRDefault="004B20E5" w:rsidP="00CB2B0E">
      <w:pPr>
        <w:pStyle w:val="ObjectiveStatement"/>
        <w:rPr>
          <w:szCs w:val="22"/>
        </w:rPr>
      </w:pPr>
      <w:r>
        <w:lastRenderedPageBreak/>
        <w:t>Measure 5.2:</w:t>
      </w:r>
      <w:r>
        <w:tab/>
        <w:t>Prevent an increase in the rate of unintentional fall deaths among residents ages 65+ years.</w:t>
      </w:r>
    </w:p>
    <w:p w:rsidR="004B20E5" w:rsidRDefault="004B20E5" w:rsidP="006F356A">
      <w:pPr>
        <w:pStyle w:val="StrategiesCategoryTitles"/>
        <w:rPr>
          <w:szCs w:val="22"/>
        </w:rPr>
      </w:pP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C83C9C">
        <w:trPr>
          <w:cantSplit/>
        </w:trPr>
        <w:tc>
          <w:tcPr>
            <w:tcW w:w="1329"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C83C9C">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C83C9C">
            <w:pPr>
              <w:pStyle w:val="TableTitleBaseline2020Target"/>
            </w:pPr>
            <w:r w:rsidRPr="00666093">
              <w:t>2020 Target</w:t>
            </w:r>
          </w:p>
        </w:tc>
        <w:tc>
          <w:tcPr>
            <w:tcW w:w="1861" w:type="pct"/>
            <w:tcBorders>
              <w:top w:val="single" w:sz="4" w:space="0" w:color="auto"/>
              <w:bottom w:val="single" w:sz="4" w:space="0" w:color="auto"/>
            </w:tcBorders>
            <w:vAlign w:val="center"/>
          </w:tcPr>
          <w:p w:rsidR="004B20E5" w:rsidRPr="00666093" w:rsidRDefault="004B20E5" w:rsidP="00C83C9C">
            <w:pPr>
              <w:pStyle w:val="TableTitleTargetDataSource"/>
            </w:pPr>
            <w:r w:rsidRPr="00666093">
              <w:t>Data Source</w:t>
            </w:r>
          </w:p>
        </w:tc>
      </w:tr>
      <w:tr w:rsidR="004B20E5" w:rsidRPr="00666093" w:rsidTr="00C83C9C">
        <w:trPr>
          <w:cantSplit/>
        </w:trPr>
        <w:tc>
          <w:tcPr>
            <w:tcW w:w="1329" w:type="pct"/>
            <w:tcBorders>
              <w:top w:val="single" w:sz="4" w:space="0" w:color="auto"/>
              <w:bottom w:val="single" w:sz="4" w:space="0" w:color="auto"/>
            </w:tcBorders>
            <w:vAlign w:val="center"/>
          </w:tcPr>
          <w:p w:rsidR="004B20E5" w:rsidRPr="00666093" w:rsidRDefault="004B20E5" w:rsidP="00B6039F">
            <w:pPr>
              <w:pStyle w:val="TableOutcomeIndicator"/>
            </w:pPr>
            <w:r>
              <w:t>Age-adjusted unintentional fall death rate ages 65+</w:t>
            </w:r>
          </w:p>
        </w:tc>
        <w:tc>
          <w:tcPr>
            <w:tcW w:w="905" w:type="pct"/>
            <w:tcBorders>
              <w:top w:val="single" w:sz="4" w:space="0" w:color="auto"/>
              <w:bottom w:val="single" w:sz="4" w:space="0" w:color="auto"/>
            </w:tcBorders>
            <w:vAlign w:val="center"/>
          </w:tcPr>
          <w:p w:rsidR="004B20E5" w:rsidRPr="00666093" w:rsidRDefault="004B20E5" w:rsidP="00EB6CD2">
            <w:pPr>
              <w:pStyle w:val="TableBaseline2020Target"/>
            </w:pPr>
            <w:r w:rsidRPr="00353644">
              <w:t>49.8 per 100,000</w:t>
            </w:r>
          </w:p>
        </w:tc>
        <w:tc>
          <w:tcPr>
            <w:tcW w:w="905" w:type="pct"/>
            <w:tcBorders>
              <w:top w:val="single" w:sz="4" w:space="0" w:color="auto"/>
              <w:bottom w:val="single" w:sz="4" w:space="0" w:color="auto"/>
            </w:tcBorders>
            <w:vAlign w:val="center"/>
          </w:tcPr>
          <w:p w:rsidR="004B20E5" w:rsidRPr="00666093" w:rsidRDefault="004B20E5" w:rsidP="00C83C9C">
            <w:pPr>
              <w:pStyle w:val="TableBaseline2020Target"/>
            </w:pPr>
            <w:r>
              <w:t>49.8 per 100,000</w:t>
            </w:r>
          </w:p>
        </w:tc>
        <w:tc>
          <w:tcPr>
            <w:tcW w:w="1861" w:type="pct"/>
            <w:tcBorders>
              <w:top w:val="single" w:sz="4" w:space="0" w:color="auto"/>
              <w:bottom w:val="single" w:sz="4" w:space="0" w:color="auto"/>
            </w:tcBorders>
            <w:vAlign w:val="center"/>
          </w:tcPr>
          <w:p w:rsidR="004B20E5" w:rsidRPr="00666093" w:rsidRDefault="004B20E5" w:rsidP="00313AAE">
            <w:pPr>
              <w:pStyle w:val="TableDataSource"/>
            </w:pPr>
            <w:r>
              <w:t>Registry of Vital Records and Statistics</w:t>
            </w:r>
          </w:p>
        </w:tc>
      </w:tr>
    </w:tbl>
    <w:p w:rsidR="004B20E5" w:rsidRPr="00717137" w:rsidRDefault="004B20E5" w:rsidP="007A1B20">
      <w:pPr>
        <w:pStyle w:val="Strategi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4C0088">
        <w:trPr>
          <w:cantSplit/>
        </w:trPr>
        <w:tc>
          <w:tcPr>
            <w:tcW w:w="1329" w:type="pct"/>
            <w:tcBorders>
              <w:top w:val="single" w:sz="4" w:space="0" w:color="auto"/>
            </w:tcBorders>
          </w:tcPr>
          <w:p w:rsidR="004B20E5" w:rsidRPr="009171C7" w:rsidDel="00F67FD0" w:rsidRDefault="004B20E5" w:rsidP="004C0088">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4C0088">
            <w:pPr>
              <w:pStyle w:val="TableOutcomeMeasure"/>
            </w:pPr>
            <w:r>
              <w:t>Number of unintentional fall deaths among MA residents ages 65+ years</w:t>
            </w:r>
          </w:p>
        </w:tc>
      </w:tr>
      <w:tr w:rsidR="004B20E5" w:rsidRPr="00666093" w:rsidDel="00F67FD0" w:rsidTr="004C0088">
        <w:trPr>
          <w:cantSplit/>
        </w:trPr>
        <w:tc>
          <w:tcPr>
            <w:tcW w:w="1329" w:type="pct"/>
          </w:tcPr>
          <w:p w:rsidR="004B20E5" w:rsidRPr="009171C7" w:rsidDel="00F67FD0" w:rsidRDefault="004B20E5" w:rsidP="004C0088">
            <w:pPr>
              <w:pStyle w:val="TableTitleNumeratoretc"/>
            </w:pPr>
            <w:r w:rsidRPr="00A367E5">
              <w:t>Denominator</w:t>
            </w:r>
            <w:r>
              <w:t>:</w:t>
            </w:r>
          </w:p>
        </w:tc>
        <w:tc>
          <w:tcPr>
            <w:tcW w:w="3671" w:type="pct"/>
            <w:vAlign w:val="center"/>
          </w:tcPr>
          <w:p w:rsidR="004B20E5" w:rsidRPr="00391134" w:rsidDel="00F67FD0" w:rsidRDefault="004B20E5" w:rsidP="004C0088">
            <w:pPr>
              <w:pStyle w:val="TableOutcomeMeasure"/>
            </w:pPr>
            <w:r>
              <w:t>Number of MA residents ages 65+ years (age adjusted, per 100,000 persons)</w:t>
            </w:r>
          </w:p>
        </w:tc>
      </w:tr>
      <w:tr w:rsidR="004B20E5" w:rsidRPr="00666093" w:rsidDel="00F67FD0" w:rsidTr="004C0088">
        <w:trPr>
          <w:cantSplit/>
        </w:trPr>
        <w:tc>
          <w:tcPr>
            <w:tcW w:w="1329" w:type="pct"/>
          </w:tcPr>
          <w:p w:rsidR="004B20E5" w:rsidRPr="009171C7" w:rsidDel="00F67FD0" w:rsidRDefault="004B20E5" w:rsidP="004C0088">
            <w:pPr>
              <w:pStyle w:val="TableTitleNumeratoretc"/>
            </w:pPr>
            <w:r w:rsidRPr="00A367E5">
              <w:t>Exclusions</w:t>
            </w:r>
            <w:r>
              <w:t>:</w:t>
            </w:r>
          </w:p>
        </w:tc>
        <w:tc>
          <w:tcPr>
            <w:tcW w:w="3671" w:type="pct"/>
            <w:vAlign w:val="center"/>
          </w:tcPr>
          <w:p w:rsidR="004B20E5" w:rsidRPr="00391134" w:rsidDel="00F67FD0" w:rsidRDefault="004B20E5" w:rsidP="004C0088">
            <w:pPr>
              <w:pStyle w:val="TableOutcomeMeasure"/>
            </w:pPr>
            <w:r>
              <w:t>None</w:t>
            </w:r>
          </w:p>
        </w:tc>
      </w:tr>
      <w:tr w:rsidR="004B20E5" w:rsidRPr="00666093" w:rsidDel="00F67FD0" w:rsidTr="004C0088">
        <w:trPr>
          <w:cantSplit/>
        </w:trPr>
        <w:tc>
          <w:tcPr>
            <w:tcW w:w="1329" w:type="pct"/>
            <w:vAlign w:val="center"/>
          </w:tcPr>
          <w:p w:rsidR="004B20E5" w:rsidRPr="009171C7" w:rsidDel="00F67FD0" w:rsidRDefault="004B20E5" w:rsidP="004C0088">
            <w:pPr>
              <w:pStyle w:val="TableTitleNumeratoretc"/>
            </w:pPr>
            <w:r w:rsidRPr="00F67FD0">
              <w:t>Timeframe</w:t>
            </w:r>
            <w:r>
              <w:t>:</w:t>
            </w:r>
          </w:p>
        </w:tc>
        <w:tc>
          <w:tcPr>
            <w:tcW w:w="3671" w:type="pct"/>
            <w:vAlign w:val="center"/>
          </w:tcPr>
          <w:p w:rsidR="004B20E5" w:rsidRPr="00391134" w:rsidDel="00F67FD0" w:rsidRDefault="004B20E5" w:rsidP="004C0088">
            <w:pPr>
              <w:pStyle w:val="TableOutcomeMeasure"/>
            </w:pPr>
            <w:r>
              <w:t>Annual</w:t>
            </w:r>
          </w:p>
        </w:tc>
      </w:tr>
      <w:tr w:rsidR="004B20E5" w:rsidRPr="00666093" w:rsidDel="00F67FD0" w:rsidTr="004C0088">
        <w:trPr>
          <w:cantSplit/>
        </w:trPr>
        <w:tc>
          <w:tcPr>
            <w:tcW w:w="1329" w:type="pct"/>
            <w:tcBorders>
              <w:bottom w:val="single" w:sz="4" w:space="0" w:color="auto"/>
            </w:tcBorders>
            <w:vAlign w:val="center"/>
          </w:tcPr>
          <w:p w:rsidR="004B20E5" w:rsidRPr="009171C7" w:rsidDel="00F67FD0" w:rsidRDefault="004B20E5" w:rsidP="004C0088">
            <w:pPr>
              <w:pStyle w:val="TableTitleNumeratoretc"/>
            </w:pPr>
            <w:r w:rsidRPr="00F67FD0">
              <w:t>How will this be measured?</w:t>
            </w:r>
          </w:p>
        </w:tc>
        <w:tc>
          <w:tcPr>
            <w:tcW w:w="3671" w:type="pct"/>
            <w:tcBorders>
              <w:bottom w:val="single" w:sz="4" w:space="0" w:color="auto"/>
            </w:tcBorders>
            <w:vAlign w:val="center"/>
          </w:tcPr>
          <w:p w:rsidR="004B20E5" w:rsidRDefault="004B20E5" w:rsidP="004C0088">
            <w:pPr>
              <w:pStyle w:val="TableOutcomeMeasure"/>
            </w:pPr>
            <w:r>
              <w:t>Annual report from the Injury Prevention and Control Program</w:t>
            </w:r>
          </w:p>
          <w:p w:rsidR="004B20E5" w:rsidRPr="00391134" w:rsidDel="00F67FD0" w:rsidRDefault="004B20E5" w:rsidP="004C0088">
            <w:pPr>
              <w:pStyle w:val="TableOutcomeMeasure"/>
            </w:pPr>
          </w:p>
        </w:tc>
      </w:tr>
    </w:tbl>
    <w:p w:rsidR="004B20E5" w:rsidRDefault="004B20E5" w:rsidP="005D4DF6">
      <w:pPr>
        <w:pStyle w:val="StrategiesCategoryTitles"/>
      </w:pPr>
    </w:p>
    <w:p w:rsidR="004B20E5" w:rsidRDefault="004B20E5" w:rsidP="007C27A3">
      <w:pPr>
        <w:pStyle w:val="TableTenEssenHlthFunct"/>
      </w:pPr>
      <w:r>
        <w:t>Monitor Health to Identify and Solve Community Health Problems</w:t>
      </w:r>
    </w:p>
    <w:p w:rsidR="004B20E5" w:rsidRPr="006256D0" w:rsidRDefault="004B20E5" w:rsidP="00C4601C">
      <w:pPr>
        <w:pStyle w:val="TableStrategiesunderHealthFunctions"/>
      </w:pPr>
      <w:r>
        <w:t>5.2.1</w:t>
      </w:r>
      <w:r>
        <w:tab/>
        <w:t>Conduct surveillance activities utilizing multiple data sources, routinely monitoring the magnitude of the problem, trends, circumstances, and rates by demographic sub-groups. Utilize data in planning, implementation and in the evaluation of programming.</w:t>
      </w:r>
    </w:p>
    <w:p w:rsidR="004B20E5" w:rsidRDefault="004B20E5" w:rsidP="007C27A3">
      <w:pPr>
        <w:pStyle w:val="TableTenEssenHlthFunct"/>
      </w:pPr>
      <w:r>
        <w:t>Diagnose and Investigate Health Problems and Hazards in the Community</w:t>
      </w:r>
    </w:p>
    <w:p w:rsidR="004B20E5" w:rsidRPr="006256D0" w:rsidRDefault="004B20E5" w:rsidP="00C4601C">
      <w:pPr>
        <w:pStyle w:val="TableStrategiesunderHealthFunctions"/>
      </w:pPr>
      <w:r w:rsidRPr="0046149F">
        <w:t>5.</w:t>
      </w:r>
      <w:r>
        <w:t>2.2</w:t>
      </w:r>
      <w:r w:rsidRPr="0046149F">
        <w:tab/>
        <w:t xml:space="preserve">Identify, access, and analyze </w:t>
      </w:r>
      <w:r>
        <w:t>all</w:t>
      </w:r>
      <w:r w:rsidRPr="0046149F">
        <w:t xml:space="preserve"> sources of data on causes of and locations of falls for </w:t>
      </w:r>
      <w:r>
        <w:t>those 65 and over and develop procedures for improving coding of such data</w:t>
      </w:r>
      <w:r w:rsidRPr="0046149F">
        <w:t>.</w:t>
      </w:r>
    </w:p>
    <w:p w:rsidR="004B20E5" w:rsidRDefault="004B20E5" w:rsidP="007C27A3">
      <w:pPr>
        <w:pStyle w:val="TableTenEssenHlthFunct"/>
      </w:pPr>
      <w:r>
        <w:t>Mobilize Community Partnerships to Identify and Solve Health Problems</w:t>
      </w:r>
    </w:p>
    <w:p w:rsidR="004B20E5" w:rsidRPr="006256D0" w:rsidRDefault="004B20E5" w:rsidP="00757460">
      <w:pPr>
        <w:pStyle w:val="TableStrategiesunderHealthFunctions"/>
      </w:pPr>
      <w:r>
        <w:t>5.2.3</w:t>
      </w:r>
      <w:r>
        <w:tab/>
        <w:t>Continue to convene the Massachusetts Falls Prevention Coalition.</w:t>
      </w:r>
    </w:p>
    <w:p w:rsidR="004B20E5" w:rsidRDefault="004B20E5" w:rsidP="007C27A3">
      <w:pPr>
        <w:pStyle w:val="TableTenEssenHlthFunct"/>
      </w:pPr>
      <w:r>
        <w:t xml:space="preserve">Develop Policies and Plans That Support Individual and Community Health Efforts </w:t>
      </w:r>
    </w:p>
    <w:p w:rsidR="004B20E5" w:rsidRPr="0046149F" w:rsidRDefault="004B20E5" w:rsidP="00C4601C">
      <w:pPr>
        <w:pStyle w:val="TableStrategiesunderHealthFunctions"/>
      </w:pPr>
      <w:r w:rsidRPr="0046149F">
        <w:t>5.</w:t>
      </w:r>
      <w:r>
        <w:t>2.4</w:t>
      </w:r>
      <w:r>
        <w:tab/>
        <w:t>Promote evidence</w:t>
      </w:r>
      <w:r w:rsidR="00CE6330">
        <w:t>-</w:t>
      </w:r>
      <w:r>
        <w:t>based clinical decision supports for falls risk and prevention in clinical settings.</w:t>
      </w:r>
    </w:p>
    <w:p w:rsidR="004B20E5" w:rsidRDefault="004B20E5" w:rsidP="00C4601C">
      <w:pPr>
        <w:pStyle w:val="TableStrategiesunderHealthFunctions"/>
      </w:pPr>
      <w:r w:rsidRPr="0046149F">
        <w:t>5</w:t>
      </w:r>
      <w:r>
        <w:t>.2.5</w:t>
      </w:r>
      <w:r w:rsidRPr="0046149F">
        <w:tab/>
        <w:t>Promote implementation of evidence-based</w:t>
      </w:r>
      <w:r w:rsidR="00CE6330">
        <w:t>.</w:t>
      </w:r>
      <w:r w:rsidRPr="0046149F">
        <w:t xml:space="preserve"> multi-faceted</w:t>
      </w:r>
      <w:r>
        <w:t>,</w:t>
      </w:r>
      <w:r w:rsidR="00CE6330">
        <w:t xml:space="preserve"> </w:t>
      </w:r>
      <w:r>
        <w:t xml:space="preserve">culturally appropriate </w:t>
      </w:r>
      <w:r w:rsidRPr="0046149F">
        <w:t>programs for community-dwelling older adults that integrate fall risk reduction strategies (physical activity; exercise; balance training; medication review and management; vision, hearing, and foot care) and home/environment modification.</w:t>
      </w:r>
    </w:p>
    <w:p w:rsidR="004B20E5" w:rsidRPr="006256D0" w:rsidRDefault="004B20E5" w:rsidP="00C4601C">
      <w:pPr>
        <w:pStyle w:val="TableStrategiesunderHealthFunctions"/>
      </w:pPr>
      <w:r w:rsidRPr="0046149F">
        <w:t>5.</w:t>
      </w:r>
      <w:r>
        <w:t>2.6</w:t>
      </w:r>
      <w:r>
        <w:tab/>
      </w:r>
      <w:r w:rsidRPr="0046149F">
        <w:t>Develop comprehensive</w:t>
      </w:r>
      <w:r>
        <w:t>, culturally and linguistically appropriate</w:t>
      </w:r>
      <w:r w:rsidRPr="0046149F">
        <w:t xml:space="preserve"> home safety program for families and caregivers, focusing on injury risks for elders.</w:t>
      </w:r>
    </w:p>
    <w:p w:rsidR="004B20E5" w:rsidRDefault="004B20E5" w:rsidP="007C27A3">
      <w:pPr>
        <w:pStyle w:val="TableTenEssenHlthFunct"/>
      </w:pPr>
      <w:r>
        <w:t>Link People to Needed Personal Health Services and Health Care</w:t>
      </w:r>
    </w:p>
    <w:p w:rsidR="004B20E5" w:rsidRPr="006256D0" w:rsidRDefault="004B20E5" w:rsidP="00C4601C">
      <w:pPr>
        <w:pStyle w:val="TableStrategiesunderHealthFunctions"/>
      </w:pPr>
      <w:r>
        <w:t>5.2.7</w:t>
      </w:r>
      <w:r>
        <w:tab/>
        <w:t>Promote the use of bi-directional e-referral to link patients to community-based falls prevention activities through the work of the Prevention and Wellness Trust Fund program.</w:t>
      </w:r>
    </w:p>
    <w:p w:rsidR="004B20E5" w:rsidRDefault="004B20E5" w:rsidP="007C27A3">
      <w:pPr>
        <w:pStyle w:val="TableTenEssenHlthFunct"/>
      </w:pPr>
      <w:r>
        <w:t>Assure a Competent Public and Personal Healthcare Workforce</w:t>
      </w:r>
    </w:p>
    <w:p w:rsidR="004B20E5" w:rsidRPr="006256D0" w:rsidRDefault="004B20E5" w:rsidP="00C4601C">
      <w:pPr>
        <w:pStyle w:val="TableStrategiesunderHealthFunctions"/>
      </w:pPr>
      <w:r>
        <w:t>5.2.8</w:t>
      </w:r>
      <w:r>
        <w:tab/>
        <w:t>Support training for evidence-based falls prevention programming including Matter of Balance, Tai Chi and Otago.</w:t>
      </w:r>
    </w:p>
    <w:p w:rsidR="004B20E5" w:rsidRDefault="004B20E5" w:rsidP="007C27A3">
      <w:pPr>
        <w:pStyle w:val="TableTenEssenHlthFunct"/>
      </w:pPr>
      <w:r>
        <w:t>Evaluate Effectiveness, Accessibility, and Quality of Health Services</w:t>
      </w:r>
    </w:p>
    <w:p w:rsidR="004B20E5" w:rsidRPr="006256D0" w:rsidRDefault="004B20E5" w:rsidP="00C4601C">
      <w:pPr>
        <w:pStyle w:val="TableStrategiesunderHealthFunctions"/>
      </w:pPr>
      <w:r>
        <w:t>5.2.9</w:t>
      </w:r>
      <w:r>
        <w:tab/>
        <w:t>Evaluate the effectiveness of community based falls prevention programming in Prevention and Wellness Trust Fund grantee program communities.</w:t>
      </w:r>
    </w:p>
    <w:p w:rsidR="004B20E5" w:rsidRDefault="004B20E5" w:rsidP="007C27A3">
      <w:pPr>
        <w:pStyle w:val="TableTenEssenHlthFunct"/>
      </w:pPr>
      <w:r>
        <w:t>Engagement with Governing Entities</w:t>
      </w:r>
    </w:p>
    <w:p w:rsidR="004B20E5" w:rsidRDefault="004B20E5" w:rsidP="00C4601C">
      <w:pPr>
        <w:pStyle w:val="TableStrategiesunderHealthFunctions"/>
      </w:pPr>
      <w:r>
        <w:t>5.2.10</w:t>
      </w:r>
      <w:r>
        <w:tab/>
        <w:t>Continue to convene the Massachusetts Commission on Falls Prevention and engage MassHealth and the Executive Office of Elder Affairs.</w:t>
      </w:r>
    </w:p>
    <w:p w:rsidR="004B20E5" w:rsidRDefault="004B20E5" w:rsidP="00C4601C">
      <w:pPr>
        <w:pStyle w:val="TableStrategiesunderHealthFunctions"/>
      </w:pPr>
    </w:p>
    <w:p w:rsidR="004B20E5" w:rsidRPr="00BA4E5B" w:rsidRDefault="004B20E5" w:rsidP="00C4601C">
      <w:pPr>
        <w:pStyle w:val="TableStrategiesunderHealthFunctions"/>
      </w:pPr>
    </w:p>
    <w:p w:rsidR="004B20E5" w:rsidRDefault="004B20E5" w:rsidP="00451F60">
      <w:pPr>
        <w:pStyle w:val="Strategies"/>
      </w:pPr>
    </w:p>
    <w:p w:rsidR="004B20E5" w:rsidRPr="006E1962" w:rsidRDefault="004B20E5" w:rsidP="00CB2B0E">
      <w:pPr>
        <w:pStyle w:val="ObjectiveStatement"/>
      </w:pPr>
      <w:r>
        <w:lastRenderedPageBreak/>
        <w:t>Measure 5.3</w:t>
      </w:r>
      <w:r w:rsidRPr="006E1962">
        <w:t>:</w:t>
      </w:r>
      <w:r>
        <w:tab/>
      </w:r>
      <w:r w:rsidRPr="006E1962">
        <w:t>Decrease the rate of unintentional motor vehicle traffic deaths among MA residents by 5%</w:t>
      </w:r>
      <w:r>
        <w:t>.</w:t>
      </w:r>
    </w:p>
    <w:p w:rsidR="004B20E5" w:rsidRPr="00C83C9C" w:rsidRDefault="004B20E5" w:rsidP="00451F60">
      <w:pPr>
        <w:pStyle w:val="Strategies"/>
      </w:pP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125098">
        <w:trPr>
          <w:cantSplit/>
        </w:trPr>
        <w:tc>
          <w:tcPr>
            <w:tcW w:w="1329"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125098">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125098">
            <w:pPr>
              <w:pStyle w:val="TableTitleBaseline2020Target"/>
            </w:pPr>
            <w:r w:rsidRPr="00666093">
              <w:t>2020 Target</w:t>
            </w:r>
          </w:p>
        </w:tc>
        <w:tc>
          <w:tcPr>
            <w:tcW w:w="1861" w:type="pct"/>
            <w:tcBorders>
              <w:top w:val="single" w:sz="4" w:space="0" w:color="auto"/>
              <w:bottom w:val="single" w:sz="4" w:space="0" w:color="auto"/>
            </w:tcBorders>
            <w:vAlign w:val="center"/>
          </w:tcPr>
          <w:p w:rsidR="004B20E5" w:rsidRPr="00666093" w:rsidRDefault="004B20E5" w:rsidP="00125098">
            <w:pPr>
              <w:pStyle w:val="TableTitleTargetDataSource"/>
            </w:pPr>
            <w:r w:rsidRPr="00666093">
              <w:t>Data Source</w:t>
            </w:r>
          </w:p>
        </w:tc>
      </w:tr>
      <w:tr w:rsidR="004B20E5" w:rsidRPr="00666093" w:rsidTr="00125098">
        <w:trPr>
          <w:cantSplit/>
        </w:trPr>
        <w:tc>
          <w:tcPr>
            <w:tcW w:w="1329" w:type="pct"/>
            <w:tcBorders>
              <w:top w:val="single" w:sz="4" w:space="0" w:color="auto"/>
              <w:bottom w:val="single" w:sz="4" w:space="0" w:color="auto"/>
            </w:tcBorders>
            <w:vAlign w:val="center"/>
          </w:tcPr>
          <w:p w:rsidR="004B20E5" w:rsidDel="00144820" w:rsidRDefault="004B20E5" w:rsidP="00125098">
            <w:pPr>
              <w:pStyle w:val="TableOutcomeMeasure"/>
            </w:pPr>
            <w:r>
              <w:t>Age-adjusted unintentional motor vehicle traffic death rate</w:t>
            </w:r>
          </w:p>
        </w:tc>
        <w:tc>
          <w:tcPr>
            <w:tcW w:w="905" w:type="pct"/>
            <w:tcBorders>
              <w:top w:val="single" w:sz="4" w:space="0" w:color="auto"/>
              <w:bottom w:val="single" w:sz="4" w:space="0" w:color="auto"/>
            </w:tcBorders>
            <w:vAlign w:val="center"/>
          </w:tcPr>
          <w:p w:rsidR="004B20E5" w:rsidRDefault="004B20E5" w:rsidP="00125098">
            <w:pPr>
              <w:pStyle w:val="TableBaseline2020Target"/>
            </w:pPr>
            <w:r w:rsidRPr="006E1962">
              <w:t>5.1 per 100,000 persons</w:t>
            </w:r>
          </w:p>
        </w:tc>
        <w:tc>
          <w:tcPr>
            <w:tcW w:w="905" w:type="pct"/>
            <w:tcBorders>
              <w:top w:val="single" w:sz="4" w:space="0" w:color="auto"/>
              <w:bottom w:val="single" w:sz="4" w:space="0" w:color="auto"/>
            </w:tcBorders>
            <w:vAlign w:val="center"/>
          </w:tcPr>
          <w:p w:rsidR="004B20E5" w:rsidDel="00144820" w:rsidRDefault="004B20E5" w:rsidP="00125098">
            <w:pPr>
              <w:pStyle w:val="TableBaseline2020Target"/>
            </w:pPr>
            <w:r w:rsidRPr="006E1962">
              <w:t>4.8 per 100,000</w:t>
            </w:r>
          </w:p>
        </w:tc>
        <w:tc>
          <w:tcPr>
            <w:tcW w:w="1861" w:type="pct"/>
            <w:tcBorders>
              <w:top w:val="single" w:sz="4" w:space="0" w:color="auto"/>
              <w:bottom w:val="single" w:sz="4" w:space="0" w:color="auto"/>
            </w:tcBorders>
            <w:vAlign w:val="center"/>
          </w:tcPr>
          <w:p w:rsidR="004B20E5" w:rsidDel="00144820" w:rsidRDefault="004B20E5" w:rsidP="00E83BD7">
            <w:pPr>
              <w:pStyle w:val="TableDataSource"/>
            </w:pPr>
            <w:r w:rsidRPr="006E1962">
              <w:t>Registry of Vital Records and Statistics, MDPH</w:t>
            </w:r>
          </w:p>
        </w:tc>
      </w:tr>
    </w:tbl>
    <w:p w:rsidR="004B20E5" w:rsidRPr="00717137" w:rsidRDefault="004B20E5" w:rsidP="00B92112">
      <w:pPr>
        <w:pStyle w:val="Strategi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125098">
        <w:trPr>
          <w:cantSplit/>
        </w:trPr>
        <w:tc>
          <w:tcPr>
            <w:tcW w:w="1329" w:type="pct"/>
            <w:tcBorders>
              <w:top w:val="single" w:sz="4" w:space="0" w:color="auto"/>
            </w:tcBorders>
          </w:tcPr>
          <w:p w:rsidR="004B20E5" w:rsidRPr="009171C7" w:rsidDel="00F67FD0" w:rsidRDefault="004B20E5" w:rsidP="00125098">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125098">
            <w:pPr>
              <w:pStyle w:val="TableOutcomeMeasure"/>
            </w:pPr>
            <w:r>
              <w:t>Number</w:t>
            </w:r>
            <w:r w:rsidRPr="006E1962">
              <w:t xml:space="preserve"> of unintentional motor vehicle traffic deaths among MA residents</w:t>
            </w:r>
          </w:p>
        </w:tc>
      </w:tr>
      <w:tr w:rsidR="004B20E5" w:rsidRPr="00666093" w:rsidDel="00F67FD0" w:rsidTr="00125098">
        <w:trPr>
          <w:cantSplit/>
        </w:trPr>
        <w:tc>
          <w:tcPr>
            <w:tcW w:w="1329" w:type="pct"/>
          </w:tcPr>
          <w:p w:rsidR="004B20E5" w:rsidRPr="009171C7" w:rsidDel="00F67FD0" w:rsidRDefault="004B20E5" w:rsidP="00125098">
            <w:pPr>
              <w:pStyle w:val="TableTitleNumeratoretc"/>
            </w:pPr>
            <w:r w:rsidRPr="00A367E5">
              <w:t>Denominator</w:t>
            </w:r>
            <w:r>
              <w:t>:</w:t>
            </w:r>
          </w:p>
        </w:tc>
        <w:tc>
          <w:tcPr>
            <w:tcW w:w="3671" w:type="pct"/>
            <w:vAlign w:val="center"/>
          </w:tcPr>
          <w:p w:rsidR="004B20E5" w:rsidRPr="00391134" w:rsidDel="00F67FD0" w:rsidRDefault="004B20E5" w:rsidP="00125098">
            <w:pPr>
              <w:pStyle w:val="TableOutcomeMeasure"/>
            </w:pPr>
            <w:r>
              <w:t>Number</w:t>
            </w:r>
            <w:r w:rsidRPr="006E1962">
              <w:t xml:space="preserve"> of MA residents (age adjusted, per 100,000 persons)</w:t>
            </w:r>
          </w:p>
        </w:tc>
      </w:tr>
      <w:tr w:rsidR="004B20E5" w:rsidRPr="00666093" w:rsidDel="00F67FD0" w:rsidTr="00125098">
        <w:trPr>
          <w:cantSplit/>
        </w:trPr>
        <w:tc>
          <w:tcPr>
            <w:tcW w:w="1329" w:type="pct"/>
          </w:tcPr>
          <w:p w:rsidR="004B20E5" w:rsidRPr="009171C7" w:rsidDel="00F67FD0" w:rsidRDefault="004B20E5" w:rsidP="00125098">
            <w:pPr>
              <w:pStyle w:val="TableTitleNumeratoretc"/>
            </w:pPr>
            <w:r w:rsidRPr="00A367E5">
              <w:t>Exclusions</w:t>
            </w:r>
            <w:r>
              <w:t>:</w:t>
            </w:r>
          </w:p>
        </w:tc>
        <w:tc>
          <w:tcPr>
            <w:tcW w:w="3671" w:type="pct"/>
            <w:vAlign w:val="center"/>
          </w:tcPr>
          <w:p w:rsidR="004B20E5" w:rsidRPr="00391134" w:rsidDel="00F67FD0" w:rsidRDefault="004B20E5" w:rsidP="00125098">
            <w:pPr>
              <w:pStyle w:val="TableOutcomeMeasure"/>
            </w:pPr>
            <w:r>
              <w:t>None</w:t>
            </w:r>
          </w:p>
        </w:tc>
      </w:tr>
      <w:tr w:rsidR="004B20E5" w:rsidRPr="00666093" w:rsidDel="00F67FD0" w:rsidTr="00125098">
        <w:trPr>
          <w:cantSplit/>
        </w:trPr>
        <w:tc>
          <w:tcPr>
            <w:tcW w:w="1329" w:type="pct"/>
            <w:vAlign w:val="center"/>
          </w:tcPr>
          <w:p w:rsidR="004B20E5" w:rsidRPr="009171C7" w:rsidDel="00F67FD0" w:rsidRDefault="004B20E5" w:rsidP="00125098">
            <w:pPr>
              <w:pStyle w:val="TableTitleNumeratoretc"/>
            </w:pPr>
            <w:r w:rsidRPr="00F67FD0">
              <w:t>Timeframe</w:t>
            </w:r>
            <w:r>
              <w:t>:</w:t>
            </w:r>
          </w:p>
        </w:tc>
        <w:tc>
          <w:tcPr>
            <w:tcW w:w="3671" w:type="pct"/>
            <w:vAlign w:val="center"/>
          </w:tcPr>
          <w:p w:rsidR="004B20E5" w:rsidRPr="00391134" w:rsidDel="00F67FD0" w:rsidRDefault="004B20E5" w:rsidP="00125098">
            <w:pPr>
              <w:pStyle w:val="TableOutcomeMeasure"/>
            </w:pPr>
            <w:r>
              <w:t>Annual</w:t>
            </w:r>
          </w:p>
        </w:tc>
      </w:tr>
      <w:tr w:rsidR="004B20E5" w:rsidRPr="00666093" w:rsidDel="00F67FD0" w:rsidTr="00125098">
        <w:trPr>
          <w:cantSplit/>
        </w:trPr>
        <w:tc>
          <w:tcPr>
            <w:tcW w:w="1329" w:type="pct"/>
            <w:tcBorders>
              <w:bottom w:val="single" w:sz="4" w:space="0" w:color="auto"/>
            </w:tcBorders>
            <w:vAlign w:val="center"/>
          </w:tcPr>
          <w:p w:rsidR="004B20E5" w:rsidRPr="009171C7" w:rsidDel="00F67FD0" w:rsidRDefault="004B20E5" w:rsidP="00125098">
            <w:pPr>
              <w:pStyle w:val="TableTitleNumeratoretc"/>
            </w:pPr>
            <w:r w:rsidRPr="00F67FD0">
              <w:t>How will this be measured?</w:t>
            </w:r>
          </w:p>
        </w:tc>
        <w:tc>
          <w:tcPr>
            <w:tcW w:w="3671" w:type="pct"/>
            <w:tcBorders>
              <w:bottom w:val="single" w:sz="4" w:space="0" w:color="auto"/>
            </w:tcBorders>
            <w:vAlign w:val="center"/>
          </w:tcPr>
          <w:p w:rsidR="004B20E5" w:rsidRDefault="004B20E5" w:rsidP="00125098">
            <w:pPr>
              <w:pStyle w:val="TableOutcomeMeasure"/>
            </w:pPr>
            <w:r w:rsidRPr="006E1962">
              <w:t>Annual report from the Injury Prevention and Control Program</w:t>
            </w:r>
          </w:p>
          <w:p w:rsidR="004B20E5" w:rsidRPr="00391134" w:rsidDel="00F67FD0" w:rsidRDefault="004B20E5" w:rsidP="00125098">
            <w:pPr>
              <w:pStyle w:val="TableOutcomeMeasure"/>
            </w:pPr>
          </w:p>
        </w:tc>
      </w:tr>
    </w:tbl>
    <w:p w:rsidR="004B20E5" w:rsidRDefault="004B20E5" w:rsidP="00451F60">
      <w:pPr>
        <w:pStyle w:val="Strategies"/>
      </w:pPr>
    </w:p>
    <w:p w:rsidR="004B20E5" w:rsidRDefault="004B20E5" w:rsidP="007C27A3">
      <w:pPr>
        <w:pStyle w:val="TableTenEssenHlthFunct"/>
      </w:pPr>
      <w:r>
        <w:t>Monitor Health to Identify and Solve Community Health Problems</w:t>
      </w:r>
    </w:p>
    <w:p w:rsidR="004B20E5" w:rsidRDefault="004B20E5" w:rsidP="00451F60">
      <w:pPr>
        <w:pStyle w:val="TableStrategiesunderHealthFunctions"/>
      </w:pPr>
      <w:r>
        <w:t>5.3.1</w:t>
      </w:r>
      <w:r>
        <w:tab/>
        <w:t xml:space="preserve">Conduct surveillance activities utilizing multiple data sources, routinely monitoring the magnitude of the problem, trends, circumstances, and rates by demographic sub-groups. </w:t>
      </w:r>
    </w:p>
    <w:p w:rsidR="004B20E5" w:rsidRPr="006256D0" w:rsidRDefault="004B20E5" w:rsidP="00451F60">
      <w:pPr>
        <w:pStyle w:val="TableStrategiesunderHealthFunctions"/>
      </w:pPr>
      <w:r>
        <w:t>5.3.2</w:t>
      </w:r>
      <w:r>
        <w:tab/>
        <w:t>Utilize data in planning, implementation and in the evaluation of programming.</w:t>
      </w:r>
    </w:p>
    <w:p w:rsidR="004B20E5" w:rsidRDefault="004B20E5" w:rsidP="007C27A3">
      <w:pPr>
        <w:pStyle w:val="TableTenEssenHlthFunct"/>
      </w:pPr>
      <w:r>
        <w:t xml:space="preserve">Inform, Educate, and Empower People About Health Issues </w:t>
      </w:r>
    </w:p>
    <w:p w:rsidR="004B20E5" w:rsidRPr="0046149F" w:rsidRDefault="004B20E5" w:rsidP="00451F60">
      <w:pPr>
        <w:pStyle w:val="TableStrategiesunderHealthFunctions"/>
        <w:rPr>
          <w:szCs w:val="22"/>
        </w:rPr>
      </w:pPr>
      <w:r>
        <w:t>5.3.3</w:t>
      </w:r>
      <w:r>
        <w:tab/>
        <w:t>Promote child passenger safety including caregiver education on proper infant car seat use and booster seat use (e.g., fitting stations for car seats).</w:t>
      </w:r>
    </w:p>
    <w:p w:rsidR="004B20E5" w:rsidRPr="00520E8B" w:rsidRDefault="004B20E5" w:rsidP="00451F60">
      <w:pPr>
        <w:pStyle w:val="TableStrategiesunderHealthFunctions"/>
      </w:pPr>
      <w:r>
        <w:t>5.3.4</w:t>
      </w:r>
      <w:r>
        <w:tab/>
        <w:t>Promote strategies to address impaired driving including improvements to ignition interlock legislation and use and public awareness of adverse effects of driving under the influence of alcohol, marijuana, or certain medications.</w:t>
      </w:r>
    </w:p>
    <w:p w:rsidR="004B20E5" w:rsidRDefault="004B20E5" w:rsidP="00451F60">
      <w:pPr>
        <w:pStyle w:val="TableStrategiesunderHealthFunctions"/>
      </w:pPr>
      <w:r>
        <w:t>5.3.5</w:t>
      </w:r>
      <w:r>
        <w:tab/>
        <w:t xml:space="preserve">Promote strategies that address young drivers including improvements to the Graduated </w:t>
      </w:r>
      <w:r w:rsidR="003120E8">
        <w:t>Driver’s</w:t>
      </w:r>
      <w:r>
        <w:t xml:space="preserve"> License program and </w:t>
      </w:r>
      <w:r w:rsidRPr="0046149F">
        <w:t>social marketing campaign</w:t>
      </w:r>
      <w:r>
        <w:t>s</w:t>
      </w:r>
      <w:r w:rsidRPr="0046149F">
        <w:t xml:space="preserve"> on safe driving (speed, texting, seat belts) aimed at young drivers.</w:t>
      </w:r>
    </w:p>
    <w:p w:rsidR="004B20E5" w:rsidRPr="006256D0" w:rsidRDefault="004B20E5" w:rsidP="00451F60">
      <w:pPr>
        <w:pStyle w:val="TableStrategiesunderHealthFunctions"/>
      </w:pPr>
      <w:r>
        <w:t>5.3.6</w:t>
      </w:r>
      <w:r>
        <w:tab/>
        <w:t>Support stakeholder efforts through dissemination of the latest available data, best and promising practices, and latest research.</w:t>
      </w:r>
    </w:p>
    <w:p w:rsidR="004B20E5" w:rsidRDefault="004B20E5" w:rsidP="007C27A3">
      <w:pPr>
        <w:pStyle w:val="TableTenEssenHlthFunct"/>
      </w:pPr>
      <w:r>
        <w:t>Mobilize Community Partnerships to Identify and Solve Health Problems</w:t>
      </w:r>
    </w:p>
    <w:p w:rsidR="004B20E5" w:rsidRPr="006256D0" w:rsidRDefault="004B20E5" w:rsidP="00451F60">
      <w:pPr>
        <w:pStyle w:val="TableStrategiesunderHealthFunctions"/>
      </w:pPr>
      <w:r>
        <w:t>5.3.7</w:t>
      </w:r>
      <w:r>
        <w:tab/>
      </w:r>
      <w:r w:rsidRPr="005A3A3E">
        <w:t xml:space="preserve">Promote implementation of comprehensive workplace safe driving programs as recommended by </w:t>
      </w:r>
      <w:r w:rsidRPr="00FD219E">
        <w:t xml:space="preserve">Network of Employers for Traffic Safety </w:t>
      </w:r>
      <w:r>
        <w:t>(</w:t>
      </w:r>
      <w:r w:rsidRPr="005A3A3E">
        <w:t>NETS</w:t>
      </w:r>
      <w:r>
        <w:t>)</w:t>
      </w:r>
      <w:r w:rsidRPr="005A3A3E">
        <w:t xml:space="preserve">, </w:t>
      </w:r>
      <w:r w:rsidRPr="00FD219E">
        <w:t xml:space="preserve">National Highway Traffic Safety Administration </w:t>
      </w:r>
      <w:r>
        <w:t>(</w:t>
      </w:r>
      <w:r w:rsidRPr="005A3A3E">
        <w:t>NHTSA</w:t>
      </w:r>
      <w:r>
        <w:t>)</w:t>
      </w:r>
      <w:r w:rsidRPr="005A3A3E">
        <w:t xml:space="preserve">, and </w:t>
      </w:r>
      <w:r w:rsidRPr="00FD219E">
        <w:t xml:space="preserve">Occupational Safety and Health Administration </w:t>
      </w:r>
      <w:r>
        <w:t>(</w:t>
      </w:r>
      <w:r w:rsidRPr="005A3A3E">
        <w:t>OSHA</w:t>
      </w:r>
      <w:r>
        <w:t>)</w:t>
      </w:r>
      <w:r w:rsidRPr="005A3A3E">
        <w:t xml:space="preserve"> that also address vehicle maintenance and work schedule</w:t>
      </w:r>
      <w:r>
        <w:t>s that allow for safe driving.</w:t>
      </w:r>
    </w:p>
    <w:p w:rsidR="004B20E5" w:rsidRDefault="004B20E5" w:rsidP="007C27A3">
      <w:pPr>
        <w:pStyle w:val="TableTenEssenHlthFunct"/>
      </w:pPr>
      <w:r>
        <w:t xml:space="preserve">Develop Policies and Plans That Support Individual and Community Health Efforts </w:t>
      </w:r>
    </w:p>
    <w:p w:rsidR="004B20E5" w:rsidRDefault="004B20E5" w:rsidP="00451F60">
      <w:pPr>
        <w:pStyle w:val="TableStrategiesunderHealthFunctions"/>
      </w:pPr>
      <w:r>
        <w:t>5.3.8</w:t>
      </w:r>
      <w:r w:rsidRPr="0046149F">
        <w:tab/>
      </w:r>
      <w:r>
        <w:t>Promote increased passenger restraint use by supporting passage of primary seat belt legislation.</w:t>
      </w:r>
    </w:p>
    <w:p w:rsidR="004B20E5" w:rsidRPr="00520E8B" w:rsidRDefault="004B20E5" w:rsidP="00451F60">
      <w:pPr>
        <w:pStyle w:val="TableStrategiesunderHealthFunctions"/>
      </w:pPr>
      <w:r>
        <w:t>5.3.9</w:t>
      </w:r>
      <w:r w:rsidRPr="0046149F">
        <w:tab/>
      </w:r>
      <w:r>
        <w:t>Support implementation of the MassDOT Strategic Highway Safety Plan.</w:t>
      </w:r>
    </w:p>
    <w:p w:rsidR="004B20E5" w:rsidRDefault="004B20E5" w:rsidP="00451F60">
      <w:pPr>
        <w:pStyle w:val="TableStrategiesunderHealthFunctions"/>
      </w:pPr>
      <w:r>
        <w:t>5.3.10</w:t>
      </w:r>
      <w:r w:rsidRPr="0046149F">
        <w:tab/>
      </w:r>
      <w:r>
        <w:t>Increase the use of</w:t>
      </w:r>
      <w:r w:rsidRPr="0046149F">
        <w:t xml:space="preserve"> traffic calming strategies in high risk areas</w:t>
      </w:r>
      <w:r>
        <w:t xml:space="preserve"> including </w:t>
      </w:r>
      <w:r w:rsidRPr="00C83398">
        <w:t xml:space="preserve">structural changes to road layout, use of </w:t>
      </w:r>
      <w:r>
        <w:t xml:space="preserve">school crossing areas, reducing speed limits, etc.  </w:t>
      </w:r>
    </w:p>
    <w:p w:rsidR="004B20E5" w:rsidRDefault="004B20E5" w:rsidP="007C27A3">
      <w:pPr>
        <w:pStyle w:val="TableTenEssenHlthFunct"/>
      </w:pPr>
      <w:r>
        <w:t>Enforce Laws and Regulations That Protect Health and Ensure Safety</w:t>
      </w:r>
    </w:p>
    <w:p w:rsidR="004B20E5" w:rsidRPr="006256D0" w:rsidRDefault="004B20E5" w:rsidP="00451F60">
      <w:pPr>
        <w:pStyle w:val="TableStrategiesunderHealthFunctions"/>
      </w:pPr>
      <w:r>
        <w:t>5.3.11</w:t>
      </w:r>
      <w:r>
        <w:tab/>
        <w:t>Support</w:t>
      </w:r>
      <w:r w:rsidRPr="0046149F">
        <w:t xml:space="preserve"> high visibility enforceme</w:t>
      </w:r>
      <w:r>
        <w:t>nt of distracted driving laws.</w:t>
      </w:r>
    </w:p>
    <w:p w:rsidR="004B20E5" w:rsidRDefault="004B20E5" w:rsidP="00987429">
      <w:pPr>
        <w:pStyle w:val="Strategies"/>
      </w:pPr>
    </w:p>
    <w:p w:rsidR="004B20E5" w:rsidRDefault="004B20E5" w:rsidP="00125098">
      <w:pPr>
        <w:pStyle w:val="Strategies"/>
      </w:pPr>
    </w:p>
    <w:p w:rsidR="004B20E5" w:rsidRPr="0046149F" w:rsidRDefault="004B20E5" w:rsidP="00125098">
      <w:pPr>
        <w:pStyle w:val="TableStrategiesunderHealthFunctions"/>
      </w:pPr>
    </w:p>
    <w:p w:rsidR="004B20E5" w:rsidRDefault="004B20E5" w:rsidP="00CB2B0E">
      <w:pPr>
        <w:pStyle w:val="ObjectiveStatement"/>
      </w:pPr>
      <w:r>
        <w:lastRenderedPageBreak/>
        <w:t>Measure 5.4:</w:t>
      </w:r>
      <w:r>
        <w:tab/>
      </w:r>
      <w:r w:rsidRPr="006E1962">
        <w:t>Reduce the rate of unintentional injury deaths among residents ages 0-19 years</w:t>
      </w:r>
      <w:r w:rsidR="006F7CD2">
        <w:t xml:space="preserve"> </w:t>
      </w:r>
      <w:r w:rsidRPr="006E1962">
        <w:t>by 10%</w:t>
      </w:r>
      <w:r>
        <w:t>.</w:t>
      </w:r>
    </w:p>
    <w:p w:rsidR="004B20E5" w:rsidRPr="006E1962" w:rsidRDefault="004B20E5" w:rsidP="00125098">
      <w:pPr>
        <w:pStyle w:val="StrategiesCategoryTitles"/>
      </w:pP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125098">
        <w:trPr>
          <w:cantSplit/>
        </w:trPr>
        <w:tc>
          <w:tcPr>
            <w:tcW w:w="1329"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125098">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125098">
            <w:pPr>
              <w:pStyle w:val="TableTitleBaseline2020Target"/>
            </w:pPr>
            <w:r w:rsidRPr="00666093">
              <w:t>2020 Target</w:t>
            </w:r>
          </w:p>
        </w:tc>
        <w:tc>
          <w:tcPr>
            <w:tcW w:w="1861" w:type="pct"/>
            <w:tcBorders>
              <w:top w:val="single" w:sz="4" w:space="0" w:color="auto"/>
              <w:bottom w:val="single" w:sz="4" w:space="0" w:color="auto"/>
            </w:tcBorders>
            <w:vAlign w:val="center"/>
          </w:tcPr>
          <w:p w:rsidR="004B20E5" w:rsidRPr="00666093" w:rsidRDefault="004B20E5" w:rsidP="00125098">
            <w:pPr>
              <w:pStyle w:val="TableTitleTargetDataSource"/>
            </w:pPr>
            <w:r w:rsidRPr="00666093">
              <w:t>Data Source</w:t>
            </w:r>
          </w:p>
        </w:tc>
      </w:tr>
      <w:tr w:rsidR="004B20E5" w:rsidRPr="00666093" w:rsidTr="00125098">
        <w:trPr>
          <w:cantSplit/>
        </w:trPr>
        <w:tc>
          <w:tcPr>
            <w:tcW w:w="1329" w:type="pct"/>
            <w:tcBorders>
              <w:top w:val="single" w:sz="4" w:space="0" w:color="auto"/>
              <w:bottom w:val="single" w:sz="4" w:space="0" w:color="auto"/>
            </w:tcBorders>
            <w:vAlign w:val="center"/>
          </w:tcPr>
          <w:p w:rsidR="004B20E5" w:rsidDel="00144820" w:rsidRDefault="004B20E5" w:rsidP="00125098">
            <w:pPr>
              <w:pStyle w:val="TableOutcomeMeasure"/>
            </w:pPr>
            <w:r>
              <w:t>Unintentional injury death rate among residents 0-19 years</w:t>
            </w:r>
          </w:p>
        </w:tc>
        <w:tc>
          <w:tcPr>
            <w:tcW w:w="905" w:type="pct"/>
            <w:tcBorders>
              <w:top w:val="single" w:sz="4" w:space="0" w:color="auto"/>
              <w:bottom w:val="single" w:sz="4" w:space="0" w:color="auto"/>
            </w:tcBorders>
            <w:vAlign w:val="center"/>
          </w:tcPr>
          <w:p w:rsidR="004B20E5" w:rsidRDefault="004B20E5" w:rsidP="00125098">
            <w:pPr>
              <w:pStyle w:val="TableBaseline2020Target"/>
            </w:pPr>
            <w:r w:rsidRPr="006E1962">
              <w:t>4.3 per 100,000</w:t>
            </w:r>
          </w:p>
        </w:tc>
        <w:tc>
          <w:tcPr>
            <w:tcW w:w="905" w:type="pct"/>
            <w:tcBorders>
              <w:top w:val="single" w:sz="4" w:space="0" w:color="auto"/>
              <w:bottom w:val="single" w:sz="4" w:space="0" w:color="auto"/>
            </w:tcBorders>
            <w:vAlign w:val="center"/>
          </w:tcPr>
          <w:p w:rsidR="004B20E5" w:rsidDel="00144820" w:rsidRDefault="004B20E5" w:rsidP="00125098">
            <w:pPr>
              <w:pStyle w:val="TableBaseline2020Target"/>
            </w:pPr>
            <w:r w:rsidRPr="006E1962">
              <w:t>3.9 per 100,000</w:t>
            </w:r>
          </w:p>
        </w:tc>
        <w:tc>
          <w:tcPr>
            <w:tcW w:w="1861" w:type="pct"/>
            <w:tcBorders>
              <w:top w:val="single" w:sz="4" w:space="0" w:color="auto"/>
              <w:bottom w:val="single" w:sz="4" w:space="0" w:color="auto"/>
            </w:tcBorders>
            <w:vAlign w:val="center"/>
          </w:tcPr>
          <w:p w:rsidR="004B20E5" w:rsidDel="00144820" w:rsidRDefault="004B20E5" w:rsidP="00125098">
            <w:pPr>
              <w:pStyle w:val="TableDataSource"/>
            </w:pPr>
            <w:r w:rsidRPr="006E1962">
              <w:t>Registry of Vital Records and Statistics, MDPH</w:t>
            </w:r>
          </w:p>
        </w:tc>
      </w:tr>
    </w:tbl>
    <w:p w:rsidR="004B20E5" w:rsidRDefault="004B20E5" w:rsidP="00125098">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125098">
        <w:trPr>
          <w:cantSplit/>
        </w:trPr>
        <w:tc>
          <w:tcPr>
            <w:tcW w:w="1329" w:type="pct"/>
            <w:tcBorders>
              <w:top w:val="single" w:sz="4" w:space="0" w:color="auto"/>
            </w:tcBorders>
          </w:tcPr>
          <w:p w:rsidR="004B20E5" w:rsidRPr="009171C7" w:rsidDel="00F67FD0" w:rsidRDefault="004B20E5" w:rsidP="00125098">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125098">
            <w:pPr>
              <w:pStyle w:val="TableOutcomeMeasure"/>
            </w:pPr>
            <w:r>
              <w:t>Number</w:t>
            </w:r>
            <w:r w:rsidRPr="006E1962">
              <w:t xml:space="preserve"> of unintentional deaths among MA residents ages 0-19 years</w:t>
            </w:r>
          </w:p>
        </w:tc>
      </w:tr>
      <w:tr w:rsidR="004B20E5" w:rsidRPr="00666093" w:rsidDel="00F67FD0" w:rsidTr="00125098">
        <w:trPr>
          <w:cantSplit/>
        </w:trPr>
        <w:tc>
          <w:tcPr>
            <w:tcW w:w="1329" w:type="pct"/>
          </w:tcPr>
          <w:p w:rsidR="004B20E5" w:rsidRPr="009171C7" w:rsidDel="00F67FD0" w:rsidRDefault="004B20E5" w:rsidP="00125098">
            <w:pPr>
              <w:pStyle w:val="TableTitleNumeratoretc"/>
            </w:pPr>
            <w:r w:rsidRPr="00A367E5">
              <w:t>Denominator</w:t>
            </w:r>
            <w:r>
              <w:t>:</w:t>
            </w:r>
          </w:p>
        </w:tc>
        <w:tc>
          <w:tcPr>
            <w:tcW w:w="3671" w:type="pct"/>
            <w:vAlign w:val="center"/>
          </w:tcPr>
          <w:p w:rsidR="004B20E5" w:rsidRPr="00391134" w:rsidDel="00F67FD0" w:rsidRDefault="004B20E5" w:rsidP="00125098">
            <w:pPr>
              <w:pStyle w:val="TableOutcomeMeasure"/>
            </w:pPr>
            <w:r>
              <w:t>Number</w:t>
            </w:r>
            <w:r w:rsidRPr="006E1962">
              <w:t xml:space="preserve"> of MA residents ages 0-19 years</w:t>
            </w:r>
          </w:p>
        </w:tc>
      </w:tr>
      <w:tr w:rsidR="004B20E5" w:rsidRPr="00666093" w:rsidDel="00F67FD0" w:rsidTr="00125098">
        <w:trPr>
          <w:cantSplit/>
        </w:trPr>
        <w:tc>
          <w:tcPr>
            <w:tcW w:w="1329" w:type="pct"/>
          </w:tcPr>
          <w:p w:rsidR="004B20E5" w:rsidRPr="009171C7" w:rsidDel="00F67FD0" w:rsidRDefault="004B20E5" w:rsidP="00125098">
            <w:pPr>
              <w:pStyle w:val="TableTitleNumeratoretc"/>
            </w:pPr>
            <w:r w:rsidRPr="00A367E5">
              <w:t>Exclusions</w:t>
            </w:r>
            <w:r>
              <w:t>:</w:t>
            </w:r>
          </w:p>
        </w:tc>
        <w:tc>
          <w:tcPr>
            <w:tcW w:w="3671" w:type="pct"/>
            <w:vAlign w:val="center"/>
          </w:tcPr>
          <w:p w:rsidR="004B20E5" w:rsidRPr="00391134" w:rsidDel="00F67FD0" w:rsidRDefault="004B20E5" w:rsidP="00125098">
            <w:pPr>
              <w:pStyle w:val="TableOutcomeMeasure"/>
            </w:pPr>
            <w:r>
              <w:t>None</w:t>
            </w:r>
          </w:p>
        </w:tc>
      </w:tr>
      <w:tr w:rsidR="004B20E5" w:rsidRPr="00666093" w:rsidDel="00F67FD0" w:rsidTr="00125098">
        <w:trPr>
          <w:cantSplit/>
        </w:trPr>
        <w:tc>
          <w:tcPr>
            <w:tcW w:w="1329" w:type="pct"/>
            <w:vAlign w:val="center"/>
          </w:tcPr>
          <w:p w:rsidR="004B20E5" w:rsidRPr="009171C7" w:rsidDel="00F67FD0" w:rsidRDefault="004B20E5" w:rsidP="00125098">
            <w:pPr>
              <w:pStyle w:val="TableTitleNumeratoretc"/>
            </w:pPr>
            <w:r w:rsidRPr="00F67FD0">
              <w:t>Timeframe</w:t>
            </w:r>
            <w:r>
              <w:t>:</w:t>
            </w:r>
          </w:p>
        </w:tc>
        <w:tc>
          <w:tcPr>
            <w:tcW w:w="3671" w:type="pct"/>
            <w:vAlign w:val="center"/>
          </w:tcPr>
          <w:p w:rsidR="004B20E5" w:rsidRPr="00391134" w:rsidDel="00F67FD0" w:rsidRDefault="004B20E5" w:rsidP="00125098">
            <w:pPr>
              <w:pStyle w:val="TableOutcomeMeasure"/>
            </w:pPr>
            <w:r>
              <w:t>Annual</w:t>
            </w:r>
          </w:p>
        </w:tc>
      </w:tr>
      <w:tr w:rsidR="004B20E5" w:rsidRPr="00666093" w:rsidDel="00F67FD0" w:rsidTr="00125098">
        <w:trPr>
          <w:cantSplit/>
        </w:trPr>
        <w:tc>
          <w:tcPr>
            <w:tcW w:w="1329" w:type="pct"/>
            <w:tcBorders>
              <w:bottom w:val="single" w:sz="4" w:space="0" w:color="auto"/>
            </w:tcBorders>
            <w:vAlign w:val="center"/>
          </w:tcPr>
          <w:p w:rsidR="004B20E5" w:rsidRPr="009171C7" w:rsidDel="00F67FD0" w:rsidRDefault="004B20E5" w:rsidP="00125098">
            <w:pPr>
              <w:pStyle w:val="TableTitleNumeratoretc"/>
            </w:pPr>
            <w:r w:rsidRPr="00F67FD0">
              <w:t>How will this be measured?</w:t>
            </w:r>
          </w:p>
        </w:tc>
        <w:tc>
          <w:tcPr>
            <w:tcW w:w="3671" w:type="pct"/>
            <w:tcBorders>
              <w:bottom w:val="single" w:sz="4" w:space="0" w:color="auto"/>
            </w:tcBorders>
            <w:vAlign w:val="center"/>
          </w:tcPr>
          <w:p w:rsidR="004B20E5" w:rsidRDefault="004B20E5" w:rsidP="00125098">
            <w:pPr>
              <w:pStyle w:val="TableOutcomeMeasure"/>
            </w:pPr>
            <w:r w:rsidRPr="006E1962">
              <w:t>Annual report from the Injury Prevention and Control Program</w:t>
            </w:r>
          </w:p>
          <w:p w:rsidR="004B20E5" w:rsidRPr="00391134" w:rsidDel="00F67FD0" w:rsidRDefault="004B20E5" w:rsidP="00125098">
            <w:pPr>
              <w:pStyle w:val="TableOutcomeMeasure"/>
            </w:pPr>
          </w:p>
        </w:tc>
      </w:tr>
    </w:tbl>
    <w:p w:rsidR="004B20E5" w:rsidRDefault="004B20E5" w:rsidP="00125098">
      <w:pPr>
        <w:pStyle w:val="StrategiesCategoryTitles"/>
      </w:pPr>
    </w:p>
    <w:p w:rsidR="004B20E5" w:rsidRDefault="004B20E5" w:rsidP="007C27A3">
      <w:pPr>
        <w:pStyle w:val="TableTenEssenHlthFunct"/>
      </w:pPr>
      <w:r>
        <w:t>Monitor Health to Identify and Solve Community Health Problems</w:t>
      </w:r>
    </w:p>
    <w:p w:rsidR="004B20E5" w:rsidRDefault="004B20E5" w:rsidP="00125098">
      <w:pPr>
        <w:pStyle w:val="TableStrategiesunderHealthFunctions"/>
      </w:pPr>
      <w:r>
        <w:rPr>
          <w:szCs w:val="22"/>
        </w:rPr>
        <w:t>5.4.1</w:t>
      </w:r>
      <w:r w:rsidRPr="003C4C81">
        <w:rPr>
          <w:szCs w:val="22"/>
        </w:rPr>
        <w:tab/>
      </w:r>
      <w:r w:rsidRPr="003C4C81">
        <w:t>Improve data collection, including death scene investigation, of Sudden Unexpected Infant Deaths (SUID</w:t>
      </w:r>
      <w:r w:rsidR="006F7CD2">
        <w:t>s</w:t>
      </w:r>
      <w:r w:rsidRPr="003C4C81">
        <w:t>).</w:t>
      </w:r>
    </w:p>
    <w:p w:rsidR="004B20E5" w:rsidRDefault="004B20E5" w:rsidP="00125098">
      <w:pPr>
        <w:pStyle w:val="TableStrategiesunderHealthFunctions"/>
      </w:pPr>
      <w:r>
        <w:t>5.4.2</w:t>
      </w:r>
      <w:r>
        <w:tab/>
        <w:t xml:space="preserve">Conduct surveillance activities utilizing multiple data sources, routinely monitoring the magnitude of the problem, trends, circumstances, and rates by demographic sub-groups. </w:t>
      </w:r>
    </w:p>
    <w:p w:rsidR="004B20E5" w:rsidRDefault="004B20E5" w:rsidP="00125098">
      <w:pPr>
        <w:pStyle w:val="TableStrategiesunderHealthFunctions"/>
      </w:pPr>
      <w:r>
        <w:t>5.4.3</w:t>
      </w:r>
      <w:r>
        <w:tab/>
        <w:t>Utilize data</w:t>
      </w:r>
      <w:r w:rsidR="006F7CD2">
        <w:t xml:space="preserve"> </w:t>
      </w:r>
      <w:r w:rsidRPr="00014F7A">
        <w:t>to document and track disparities, and</w:t>
      </w:r>
      <w:r>
        <w:t xml:space="preserve"> in planning, implementation and evaluation of programming.</w:t>
      </w:r>
    </w:p>
    <w:p w:rsidR="004B20E5" w:rsidRPr="006256D0" w:rsidRDefault="004B20E5" w:rsidP="00125098">
      <w:pPr>
        <w:pStyle w:val="TableStrategiesunderHealthFunctions"/>
      </w:pPr>
      <w:r>
        <w:t>5.4.4</w:t>
      </w:r>
      <w:r>
        <w:tab/>
        <w:t>Develop electronic data systems for camp injuries reporting in Massachusetts.</w:t>
      </w:r>
    </w:p>
    <w:p w:rsidR="004B20E5" w:rsidRDefault="004B20E5" w:rsidP="007C27A3">
      <w:pPr>
        <w:pStyle w:val="TableTenEssenHlthFunct"/>
      </w:pPr>
      <w:r>
        <w:t xml:space="preserve">Inform, Educate, and Empower People About Health Issues </w:t>
      </w:r>
    </w:p>
    <w:p w:rsidR="004B20E5" w:rsidRPr="0046149F" w:rsidRDefault="004B20E5" w:rsidP="00125098">
      <w:pPr>
        <w:pStyle w:val="TableStrategiesunderHealthFunctions"/>
      </w:pPr>
      <w:r>
        <w:t>5.4.5</w:t>
      </w:r>
      <w:r>
        <w:tab/>
        <w:t xml:space="preserve">Promote infant safe sleep practices </w:t>
      </w:r>
      <w:r w:rsidRPr="00014F7A">
        <w:t xml:space="preserve">in a culturally appropriate manner </w:t>
      </w:r>
      <w:r>
        <w:t xml:space="preserve">through public and professional education efforts.  </w:t>
      </w:r>
    </w:p>
    <w:p w:rsidR="004B20E5" w:rsidRDefault="004B20E5" w:rsidP="00125098">
      <w:pPr>
        <w:pStyle w:val="TableStrategiesunderHealthFunctions"/>
        <w:rPr>
          <w:szCs w:val="22"/>
        </w:rPr>
      </w:pPr>
      <w:r>
        <w:rPr>
          <w:szCs w:val="22"/>
        </w:rPr>
        <w:t>5.4.6</w:t>
      </w:r>
      <w:r>
        <w:rPr>
          <w:szCs w:val="22"/>
        </w:rPr>
        <w:tab/>
      </w:r>
      <w:r>
        <w:t>Promote drowning prevention efforts including pool safety regulations, public education regarding supervising swim and bath time, swim lessons, etc.</w:t>
      </w:r>
    </w:p>
    <w:p w:rsidR="004B20E5" w:rsidRDefault="004B20E5" w:rsidP="00125098">
      <w:pPr>
        <w:pStyle w:val="TableStrategiesunderHealthFunctions"/>
      </w:pPr>
      <w:r>
        <w:t>5.4.7</w:t>
      </w:r>
      <w:r>
        <w:tab/>
      </w:r>
      <w:r w:rsidRPr="009A70B4">
        <w:t>Work with child serving agencies to promote injury prevention strategies in the home, comm</w:t>
      </w:r>
      <w:r>
        <w:t>unity, and child care settings.</w:t>
      </w:r>
    </w:p>
    <w:p w:rsidR="004B20E5" w:rsidRPr="006256D0" w:rsidRDefault="004B20E5" w:rsidP="00125098">
      <w:pPr>
        <w:pStyle w:val="TableStrategiesunderHealthFunctions"/>
      </w:pPr>
      <w:r>
        <w:t>5.4.8</w:t>
      </w:r>
      <w:r>
        <w:tab/>
        <w:t>Coordinate data sharing for camp and pool injuries with Bureau of Environmental Health (BEH).</w:t>
      </w:r>
    </w:p>
    <w:p w:rsidR="004B20E5" w:rsidRDefault="004B20E5" w:rsidP="007C27A3">
      <w:pPr>
        <w:pStyle w:val="TableTenEssenHlthFunct"/>
      </w:pPr>
      <w:r>
        <w:t xml:space="preserve">Develop Policies and Plans That Support Individual and Community Health Efforts </w:t>
      </w:r>
    </w:p>
    <w:p w:rsidR="004B20E5" w:rsidRDefault="004B20E5" w:rsidP="00125098">
      <w:pPr>
        <w:pStyle w:val="TableStrategiesunderHealthFunctions"/>
      </w:pPr>
      <w:r>
        <w:t>5.4.9</w:t>
      </w:r>
      <w:r>
        <w:tab/>
        <w:t>Promote trauma-informed model policies and practices for screening and universal education in varied health and public health settings for suicidality and all forms of violence.</w:t>
      </w:r>
    </w:p>
    <w:p w:rsidR="004B20E5" w:rsidRPr="006256D0" w:rsidRDefault="004B20E5" w:rsidP="00125098">
      <w:pPr>
        <w:pStyle w:val="TableStrategiesunderHealthFunctions"/>
      </w:pPr>
      <w:r>
        <w:t>5.4.10</w:t>
      </w:r>
      <w:r>
        <w:tab/>
        <w:t>Promote US Preventive Services Task Force recommendations for screening for domestic and sexual violence in all primary care settings for women.</w:t>
      </w:r>
    </w:p>
    <w:p w:rsidR="004B20E5" w:rsidRDefault="004B20E5" w:rsidP="007C27A3">
      <w:pPr>
        <w:pStyle w:val="TableTenEssenHlthFunct"/>
      </w:pPr>
      <w:r>
        <w:t>Enforce Laws and Regulations That Protect Health and Ensure Safety</w:t>
      </w:r>
    </w:p>
    <w:p w:rsidR="004B20E5" w:rsidRPr="006256D0" w:rsidRDefault="004B20E5" w:rsidP="00125098">
      <w:pPr>
        <w:pStyle w:val="TableStrategiesunderHealthFunctions"/>
      </w:pPr>
      <w:r>
        <w:t>5.4.11</w:t>
      </w:r>
      <w:r>
        <w:tab/>
      </w:r>
      <w:r w:rsidRPr="009A70B4">
        <w:t xml:space="preserve">Address improved awareness and enforcement of </w:t>
      </w:r>
      <w:r>
        <w:t>protective</w:t>
      </w:r>
      <w:r w:rsidRPr="009A70B4">
        <w:t xml:space="preserve"> helmet laws.</w:t>
      </w:r>
    </w:p>
    <w:p w:rsidR="004B20E5" w:rsidRDefault="004B20E5" w:rsidP="007C27A3">
      <w:pPr>
        <w:pStyle w:val="TableTenEssenHlthFunct"/>
      </w:pPr>
      <w:r>
        <w:t>Evaluate Effectiveness, Accessibility, and Quality of Health Services</w:t>
      </w:r>
    </w:p>
    <w:p w:rsidR="004B20E5" w:rsidRPr="006256D0" w:rsidRDefault="004B20E5" w:rsidP="00125098">
      <w:pPr>
        <w:pStyle w:val="TableStrategiesunderHealthFunctions"/>
      </w:pPr>
      <w:r>
        <w:t>5.4.12</w:t>
      </w:r>
      <w:r w:rsidRPr="006E1962">
        <w:tab/>
      </w:r>
      <w:r w:rsidRPr="003C4C81">
        <w:t>Implement, support and evaluate state sports related head injury concussion legislation and regulation (including parent, coach and student education, enforcement of graduated return to play/academics provisions, and provider education for medical clearance</w:t>
      </w:r>
      <w:r>
        <w:t>).</w:t>
      </w:r>
    </w:p>
    <w:p w:rsidR="004B20E5" w:rsidRDefault="004B20E5" w:rsidP="00125098">
      <w:pPr>
        <w:pStyle w:val="Strategies"/>
      </w:pPr>
    </w:p>
    <w:p w:rsidR="004B20E5" w:rsidRDefault="004B20E5" w:rsidP="00125098">
      <w:pPr>
        <w:pStyle w:val="Strategies"/>
      </w:pPr>
    </w:p>
    <w:p w:rsidR="004B20E5" w:rsidRDefault="004B20E5" w:rsidP="00876533">
      <w:pPr>
        <w:pStyle w:val="BodyText"/>
      </w:pPr>
      <w:r>
        <w:br w:type="page"/>
      </w:r>
    </w:p>
    <w:p w:rsidR="004B20E5" w:rsidRDefault="004B20E5" w:rsidP="00CB2B0E">
      <w:pPr>
        <w:pStyle w:val="StandardStatement"/>
      </w:pPr>
      <w:r>
        <w:lastRenderedPageBreak/>
        <w:t>Standard</w:t>
      </w:r>
      <w:r w:rsidRPr="0046149F">
        <w:t xml:space="preserve"> 5</w:t>
      </w:r>
      <w:r>
        <w:t xml:space="preserve">B:  </w:t>
      </w:r>
      <w:r>
        <w:tab/>
        <w:t>Reduce s</w:t>
      </w:r>
      <w:r w:rsidRPr="0046149F">
        <w:t xml:space="preserve">uicides </w:t>
      </w:r>
      <w:r>
        <w:t xml:space="preserve">and suicidal behavior </w:t>
      </w:r>
      <w:r w:rsidRPr="0046149F">
        <w:t>for all ages.</w:t>
      </w:r>
    </w:p>
    <w:p w:rsidR="004B20E5" w:rsidRPr="00876533" w:rsidRDefault="004B20E5" w:rsidP="00876533">
      <w:pPr>
        <w:pStyle w:val="BodyText"/>
      </w:pPr>
    </w:p>
    <w:p w:rsidR="004B20E5" w:rsidRDefault="004B20E5" w:rsidP="00CB2B0E">
      <w:pPr>
        <w:pStyle w:val="ObjectiveStatement"/>
        <w:rPr>
          <w:szCs w:val="22"/>
        </w:rPr>
      </w:pPr>
      <w:r>
        <w:t>Measure 5.5:</w:t>
      </w:r>
      <w:r>
        <w:tab/>
        <w:t>Prevent an increase in the age adjusted rate of suicide among MA residents, particularly those most at risk.</w:t>
      </w:r>
    </w:p>
    <w:p w:rsidR="004B20E5" w:rsidRDefault="004B20E5" w:rsidP="00125098">
      <w:pPr>
        <w:pStyle w:val="BodyText"/>
      </w:pPr>
    </w:p>
    <w:tbl>
      <w:tblPr>
        <w:tblW w:w="4108" w:type="pct"/>
        <w:tblInd w:w="1755" w:type="dxa"/>
        <w:tblLayout w:type="fixed"/>
        <w:tblLook w:val="00A0" w:firstRow="1" w:lastRow="0" w:firstColumn="1" w:lastColumn="0" w:noHBand="0" w:noVBand="0"/>
      </w:tblPr>
      <w:tblGrid>
        <w:gridCol w:w="2070"/>
        <w:gridCol w:w="178"/>
        <w:gridCol w:w="1533"/>
        <w:gridCol w:w="1531"/>
        <w:gridCol w:w="3147"/>
      </w:tblGrid>
      <w:tr w:rsidR="004B20E5" w:rsidRPr="00666093" w:rsidTr="00014F7A">
        <w:trPr>
          <w:cantSplit/>
        </w:trPr>
        <w:tc>
          <w:tcPr>
            <w:tcW w:w="1224"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1011" w:type="pct"/>
            <w:gridSpan w:val="2"/>
            <w:tcBorders>
              <w:top w:val="single" w:sz="4" w:space="0" w:color="auto"/>
              <w:bottom w:val="single" w:sz="4" w:space="0" w:color="auto"/>
            </w:tcBorders>
            <w:vAlign w:val="center"/>
          </w:tcPr>
          <w:p w:rsidR="004B20E5" w:rsidRPr="00666093" w:rsidRDefault="004B20E5" w:rsidP="00014F7A">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014F7A">
            <w:pPr>
              <w:pStyle w:val="TableTitleBaseline2020Target"/>
            </w:pPr>
            <w:r w:rsidRPr="00666093">
              <w:t>2020 Target</w:t>
            </w:r>
          </w:p>
        </w:tc>
        <w:tc>
          <w:tcPr>
            <w:tcW w:w="1860" w:type="pct"/>
            <w:tcBorders>
              <w:top w:val="single" w:sz="4" w:space="0" w:color="auto"/>
              <w:bottom w:val="single" w:sz="4" w:space="0" w:color="auto"/>
            </w:tcBorders>
            <w:vAlign w:val="center"/>
          </w:tcPr>
          <w:p w:rsidR="004B20E5" w:rsidRPr="00666093" w:rsidRDefault="004B20E5" w:rsidP="00014F7A">
            <w:pPr>
              <w:pStyle w:val="TableTitleTargetDataSource"/>
            </w:pPr>
            <w:r w:rsidRPr="00666093">
              <w:t>Data Source</w:t>
            </w:r>
          </w:p>
        </w:tc>
      </w:tr>
      <w:tr w:rsidR="004B20E5" w:rsidRPr="00666093" w:rsidDel="00144820" w:rsidTr="00014F7A">
        <w:trPr>
          <w:cantSplit/>
        </w:trPr>
        <w:tc>
          <w:tcPr>
            <w:tcW w:w="1329" w:type="pct"/>
            <w:gridSpan w:val="2"/>
            <w:tcBorders>
              <w:top w:val="single" w:sz="4" w:space="0" w:color="auto"/>
              <w:bottom w:val="single" w:sz="4" w:space="0" w:color="auto"/>
            </w:tcBorders>
            <w:vAlign w:val="center"/>
          </w:tcPr>
          <w:p w:rsidR="004B20E5" w:rsidDel="00144820" w:rsidRDefault="004B20E5" w:rsidP="00014F7A">
            <w:pPr>
              <w:pStyle w:val="TableOutcomeMeasure"/>
            </w:pPr>
            <w:r>
              <w:t xml:space="preserve">Age adjusted rate of </w:t>
            </w:r>
            <w:r w:rsidR="006F7CD2">
              <w:t>s</w:t>
            </w:r>
            <w:r>
              <w:t>uicide</w:t>
            </w:r>
          </w:p>
        </w:tc>
        <w:tc>
          <w:tcPr>
            <w:tcW w:w="906" w:type="pct"/>
            <w:tcBorders>
              <w:top w:val="single" w:sz="4" w:space="0" w:color="auto"/>
              <w:bottom w:val="single" w:sz="4" w:space="0" w:color="auto"/>
            </w:tcBorders>
            <w:vAlign w:val="center"/>
          </w:tcPr>
          <w:p w:rsidR="004B20E5" w:rsidDel="00144820" w:rsidRDefault="004B20E5" w:rsidP="00014F7A">
            <w:pPr>
              <w:pStyle w:val="TableBaseline2020Target"/>
            </w:pPr>
            <w:r w:rsidRPr="00403B67">
              <w:t>8.8 per 100,000 persons</w:t>
            </w:r>
          </w:p>
        </w:tc>
        <w:tc>
          <w:tcPr>
            <w:tcW w:w="905" w:type="pct"/>
            <w:tcBorders>
              <w:top w:val="single" w:sz="4" w:space="0" w:color="auto"/>
              <w:bottom w:val="single" w:sz="4" w:space="0" w:color="auto"/>
            </w:tcBorders>
            <w:vAlign w:val="center"/>
          </w:tcPr>
          <w:p w:rsidR="004B20E5" w:rsidDel="00144820" w:rsidRDefault="004B20E5" w:rsidP="00014F7A">
            <w:pPr>
              <w:pStyle w:val="TableBaseline2020Target"/>
            </w:pPr>
            <w:r>
              <w:t>8.8 per 100,000</w:t>
            </w:r>
          </w:p>
        </w:tc>
        <w:tc>
          <w:tcPr>
            <w:tcW w:w="1860" w:type="pct"/>
            <w:tcBorders>
              <w:top w:val="single" w:sz="4" w:space="0" w:color="auto"/>
              <w:bottom w:val="single" w:sz="4" w:space="0" w:color="auto"/>
            </w:tcBorders>
            <w:vAlign w:val="center"/>
          </w:tcPr>
          <w:p w:rsidR="004B20E5" w:rsidDel="00144820" w:rsidRDefault="004B20E5" w:rsidP="00014F7A">
            <w:pPr>
              <w:pStyle w:val="TableDataSource"/>
            </w:pPr>
            <w:r>
              <w:t>Registry of Vital Records and Statistics (RVRS)</w:t>
            </w:r>
          </w:p>
        </w:tc>
      </w:tr>
      <w:tr w:rsidR="004B20E5" w:rsidRPr="00666093" w:rsidDel="00144820" w:rsidTr="0049761A">
        <w:trPr>
          <w:cantSplit/>
        </w:trPr>
        <w:tc>
          <w:tcPr>
            <w:tcW w:w="1329" w:type="pct"/>
            <w:gridSpan w:val="2"/>
            <w:tcBorders>
              <w:top w:val="single" w:sz="4" w:space="0" w:color="auto"/>
              <w:bottom w:val="single" w:sz="4" w:space="0" w:color="auto"/>
            </w:tcBorders>
            <w:vAlign w:val="center"/>
          </w:tcPr>
          <w:p w:rsidR="004B20E5" w:rsidDel="00144820" w:rsidRDefault="004B20E5" w:rsidP="00733660">
            <w:pPr>
              <w:pStyle w:val="TableOutcomeMeasure"/>
            </w:pPr>
            <w:r>
              <w:t>Ratio of suicides among MA males ages 60+ to all MA residents</w:t>
            </w:r>
          </w:p>
        </w:tc>
        <w:tc>
          <w:tcPr>
            <w:tcW w:w="906" w:type="pct"/>
            <w:tcBorders>
              <w:top w:val="single" w:sz="4" w:space="0" w:color="auto"/>
              <w:bottom w:val="single" w:sz="4" w:space="0" w:color="auto"/>
            </w:tcBorders>
            <w:vAlign w:val="center"/>
          </w:tcPr>
          <w:p w:rsidR="004B20E5" w:rsidDel="00144820" w:rsidRDefault="004B20E5" w:rsidP="00733660">
            <w:pPr>
              <w:pStyle w:val="TableBaseline2020Target"/>
            </w:pPr>
            <w:r>
              <w:t>1.67x (ratio)</w:t>
            </w:r>
          </w:p>
        </w:tc>
        <w:tc>
          <w:tcPr>
            <w:tcW w:w="905" w:type="pct"/>
            <w:tcBorders>
              <w:top w:val="single" w:sz="4" w:space="0" w:color="auto"/>
              <w:bottom w:val="single" w:sz="4" w:space="0" w:color="auto"/>
            </w:tcBorders>
            <w:vAlign w:val="center"/>
          </w:tcPr>
          <w:p w:rsidR="004B20E5" w:rsidDel="00144820" w:rsidRDefault="004B20E5" w:rsidP="00733660">
            <w:pPr>
              <w:pStyle w:val="TableBaseline2020Target"/>
            </w:pPr>
            <w:r>
              <w:t>1.50x (ratio)</w:t>
            </w:r>
          </w:p>
        </w:tc>
        <w:tc>
          <w:tcPr>
            <w:tcW w:w="1860" w:type="pct"/>
            <w:tcBorders>
              <w:top w:val="single" w:sz="4" w:space="0" w:color="auto"/>
              <w:bottom w:val="single" w:sz="4" w:space="0" w:color="auto"/>
            </w:tcBorders>
            <w:vAlign w:val="center"/>
          </w:tcPr>
          <w:p w:rsidR="004B20E5" w:rsidDel="00144820" w:rsidRDefault="004B20E5" w:rsidP="00733660">
            <w:pPr>
              <w:pStyle w:val="TableDataSource"/>
            </w:pPr>
            <w:r>
              <w:t>Registry of Vital Records and Statistics</w:t>
            </w:r>
          </w:p>
        </w:tc>
      </w:tr>
    </w:tbl>
    <w:p w:rsidR="004B20E5" w:rsidRDefault="004B20E5" w:rsidP="00014F7A">
      <w:pPr>
        <w:pStyle w:val="StrategiesTitle"/>
        <w:rPr>
          <w:sz w:val="6"/>
        </w:rPr>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014F7A">
        <w:trPr>
          <w:cantSplit/>
        </w:trPr>
        <w:tc>
          <w:tcPr>
            <w:tcW w:w="1329" w:type="pct"/>
            <w:tcBorders>
              <w:top w:val="single" w:sz="4" w:space="0" w:color="auto"/>
            </w:tcBorders>
          </w:tcPr>
          <w:p w:rsidR="004B20E5" w:rsidRPr="009171C7" w:rsidDel="00F67FD0" w:rsidRDefault="004B20E5" w:rsidP="00014F7A">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014F7A">
            <w:pPr>
              <w:pStyle w:val="TableOutcomeMeasure"/>
            </w:pPr>
            <w:r>
              <w:t>Number of suicides among MA residents</w:t>
            </w:r>
          </w:p>
        </w:tc>
      </w:tr>
      <w:tr w:rsidR="004B20E5" w:rsidRPr="00666093" w:rsidDel="00F67FD0" w:rsidTr="00014F7A">
        <w:trPr>
          <w:cantSplit/>
        </w:trPr>
        <w:tc>
          <w:tcPr>
            <w:tcW w:w="1329" w:type="pct"/>
          </w:tcPr>
          <w:p w:rsidR="004B20E5" w:rsidRPr="009171C7" w:rsidDel="00F67FD0" w:rsidRDefault="004B20E5" w:rsidP="00014F7A">
            <w:pPr>
              <w:pStyle w:val="TableTitleNumeratoretc"/>
            </w:pPr>
            <w:r w:rsidRPr="00A367E5">
              <w:t>Denominator</w:t>
            </w:r>
            <w:r>
              <w:t>:</w:t>
            </w:r>
          </w:p>
        </w:tc>
        <w:tc>
          <w:tcPr>
            <w:tcW w:w="3671" w:type="pct"/>
            <w:vAlign w:val="center"/>
          </w:tcPr>
          <w:p w:rsidR="004B20E5" w:rsidRPr="00391134" w:rsidDel="00F67FD0" w:rsidRDefault="004B20E5" w:rsidP="00014F7A">
            <w:pPr>
              <w:pStyle w:val="TableOutcomeMeasure"/>
            </w:pPr>
            <w:r>
              <w:t>Number of MA residents (age adjusted rate per 100,000)</w:t>
            </w:r>
          </w:p>
        </w:tc>
      </w:tr>
      <w:tr w:rsidR="004B20E5" w:rsidRPr="00666093" w:rsidDel="00F67FD0" w:rsidTr="00014F7A">
        <w:trPr>
          <w:cantSplit/>
        </w:trPr>
        <w:tc>
          <w:tcPr>
            <w:tcW w:w="1329" w:type="pct"/>
          </w:tcPr>
          <w:p w:rsidR="004B20E5" w:rsidRPr="009171C7" w:rsidDel="00F67FD0" w:rsidRDefault="004B20E5" w:rsidP="00014F7A">
            <w:pPr>
              <w:pStyle w:val="TableTitleNumeratoretc"/>
            </w:pPr>
            <w:r w:rsidRPr="00A367E5">
              <w:t>Exclusions</w:t>
            </w:r>
            <w:r>
              <w:t>:</w:t>
            </w:r>
          </w:p>
        </w:tc>
        <w:tc>
          <w:tcPr>
            <w:tcW w:w="3671" w:type="pct"/>
            <w:vAlign w:val="center"/>
          </w:tcPr>
          <w:p w:rsidR="004B20E5" w:rsidRPr="00391134" w:rsidDel="00F67FD0" w:rsidRDefault="004B20E5" w:rsidP="00014F7A">
            <w:pPr>
              <w:pStyle w:val="TableOutcomeMeasure"/>
            </w:pPr>
            <w:r>
              <w:t>None</w:t>
            </w:r>
          </w:p>
        </w:tc>
      </w:tr>
      <w:tr w:rsidR="004B20E5" w:rsidRPr="00666093" w:rsidDel="00F67FD0" w:rsidTr="00014F7A">
        <w:trPr>
          <w:cantSplit/>
        </w:trPr>
        <w:tc>
          <w:tcPr>
            <w:tcW w:w="1329" w:type="pct"/>
            <w:vAlign w:val="center"/>
          </w:tcPr>
          <w:p w:rsidR="004B20E5" w:rsidRPr="009171C7" w:rsidDel="00F67FD0" w:rsidRDefault="004B20E5" w:rsidP="00014F7A">
            <w:pPr>
              <w:pStyle w:val="TableTitleNumeratoretc"/>
            </w:pPr>
            <w:r w:rsidRPr="00F67FD0">
              <w:t>Timeframe</w:t>
            </w:r>
            <w:r>
              <w:t>:</w:t>
            </w:r>
          </w:p>
        </w:tc>
        <w:tc>
          <w:tcPr>
            <w:tcW w:w="3671" w:type="pct"/>
            <w:vAlign w:val="center"/>
          </w:tcPr>
          <w:p w:rsidR="004B20E5" w:rsidRPr="00391134" w:rsidDel="00F67FD0" w:rsidRDefault="004B20E5" w:rsidP="00014F7A">
            <w:pPr>
              <w:pStyle w:val="TableOutcomeMeasure"/>
            </w:pPr>
            <w:r>
              <w:t>Annual</w:t>
            </w:r>
          </w:p>
        </w:tc>
      </w:tr>
      <w:tr w:rsidR="004B20E5" w:rsidRPr="00666093" w:rsidDel="00F67FD0" w:rsidTr="00014F7A">
        <w:trPr>
          <w:cantSplit/>
        </w:trPr>
        <w:tc>
          <w:tcPr>
            <w:tcW w:w="1329" w:type="pct"/>
            <w:tcBorders>
              <w:bottom w:val="single" w:sz="4" w:space="0" w:color="auto"/>
            </w:tcBorders>
            <w:vAlign w:val="center"/>
          </w:tcPr>
          <w:p w:rsidR="004B20E5" w:rsidRPr="009171C7" w:rsidDel="00F67FD0" w:rsidRDefault="004B20E5" w:rsidP="00014F7A">
            <w:pPr>
              <w:pStyle w:val="TableTitleNumeratoretc"/>
            </w:pPr>
            <w:r w:rsidRPr="00F67FD0">
              <w:t>How will this be measured?</w:t>
            </w:r>
          </w:p>
        </w:tc>
        <w:tc>
          <w:tcPr>
            <w:tcW w:w="3671" w:type="pct"/>
            <w:tcBorders>
              <w:bottom w:val="single" w:sz="4" w:space="0" w:color="auto"/>
            </w:tcBorders>
            <w:vAlign w:val="center"/>
          </w:tcPr>
          <w:p w:rsidR="004B20E5" w:rsidRDefault="004B20E5" w:rsidP="00014F7A">
            <w:pPr>
              <w:pStyle w:val="TableOutcomeMeasure"/>
            </w:pPr>
            <w:r>
              <w:t>Annual MDPH Death Report (RVRS)</w:t>
            </w:r>
          </w:p>
          <w:p w:rsidR="004B20E5" w:rsidRPr="00391134" w:rsidDel="00F67FD0" w:rsidRDefault="004B20E5" w:rsidP="00014F7A">
            <w:pPr>
              <w:pStyle w:val="TableOutcomeMeasure"/>
            </w:pPr>
          </w:p>
        </w:tc>
      </w:tr>
    </w:tbl>
    <w:p w:rsidR="004B20E5" w:rsidRDefault="004B20E5" w:rsidP="00125098">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5B06A5">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5B06A5">
            <w:pPr>
              <w:pStyle w:val="TableOutcomeMeasure"/>
            </w:pPr>
            <w:r>
              <w:t>Number of suicides among MA males ages 60 years and older</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Pr="00391134" w:rsidDel="00F67FD0" w:rsidRDefault="004B20E5" w:rsidP="005B06A5">
            <w:pPr>
              <w:pStyle w:val="TableOutcomeMeasure"/>
            </w:pPr>
            <w:r>
              <w:t>Number of MA males ages 60 years and older</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391134" w:rsidDel="00F67FD0" w:rsidRDefault="004B20E5" w:rsidP="005B06A5">
            <w:pPr>
              <w:pStyle w:val="TableOutcomeMeasure"/>
            </w:pPr>
            <w:r>
              <w:t>None</w:t>
            </w:r>
          </w:p>
        </w:tc>
      </w:tr>
      <w:tr w:rsidR="004B20E5" w:rsidRPr="00666093" w:rsidDel="00F67FD0" w:rsidTr="005B06A5">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391134" w:rsidDel="00F67FD0" w:rsidRDefault="004B20E5" w:rsidP="005B06A5">
            <w:pPr>
              <w:pStyle w:val="TableOutcomeMeasure"/>
            </w:pPr>
            <w:r>
              <w:t>Annual</w:t>
            </w:r>
          </w:p>
        </w:tc>
      </w:tr>
      <w:tr w:rsidR="004B20E5" w:rsidRPr="00666093" w:rsidDel="00F67FD0" w:rsidTr="005B06A5">
        <w:trPr>
          <w:cantSplit/>
        </w:trPr>
        <w:tc>
          <w:tcPr>
            <w:tcW w:w="1329" w:type="pct"/>
            <w:tcBorders>
              <w:bottom w:val="single" w:sz="4" w:space="0" w:color="auto"/>
            </w:tcBorders>
            <w:vAlign w:val="center"/>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5B06A5">
            <w:pPr>
              <w:pStyle w:val="TableOutcomeMeasure"/>
            </w:pPr>
            <w:r>
              <w:t>Annual reports from the MDPH Division of Violence and Injury Prevention</w:t>
            </w:r>
          </w:p>
        </w:tc>
      </w:tr>
    </w:tbl>
    <w:p w:rsidR="004B20E5" w:rsidRDefault="004B20E5" w:rsidP="0085759A">
      <w:pPr>
        <w:pStyle w:val="Strategies"/>
        <w:ind w:left="0" w:firstLine="0"/>
      </w:pPr>
    </w:p>
    <w:p w:rsidR="004B20E5" w:rsidRDefault="004B20E5" w:rsidP="007C27A3">
      <w:pPr>
        <w:pStyle w:val="TableTenEssenHlthFunct"/>
      </w:pPr>
      <w:r>
        <w:t>Monitor Health to Identify and Solve Community Health Problems</w:t>
      </w:r>
    </w:p>
    <w:p w:rsidR="004B20E5" w:rsidRPr="006256D0" w:rsidRDefault="004B20E5" w:rsidP="00125098">
      <w:pPr>
        <w:pStyle w:val="TableStrategiesunderHealthFunctions"/>
      </w:pPr>
      <w:r>
        <w:t>5.5.1</w:t>
      </w:r>
      <w:r>
        <w:tab/>
        <w:t>Continue surveillance utilizing suicide death and MVDRS databases.</w:t>
      </w:r>
    </w:p>
    <w:p w:rsidR="004B20E5" w:rsidRDefault="004B20E5" w:rsidP="007C27A3">
      <w:pPr>
        <w:pStyle w:val="TableTenEssenHlthFunct"/>
      </w:pPr>
      <w:r>
        <w:t xml:space="preserve">Inform, Educate, and Empower People About Health Issues </w:t>
      </w:r>
    </w:p>
    <w:p w:rsidR="004B20E5" w:rsidRPr="006256D0" w:rsidRDefault="004B20E5" w:rsidP="00125098">
      <w:pPr>
        <w:pStyle w:val="TableStrategiesunderHealthFunctions"/>
      </w:pPr>
      <w:r>
        <w:t>5.5.2</w:t>
      </w:r>
      <w:r>
        <w:tab/>
        <w:t>Provide Gatekeeper Training to the general public.</w:t>
      </w:r>
    </w:p>
    <w:p w:rsidR="004B20E5" w:rsidRDefault="004B20E5" w:rsidP="007C27A3">
      <w:pPr>
        <w:pStyle w:val="TableTenEssenHlthFunct"/>
      </w:pPr>
      <w:r>
        <w:t>Mobilize Community Partnerships to Identify and Solve Health Problems</w:t>
      </w:r>
    </w:p>
    <w:p w:rsidR="004B20E5" w:rsidRPr="006256D0" w:rsidRDefault="004B20E5" w:rsidP="00125098">
      <w:pPr>
        <w:pStyle w:val="TableStrategiesunderHealthFunctions"/>
      </w:pPr>
      <w:r>
        <w:t>5.5.3</w:t>
      </w:r>
      <w:r w:rsidRPr="0046149F">
        <w:tab/>
        <w:t xml:space="preserve">Foster </w:t>
      </w:r>
      <w:r>
        <w:t>suicide prevention</w:t>
      </w:r>
      <w:r w:rsidRPr="0046149F">
        <w:t xml:space="preserve"> through </w:t>
      </w:r>
      <w:r>
        <w:t>the support of the statewide MA Coalition for Suicide Prevention, Regional Coalitions and Community Coalitions.</w:t>
      </w:r>
    </w:p>
    <w:p w:rsidR="004B20E5" w:rsidRDefault="004B20E5" w:rsidP="007C27A3">
      <w:pPr>
        <w:pStyle w:val="TableTenEssenHlthFunct"/>
      </w:pPr>
      <w:r>
        <w:t xml:space="preserve">Develop Policies and Plans That Support Individual and Community Health Efforts </w:t>
      </w:r>
    </w:p>
    <w:p w:rsidR="004B20E5" w:rsidRDefault="004B20E5" w:rsidP="00125098">
      <w:pPr>
        <w:pStyle w:val="TableStrategiesunderHealthFunctions"/>
      </w:pPr>
      <w:r>
        <w:t>5.5.4</w:t>
      </w:r>
      <w:r w:rsidRPr="0046149F">
        <w:tab/>
      </w:r>
      <w:r w:rsidRPr="00014F7A">
        <w:t>Share, create, and standardize culturally and linguistically appropriate tools to assess risk</w:t>
      </w:r>
      <w:r>
        <w:t>.</w:t>
      </w:r>
    </w:p>
    <w:p w:rsidR="004B20E5" w:rsidRDefault="004B20E5" w:rsidP="00014F7A">
      <w:pPr>
        <w:pStyle w:val="TableStrategiesunderHealthFunctions"/>
      </w:pPr>
      <w:r>
        <w:t>5.5.5</w:t>
      </w:r>
      <w:r>
        <w:tab/>
        <w:t xml:space="preserve">Promote means restriction wherever possible. </w:t>
      </w:r>
    </w:p>
    <w:p w:rsidR="004B20E5" w:rsidRDefault="004B20E5" w:rsidP="00014F7A">
      <w:pPr>
        <w:pStyle w:val="TableStrategiesunderHealthFunctions"/>
      </w:pPr>
      <w:r>
        <w:t>5.5.6</w:t>
      </w:r>
      <w:r>
        <w:tab/>
        <w:t>Promote suicide prevention in public policy, workplaces, schools, state agencies and other organizations.</w:t>
      </w:r>
    </w:p>
    <w:p w:rsidR="004B20E5" w:rsidRDefault="004B20E5" w:rsidP="00014F7A">
      <w:pPr>
        <w:pStyle w:val="TableStrategiesunderHealthFunctions"/>
      </w:pPr>
      <w:r>
        <w:t>5.5.7</w:t>
      </w:r>
      <w:r>
        <w:tab/>
        <w:t>Promote innovative promising approaches to serve hard-to-reach populations.</w:t>
      </w:r>
    </w:p>
    <w:p w:rsidR="004B20E5" w:rsidRPr="006256D0" w:rsidRDefault="004B20E5" w:rsidP="00014F7A">
      <w:pPr>
        <w:pStyle w:val="TableStrategiesunderHealthFunctions"/>
      </w:pPr>
      <w:r>
        <w:t>5.5.8</w:t>
      </w:r>
      <w:r>
        <w:tab/>
        <w:t>Promote trauma-informed model policies and practices for screening and universal education in varied health and public health settings for suicidality and all forms of violence.</w:t>
      </w:r>
    </w:p>
    <w:p w:rsidR="004B20E5" w:rsidRDefault="004B20E5" w:rsidP="007C27A3">
      <w:pPr>
        <w:pStyle w:val="TableTenEssenHlthFunct"/>
      </w:pPr>
      <w:r>
        <w:t>Enforce Laws and Regulations That Protect Health and Ensure Safety</w:t>
      </w:r>
    </w:p>
    <w:p w:rsidR="004B20E5" w:rsidRPr="006256D0" w:rsidRDefault="004B20E5" w:rsidP="00125098">
      <w:pPr>
        <w:pStyle w:val="TableStrategiesunderHealthFunctions"/>
      </w:pPr>
      <w:r>
        <w:t>5.5.9</w:t>
      </w:r>
      <w:r>
        <w:tab/>
        <w:t>Amend existing hospital regulations to require universal education and suicidality and violence screening.</w:t>
      </w:r>
    </w:p>
    <w:p w:rsidR="004B20E5" w:rsidRDefault="004B20E5" w:rsidP="007C27A3">
      <w:pPr>
        <w:pStyle w:val="TableTenEssenHlthFunct"/>
      </w:pPr>
      <w:r>
        <w:br w:type="page"/>
      </w:r>
    </w:p>
    <w:p w:rsidR="004B20E5" w:rsidRDefault="004B20E5" w:rsidP="007C27A3">
      <w:pPr>
        <w:pStyle w:val="TableTenEssenHlthFunct"/>
      </w:pPr>
      <w:r>
        <w:lastRenderedPageBreak/>
        <w:t>Link People to Needed Personal Health Services and Health Care</w:t>
      </w:r>
    </w:p>
    <w:p w:rsidR="004B20E5" w:rsidRDefault="004B20E5" w:rsidP="00125098">
      <w:pPr>
        <w:pStyle w:val="TableStrategiesunderHealthFunctions"/>
      </w:pPr>
      <w:r>
        <w:t>5.5.10</w:t>
      </w:r>
      <w:r>
        <w:tab/>
        <w:t xml:space="preserve">Provide </w:t>
      </w:r>
      <w:r w:rsidRPr="00014F7A">
        <w:t>culturally and linguistically appropriate postvention services to systems after a suicide.</w:t>
      </w:r>
    </w:p>
    <w:p w:rsidR="004B20E5" w:rsidRPr="006256D0" w:rsidRDefault="004B20E5" w:rsidP="00125098">
      <w:pPr>
        <w:pStyle w:val="TableStrategiesunderHealthFunctions"/>
      </w:pPr>
      <w:r>
        <w:t>5.5.11</w:t>
      </w:r>
      <w:r>
        <w:tab/>
        <w:t>Assure smooth continuum of care (track referrals to and from hospitals).</w:t>
      </w:r>
    </w:p>
    <w:p w:rsidR="004B20E5" w:rsidRDefault="004B20E5" w:rsidP="007C27A3">
      <w:pPr>
        <w:pStyle w:val="TableTenEssenHlthFunct"/>
      </w:pPr>
      <w:r>
        <w:t>Assure a Competent Public and Personal Healthcare Workforce</w:t>
      </w:r>
    </w:p>
    <w:p w:rsidR="004B20E5" w:rsidRPr="006256D0" w:rsidRDefault="004B20E5" w:rsidP="00125098">
      <w:pPr>
        <w:pStyle w:val="TableStrategiesunderHealthFunctions"/>
      </w:pPr>
      <w:r>
        <w:t>5.5.12</w:t>
      </w:r>
      <w:r>
        <w:tab/>
        <w:t>Provide suicide risk assessment and management training to enhance the skills of clinical staff who work in health, mental health and substance abuse settings.</w:t>
      </w:r>
    </w:p>
    <w:p w:rsidR="004B20E5" w:rsidRDefault="004B20E5" w:rsidP="007C27A3">
      <w:pPr>
        <w:pStyle w:val="TableTenEssenHlthFunct"/>
      </w:pPr>
      <w:r w:rsidRPr="001B5074">
        <w:t>Research for New Insights and Innovative Solutions to Health Problems</w:t>
      </w:r>
    </w:p>
    <w:p w:rsidR="004B20E5" w:rsidRDefault="004B20E5" w:rsidP="00125098">
      <w:pPr>
        <w:pStyle w:val="TableStrategiesunderHealthFunctions"/>
      </w:pPr>
      <w:r>
        <w:t>5.5.13</w:t>
      </w:r>
      <w:r>
        <w:tab/>
      </w:r>
      <w:r w:rsidRPr="00014F7A">
        <w:t>Promote evidence based and best practice strategies for suicide prevention that are culturally and linguistically appropriate.</w:t>
      </w:r>
    </w:p>
    <w:p w:rsidR="004B20E5" w:rsidRPr="006256D0" w:rsidRDefault="004B20E5" w:rsidP="00125098">
      <w:pPr>
        <w:pStyle w:val="TableStrategiesunderHealthFunctions"/>
      </w:pPr>
      <w:r>
        <w:t>5.5.14</w:t>
      </w:r>
      <w:r>
        <w:tab/>
        <w:t>Assess gatekeeper training effectiveness through evaluation of trainings.</w:t>
      </w:r>
    </w:p>
    <w:p w:rsidR="004B20E5" w:rsidRDefault="004B20E5" w:rsidP="007C27A3">
      <w:pPr>
        <w:pStyle w:val="TableTenEssenHlthFunct"/>
      </w:pPr>
      <w:r>
        <w:t>Engagement with Governing Entities</w:t>
      </w:r>
    </w:p>
    <w:p w:rsidR="004B20E5" w:rsidRDefault="004B20E5" w:rsidP="00125098">
      <w:pPr>
        <w:pStyle w:val="TableStrategiesunderHealthFunctions"/>
      </w:pPr>
      <w:r>
        <w:t>5.5.15</w:t>
      </w:r>
      <w:r>
        <w:tab/>
      </w:r>
      <w:r w:rsidRPr="002F6289">
        <w:t>Promote suicide prevention activities by other state agencies</w:t>
      </w:r>
      <w:r>
        <w:t>.</w:t>
      </w:r>
    </w:p>
    <w:p w:rsidR="004B20E5" w:rsidRPr="00BA4E5B" w:rsidRDefault="004B20E5" w:rsidP="0085759A">
      <w:pPr>
        <w:pStyle w:val="TableStrategiesunderHealthFunctions"/>
      </w:pPr>
      <w:r w:rsidRPr="00ED7016">
        <w:t>5.</w:t>
      </w:r>
      <w:r>
        <w:t>5</w:t>
      </w:r>
      <w:r w:rsidRPr="00ED7016">
        <w:t>.1</w:t>
      </w:r>
      <w:r>
        <w:t>6</w:t>
      </w:r>
      <w:r w:rsidRPr="00ED7016">
        <w:tab/>
        <w:t>Provide resources to Department of Veterans Services and Executive Office of Elder Affairs for suicide prevention activities specific to veterans and elders</w:t>
      </w:r>
      <w:r>
        <w:t>.</w:t>
      </w:r>
    </w:p>
    <w:p w:rsidR="004B20E5" w:rsidRPr="00BA4E5B" w:rsidRDefault="004B20E5" w:rsidP="00125098">
      <w:pPr>
        <w:pStyle w:val="TableStrategiesunderHealthFunctions"/>
      </w:pPr>
    </w:p>
    <w:p w:rsidR="004B20E5" w:rsidRDefault="004B20E5" w:rsidP="00876533">
      <w:pPr>
        <w:pStyle w:val="StandardStatement"/>
      </w:pPr>
      <w:r>
        <w:rPr>
          <w:noProof/>
        </w:rPr>
        <w:t>Standard</w:t>
      </w:r>
      <w:r w:rsidRPr="0046149F">
        <w:t xml:space="preserve"> 5</w:t>
      </w:r>
      <w:r>
        <w:t>C:</w:t>
      </w:r>
      <w:r>
        <w:tab/>
        <w:t>Reduce work-related</w:t>
      </w:r>
      <w:r w:rsidRPr="0046149F">
        <w:t xml:space="preserve"> injury</w:t>
      </w:r>
      <w:r>
        <w:t xml:space="preserve"> and violence</w:t>
      </w:r>
      <w:r w:rsidRPr="0046149F">
        <w:t>.</w:t>
      </w:r>
    </w:p>
    <w:p w:rsidR="004B20E5" w:rsidRPr="00876533" w:rsidRDefault="004B20E5" w:rsidP="00876533">
      <w:pPr>
        <w:pStyle w:val="BodyText"/>
      </w:pPr>
    </w:p>
    <w:p w:rsidR="004B20E5" w:rsidRPr="006E1962" w:rsidRDefault="00F03799" w:rsidP="00CB2B0E">
      <w:pPr>
        <w:pStyle w:val="ObjectiveStatement"/>
      </w:pPr>
      <w:r>
        <w:rPr>
          <w:noProof/>
        </w:rPr>
        <w:drawing>
          <wp:anchor distT="0" distB="0" distL="114300" distR="114300" simplePos="0" relativeHeight="251650048" behindDoc="0" locked="0" layoutInCell="1" allowOverlap="1" wp14:anchorId="7DB4A96F" wp14:editId="16D4F805">
            <wp:simplePos x="0" y="0"/>
            <wp:positionH relativeFrom="column">
              <wp:posOffset>0</wp:posOffset>
            </wp:positionH>
            <wp:positionV relativeFrom="paragraph">
              <wp:posOffset>564515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6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t xml:space="preserve">Measure </w:t>
      </w:r>
      <w:r w:rsidR="004B20E5" w:rsidRPr="006E1962">
        <w:t>5.</w:t>
      </w:r>
      <w:r w:rsidR="004B20E5">
        <w:t>6:</w:t>
      </w:r>
      <w:r w:rsidR="004B20E5">
        <w:tab/>
      </w:r>
      <w:r w:rsidR="004B20E5" w:rsidRPr="006E1962">
        <w:t xml:space="preserve">Reduce </w:t>
      </w:r>
      <w:r w:rsidR="004B20E5">
        <w:t xml:space="preserve">rates of work-related injuries among public and private sector employees, particularly those at greatest risk, to meet multiple specified targets.  </w:t>
      </w:r>
    </w:p>
    <w:tbl>
      <w:tblPr>
        <w:tblW w:w="4108" w:type="pct"/>
        <w:tblInd w:w="1755" w:type="dxa"/>
        <w:tblLayout w:type="fixed"/>
        <w:tblLook w:val="00A0" w:firstRow="1" w:lastRow="0" w:firstColumn="1" w:lastColumn="0" w:noHBand="0" w:noVBand="0"/>
      </w:tblPr>
      <w:tblGrid>
        <w:gridCol w:w="2250"/>
        <w:gridCol w:w="1531"/>
        <w:gridCol w:w="1531"/>
        <w:gridCol w:w="3120"/>
        <w:gridCol w:w="27"/>
      </w:tblGrid>
      <w:tr w:rsidR="004B20E5" w:rsidRPr="00666093" w:rsidTr="007A1B20">
        <w:trPr>
          <w:cantSplit/>
        </w:trPr>
        <w:tc>
          <w:tcPr>
            <w:tcW w:w="1330"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5B06A5">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5B06A5">
            <w:pPr>
              <w:pStyle w:val="TableTitleBaseline2020Target"/>
            </w:pPr>
            <w:r w:rsidRPr="00666093">
              <w:t>2020 Target</w:t>
            </w:r>
          </w:p>
        </w:tc>
        <w:tc>
          <w:tcPr>
            <w:tcW w:w="1860" w:type="pct"/>
            <w:gridSpan w:val="2"/>
            <w:tcBorders>
              <w:top w:val="single" w:sz="4" w:space="0" w:color="auto"/>
              <w:bottom w:val="single" w:sz="4" w:space="0" w:color="auto"/>
            </w:tcBorders>
            <w:vAlign w:val="center"/>
          </w:tcPr>
          <w:p w:rsidR="004B20E5" w:rsidRPr="00666093" w:rsidRDefault="004B20E5" w:rsidP="005B06A5">
            <w:pPr>
              <w:pStyle w:val="TableTitleTargetDataSource"/>
            </w:pPr>
            <w:r w:rsidRPr="00666093">
              <w:t>Data Source</w:t>
            </w:r>
          </w:p>
        </w:tc>
      </w:tr>
      <w:tr w:rsidR="004B20E5" w:rsidRPr="00666093" w:rsidTr="007A1B20">
        <w:trPr>
          <w:cantSplit/>
        </w:trPr>
        <w:tc>
          <w:tcPr>
            <w:tcW w:w="1330" w:type="pct"/>
            <w:tcBorders>
              <w:top w:val="single" w:sz="4" w:space="0" w:color="auto"/>
              <w:bottom w:val="single" w:sz="4" w:space="0" w:color="auto"/>
            </w:tcBorders>
            <w:vAlign w:val="center"/>
          </w:tcPr>
          <w:p w:rsidR="004B20E5" w:rsidDel="00144820" w:rsidRDefault="004B20E5" w:rsidP="005B06A5">
            <w:pPr>
              <w:pStyle w:val="TableOutcomeMeasure"/>
            </w:pPr>
            <w:r>
              <w:t>Non-fatal work-related injuries resulting in medical treatment or restricted time, private sector workers</w:t>
            </w:r>
          </w:p>
        </w:tc>
        <w:tc>
          <w:tcPr>
            <w:tcW w:w="905" w:type="pct"/>
            <w:tcBorders>
              <w:top w:val="single" w:sz="4" w:space="0" w:color="auto"/>
              <w:bottom w:val="single" w:sz="4" w:space="0" w:color="auto"/>
            </w:tcBorders>
            <w:vAlign w:val="center"/>
          </w:tcPr>
          <w:p w:rsidR="004B20E5" w:rsidRDefault="004B20E5" w:rsidP="005B06A5">
            <w:pPr>
              <w:pStyle w:val="TableBaseline2020Target"/>
            </w:pPr>
            <w:r w:rsidRPr="006E1962">
              <w:t>3.0 injuries/100 FTEs</w:t>
            </w:r>
          </w:p>
        </w:tc>
        <w:tc>
          <w:tcPr>
            <w:tcW w:w="905" w:type="pct"/>
            <w:tcBorders>
              <w:top w:val="single" w:sz="4" w:space="0" w:color="auto"/>
              <w:bottom w:val="single" w:sz="4" w:space="0" w:color="auto"/>
            </w:tcBorders>
            <w:vAlign w:val="center"/>
          </w:tcPr>
          <w:p w:rsidR="004B20E5" w:rsidDel="00144820" w:rsidRDefault="004B20E5" w:rsidP="005B06A5">
            <w:pPr>
              <w:pStyle w:val="TableBaseline2020Target"/>
            </w:pPr>
            <w:r w:rsidRPr="006E1962">
              <w:t>2.7/100 FTEs</w:t>
            </w:r>
          </w:p>
        </w:tc>
        <w:tc>
          <w:tcPr>
            <w:tcW w:w="1860" w:type="pct"/>
            <w:gridSpan w:val="2"/>
            <w:tcBorders>
              <w:top w:val="single" w:sz="4" w:space="0" w:color="auto"/>
              <w:bottom w:val="single" w:sz="4" w:space="0" w:color="auto"/>
            </w:tcBorders>
            <w:vAlign w:val="center"/>
          </w:tcPr>
          <w:p w:rsidR="004B20E5" w:rsidDel="00144820" w:rsidRDefault="004B20E5" w:rsidP="005B06A5">
            <w:pPr>
              <w:pStyle w:val="TableDataSource"/>
            </w:pPr>
            <w:r w:rsidRPr="006E1962">
              <w:t xml:space="preserve">BLS Annual Survey of Occupational Injuries and Illnesses </w:t>
            </w:r>
          </w:p>
        </w:tc>
      </w:tr>
      <w:tr w:rsidR="004B20E5" w:rsidRPr="00666093" w:rsidTr="00B92112">
        <w:trPr>
          <w:cantSplit/>
        </w:trPr>
        <w:tc>
          <w:tcPr>
            <w:tcW w:w="1330" w:type="pct"/>
            <w:tcBorders>
              <w:top w:val="single" w:sz="4" w:space="0" w:color="auto"/>
              <w:bottom w:val="single" w:sz="4" w:space="0" w:color="auto"/>
            </w:tcBorders>
            <w:vAlign w:val="center"/>
          </w:tcPr>
          <w:p w:rsidR="004B20E5" w:rsidDel="00144820" w:rsidRDefault="004B20E5" w:rsidP="00F446EB">
            <w:pPr>
              <w:pStyle w:val="TableOutcomeMeasure"/>
            </w:pPr>
            <w:r>
              <w:t>Work-related injuries resulting in paid workers compensation claims among employees of Executive Office Agencies</w:t>
            </w:r>
          </w:p>
        </w:tc>
        <w:tc>
          <w:tcPr>
            <w:tcW w:w="905" w:type="pct"/>
            <w:tcBorders>
              <w:top w:val="single" w:sz="4" w:space="0" w:color="auto"/>
              <w:bottom w:val="single" w:sz="4" w:space="0" w:color="auto"/>
            </w:tcBorders>
            <w:vAlign w:val="center"/>
          </w:tcPr>
          <w:p w:rsidR="004B20E5" w:rsidRDefault="004B20E5" w:rsidP="00F446EB">
            <w:pPr>
              <w:pStyle w:val="TableBaseline2020Target"/>
            </w:pPr>
            <w:r>
              <w:t xml:space="preserve">3.2 per </w:t>
            </w:r>
            <w:r w:rsidRPr="006E1962">
              <w:t>100 FTEs</w:t>
            </w:r>
          </w:p>
        </w:tc>
        <w:tc>
          <w:tcPr>
            <w:tcW w:w="905" w:type="pct"/>
            <w:tcBorders>
              <w:top w:val="single" w:sz="4" w:space="0" w:color="auto"/>
              <w:bottom w:val="single" w:sz="4" w:space="0" w:color="auto"/>
            </w:tcBorders>
            <w:vAlign w:val="center"/>
          </w:tcPr>
          <w:p w:rsidR="004B20E5" w:rsidDel="00144820" w:rsidRDefault="004B20E5" w:rsidP="00F446EB">
            <w:pPr>
              <w:pStyle w:val="TableBaseline2020Target"/>
            </w:pPr>
            <w:r>
              <w:t>3.0 per</w:t>
            </w:r>
            <w:r w:rsidRPr="006E1962">
              <w:t>100 FTEs</w:t>
            </w:r>
          </w:p>
        </w:tc>
        <w:tc>
          <w:tcPr>
            <w:tcW w:w="1860" w:type="pct"/>
            <w:gridSpan w:val="2"/>
            <w:tcBorders>
              <w:top w:val="single" w:sz="4" w:space="0" w:color="auto"/>
              <w:bottom w:val="single" w:sz="4" w:space="0" w:color="auto"/>
            </w:tcBorders>
            <w:vAlign w:val="center"/>
          </w:tcPr>
          <w:p w:rsidR="004B20E5" w:rsidDel="00144820" w:rsidRDefault="004B20E5" w:rsidP="00F446EB">
            <w:pPr>
              <w:pStyle w:val="TableDataSource"/>
            </w:pPr>
            <w:r>
              <w:t>MA Human Resource Division, 2013</w:t>
            </w:r>
          </w:p>
        </w:tc>
      </w:tr>
      <w:tr w:rsidR="004B20E5" w:rsidRPr="00666093" w:rsidTr="00B92112">
        <w:trPr>
          <w:cantSplit/>
        </w:trPr>
        <w:tc>
          <w:tcPr>
            <w:tcW w:w="1330" w:type="pct"/>
            <w:tcBorders>
              <w:top w:val="single" w:sz="4" w:space="0" w:color="auto"/>
              <w:bottom w:val="single" w:sz="4" w:space="0" w:color="auto"/>
            </w:tcBorders>
            <w:vAlign w:val="center"/>
          </w:tcPr>
          <w:p w:rsidR="004B20E5" w:rsidDel="00144820" w:rsidRDefault="004B20E5" w:rsidP="00F446EB">
            <w:pPr>
              <w:pStyle w:val="TableOutcomeMeasure"/>
            </w:pPr>
            <w:r>
              <w:t xml:space="preserve">Emergency department visits for work-related injuries by workers ages &lt; 24 </w:t>
            </w:r>
          </w:p>
        </w:tc>
        <w:tc>
          <w:tcPr>
            <w:tcW w:w="905" w:type="pct"/>
            <w:tcBorders>
              <w:top w:val="single" w:sz="4" w:space="0" w:color="auto"/>
              <w:bottom w:val="single" w:sz="4" w:space="0" w:color="auto"/>
            </w:tcBorders>
            <w:vAlign w:val="center"/>
          </w:tcPr>
          <w:p w:rsidR="004B20E5" w:rsidRDefault="004B20E5" w:rsidP="00F446EB">
            <w:pPr>
              <w:pStyle w:val="TableBaseline2020Target"/>
            </w:pPr>
            <w:r>
              <w:t>3.0 per 100 FTEs</w:t>
            </w:r>
          </w:p>
        </w:tc>
        <w:tc>
          <w:tcPr>
            <w:tcW w:w="905" w:type="pct"/>
            <w:tcBorders>
              <w:top w:val="single" w:sz="4" w:space="0" w:color="auto"/>
              <w:bottom w:val="single" w:sz="4" w:space="0" w:color="auto"/>
            </w:tcBorders>
            <w:vAlign w:val="center"/>
          </w:tcPr>
          <w:p w:rsidR="004B20E5" w:rsidDel="00144820" w:rsidRDefault="004B20E5" w:rsidP="00F446EB">
            <w:pPr>
              <w:pStyle w:val="TableBaseline2020Target"/>
            </w:pPr>
            <w:r>
              <w:t>2.9 per 100 FTE</w:t>
            </w:r>
          </w:p>
        </w:tc>
        <w:tc>
          <w:tcPr>
            <w:tcW w:w="1860" w:type="pct"/>
            <w:gridSpan w:val="2"/>
            <w:tcBorders>
              <w:top w:val="single" w:sz="4" w:space="0" w:color="auto"/>
              <w:bottom w:val="single" w:sz="4" w:space="0" w:color="auto"/>
            </w:tcBorders>
            <w:vAlign w:val="center"/>
          </w:tcPr>
          <w:p w:rsidR="004B20E5" w:rsidDel="00144820" w:rsidRDefault="004B20E5" w:rsidP="00F446EB">
            <w:pPr>
              <w:pStyle w:val="TableDataSource"/>
            </w:pPr>
            <w:r>
              <w:t>MA Emergency Department Database, Center for Health Information and Analysis</w:t>
            </w:r>
          </w:p>
        </w:tc>
      </w:tr>
      <w:tr w:rsidR="004B20E5" w:rsidRPr="00666093" w:rsidTr="00B92112">
        <w:trPr>
          <w:gridAfter w:val="1"/>
          <w:wAfter w:w="16" w:type="pct"/>
          <w:cantSplit/>
        </w:trPr>
        <w:tc>
          <w:tcPr>
            <w:tcW w:w="1330" w:type="pct"/>
            <w:tcBorders>
              <w:top w:val="single" w:sz="4" w:space="0" w:color="auto"/>
              <w:bottom w:val="single" w:sz="4" w:space="0" w:color="auto"/>
            </w:tcBorders>
            <w:vAlign w:val="center"/>
          </w:tcPr>
          <w:p w:rsidR="004B20E5" w:rsidRDefault="004B20E5" w:rsidP="00F446EB">
            <w:pPr>
              <w:pStyle w:val="TableOutcomeMeasure"/>
            </w:pPr>
            <w:r>
              <w:t xml:space="preserve">Disparity in rates of hospitalization for work-related injuries for Hispanics and Non-Hispanic Whites </w:t>
            </w:r>
          </w:p>
        </w:tc>
        <w:tc>
          <w:tcPr>
            <w:tcW w:w="905" w:type="pct"/>
            <w:tcBorders>
              <w:top w:val="single" w:sz="4" w:space="0" w:color="auto"/>
              <w:bottom w:val="single" w:sz="4" w:space="0" w:color="auto"/>
            </w:tcBorders>
            <w:vAlign w:val="center"/>
          </w:tcPr>
          <w:p w:rsidR="004B20E5" w:rsidRDefault="004B20E5" w:rsidP="00F446EB">
            <w:pPr>
              <w:pStyle w:val="TableBaseline2020Target"/>
            </w:pPr>
            <w:r>
              <w:t>1.50x (ratio)</w:t>
            </w:r>
          </w:p>
        </w:tc>
        <w:tc>
          <w:tcPr>
            <w:tcW w:w="905" w:type="pct"/>
            <w:tcBorders>
              <w:top w:val="single" w:sz="4" w:space="0" w:color="auto"/>
              <w:bottom w:val="single" w:sz="4" w:space="0" w:color="auto"/>
            </w:tcBorders>
            <w:vAlign w:val="center"/>
          </w:tcPr>
          <w:p w:rsidR="004B20E5" w:rsidRPr="00666093" w:rsidRDefault="004B20E5" w:rsidP="00F446EB">
            <w:pPr>
              <w:pStyle w:val="TableBaseline2020Target"/>
            </w:pPr>
            <w:r>
              <w:t>1.40x (ratio)</w:t>
            </w:r>
          </w:p>
        </w:tc>
        <w:tc>
          <w:tcPr>
            <w:tcW w:w="1844" w:type="pct"/>
            <w:tcBorders>
              <w:top w:val="single" w:sz="4" w:space="0" w:color="auto"/>
              <w:bottom w:val="single" w:sz="4" w:space="0" w:color="auto"/>
            </w:tcBorders>
            <w:vAlign w:val="center"/>
          </w:tcPr>
          <w:p w:rsidR="004B20E5" w:rsidRPr="00365AE9" w:rsidRDefault="004B20E5" w:rsidP="00F446EB">
            <w:pPr>
              <w:pStyle w:val="TableDataSource"/>
              <w:tabs>
                <w:tab w:val="left" w:pos="900"/>
              </w:tabs>
              <w:spacing w:before="160" w:after="80"/>
              <w:outlineLvl w:val="1"/>
            </w:pPr>
            <w:r w:rsidRPr="00365AE9">
              <w:t xml:space="preserve">MA Inpatient Hospital Discharge Database, Center for Health Information and Analysis </w:t>
            </w:r>
          </w:p>
        </w:tc>
      </w:tr>
    </w:tbl>
    <w:p w:rsidR="004B20E5" w:rsidRDefault="004B20E5" w:rsidP="0085759A">
      <w:pPr>
        <w:pStyle w:val="StrategiesCategoryTitles"/>
        <w:ind w:left="0"/>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5B06A5">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5B06A5">
            <w:pPr>
              <w:pStyle w:val="TableOutcomeMeasure"/>
            </w:pPr>
            <w:r w:rsidRPr="006E1962">
              <w:t>Estimated annual number of injuries resulting in medical treatment and/or lost or restricted time among private sector workers, as reported by employers</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Pr="00391134" w:rsidDel="00F67FD0" w:rsidRDefault="004B20E5" w:rsidP="005B06A5">
            <w:pPr>
              <w:pStyle w:val="TableOutcomeMeasure"/>
            </w:pPr>
            <w:r w:rsidRPr="006E1962">
              <w:t>Estimated number of full time equivalent employees (FTEs) in private sector industries as reported by employers, for the same calendar year.  (An FTE is computed based on a 40 hour work week for 50 weeks per year, or 2,000 hours per year.)</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391134" w:rsidDel="00F67FD0" w:rsidRDefault="004B20E5" w:rsidP="005B06A5">
            <w:pPr>
              <w:pStyle w:val="TableOutcomeMeasure"/>
            </w:pPr>
            <w:r w:rsidRPr="006E1962">
              <w:t>None</w:t>
            </w:r>
          </w:p>
        </w:tc>
      </w:tr>
      <w:tr w:rsidR="004B20E5" w:rsidRPr="00666093" w:rsidDel="00F67FD0" w:rsidTr="005B06A5">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391134" w:rsidDel="00F67FD0" w:rsidRDefault="004B20E5" w:rsidP="005B06A5">
            <w:pPr>
              <w:pStyle w:val="TableOutcomeMeasure"/>
            </w:pPr>
            <w:r>
              <w:t xml:space="preserve">Annual </w:t>
            </w:r>
          </w:p>
        </w:tc>
      </w:tr>
      <w:tr w:rsidR="004B20E5" w:rsidRPr="00666093" w:rsidDel="00F67FD0" w:rsidTr="005B06A5">
        <w:trPr>
          <w:cantSplit/>
        </w:trPr>
        <w:tc>
          <w:tcPr>
            <w:tcW w:w="1329" w:type="pct"/>
            <w:tcBorders>
              <w:bottom w:val="single" w:sz="4" w:space="0" w:color="auto"/>
            </w:tcBorders>
            <w:vAlign w:val="center"/>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5B06A5">
            <w:pPr>
              <w:pStyle w:val="TableOutcomeMeasure"/>
            </w:pPr>
            <w:r w:rsidRPr="006E1962">
              <w:t>Annual Occupational Health Indicator report that includes assessment of trends of last five years</w:t>
            </w:r>
          </w:p>
        </w:tc>
      </w:tr>
    </w:tbl>
    <w:p w:rsidR="004B20E5" w:rsidRDefault="004B20E5" w:rsidP="0085759A">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5B06A5">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5B06A5">
            <w:pPr>
              <w:pStyle w:val="TableOutcomeMeasure"/>
            </w:pPr>
            <w:r w:rsidRPr="006E1962">
              <w:t>Annual number of workers’ compensation (WC) claims incurring costs to the Commonwealth among employees of Executive Office Agencies</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Pr="00391134" w:rsidDel="00F67FD0" w:rsidRDefault="004B20E5" w:rsidP="005B06A5">
            <w:pPr>
              <w:pStyle w:val="TableOutcomeMeasure"/>
            </w:pPr>
            <w:r w:rsidRPr="006E1962">
              <w:t xml:space="preserve">Number of full time equivalent employees (FTEs) in </w:t>
            </w:r>
            <w:r>
              <w:t>state Executive Office agencies</w:t>
            </w:r>
            <w:r w:rsidRPr="006E1962">
              <w:t xml:space="preserve"> (An FTE in the Commonwealth is computed based on a 37.5 hour work week for 50 weeks per year, or 1,875 hours per year.)</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391134" w:rsidDel="00F67FD0" w:rsidRDefault="004B20E5" w:rsidP="005B06A5">
            <w:pPr>
              <w:pStyle w:val="TableOutcomeMeasure"/>
            </w:pPr>
            <w:r w:rsidRPr="006E1962">
              <w:t>None</w:t>
            </w:r>
          </w:p>
        </w:tc>
      </w:tr>
      <w:tr w:rsidR="004B20E5" w:rsidRPr="00666093" w:rsidDel="00F67FD0" w:rsidTr="005B06A5">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391134" w:rsidDel="00F67FD0" w:rsidRDefault="004B20E5" w:rsidP="00F03FCB">
            <w:pPr>
              <w:pStyle w:val="TableOutcomeMeasure"/>
            </w:pPr>
            <w:r>
              <w:t>Annual(</w:t>
            </w:r>
            <w:r w:rsidRPr="006E1962">
              <w:t>fiscal year basis</w:t>
            </w:r>
            <w:r>
              <w:t>)</w:t>
            </w:r>
          </w:p>
        </w:tc>
      </w:tr>
      <w:tr w:rsidR="004B20E5" w:rsidRPr="00666093" w:rsidDel="00F67FD0" w:rsidTr="005B06A5">
        <w:trPr>
          <w:cantSplit/>
        </w:trPr>
        <w:tc>
          <w:tcPr>
            <w:tcW w:w="1329" w:type="pct"/>
            <w:tcBorders>
              <w:bottom w:val="single" w:sz="4" w:space="0" w:color="auto"/>
            </w:tcBorders>
            <w:vAlign w:val="center"/>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5B06A5">
            <w:pPr>
              <w:pStyle w:val="TableOutcomeMeasure"/>
            </w:pPr>
            <w:r w:rsidRPr="006E1962">
              <w:t>Annual report prepared by HRD that includes rates fo</w:t>
            </w:r>
            <w:r>
              <w:t>r all Executive Branch agencies</w:t>
            </w:r>
          </w:p>
        </w:tc>
      </w:tr>
    </w:tbl>
    <w:p w:rsidR="004B20E5" w:rsidRDefault="004B20E5" w:rsidP="0085759A">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5B06A5">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5B06A5">
            <w:pPr>
              <w:pStyle w:val="TableOutcomeMeasure"/>
            </w:pPr>
            <w:r w:rsidRPr="006E1962">
              <w:t xml:space="preserve">Annual number of emergency department (ED) visits for injuries among persons under age 25 paid for by workers’ compensation (WC) insurance </w:t>
            </w:r>
            <w:r>
              <w:t>–</w:t>
            </w:r>
            <w:r w:rsidRPr="006E1962">
              <w:t xml:space="preserve"> statewide</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Pr="00391134" w:rsidDel="00F67FD0" w:rsidRDefault="004B20E5" w:rsidP="005B06A5">
            <w:pPr>
              <w:pStyle w:val="TableOutcomeMeasure"/>
            </w:pPr>
            <w:r w:rsidRPr="006E1962">
              <w:t>Statewide number of full time equivalent employees (FTEs) age 15-24 years of age for the same c</w:t>
            </w:r>
            <w:r>
              <w:t>alendar year</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391134" w:rsidDel="00F67FD0" w:rsidRDefault="004B20E5" w:rsidP="005B06A5">
            <w:pPr>
              <w:pStyle w:val="TableOutcomeMeasure"/>
            </w:pPr>
            <w:r w:rsidRPr="006E1962">
              <w:t>ED injury visits paid for by WC among persons under age 15 (as no employment denominator data available for the youngest workers)</w:t>
            </w:r>
          </w:p>
        </w:tc>
      </w:tr>
      <w:tr w:rsidR="004B20E5" w:rsidRPr="00666093" w:rsidDel="00F67FD0" w:rsidTr="005B06A5">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391134" w:rsidDel="00F67FD0" w:rsidRDefault="004B20E5" w:rsidP="005B06A5">
            <w:pPr>
              <w:pStyle w:val="TableOutcomeMeasure"/>
            </w:pPr>
            <w:r>
              <w:t>Annual</w:t>
            </w:r>
          </w:p>
        </w:tc>
      </w:tr>
      <w:tr w:rsidR="004B20E5" w:rsidRPr="00666093" w:rsidDel="00F67FD0" w:rsidTr="005B06A5">
        <w:trPr>
          <w:cantSplit/>
        </w:trPr>
        <w:tc>
          <w:tcPr>
            <w:tcW w:w="1329" w:type="pct"/>
            <w:tcBorders>
              <w:bottom w:val="single" w:sz="4" w:space="0" w:color="auto"/>
            </w:tcBorders>
            <w:vAlign w:val="center"/>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5B06A5">
            <w:pPr>
              <w:pStyle w:val="TableOutcomeMeasure"/>
            </w:pPr>
            <w:r w:rsidRPr="006E1962">
              <w:t>Annual Occupational Health Indicator report that includes assessment</w:t>
            </w:r>
            <w:r>
              <w:t xml:space="preserve"> of trends over last five years</w:t>
            </w:r>
          </w:p>
        </w:tc>
      </w:tr>
    </w:tbl>
    <w:p w:rsidR="004B20E5" w:rsidRDefault="004B20E5" w:rsidP="0085759A">
      <w:pPr>
        <w:pStyle w:val="Strategies"/>
      </w:pPr>
    </w:p>
    <w:p w:rsidR="004B20E5" w:rsidRPr="006E1962" w:rsidRDefault="004B20E5" w:rsidP="0085759A">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5B06A5">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Default="004B20E5" w:rsidP="00541398">
            <w:pPr>
              <w:pStyle w:val="TableOutcomeMeasure"/>
            </w:pPr>
            <w:r w:rsidRPr="004B1091">
              <w:t>Disparity measure numerator: Rate of hospitalization for work-related injuries for Hisp</w:t>
            </w:r>
            <w:r>
              <w:t>anics</w:t>
            </w:r>
          </w:p>
          <w:p w:rsidR="004B20E5" w:rsidRPr="00391134" w:rsidDel="00F67FD0" w:rsidRDefault="004B20E5" w:rsidP="00541398">
            <w:pPr>
              <w:pStyle w:val="TableOutcomeMeasure"/>
            </w:pPr>
            <w:r>
              <w:t>Definition of r</w:t>
            </w:r>
            <w:r w:rsidRPr="004B1091">
              <w:t>ate numerator: Number of hospitalizations with a primary diagnosis of injury paid for by Workers’ Compensation during 2 calendar years, Hispanics and Non-Hispanic Whites</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Default="004B20E5" w:rsidP="005B06A5">
            <w:pPr>
              <w:pStyle w:val="TableOutcomeMeasure"/>
            </w:pPr>
            <w:r w:rsidRPr="004B1091">
              <w:t>Disparity measure denominator: Rate of hospitalization for work-related i</w:t>
            </w:r>
            <w:r>
              <w:t>njuries for Non-Hispanic Whites</w:t>
            </w:r>
          </w:p>
          <w:p w:rsidR="004B20E5" w:rsidRPr="00391134" w:rsidDel="00F67FD0" w:rsidRDefault="004B20E5" w:rsidP="005B06A5">
            <w:pPr>
              <w:pStyle w:val="TableOutcomeMeasure"/>
            </w:pPr>
            <w:r>
              <w:t>Definition of rate d</w:t>
            </w:r>
            <w:r w:rsidRPr="004B1091">
              <w:t>enominator: Number of full time employee equivalents (FTEs) during 2 calendar years, His</w:t>
            </w:r>
            <w:r>
              <w:t>panic and Non-Hispanic Whites</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391134" w:rsidDel="00F67FD0" w:rsidRDefault="004B20E5" w:rsidP="005B06A5">
            <w:pPr>
              <w:pStyle w:val="TableOutcomeMeasure"/>
            </w:pPr>
            <w:r w:rsidRPr="004B1091">
              <w:t>Hospitalizations paid for by WC among persons under age 15 (as no employment denominator data available for the youngest workers)</w:t>
            </w:r>
          </w:p>
        </w:tc>
      </w:tr>
      <w:tr w:rsidR="004B20E5" w:rsidRPr="00666093" w:rsidDel="00F67FD0" w:rsidTr="005B06A5">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391134" w:rsidDel="00F67FD0" w:rsidRDefault="004B20E5" w:rsidP="005B06A5">
            <w:pPr>
              <w:pStyle w:val="TableOutcomeMeasure"/>
            </w:pPr>
            <w:r>
              <w:t>Biannual</w:t>
            </w:r>
          </w:p>
        </w:tc>
      </w:tr>
      <w:tr w:rsidR="004B20E5" w:rsidRPr="00666093" w:rsidDel="00F67FD0" w:rsidTr="005B06A5">
        <w:trPr>
          <w:cantSplit/>
        </w:trPr>
        <w:tc>
          <w:tcPr>
            <w:tcW w:w="1329" w:type="pct"/>
            <w:tcBorders>
              <w:bottom w:val="single" w:sz="4" w:space="0" w:color="auto"/>
            </w:tcBorders>
            <w:vAlign w:val="center"/>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5B06A5">
            <w:pPr>
              <w:pStyle w:val="TableOutcomeMeasure"/>
            </w:pPr>
            <w:r w:rsidRPr="004B1091">
              <w:t>Periodic occupational health disparity measures generated by the Occupational Health Surveillance Program</w:t>
            </w:r>
          </w:p>
        </w:tc>
      </w:tr>
    </w:tbl>
    <w:p w:rsidR="004B20E5" w:rsidRPr="00852047" w:rsidRDefault="004B20E5" w:rsidP="0085759A">
      <w:pPr>
        <w:pStyle w:val="Strategies"/>
        <w:ind w:left="0" w:firstLine="0"/>
      </w:pPr>
    </w:p>
    <w:p w:rsidR="004B20E5" w:rsidRDefault="004B20E5" w:rsidP="007C27A3">
      <w:pPr>
        <w:pStyle w:val="TableTenEssenHlthFunct"/>
      </w:pPr>
      <w:r>
        <w:t>Monitor Health to Identify and Solve Community Health Problems</w:t>
      </w:r>
    </w:p>
    <w:p w:rsidR="004B20E5" w:rsidRPr="00A204E6" w:rsidRDefault="004B20E5" w:rsidP="0085759A">
      <w:pPr>
        <w:pStyle w:val="TableStrategiesunderHealthFunctions"/>
      </w:pPr>
      <w:r w:rsidRPr="0012601B">
        <w:t>5.</w:t>
      </w:r>
      <w:r>
        <w:t>6.1</w:t>
      </w:r>
      <w:r w:rsidRPr="0012601B">
        <w:tab/>
        <w:t xml:space="preserve">Maintain and enhance existing systems for surveillance of work-related injuries placing special emphasis on </w:t>
      </w:r>
      <w:r w:rsidRPr="00A204E6">
        <w:t>populations at high risk</w:t>
      </w:r>
      <w:r>
        <w:t xml:space="preserve"> (</w:t>
      </w:r>
      <w:r w:rsidRPr="00A204E6">
        <w:t>e g., younger workers, immigrant and minority workers, temporary workers</w:t>
      </w:r>
      <w:r>
        <w:t>)</w:t>
      </w:r>
      <w:r w:rsidRPr="00A204E6">
        <w:t>; generate local area data</w:t>
      </w:r>
      <w:r w:rsidR="006F7CD2">
        <w:t xml:space="preserve"> </w:t>
      </w:r>
      <w:r w:rsidRPr="00A204E6">
        <w:t xml:space="preserve">to inform community initiatives. </w:t>
      </w:r>
    </w:p>
    <w:p w:rsidR="004B20E5" w:rsidRPr="006256D0" w:rsidRDefault="004B20E5" w:rsidP="0085759A">
      <w:pPr>
        <w:pStyle w:val="TableStrategiesunderHealthFunctions"/>
      </w:pPr>
      <w:r w:rsidRPr="00401A30">
        <w:t>5.</w:t>
      </w:r>
      <w:r>
        <w:t>6.2</w:t>
      </w:r>
      <w:r>
        <w:tab/>
      </w:r>
      <w:r w:rsidRPr="00401A30">
        <w:t xml:space="preserve">Collaborate with </w:t>
      </w:r>
      <w:r>
        <w:t xml:space="preserve">public health, health care, </w:t>
      </w:r>
      <w:r w:rsidRPr="00401A30">
        <w:t>or other partners to d</w:t>
      </w:r>
      <w:r w:rsidRPr="00720984">
        <w:t>evelop a model Community Health Needs Assessment that incorporates consideration of workplace safety as well as other factors influencing the health of the community.</w:t>
      </w:r>
    </w:p>
    <w:p w:rsidR="004B20E5" w:rsidRDefault="004B20E5" w:rsidP="007C27A3">
      <w:pPr>
        <w:pStyle w:val="TableTenEssenHlthFunct"/>
      </w:pPr>
      <w:r>
        <w:t>Diagnose and Investigate Health Problems and Hazards in the Community</w:t>
      </w:r>
    </w:p>
    <w:p w:rsidR="004B20E5" w:rsidRPr="006256D0" w:rsidRDefault="004B20E5" w:rsidP="0085759A">
      <w:pPr>
        <w:pStyle w:val="TableStrategiesunderHealthFunctions"/>
      </w:pPr>
      <w:r>
        <w:t>5.6.3</w:t>
      </w:r>
      <w:r>
        <w:tab/>
      </w:r>
      <w:r w:rsidRPr="000F228E">
        <w:t>Conduct in-depth research oriented investigations of select fatal occupational injuries, including Hispanic and immigrant worker deaths, to identify contributing factors</w:t>
      </w:r>
      <w:r>
        <w:t>.</w:t>
      </w:r>
    </w:p>
    <w:p w:rsidR="004B20E5" w:rsidRDefault="004B20E5" w:rsidP="007C27A3">
      <w:pPr>
        <w:pStyle w:val="TableTenEssenHlthFunct"/>
      </w:pPr>
      <w:r>
        <w:t xml:space="preserve">Inform, Educate, and Empower People About Health Issues </w:t>
      </w:r>
    </w:p>
    <w:p w:rsidR="004B20E5" w:rsidRPr="003251DB" w:rsidRDefault="004B20E5" w:rsidP="0085759A">
      <w:pPr>
        <w:pStyle w:val="TableStrategiesunderHealthFunctions"/>
      </w:pPr>
      <w:r w:rsidRPr="00401A30">
        <w:t>5.</w:t>
      </w:r>
      <w:r>
        <w:t>6.4</w:t>
      </w:r>
      <w:r w:rsidRPr="00720984">
        <w:tab/>
        <w:t xml:space="preserve">Provide technical assistance to </w:t>
      </w:r>
      <w:r w:rsidRPr="0012601B">
        <w:t>employers and workers to promote development of effective workplace injury and illness prevention programs, placing special emphasis on reaching workplaces that employ younge</w:t>
      </w:r>
      <w:r>
        <w:t>r and other workers at disproportionate risk for injury.</w:t>
      </w:r>
    </w:p>
    <w:p w:rsidR="004B20E5" w:rsidRDefault="004B20E5" w:rsidP="0085759A">
      <w:pPr>
        <w:pStyle w:val="TableStrategiesunderHealthFunctions"/>
      </w:pPr>
      <w:r w:rsidRPr="002269B5">
        <w:t>5.</w:t>
      </w:r>
      <w:r>
        <w:t>6.5</w:t>
      </w:r>
      <w:r w:rsidRPr="002269B5">
        <w:tab/>
        <w:t xml:space="preserve">Incorporate workplace health and safety training in </w:t>
      </w:r>
      <w:r>
        <w:t>workforce development programs.</w:t>
      </w:r>
    </w:p>
    <w:p w:rsidR="004B20E5" w:rsidRPr="006256D0" w:rsidRDefault="004B20E5" w:rsidP="0085759A">
      <w:pPr>
        <w:pStyle w:val="TableStrategiesunderHealthFunctions"/>
      </w:pPr>
      <w:r>
        <w:t>5.6.6</w:t>
      </w:r>
      <w:r>
        <w:tab/>
      </w:r>
      <w:r w:rsidRPr="000F228E">
        <w:t>Use ethnic media and social media tools to provide prevention information to immigrant/minority workers</w:t>
      </w:r>
      <w:r>
        <w:t>.</w:t>
      </w:r>
    </w:p>
    <w:p w:rsidR="004B20E5" w:rsidRDefault="004B20E5" w:rsidP="007C27A3">
      <w:pPr>
        <w:pStyle w:val="TableTenEssenHlthFunct"/>
      </w:pPr>
      <w:r>
        <w:t>Mobilize Community Partnerships to Identify and Solve Health Problems</w:t>
      </w:r>
    </w:p>
    <w:p w:rsidR="004B20E5" w:rsidRDefault="004B20E5" w:rsidP="0085759A">
      <w:pPr>
        <w:pStyle w:val="TableStrategiesunderHealthFunctions"/>
      </w:pPr>
      <w:r w:rsidRPr="0012601B">
        <w:t>5.</w:t>
      </w:r>
      <w:r>
        <w:t>6.7</w:t>
      </w:r>
      <w:r w:rsidRPr="0012601B">
        <w:tab/>
      </w:r>
      <w:r w:rsidRPr="00A204E6">
        <w:t xml:space="preserve">Pilot innovative community based interventions to improve safety of hard to reach </w:t>
      </w:r>
      <w:r w:rsidRPr="003251DB">
        <w:t>workers such as those in residential construction and homecare.</w:t>
      </w:r>
    </w:p>
    <w:p w:rsidR="004B20E5" w:rsidRPr="00401A30" w:rsidRDefault="004B20E5" w:rsidP="0085759A">
      <w:pPr>
        <w:pStyle w:val="TableStrategiesunderHealthFunctions"/>
      </w:pPr>
      <w:r>
        <w:t>5.6.8</w:t>
      </w:r>
      <w:r>
        <w:tab/>
      </w:r>
      <w:r w:rsidRPr="00401A30">
        <w:t>Foster collaborations between local academic institutions and industry to promote development of innovative engineering and systems approaches to reducing workplace risks</w:t>
      </w:r>
      <w:r>
        <w:t>.</w:t>
      </w:r>
    </w:p>
    <w:p w:rsidR="004B20E5" w:rsidRPr="006256D0" w:rsidRDefault="004B20E5" w:rsidP="0085759A">
      <w:pPr>
        <w:pStyle w:val="TableStrategiesunderHealthFunctions"/>
      </w:pPr>
      <w:r w:rsidRPr="00401A30">
        <w:t>5.</w:t>
      </w:r>
      <w:r>
        <w:t>6.9</w:t>
      </w:r>
      <w:r>
        <w:tab/>
      </w:r>
      <w:r w:rsidRPr="00401A30">
        <w:t>Engage leaders of communities</w:t>
      </w:r>
      <w:r>
        <w:t xml:space="preserve"> most impacted </w:t>
      </w:r>
      <w:r w:rsidRPr="00401A30">
        <w:t xml:space="preserve">to become spokespeople for workplace </w:t>
      </w:r>
      <w:r w:rsidRPr="0085759A">
        <w:t xml:space="preserve">safety and violence prevention </w:t>
      </w:r>
      <w:r>
        <w:t>(e.g., teen peer leaders and others).</w:t>
      </w:r>
    </w:p>
    <w:p w:rsidR="004B20E5" w:rsidRDefault="004B20E5" w:rsidP="007C27A3">
      <w:pPr>
        <w:pStyle w:val="TableTenEssenHlthFunct"/>
      </w:pPr>
      <w:r>
        <w:t xml:space="preserve">Develop Policies and Plans That Support Individual and Community Health Efforts </w:t>
      </w:r>
    </w:p>
    <w:p w:rsidR="004B20E5" w:rsidRDefault="004B20E5" w:rsidP="0085759A">
      <w:pPr>
        <w:pStyle w:val="TableStrategiesunderHealthFunctions"/>
      </w:pPr>
      <w:r w:rsidRPr="00401A30">
        <w:t>5.</w:t>
      </w:r>
      <w:r>
        <w:t>6.10</w:t>
      </w:r>
      <w:r>
        <w:tab/>
      </w:r>
      <w:r w:rsidRPr="00401A30">
        <w:t>Create a sustainable infrastructure to improve health and safety conditions for</w:t>
      </w:r>
      <w:r w:rsidR="006F7CD2">
        <w:t xml:space="preserve"> </w:t>
      </w:r>
      <w:r w:rsidRPr="00720984">
        <w:t>Commonwealth employees and extend technical assistance to municipalities to</w:t>
      </w:r>
      <w:r w:rsidR="006F7CD2">
        <w:t xml:space="preserve"> </w:t>
      </w:r>
      <w:r w:rsidRPr="00720984">
        <w:t>improve health and safety conditions of municipal workers</w:t>
      </w:r>
      <w:r w:rsidRPr="00401A30">
        <w:t>.</w:t>
      </w:r>
    </w:p>
    <w:p w:rsidR="004B20E5" w:rsidRDefault="004B20E5" w:rsidP="0085759A">
      <w:pPr>
        <w:pStyle w:val="TableStrategiesunderHealthFunctions"/>
      </w:pPr>
      <w:r>
        <w:t>5.6.11</w:t>
      </w:r>
      <w:r>
        <w:tab/>
        <w:t>Promote development and implementation of workplace violence prevention and crisis response plans in health and social services agencies</w:t>
      </w:r>
      <w:r w:rsidRPr="00720984">
        <w:t xml:space="preserve"> that provide direct services to clients</w:t>
      </w:r>
      <w:r>
        <w:t>.</w:t>
      </w:r>
    </w:p>
    <w:p w:rsidR="004B20E5" w:rsidRPr="006256D0" w:rsidRDefault="004B20E5" w:rsidP="0085759A">
      <w:pPr>
        <w:pStyle w:val="TableStrategiesunderHealthFunctions"/>
      </w:pPr>
      <w:r>
        <w:t>5.6.12</w:t>
      </w:r>
      <w:r>
        <w:tab/>
      </w:r>
      <w:r w:rsidRPr="002269B5">
        <w:t xml:space="preserve">Promote development of model safe patient handling programs </w:t>
      </w:r>
      <w:r w:rsidRPr="00ED747B">
        <w:t>in healthcare facilities to protect both workers and patients.</w:t>
      </w:r>
    </w:p>
    <w:p w:rsidR="004B20E5" w:rsidRDefault="004B20E5" w:rsidP="007C27A3">
      <w:pPr>
        <w:pStyle w:val="TableTenEssenHlthFunct"/>
      </w:pPr>
      <w:r>
        <w:t>Enforce Laws and Regulations That Protect Health and Ensure Safety</w:t>
      </w:r>
    </w:p>
    <w:p w:rsidR="004B20E5" w:rsidRPr="0012601B" w:rsidRDefault="004B20E5" w:rsidP="0085759A">
      <w:pPr>
        <w:pStyle w:val="TableStrategiesunderHealthFunctions"/>
      </w:pPr>
      <w:r w:rsidRPr="00401A30">
        <w:t>5.</w:t>
      </w:r>
      <w:r>
        <w:t>6.13</w:t>
      </w:r>
      <w:r w:rsidRPr="00720984">
        <w:tab/>
        <w:t xml:space="preserve">Enforce health and safety </w:t>
      </w:r>
      <w:r w:rsidRPr="0012601B">
        <w:t>and child labor laws.</w:t>
      </w:r>
    </w:p>
    <w:p w:rsidR="004B20E5" w:rsidRDefault="004B20E5" w:rsidP="007C27A3">
      <w:pPr>
        <w:pStyle w:val="TableTenEssenHlthFunct"/>
      </w:pPr>
      <w:r>
        <w:t>Engagement with Governing Entities</w:t>
      </w:r>
    </w:p>
    <w:p w:rsidR="004B20E5" w:rsidRPr="00BA4E5B" w:rsidRDefault="004B20E5" w:rsidP="0085759A">
      <w:pPr>
        <w:pStyle w:val="TableStrategiesunderHealthFunctions"/>
      </w:pPr>
      <w:r w:rsidRPr="00401A30">
        <w:t>5.</w:t>
      </w:r>
      <w:r>
        <w:t>6.14</w:t>
      </w:r>
      <w:r>
        <w:tab/>
      </w:r>
      <w:r w:rsidRPr="00401A30">
        <w:t>Sustain an</w:t>
      </w:r>
      <w:r>
        <w:t>d e</w:t>
      </w:r>
      <w:r w:rsidRPr="00720984">
        <w:t xml:space="preserve">nhance interagency collaborations to coordinate efforts to improve worker safety and health </w:t>
      </w:r>
      <w:r>
        <w:t>(</w:t>
      </w:r>
      <w:r w:rsidRPr="00720984">
        <w:t>e.g.</w:t>
      </w:r>
      <w:r>
        <w:t>,</w:t>
      </w:r>
      <w:r w:rsidRPr="00720984">
        <w:t xml:space="preserve"> the Massachusetts </w:t>
      </w:r>
      <w:r>
        <w:t xml:space="preserve">Coalition for </w:t>
      </w:r>
      <w:r w:rsidRPr="00720984">
        <w:t>Occupational Safety and Health and the MA Youth Employment and Safety Team</w:t>
      </w:r>
      <w:r>
        <w:t>)</w:t>
      </w:r>
      <w:r w:rsidRPr="00401A30">
        <w:t>.</w:t>
      </w:r>
    </w:p>
    <w:p w:rsidR="004B20E5" w:rsidRPr="006C4523" w:rsidRDefault="004B20E5" w:rsidP="00E55486">
      <w:pPr>
        <w:pStyle w:val="BodyText"/>
      </w:pPr>
    </w:p>
    <w:p w:rsidR="004B20E5" w:rsidRPr="0046149F" w:rsidRDefault="004B20E5" w:rsidP="00D00411">
      <w:pPr>
        <w:pStyle w:val="TableStrategiesunderHealthFunctions"/>
      </w:pPr>
    </w:p>
    <w:p w:rsidR="004B20E5" w:rsidRDefault="004B20E5" w:rsidP="00CB2B0E">
      <w:pPr>
        <w:pStyle w:val="StandardStatement"/>
      </w:pPr>
      <w:r>
        <w:rPr>
          <w:noProof/>
        </w:rPr>
        <w:t>Standard</w:t>
      </w:r>
      <w:r w:rsidRPr="0046149F">
        <w:t xml:space="preserve"> 5</w:t>
      </w:r>
      <w:r>
        <w:t>D</w:t>
      </w:r>
      <w:r w:rsidRPr="0046149F">
        <w:t>:</w:t>
      </w:r>
      <w:r w:rsidRPr="0046149F">
        <w:tab/>
      </w:r>
      <w:r>
        <w:t>Reduce gender based and youth violence.</w:t>
      </w:r>
    </w:p>
    <w:p w:rsidR="004B20E5" w:rsidRPr="00876533" w:rsidRDefault="004B20E5" w:rsidP="00876533">
      <w:pPr>
        <w:pStyle w:val="BodyText"/>
      </w:pPr>
    </w:p>
    <w:p w:rsidR="004B20E5" w:rsidRDefault="00F03799" w:rsidP="00CB2B0E">
      <w:pPr>
        <w:pStyle w:val="ObjectiveStatement"/>
      </w:pPr>
      <w:r>
        <w:rPr>
          <w:noProof/>
        </w:rPr>
        <w:drawing>
          <wp:anchor distT="0" distB="0" distL="114300" distR="114300" simplePos="0" relativeHeight="251643904" behindDoc="0" locked="0" layoutInCell="1" allowOverlap="1" wp14:anchorId="033B927D" wp14:editId="1F6F8181">
            <wp:simplePos x="0" y="0"/>
            <wp:positionH relativeFrom="column">
              <wp:posOffset>46355</wp:posOffset>
            </wp:positionH>
            <wp:positionV relativeFrom="paragraph">
              <wp:posOffset>417195</wp:posOffset>
            </wp:positionV>
            <wp:extent cx="182880" cy="182880"/>
            <wp:effectExtent l="0" t="0" r="7620" b="7620"/>
            <wp:wrapThrough wrapText="bothSides">
              <wp:wrapPolygon edited="0">
                <wp:start x="2250" y="0"/>
                <wp:lineTo x="0" y="2250"/>
                <wp:lineTo x="0" y="15750"/>
                <wp:lineTo x="2250" y="20250"/>
                <wp:lineTo x="20250" y="20250"/>
                <wp:lineTo x="20250" y="0"/>
                <wp:lineTo x="2250" y="0"/>
              </wp:wrapPolygon>
            </wp:wrapThrough>
            <wp:docPr id="6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4B20E5">
        <w:t>Measure 5.7:</w:t>
      </w:r>
      <w:r w:rsidR="004B20E5">
        <w:tab/>
      </w:r>
      <w:r w:rsidR="004B20E5" w:rsidRPr="006E1962">
        <w:t xml:space="preserve">Reduce </w:t>
      </w:r>
      <w:r w:rsidR="004B20E5">
        <w:t>sexual and domestic violence, with particular focus on disparate populations, to meet multiple specified targets.</w:t>
      </w:r>
    </w:p>
    <w:tbl>
      <w:tblPr>
        <w:tblW w:w="4095" w:type="pct"/>
        <w:tblInd w:w="1755" w:type="dxa"/>
        <w:tblLayout w:type="fixed"/>
        <w:tblLook w:val="00A0" w:firstRow="1" w:lastRow="0" w:firstColumn="1" w:lastColumn="0" w:noHBand="0" w:noVBand="0"/>
      </w:tblPr>
      <w:tblGrid>
        <w:gridCol w:w="2250"/>
        <w:gridCol w:w="1531"/>
        <w:gridCol w:w="1531"/>
        <w:gridCol w:w="3120"/>
      </w:tblGrid>
      <w:tr w:rsidR="004B20E5" w:rsidRPr="00666093" w:rsidTr="009346C8">
        <w:trPr>
          <w:cantSplit/>
        </w:trPr>
        <w:tc>
          <w:tcPr>
            <w:tcW w:w="1334"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8" w:type="pct"/>
            <w:tcBorders>
              <w:top w:val="single" w:sz="4" w:space="0" w:color="auto"/>
              <w:bottom w:val="single" w:sz="4" w:space="0" w:color="auto"/>
            </w:tcBorders>
            <w:vAlign w:val="center"/>
          </w:tcPr>
          <w:p w:rsidR="004B20E5" w:rsidRPr="00666093" w:rsidRDefault="004B20E5" w:rsidP="005B06A5">
            <w:pPr>
              <w:pStyle w:val="TableTitleBaseline2020Target"/>
            </w:pPr>
            <w:r w:rsidRPr="00666093">
              <w:t>Baseline</w:t>
            </w:r>
          </w:p>
        </w:tc>
        <w:tc>
          <w:tcPr>
            <w:tcW w:w="908" w:type="pct"/>
            <w:tcBorders>
              <w:top w:val="single" w:sz="4" w:space="0" w:color="auto"/>
              <w:bottom w:val="single" w:sz="4" w:space="0" w:color="auto"/>
            </w:tcBorders>
            <w:vAlign w:val="center"/>
          </w:tcPr>
          <w:p w:rsidR="004B20E5" w:rsidRPr="00666093" w:rsidRDefault="004B20E5" w:rsidP="005B06A5">
            <w:pPr>
              <w:pStyle w:val="TableTitleBaseline2020Target"/>
            </w:pPr>
            <w:r w:rsidRPr="00666093">
              <w:t>2020 Target</w:t>
            </w:r>
          </w:p>
        </w:tc>
        <w:tc>
          <w:tcPr>
            <w:tcW w:w="1850" w:type="pct"/>
            <w:tcBorders>
              <w:top w:val="single" w:sz="4" w:space="0" w:color="auto"/>
              <w:bottom w:val="single" w:sz="4" w:space="0" w:color="auto"/>
            </w:tcBorders>
            <w:vAlign w:val="center"/>
          </w:tcPr>
          <w:p w:rsidR="004B20E5" w:rsidRPr="00666093" w:rsidRDefault="004B20E5" w:rsidP="005B06A5">
            <w:pPr>
              <w:pStyle w:val="TableTitleTargetDataSource"/>
            </w:pPr>
            <w:r w:rsidRPr="00666093">
              <w:t>Data Source</w:t>
            </w:r>
          </w:p>
        </w:tc>
      </w:tr>
      <w:tr w:rsidR="004B20E5" w:rsidRPr="00666093" w:rsidTr="009346C8">
        <w:trPr>
          <w:cantSplit/>
        </w:trPr>
        <w:tc>
          <w:tcPr>
            <w:tcW w:w="1334" w:type="pct"/>
            <w:tcBorders>
              <w:top w:val="single" w:sz="4" w:space="0" w:color="auto"/>
              <w:bottom w:val="single" w:sz="4" w:space="0" w:color="auto"/>
            </w:tcBorders>
            <w:vAlign w:val="center"/>
          </w:tcPr>
          <w:p w:rsidR="004B20E5" w:rsidRPr="00666093" w:rsidRDefault="004B20E5" w:rsidP="005B06A5">
            <w:pPr>
              <w:pStyle w:val="TableOutcomeMeasure"/>
            </w:pPr>
            <w:r>
              <w:t>Prevalence of past year sexual violence victimization experiences among MA women</w:t>
            </w:r>
          </w:p>
        </w:tc>
        <w:tc>
          <w:tcPr>
            <w:tcW w:w="908" w:type="pct"/>
            <w:tcBorders>
              <w:top w:val="single" w:sz="4" w:space="0" w:color="auto"/>
              <w:bottom w:val="single" w:sz="4" w:space="0" w:color="auto"/>
            </w:tcBorders>
            <w:vAlign w:val="center"/>
          </w:tcPr>
          <w:p w:rsidR="004B20E5" w:rsidRPr="00666093" w:rsidRDefault="004B20E5" w:rsidP="005B06A5">
            <w:pPr>
              <w:pStyle w:val="TableBaseline2020Target"/>
            </w:pPr>
            <w:r w:rsidRPr="006E1962">
              <w:t>5.1%</w:t>
            </w:r>
          </w:p>
        </w:tc>
        <w:tc>
          <w:tcPr>
            <w:tcW w:w="908" w:type="pct"/>
            <w:tcBorders>
              <w:top w:val="single" w:sz="4" w:space="0" w:color="auto"/>
              <w:bottom w:val="single" w:sz="4" w:space="0" w:color="auto"/>
            </w:tcBorders>
            <w:vAlign w:val="center"/>
          </w:tcPr>
          <w:p w:rsidR="004B20E5" w:rsidRPr="00666093" w:rsidRDefault="004B20E5" w:rsidP="005B06A5">
            <w:pPr>
              <w:pStyle w:val="TableBaseline2020Target"/>
            </w:pPr>
            <w:r>
              <w:t>4.6</w:t>
            </w:r>
            <w:r w:rsidRPr="006E1962">
              <w:t>%</w:t>
            </w:r>
          </w:p>
        </w:tc>
        <w:tc>
          <w:tcPr>
            <w:tcW w:w="1850" w:type="pct"/>
            <w:tcBorders>
              <w:top w:val="single" w:sz="4" w:space="0" w:color="auto"/>
              <w:bottom w:val="single" w:sz="4" w:space="0" w:color="auto"/>
            </w:tcBorders>
            <w:vAlign w:val="center"/>
          </w:tcPr>
          <w:p w:rsidR="004B20E5" w:rsidRPr="00666093" w:rsidRDefault="004B20E5" w:rsidP="005B06A5">
            <w:pPr>
              <w:pStyle w:val="TableDataSource"/>
            </w:pPr>
            <w:r w:rsidRPr="006E1962">
              <w:t xml:space="preserve">Massachusetts Behavioral Risk Factor Surveillance System </w:t>
            </w:r>
          </w:p>
        </w:tc>
      </w:tr>
      <w:tr w:rsidR="004B20E5" w:rsidRPr="00666093" w:rsidTr="009346C8">
        <w:trPr>
          <w:cantSplit/>
        </w:trPr>
        <w:tc>
          <w:tcPr>
            <w:tcW w:w="1334" w:type="pct"/>
            <w:tcBorders>
              <w:top w:val="single" w:sz="4" w:space="0" w:color="auto"/>
              <w:bottom w:val="single" w:sz="4" w:space="0" w:color="auto"/>
            </w:tcBorders>
            <w:vAlign w:val="center"/>
          </w:tcPr>
          <w:p w:rsidR="004B20E5" w:rsidRPr="00666093" w:rsidRDefault="004B20E5" w:rsidP="00F446EB">
            <w:pPr>
              <w:pStyle w:val="TableOutcomeMeasure"/>
            </w:pPr>
            <w:r>
              <w:t xml:space="preserve">Prevalence of lifetime dating violence victimization experiences among </w:t>
            </w:r>
            <w:r w:rsidRPr="006E1962">
              <w:t xml:space="preserve">female </w:t>
            </w:r>
            <w:r>
              <w:t xml:space="preserve">MA high school </w:t>
            </w:r>
            <w:r w:rsidRPr="006E1962">
              <w:t>students</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rsidRPr="006E1962">
              <w:t>15.1%</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t>13.6</w:t>
            </w:r>
            <w:r w:rsidRPr="006E1962">
              <w:t>%</w:t>
            </w:r>
          </w:p>
        </w:tc>
        <w:tc>
          <w:tcPr>
            <w:tcW w:w="1850" w:type="pct"/>
            <w:tcBorders>
              <w:top w:val="single" w:sz="4" w:space="0" w:color="auto"/>
              <w:bottom w:val="single" w:sz="4" w:space="0" w:color="auto"/>
            </w:tcBorders>
            <w:vAlign w:val="center"/>
          </w:tcPr>
          <w:p w:rsidR="004B20E5" w:rsidRPr="00666093" w:rsidRDefault="004B20E5" w:rsidP="00F446EB">
            <w:pPr>
              <w:pStyle w:val="TableDataSource"/>
            </w:pPr>
            <w:r w:rsidRPr="006E1962">
              <w:t xml:space="preserve">Massachusetts </w:t>
            </w:r>
            <w:r>
              <w:t>High School Youth Health Survey</w:t>
            </w:r>
          </w:p>
        </w:tc>
      </w:tr>
      <w:tr w:rsidR="004B20E5" w:rsidRPr="00666093" w:rsidTr="009346C8">
        <w:trPr>
          <w:cantSplit/>
        </w:trPr>
        <w:tc>
          <w:tcPr>
            <w:tcW w:w="1334" w:type="pct"/>
            <w:tcBorders>
              <w:top w:val="single" w:sz="4" w:space="0" w:color="auto"/>
              <w:bottom w:val="single" w:sz="4" w:space="0" w:color="auto"/>
            </w:tcBorders>
            <w:vAlign w:val="center"/>
          </w:tcPr>
          <w:p w:rsidR="004B20E5" w:rsidRPr="00666093" w:rsidRDefault="004B20E5" w:rsidP="00F446EB">
            <w:pPr>
              <w:pStyle w:val="TableOutcomeMeasure"/>
            </w:pPr>
            <w:r>
              <w:t xml:space="preserve">Prevalence of lifetime dating violence victimization experiences among </w:t>
            </w:r>
            <w:r w:rsidRPr="006E1962">
              <w:t xml:space="preserve">male </w:t>
            </w:r>
            <w:r>
              <w:t xml:space="preserve">MA high school </w:t>
            </w:r>
            <w:r w:rsidRPr="006E1962">
              <w:t>students</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rsidRPr="006E1962">
              <w:t xml:space="preserve">7.1% </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t>6.4</w:t>
            </w:r>
            <w:r w:rsidRPr="006E1962">
              <w:t>%</w:t>
            </w:r>
          </w:p>
        </w:tc>
        <w:tc>
          <w:tcPr>
            <w:tcW w:w="1850" w:type="pct"/>
            <w:tcBorders>
              <w:top w:val="single" w:sz="4" w:space="0" w:color="auto"/>
              <w:bottom w:val="single" w:sz="4" w:space="0" w:color="auto"/>
            </w:tcBorders>
            <w:vAlign w:val="center"/>
          </w:tcPr>
          <w:p w:rsidR="004B20E5" w:rsidRPr="00666093" w:rsidRDefault="004B20E5" w:rsidP="00F446EB">
            <w:pPr>
              <w:pStyle w:val="TableDataSource"/>
            </w:pPr>
            <w:r w:rsidRPr="006E1962">
              <w:t xml:space="preserve">Massachusetts High School Youth Health Survey </w:t>
            </w:r>
          </w:p>
        </w:tc>
      </w:tr>
      <w:tr w:rsidR="004B20E5" w:rsidRPr="00666093" w:rsidTr="00B92112">
        <w:trPr>
          <w:cantSplit/>
        </w:trPr>
        <w:tc>
          <w:tcPr>
            <w:tcW w:w="1334" w:type="pct"/>
            <w:tcBorders>
              <w:top w:val="single" w:sz="4" w:space="0" w:color="auto"/>
              <w:bottom w:val="single" w:sz="4" w:space="0" w:color="auto"/>
            </w:tcBorders>
            <w:vAlign w:val="center"/>
          </w:tcPr>
          <w:p w:rsidR="004B20E5" w:rsidRPr="00666093" w:rsidRDefault="004B20E5" w:rsidP="00F446EB">
            <w:pPr>
              <w:pStyle w:val="TableOutcomeMeasure"/>
            </w:pPr>
            <w:r>
              <w:t>Prevalence of lifetime sexual violence victimization among LGB MA high school students</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rsidRPr="006E1962">
              <w:t>32.7%</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t>29.4</w:t>
            </w:r>
            <w:r w:rsidRPr="006E1962">
              <w:t>%</w:t>
            </w:r>
          </w:p>
        </w:tc>
        <w:tc>
          <w:tcPr>
            <w:tcW w:w="1850" w:type="pct"/>
            <w:tcBorders>
              <w:top w:val="single" w:sz="4" w:space="0" w:color="auto"/>
              <w:bottom w:val="single" w:sz="4" w:space="0" w:color="auto"/>
            </w:tcBorders>
            <w:vAlign w:val="center"/>
          </w:tcPr>
          <w:p w:rsidR="004B20E5" w:rsidRPr="00666093" w:rsidRDefault="004B20E5" w:rsidP="00F446EB">
            <w:pPr>
              <w:pStyle w:val="TableDataSource"/>
            </w:pPr>
            <w:r w:rsidRPr="006E1962">
              <w:t xml:space="preserve">Youth Risk Behavior Survey and Youth Health Survey </w:t>
            </w:r>
          </w:p>
        </w:tc>
      </w:tr>
      <w:tr w:rsidR="004B20E5" w:rsidRPr="00666093" w:rsidTr="00B92112">
        <w:trPr>
          <w:cantSplit/>
        </w:trPr>
        <w:tc>
          <w:tcPr>
            <w:tcW w:w="1334" w:type="pct"/>
            <w:tcBorders>
              <w:top w:val="single" w:sz="4" w:space="0" w:color="auto"/>
              <w:bottom w:val="single" w:sz="4" w:space="0" w:color="auto"/>
            </w:tcBorders>
            <w:vAlign w:val="center"/>
          </w:tcPr>
          <w:p w:rsidR="004B20E5" w:rsidRPr="00666093" w:rsidRDefault="004B20E5" w:rsidP="00F446EB">
            <w:pPr>
              <w:pStyle w:val="TableOutcomeMeasure"/>
            </w:pPr>
            <w:r>
              <w:t>Prevalence of lifetime sexual violence victimization among MA high school students with disabilities</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rsidRPr="006E1962">
              <w:t>15.5%</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t>14</w:t>
            </w:r>
            <w:r w:rsidRPr="006E1962">
              <w:t>.0%</w:t>
            </w:r>
          </w:p>
        </w:tc>
        <w:tc>
          <w:tcPr>
            <w:tcW w:w="1850" w:type="pct"/>
            <w:tcBorders>
              <w:top w:val="single" w:sz="4" w:space="0" w:color="auto"/>
              <w:bottom w:val="single" w:sz="4" w:space="0" w:color="auto"/>
            </w:tcBorders>
            <w:vAlign w:val="center"/>
          </w:tcPr>
          <w:p w:rsidR="004B20E5" w:rsidRPr="00666093" w:rsidRDefault="004B20E5" w:rsidP="00F446EB">
            <w:pPr>
              <w:pStyle w:val="TableDataSource"/>
            </w:pPr>
            <w:r>
              <w:t>Youth Health Survey</w:t>
            </w:r>
          </w:p>
        </w:tc>
      </w:tr>
    </w:tbl>
    <w:p w:rsidR="004B20E5" w:rsidRDefault="004B20E5" w:rsidP="0085759A">
      <w:pPr>
        <w:pStyle w:val="StrategiesCategoryTitles"/>
        <w:ind w:left="0"/>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5B06A5">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5B06A5">
            <w:pPr>
              <w:pStyle w:val="TableOutcomeMeasure"/>
            </w:pPr>
            <w:r w:rsidRPr="006E1962">
              <w:t>MA women, ages 18 and older who have experienced sexual violence in the past year</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Pr="00391134" w:rsidDel="00F67FD0" w:rsidRDefault="004B20E5" w:rsidP="005B06A5">
            <w:pPr>
              <w:pStyle w:val="TableOutcomeMeasure"/>
            </w:pPr>
            <w:r w:rsidRPr="006E1962">
              <w:t>MA women, ages 18 and older</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391134" w:rsidDel="00F67FD0" w:rsidRDefault="004B20E5" w:rsidP="005B06A5">
            <w:pPr>
              <w:pStyle w:val="TableOutcomeMeasure"/>
            </w:pPr>
            <w:r w:rsidRPr="006E1962">
              <w:t>MA men, MA females under the age of 18, MA residents who do not own a telephone, MA residents who live in institutional settings, MA residents with cognitive or communication disabilities that preclude participation in a telephone survey</w:t>
            </w:r>
          </w:p>
        </w:tc>
      </w:tr>
      <w:tr w:rsidR="004B20E5" w:rsidRPr="00666093" w:rsidDel="00F67FD0" w:rsidTr="005B06A5">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391134" w:rsidDel="00F67FD0" w:rsidRDefault="004B20E5" w:rsidP="005B06A5">
            <w:pPr>
              <w:pStyle w:val="TableOutcomeMeasure"/>
            </w:pPr>
            <w:r w:rsidRPr="006E1962">
              <w:t>Biannual (SV module in the 2015, 2017, and 2019)</w:t>
            </w:r>
          </w:p>
        </w:tc>
      </w:tr>
      <w:tr w:rsidR="004B20E5" w:rsidRPr="00666093" w:rsidDel="00F67FD0" w:rsidTr="005B06A5">
        <w:trPr>
          <w:cantSplit/>
        </w:trPr>
        <w:tc>
          <w:tcPr>
            <w:tcW w:w="1329" w:type="pct"/>
            <w:tcBorders>
              <w:bottom w:val="single" w:sz="4" w:space="0" w:color="auto"/>
            </w:tcBorders>
            <w:vAlign w:val="center"/>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Default="004B20E5" w:rsidP="005B06A5">
            <w:pPr>
              <w:pStyle w:val="TableOutcomeMeasure"/>
            </w:pPr>
            <w:r w:rsidRPr="006E1962">
              <w:t>Reduction in the prevalence across years</w:t>
            </w:r>
          </w:p>
          <w:p w:rsidR="004B20E5" w:rsidRPr="00391134" w:rsidDel="00F67FD0" w:rsidRDefault="004B20E5" w:rsidP="005B06A5">
            <w:pPr>
              <w:pStyle w:val="TableOutcomeMeasure"/>
            </w:pPr>
          </w:p>
        </w:tc>
      </w:tr>
    </w:tbl>
    <w:p w:rsidR="004B20E5" w:rsidRDefault="004B20E5" w:rsidP="0085759A">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5B06A5">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5B06A5">
            <w:pPr>
              <w:pStyle w:val="TableOutcomeMeasure"/>
            </w:pPr>
            <w:r>
              <w:t>Number</w:t>
            </w:r>
            <w:r w:rsidR="006F7CD2">
              <w:t xml:space="preserve"> </w:t>
            </w:r>
            <w:r>
              <w:t xml:space="preserve">of </w:t>
            </w:r>
            <w:r w:rsidRPr="006E1962">
              <w:t>female high school students who report having experienced dating violence and number of male high school students who report having experienced dating violence, respectively</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Pr="00391134" w:rsidDel="00F67FD0" w:rsidRDefault="004B20E5" w:rsidP="005B06A5">
            <w:pPr>
              <w:pStyle w:val="TableOutcomeMeasure"/>
            </w:pPr>
            <w:r>
              <w:t>Number of</w:t>
            </w:r>
            <w:r w:rsidRPr="006E1962">
              <w:t xml:space="preserve"> female high school students who have ever been on a date and </w:t>
            </w:r>
            <w:r>
              <w:t>number</w:t>
            </w:r>
            <w:r w:rsidRPr="006E1962">
              <w:t xml:space="preserve"> of male high school students who have ev</w:t>
            </w:r>
            <w:r>
              <w:t>er been on a date, respectively</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391134" w:rsidDel="00F67FD0" w:rsidRDefault="004B20E5" w:rsidP="005B06A5">
            <w:pPr>
              <w:pStyle w:val="TableOutcomeMeasure"/>
            </w:pPr>
            <w:r w:rsidRPr="006E1962">
              <w:t>MA youth not in high school, MA adults who are not students in high school, MA high school student</w:t>
            </w:r>
            <w:r>
              <w:t>s who have never been on a date</w:t>
            </w:r>
          </w:p>
        </w:tc>
      </w:tr>
      <w:tr w:rsidR="004B20E5" w:rsidRPr="00666093" w:rsidDel="00F67FD0" w:rsidTr="005B06A5">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391134" w:rsidDel="00F67FD0" w:rsidRDefault="004B20E5" w:rsidP="00F03FCB">
            <w:pPr>
              <w:pStyle w:val="TableOutcomeMeasure"/>
            </w:pPr>
            <w:r w:rsidRPr="006E1962">
              <w:t>Biannual</w:t>
            </w:r>
            <w:r w:rsidR="006F7CD2">
              <w:t xml:space="preserve"> </w:t>
            </w:r>
            <w:r>
              <w:t>(odd years)</w:t>
            </w:r>
          </w:p>
        </w:tc>
      </w:tr>
      <w:tr w:rsidR="004B20E5" w:rsidRPr="00666093" w:rsidDel="00F67FD0" w:rsidTr="005B06A5">
        <w:trPr>
          <w:cantSplit/>
        </w:trPr>
        <w:tc>
          <w:tcPr>
            <w:tcW w:w="1329" w:type="pct"/>
            <w:tcBorders>
              <w:bottom w:val="single" w:sz="4" w:space="0" w:color="auto"/>
            </w:tcBorders>
            <w:vAlign w:val="center"/>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5B06A5">
            <w:pPr>
              <w:pStyle w:val="TableOutcomeMeasure"/>
            </w:pPr>
            <w:r w:rsidRPr="006E1962">
              <w:t>Reduction in the prevalence estimates over the five measurement periods available through this survey</w:t>
            </w:r>
          </w:p>
        </w:tc>
      </w:tr>
    </w:tbl>
    <w:p w:rsidR="004B20E5" w:rsidRPr="006E1962" w:rsidRDefault="004B20E5" w:rsidP="0085759A">
      <w:pPr>
        <w:pStyle w:val="Strategies"/>
        <w:ind w:left="0" w:firstLine="0"/>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5B06A5">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5B06A5">
            <w:pPr>
              <w:pStyle w:val="TableOutcomeMeasure"/>
            </w:pPr>
            <w:r>
              <w:t>Number</w:t>
            </w:r>
            <w:r w:rsidR="006F7CD2">
              <w:t xml:space="preserve"> </w:t>
            </w:r>
            <w:r>
              <w:t xml:space="preserve">of </w:t>
            </w:r>
            <w:r w:rsidRPr="006E1962">
              <w:t>MA LGB high school students who have experienced sexual violence</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Pr="00391134" w:rsidDel="00F67FD0" w:rsidRDefault="004B20E5" w:rsidP="005B06A5">
            <w:pPr>
              <w:pStyle w:val="TableOutcomeMeasure"/>
            </w:pPr>
            <w:r>
              <w:t>Number</w:t>
            </w:r>
            <w:r w:rsidR="006F7CD2">
              <w:t xml:space="preserve"> </w:t>
            </w:r>
            <w:r>
              <w:t xml:space="preserve">of </w:t>
            </w:r>
            <w:r w:rsidRPr="006E1962">
              <w:t>MA LGB high school students</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391134" w:rsidDel="00F67FD0" w:rsidRDefault="004B20E5" w:rsidP="005B06A5">
            <w:pPr>
              <w:pStyle w:val="TableOutcomeMeasure"/>
            </w:pPr>
            <w:r w:rsidRPr="006E1962">
              <w:t>MA youth not in high school, adults who are not students in high school, MA high school student</w:t>
            </w:r>
            <w:r>
              <w:t>s</w:t>
            </w:r>
            <w:r w:rsidRPr="006E1962">
              <w:t xml:space="preserve"> who do not self-identify as lesbian, gay, or bisexual</w:t>
            </w:r>
          </w:p>
        </w:tc>
      </w:tr>
      <w:tr w:rsidR="004B20E5" w:rsidRPr="00666093" w:rsidDel="00F67FD0" w:rsidTr="005B06A5">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391134" w:rsidDel="00F67FD0" w:rsidRDefault="004B20E5" w:rsidP="00F03FCB">
            <w:pPr>
              <w:pStyle w:val="TableOutcomeMeasure"/>
            </w:pPr>
            <w:r w:rsidRPr="006E1962">
              <w:t>Biannual</w:t>
            </w:r>
            <w:r w:rsidR="006F7CD2">
              <w:t xml:space="preserve"> </w:t>
            </w:r>
            <w:r>
              <w:t>(odd years)</w:t>
            </w:r>
          </w:p>
        </w:tc>
      </w:tr>
      <w:tr w:rsidR="004B20E5" w:rsidRPr="00666093" w:rsidDel="00F67FD0" w:rsidTr="005B06A5">
        <w:trPr>
          <w:cantSplit/>
        </w:trPr>
        <w:tc>
          <w:tcPr>
            <w:tcW w:w="1329" w:type="pct"/>
            <w:tcBorders>
              <w:bottom w:val="single" w:sz="4" w:space="0" w:color="auto"/>
            </w:tcBorders>
            <w:vAlign w:val="center"/>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Default="004B20E5" w:rsidP="005B06A5">
            <w:pPr>
              <w:pStyle w:val="TableOutcomeMeasure"/>
            </w:pPr>
            <w:r w:rsidRPr="006E1962">
              <w:t>Reduction in prevalence</w:t>
            </w:r>
          </w:p>
          <w:p w:rsidR="004B20E5" w:rsidRPr="00391134" w:rsidDel="00F67FD0" w:rsidRDefault="004B20E5" w:rsidP="005B06A5">
            <w:pPr>
              <w:pStyle w:val="TableOutcomeMeasure"/>
            </w:pPr>
          </w:p>
        </w:tc>
      </w:tr>
    </w:tbl>
    <w:p w:rsidR="004B20E5" w:rsidRPr="006E0AC6" w:rsidRDefault="004B20E5" w:rsidP="0085759A">
      <w:pPr>
        <w:pStyle w:val="BodyText"/>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5B06A5">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5B06A5">
            <w:pPr>
              <w:pStyle w:val="TableOutcomeMeasure"/>
            </w:pPr>
            <w:r>
              <w:t>Number of</w:t>
            </w:r>
            <w:r w:rsidRPr="006E1962">
              <w:t xml:space="preserve"> MA high school students with disabilities who have experienced sexual violence</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Pr="00391134" w:rsidDel="00F67FD0" w:rsidRDefault="004B20E5" w:rsidP="005B06A5">
            <w:pPr>
              <w:pStyle w:val="TableOutcomeMeasure"/>
            </w:pPr>
            <w:r>
              <w:t>Number of</w:t>
            </w:r>
            <w:r w:rsidRPr="006E1962">
              <w:t xml:space="preserve"> MA high school students with disabilities</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391134" w:rsidDel="00F67FD0" w:rsidRDefault="004B20E5" w:rsidP="005B06A5">
            <w:pPr>
              <w:pStyle w:val="TableOutcomeMeasure"/>
            </w:pPr>
            <w:r w:rsidRPr="006E1962">
              <w:t>MA youth not in high school, adults who are not students in high school, MA high school student</w:t>
            </w:r>
            <w:r>
              <w:t>s</w:t>
            </w:r>
            <w:r w:rsidRPr="006E1962">
              <w:t xml:space="preserve"> who do not self-identify a form of disability captured by the MA YHS disability questions</w:t>
            </w:r>
          </w:p>
        </w:tc>
      </w:tr>
      <w:tr w:rsidR="004B20E5" w:rsidRPr="00666093" w:rsidDel="00F67FD0" w:rsidTr="005B06A5">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391134" w:rsidDel="00F67FD0" w:rsidRDefault="004B20E5" w:rsidP="00F03FCB">
            <w:pPr>
              <w:pStyle w:val="TableOutcomeMeasure"/>
            </w:pPr>
            <w:r w:rsidRPr="006E1962">
              <w:t>Biannual</w:t>
            </w:r>
            <w:r w:rsidR="006F7CD2">
              <w:t xml:space="preserve"> </w:t>
            </w:r>
            <w:r>
              <w:t>(odd years)</w:t>
            </w:r>
          </w:p>
        </w:tc>
      </w:tr>
      <w:tr w:rsidR="004B20E5" w:rsidRPr="00666093" w:rsidDel="00F67FD0" w:rsidTr="005B06A5">
        <w:trPr>
          <w:cantSplit/>
        </w:trPr>
        <w:tc>
          <w:tcPr>
            <w:tcW w:w="1329" w:type="pct"/>
            <w:tcBorders>
              <w:bottom w:val="single" w:sz="4" w:space="0" w:color="auto"/>
            </w:tcBorders>
            <w:vAlign w:val="center"/>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Default="004B20E5" w:rsidP="005B06A5">
            <w:pPr>
              <w:pStyle w:val="TableOutcomeMeasure"/>
            </w:pPr>
            <w:r w:rsidRPr="006E1962">
              <w:t>Reduction in prevalence</w:t>
            </w:r>
          </w:p>
          <w:p w:rsidR="004B20E5" w:rsidRPr="00391134" w:rsidDel="00F67FD0" w:rsidRDefault="004B20E5" w:rsidP="005B06A5">
            <w:pPr>
              <w:pStyle w:val="TableOutcomeMeasure"/>
            </w:pPr>
          </w:p>
        </w:tc>
      </w:tr>
    </w:tbl>
    <w:p w:rsidR="004B20E5" w:rsidRDefault="004B20E5" w:rsidP="0085759A">
      <w:pPr>
        <w:pStyle w:val="StrategiesCategoryTitles"/>
      </w:pPr>
    </w:p>
    <w:p w:rsidR="004B20E5" w:rsidRDefault="004B20E5" w:rsidP="007C27A3">
      <w:pPr>
        <w:pStyle w:val="TableTenEssenHlthFunct"/>
      </w:pPr>
      <w:r>
        <w:t xml:space="preserve">Inform, Educate, and Empower People About Health Issues </w:t>
      </w:r>
    </w:p>
    <w:p w:rsidR="004B20E5" w:rsidRDefault="004B20E5" w:rsidP="00116118">
      <w:pPr>
        <w:pStyle w:val="TableStrategiesunderHealthFunctions"/>
      </w:pPr>
      <w:r>
        <w:t>5.7.1</w:t>
      </w:r>
      <w:r>
        <w:tab/>
        <w:t>Advocate for the adoption of healthy relationship content in all middle school and high school health curricula used in MA.</w:t>
      </w:r>
    </w:p>
    <w:p w:rsidR="004B20E5" w:rsidRDefault="004B20E5" w:rsidP="00116118">
      <w:pPr>
        <w:pStyle w:val="TableStrategiesunderHealthFunctions"/>
      </w:pPr>
      <w:r>
        <w:t>5.7.2</w:t>
      </w:r>
      <w:r>
        <w:tab/>
        <w:t>Promote effective outreach/social marketing strategies among vendors to ensure a broader knowledge of sexual, dating, and adult intimate violence intervention resources in MA.</w:t>
      </w:r>
    </w:p>
    <w:p w:rsidR="004B20E5" w:rsidRDefault="004B20E5" w:rsidP="007C27A3">
      <w:pPr>
        <w:pStyle w:val="TableTenEssenHlthFunct"/>
      </w:pPr>
      <w:r>
        <w:t>Mobilize Community Partnerships to Identify and Solve Health Problems</w:t>
      </w:r>
    </w:p>
    <w:p w:rsidR="004B20E5" w:rsidRDefault="004B20E5" w:rsidP="00116118">
      <w:pPr>
        <w:pStyle w:val="TableStrategiesunderHealthFunctions"/>
      </w:pPr>
      <w:r>
        <w:t>5.7.3</w:t>
      </w:r>
      <w:r w:rsidRPr="0046149F">
        <w:tab/>
      </w:r>
      <w:r w:rsidRPr="00520E8B">
        <w:t>Promote</w:t>
      </w:r>
      <w:r>
        <w:t xml:space="preserve"> and partner with</w:t>
      </w:r>
      <w:r w:rsidR="006F7CD2">
        <w:t xml:space="preserve"> </w:t>
      </w:r>
      <w:r>
        <w:t xml:space="preserve">positive </w:t>
      </w:r>
      <w:r w:rsidRPr="00520E8B">
        <w:t>youth</w:t>
      </w:r>
      <w:r>
        <w:t xml:space="preserve"> development-based</w:t>
      </w:r>
      <w:r w:rsidR="006F7CD2">
        <w:t xml:space="preserve"> </w:t>
      </w:r>
      <w:r>
        <w:t xml:space="preserve">violence prevention, sexual health promotion, community mobilization, and related </w:t>
      </w:r>
      <w:r w:rsidRPr="00520E8B">
        <w:t xml:space="preserve">programs to prevent </w:t>
      </w:r>
      <w:r w:rsidRPr="0046149F">
        <w:t>intimate</w:t>
      </w:r>
      <w:r w:rsidRPr="00520E8B">
        <w:t xml:space="preserve"> partner</w:t>
      </w:r>
      <w:r>
        <w:t xml:space="preserve"> and sexual violence.</w:t>
      </w:r>
    </w:p>
    <w:p w:rsidR="004B20E5" w:rsidRPr="006256D0" w:rsidRDefault="004B20E5" w:rsidP="00116118">
      <w:pPr>
        <w:pStyle w:val="TableStrategiesunderHealthFunctions"/>
      </w:pPr>
      <w:r>
        <w:t>5.7.4</w:t>
      </w:r>
      <w:r w:rsidRPr="0046149F">
        <w:tab/>
      </w:r>
      <w:r>
        <w:t>Assure formal relationships (via MOUs and contracts) between clinical providers and community-based victim services programs to support cross trainings and needed referrals to ensure trauma-informed care.</w:t>
      </w:r>
    </w:p>
    <w:p w:rsidR="004B20E5" w:rsidRDefault="004B20E5" w:rsidP="007C27A3">
      <w:pPr>
        <w:pStyle w:val="TableTenEssenHlthFunct"/>
      </w:pPr>
      <w:r>
        <w:t xml:space="preserve">Develop Policies and Plans That Support Individual and Community Health Efforts </w:t>
      </w:r>
    </w:p>
    <w:p w:rsidR="004B20E5" w:rsidRDefault="004B20E5" w:rsidP="00116118">
      <w:pPr>
        <w:pStyle w:val="TableStrategiesunderHealthFunctions"/>
      </w:pPr>
      <w:r>
        <w:t>5.7.5</w:t>
      </w:r>
      <w:r>
        <w:tab/>
        <w:t xml:space="preserve">Advocate for adoption of effective </w:t>
      </w:r>
      <w:r w:rsidRPr="00F67798">
        <w:t>environmental</w:t>
      </w:r>
      <w:r>
        <w:t xml:space="preserve">, policy, and </w:t>
      </w:r>
      <w:r w:rsidRPr="00014F7A">
        <w:t xml:space="preserve">culturally appropriate </w:t>
      </w:r>
      <w:r>
        <w:t xml:space="preserve">program </w:t>
      </w:r>
      <w:r w:rsidRPr="00F67798">
        <w:t xml:space="preserve">strategies for reducing sexual abuse </w:t>
      </w:r>
      <w:r>
        <w:t xml:space="preserve">and promoting healthy relationships </w:t>
      </w:r>
      <w:r w:rsidRPr="00F67798">
        <w:t xml:space="preserve">in </w:t>
      </w:r>
      <w:r>
        <w:t xml:space="preserve">early childhood </w:t>
      </w:r>
      <w:r w:rsidRPr="00F67798">
        <w:t>centers, schools</w:t>
      </w:r>
      <w:r>
        <w:t>, colleges, and</w:t>
      </w:r>
      <w:r w:rsidR="00392EB9">
        <w:t xml:space="preserve"> </w:t>
      </w:r>
      <w:r w:rsidRPr="00F67798">
        <w:t>youth serving organizations</w:t>
      </w:r>
      <w:r>
        <w:t>.</w:t>
      </w:r>
    </w:p>
    <w:p w:rsidR="004B20E5" w:rsidRPr="006256D0" w:rsidRDefault="004B20E5" w:rsidP="00116118">
      <w:pPr>
        <w:pStyle w:val="TableStrategiesunderHealthFunctions"/>
      </w:pPr>
      <w:r>
        <w:t>5.7.6</w:t>
      </w:r>
      <w:r>
        <w:tab/>
        <w:t>Promote trauma-informed model policies and practices for screening and universal education in varied health and public health settings for suicidality and all forms of violence.</w:t>
      </w:r>
    </w:p>
    <w:p w:rsidR="004B20E5" w:rsidRDefault="004B20E5" w:rsidP="007C27A3">
      <w:pPr>
        <w:pStyle w:val="TableTenEssenHlthFunct"/>
      </w:pPr>
      <w:r>
        <w:t>Link People to Needed Personal Health Services and Health Care</w:t>
      </w:r>
    </w:p>
    <w:p w:rsidR="004B20E5" w:rsidRDefault="004B20E5" w:rsidP="00116118">
      <w:pPr>
        <w:pStyle w:val="TableStrategiesunderHealthFunctions"/>
      </w:pPr>
      <w:r>
        <w:t>5.7.7</w:t>
      </w:r>
      <w:r>
        <w:tab/>
        <w:t>Assure quality service provision for survivors of sexual and domestic violence in health care and community-based settings.</w:t>
      </w:r>
    </w:p>
    <w:p w:rsidR="004B20E5" w:rsidRPr="006256D0" w:rsidRDefault="004B20E5" w:rsidP="00116118">
      <w:pPr>
        <w:pStyle w:val="TableStrategiesunderHealthFunctions"/>
      </w:pPr>
      <w:r>
        <w:t>5.7.8</w:t>
      </w:r>
      <w:r>
        <w:tab/>
        <w:t>Promote the development of age-appropriate, positive youth-development-informed dating violence perpetrator intervention programs in consultation with existing survivor services and MA Certified Batterer Intervention Programs.</w:t>
      </w:r>
    </w:p>
    <w:p w:rsidR="004B20E5" w:rsidRDefault="004B20E5" w:rsidP="007C27A3">
      <w:pPr>
        <w:pStyle w:val="TableTenEssenHlthFunct"/>
      </w:pPr>
      <w:r>
        <w:t>Assure a Competent Public and Personal Healthcare Workforce</w:t>
      </w:r>
    </w:p>
    <w:p w:rsidR="004B20E5" w:rsidRDefault="004B20E5" w:rsidP="00116118">
      <w:pPr>
        <w:pStyle w:val="TableStrategiesunderHealthFunctions"/>
      </w:pPr>
      <w:r>
        <w:t>5.7.9</w:t>
      </w:r>
      <w:r w:rsidRPr="0046149F">
        <w:tab/>
      </w:r>
      <w:r>
        <w:t>Enhance</w:t>
      </w:r>
      <w:r w:rsidR="00392EB9">
        <w:t xml:space="preserve"> </w:t>
      </w:r>
      <w:r>
        <w:t xml:space="preserve">training opportunities for </w:t>
      </w:r>
      <w:r w:rsidRPr="00520E8B">
        <w:t xml:space="preserve">sexual </w:t>
      </w:r>
      <w:r>
        <w:t xml:space="preserve">and domestic violence prevention </w:t>
      </w:r>
      <w:r w:rsidRPr="00520E8B">
        <w:t>educator</w:t>
      </w:r>
      <w:r>
        <w:t xml:space="preserve">s, peer leaders, and advocates </w:t>
      </w:r>
      <w:r w:rsidRPr="00520E8B">
        <w:t xml:space="preserve">to build </w:t>
      </w:r>
      <w:r>
        <w:t>local and state system capacity.</w:t>
      </w:r>
    </w:p>
    <w:p w:rsidR="004B20E5" w:rsidRDefault="004B20E5" w:rsidP="00116118">
      <w:pPr>
        <w:pStyle w:val="TableStrategiesunderHealthFunctions"/>
      </w:pPr>
      <w:r>
        <w:t>5.7.10</w:t>
      </w:r>
      <w:r w:rsidRPr="0046149F">
        <w:tab/>
      </w:r>
      <w:r w:rsidRPr="00520E8B">
        <w:t>Promote effective</w:t>
      </w:r>
      <w:r>
        <w:t>, best practice</w:t>
      </w:r>
      <w:r w:rsidRPr="00520E8B">
        <w:t xml:space="preserve"> strategies </w:t>
      </w:r>
      <w:r>
        <w:t>for</w:t>
      </w:r>
      <w:r w:rsidR="00392EB9">
        <w:t xml:space="preserve"> </w:t>
      </w:r>
      <w:r>
        <w:t xml:space="preserve">preventing, responding to, and intervening in </w:t>
      </w:r>
      <w:r w:rsidRPr="00520E8B">
        <w:t xml:space="preserve">sexual </w:t>
      </w:r>
      <w:r>
        <w:t xml:space="preserve">and dating/domestic </w:t>
      </w:r>
      <w:r w:rsidRPr="00520E8B">
        <w:t>violence</w:t>
      </w:r>
      <w:r>
        <w:t xml:space="preserve"> across the lifespan, with specific attention to disparately impacted populations, such as the LGBT community and persons with disabilities</w:t>
      </w:r>
      <w:r w:rsidRPr="00520E8B">
        <w:t>.</w:t>
      </w:r>
    </w:p>
    <w:p w:rsidR="004B20E5" w:rsidRDefault="004B20E5" w:rsidP="00116118">
      <w:pPr>
        <w:pStyle w:val="TableStrategiesunderHealthFunctions"/>
      </w:pPr>
      <w:r>
        <w:t>5.7.11</w:t>
      </w:r>
      <w:r>
        <w:tab/>
        <w:t>Promote best practices that support victim empowerment and safety along with abuser accountability, behavior change and reduced recidivism, in services for people who perpetrate domestic and sexual violence.</w:t>
      </w:r>
    </w:p>
    <w:p w:rsidR="004B20E5" w:rsidRPr="006256D0" w:rsidRDefault="004B20E5" w:rsidP="00116118">
      <w:pPr>
        <w:pStyle w:val="TableStrategiesunderHealthFunctions"/>
      </w:pPr>
      <w:r>
        <w:t>5.7.12</w:t>
      </w:r>
      <w:r>
        <w:tab/>
        <w:t>Promote systems of care that are informed about the impact of trauma on physical and behavioral health and support provider training on prevalence and health impact of violent victimization as well as trauma-informed environments, care, screening, and referral practices.</w:t>
      </w:r>
    </w:p>
    <w:p w:rsidR="004B20E5" w:rsidRDefault="004B20E5" w:rsidP="007C27A3">
      <w:pPr>
        <w:pStyle w:val="TableTenEssenHlthFunct"/>
      </w:pPr>
      <w:r w:rsidRPr="001B5074">
        <w:t>Research for New Insights and Innovative Solutions to Health Problems</w:t>
      </w:r>
    </w:p>
    <w:p w:rsidR="004B20E5" w:rsidRPr="006256D0" w:rsidRDefault="004B20E5" w:rsidP="00116118">
      <w:pPr>
        <w:pStyle w:val="TableStrategiesunderHealthFunctions"/>
      </w:pPr>
      <w:r>
        <w:t>5.7.13</w:t>
      </w:r>
      <w:r>
        <w:tab/>
        <w:t xml:space="preserve">Develop additional efforts to evaluate the effectiveness of dangerousness assessment and intervention, including the development of tools for assessing </w:t>
      </w:r>
      <w:r w:rsidRPr="00014F7A">
        <w:t xml:space="preserve">risks to populations </w:t>
      </w:r>
      <w:r w:rsidRPr="00773D22">
        <w:t>most impacted</w:t>
      </w:r>
      <w:r>
        <w:t>.</w:t>
      </w:r>
    </w:p>
    <w:p w:rsidR="004B20E5" w:rsidRDefault="004B20E5" w:rsidP="007C27A3">
      <w:pPr>
        <w:pStyle w:val="TableTenEssenHlthFunct"/>
      </w:pPr>
      <w:r>
        <w:t>Maintain Administrative Management Capacity</w:t>
      </w:r>
    </w:p>
    <w:p w:rsidR="004B20E5" w:rsidRPr="006256D0" w:rsidRDefault="004B20E5" w:rsidP="00116118">
      <w:pPr>
        <w:pStyle w:val="TableStrategiesunderHealthFunctions"/>
      </w:pPr>
      <w:r>
        <w:t>5.7.14</w:t>
      </w:r>
      <w:r>
        <w:tab/>
        <w:t>Assess hospital management expertise related to trauma-informed care.</w:t>
      </w:r>
    </w:p>
    <w:p w:rsidR="004B20E5" w:rsidRPr="006E1962" w:rsidRDefault="004B20E5" w:rsidP="00D93864">
      <w:pPr>
        <w:pStyle w:val="Strategies"/>
      </w:pPr>
    </w:p>
    <w:p w:rsidR="004B20E5" w:rsidRDefault="004B20E5" w:rsidP="00D00411">
      <w:pPr>
        <w:pStyle w:val="TableStrategiesunderHealthFunctions"/>
      </w:pPr>
      <w:r>
        <w:br w:type="page"/>
      </w:r>
    </w:p>
    <w:p w:rsidR="004B20E5" w:rsidRPr="0046149F" w:rsidRDefault="004B20E5" w:rsidP="00D00411">
      <w:pPr>
        <w:pStyle w:val="TableStrategiesunderHealthFunctions"/>
      </w:pPr>
    </w:p>
    <w:p w:rsidR="004B20E5" w:rsidRPr="000F6FAD" w:rsidRDefault="00F03799" w:rsidP="00CB2B0E">
      <w:pPr>
        <w:pStyle w:val="ObjectiveStatement"/>
        <w:rPr>
          <w:szCs w:val="22"/>
        </w:rPr>
      </w:pPr>
      <w:r>
        <w:rPr>
          <w:noProof/>
        </w:rPr>
        <w:drawing>
          <wp:anchor distT="0" distB="0" distL="114300" distR="114300" simplePos="0" relativeHeight="251645952" behindDoc="0" locked="0" layoutInCell="1" allowOverlap="1" wp14:anchorId="13C7FF45" wp14:editId="7A98B688">
            <wp:simplePos x="0" y="0"/>
            <wp:positionH relativeFrom="column">
              <wp:posOffset>46355</wp:posOffset>
            </wp:positionH>
            <wp:positionV relativeFrom="paragraph">
              <wp:posOffset>421005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6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t>Measure 5.8</w:t>
      </w:r>
      <w:r w:rsidR="004B20E5" w:rsidRPr="006B3421">
        <w:t>:</w:t>
      </w:r>
      <w:r w:rsidR="004B20E5">
        <w:tab/>
      </w:r>
      <w:r w:rsidR="004B20E5" w:rsidRPr="006B3421">
        <w:t xml:space="preserve">Reduce </w:t>
      </w:r>
      <w:r w:rsidR="004B20E5">
        <w:t>fatal violence among youth age 15-24 with particular focus on disparate populations, to meet multiple specified targets.</w:t>
      </w:r>
    </w:p>
    <w:p w:rsidR="004B20E5" w:rsidRPr="0052489C" w:rsidRDefault="004B20E5" w:rsidP="007947CF">
      <w:pPr>
        <w:pStyle w:val="Strategies"/>
      </w:pPr>
    </w:p>
    <w:tbl>
      <w:tblPr>
        <w:tblW w:w="4095" w:type="pct"/>
        <w:tblInd w:w="1755" w:type="dxa"/>
        <w:tblLayout w:type="fixed"/>
        <w:tblLook w:val="00A0" w:firstRow="1" w:lastRow="0" w:firstColumn="1" w:lastColumn="0" w:noHBand="0" w:noVBand="0"/>
      </w:tblPr>
      <w:tblGrid>
        <w:gridCol w:w="2250"/>
        <w:gridCol w:w="1531"/>
        <w:gridCol w:w="1531"/>
        <w:gridCol w:w="3120"/>
      </w:tblGrid>
      <w:tr w:rsidR="004B20E5" w:rsidRPr="00666093" w:rsidTr="009346C8">
        <w:trPr>
          <w:cantSplit/>
        </w:trPr>
        <w:tc>
          <w:tcPr>
            <w:tcW w:w="1334"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8" w:type="pct"/>
            <w:tcBorders>
              <w:top w:val="single" w:sz="4" w:space="0" w:color="auto"/>
              <w:bottom w:val="single" w:sz="4" w:space="0" w:color="auto"/>
            </w:tcBorders>
            <w:vAlign w:val="center"/>
          </w:tcPr>
          <w:p w:rsidR="004B20E5" w:rsidRPr="00666093" w:rsidRDefault="004B20E5" w:rsidP="005B06A5">
            <w:pPr>
              <w:pStyle w:val="TableTitleBaseline2020Target"/>
            </w:pPr>
            <w:r w:rsidRPr="00666093">
              <w:t>Baseline</w:t>
            </w:r>
          </w:p>
        </w:tc>
        <w:tc>
          <w:tcPr>
            <w:tcW w:w="908" w:type="pct"/>
            <w:tcBorders>
              <w:top w:val="single" w:sz="4" w:space="0" w:color="auto"/>
              <w:bottom w:val="single" w:sz="4" w:space="0" w:color="auto"/>
            </w:tcBorders>
            <w:vAlign w:val="center"/>
          </w:tcPr>
          <w:p w:rsidR="004B20E5" w:rsidRPr="00666093" w:rsidRDefault="004B20E5" w:rsidP="005B06A5">
            <w:pPr>
              <w:pStyle w:val="TableTitleBaseline2020Target"/>
            </w:pPr>
            <w:r w:rsidRPr="00666093">
              <w:t>2020 Target</w:t>
            </w:r>
          </w:p>
        </w:tc>
        <w:tc>
          <w:tcPr>
            <w:tcW w:w="1850" w:type="pct"/>
            <w:tcBorders>
              <w:top w:val="single" w:sz="4" w:space="0" w:color="auto"/>
              <w:bottom w:val="single" w:sz="4" w:space="0" w:color="auto"/>
            </w:tcBorders>
            <w:vAlign w:val="center"/>
          </w:tcPr>
          <w:p w:rsidR="004B20E5" w:rsidRPr="00666093" w:rsidRDefault="004B20E5" w:rsidP="005B06A5">
            <w:pPr>
              <w:pStyle w:val="TableTitleTargetDataSource"/>
            </w:pPr>
            <w:r w:rsidRPr="00666093">
              <w:t>Data Source</w:t>
            </w:r>
          </w:p>
        </w:tc>
      </w:tr>
      <w:tr w:rsidR="004B20E5" w:rsidRPr="00666093" w:rsidTr="009346C8">
        <w:trPr>
          <w:cantSplit/>
        </w:trPr>
        <w:tc>
          <w:tcPr>
            <w:tcW w:w="1334" w:type="pct"/>
            <w:tcBorders>
              <w:top w:val="single" w:sz="4" w:space="0" w:color="auto"/>
              <w:bottom w:val="single" w:sz="4" w:space="0" w:color="auto"/>
            </w:tcBorders>
            <w:vAlign w:val="center"/>
          </w:tcPr>
          <w:p w:rsidR="004B20E5" w:rsidRPr="00666093" w:rsidRDefault="004B20E5" w:rsidP="005B06A5">
            <w:pPr>
              <w:pStyle w:val="TableOutcomeMeasure"/>
            </w:pPr>
            <w:r>
              <w:t>Homicide rate per 100,000 among MA male youth, ages 15 to 24</w:t>
            </w:r>
          </w:p>
        </w:tc>
        <w:tc>
          <w:tcPr>
            <w:tcW w:w="908" w:type="pct"/>
            <w:tcBorders>
              <w:top w:val="single" w:sz="4" w:space="0" w:color="auto"/>
              <w:bottom w:val="single" w:sz="4" w:space="0" w:color="auto"/>
            </w:tcBorders>
            <w:vAlign w:val="center"/>
          </w:tcPr>
          <w:p w:rsidR="004B20E5" w:rsidRPr="00666093" w:rsidRDefault="004B20E5" w:rsidP="005B06A5">
            <w:pPr>
              <w:pStyle w:val="TableBaseline2020Target"/>
            </w:pPr>
            <w:r>
              <w:t>14.9 homicides per 100,000</w:t>
            </w:r>
          </w:p>
        </w:tc>
        <w:tc>
          <w:tcPr>
            <w:tcW w:w="908" w:type="pct"/>
            <w:tcBorders>
              <w:top w:val="single" w:sz="4" w:space="0" w:color="auto"/>
              <w:bottom w:val="single" w:sz="4" w:space="0" w:color="auto"/>
            </w:tcBorders>
            <w:vAlign w:val="center"/>
          </w:tcPr>
          <w:p w:rsidR="004B20E5" w:rsidRPr="00666093" w:rsidRDefault="004B20E5" w:rsidP="005B06A5">
            <w:pPr>
              <w:pStyle w:val="TableBaseline2020Target"/>
            </w:pPr>
            <w:r>
              <w:t>13.7 homicides per 100,000</w:t>
            </w:r>
          </w:p>
        </w:tc>
        <w:tc>
          <w:tcPr>
            <w:tcW w:w="1850" w:type="pct"/>
            <w:tcBorders>
              <w:top w:val="single" w:sz="4" w:space="0" w:color="auto"/>
              <w:bottom w:val="single" w:sz="4" w:space="0" w:color="auto"/>
            </w:tcBorders>
            <w:vAlign w:val="center"/>
          </w:tcPr>
          <w:p w:rsidR="004B20E5" w:rsidRDefault="004B20E5" w:rsidP="005B06A5">
            <w:pPr>
              <w:pStyle w:val="TableDataSource"/>
            </w:pPr>
            <w:r>
              <w:t xml:space="preserve">Registry of Vital Records  and census data </w:t>
            </w:r>
          </w:p>
          <w:p w:rsidR="004B20E5" w:rsidRPr="00666093" w:rsidRDefault="004B20E5" w:rsidP="00392EB9">
            <w:pPr>
              <w:pStyle w:val="TableDataSource"/>
            </w:pPr>
            <w:r>
              <w:t xml:space="preserve">*Age and </w:t>
            </w:r>
            <w:r w:rsidR="00392EB9">
              <w:t>s</w:t>
            </w:r>
            <w:r>
              <w:t>ex specific rates per 100,000; postcensal annual estimates of MA population by race/ethnicity, sex, and age group</w:t>
            </w:r>
          </w:p>
        </w:tc>
      </w:tr>
      <w:tr w:rsidR="004B20E5" w:rsidRPr="00666093" w:rsidTr="00B92112">
        <w:trPr>
          <w:cantSplit/>
        </w:trPr>
        <w:tc>
          <w:tcPr>
            <w:tcW w:w="1334" w:type="pct"/>
            <w:tcBorders>
              <w:top w:val="single" w:sz="4" w:space="0" w:color="auto"/>
              <w:bottom w:val="single" w:sz="4" w:space="0" w:color="auto"/>
            </w:tcBorders>
            <w:vAlign w:val="center"/>
          </w:tcPr>
          <w:p w:rsidR="004B20E5" w:rsidRPr="00666093" w:rsidRDefault="004B20E5" w:rsidP="00392EB9">
            <w:pPr>
              <w:pStyle w:val="TableOutcomeMeasure"/>
            </w:pPr>
            <w:r>
              <w:t>Homicide rate per 100,000 among MA Black, Non-Hispanic male youth, ages 15 to 24</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t>82.7 homicides per 100,000</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t>74.8 homicides per 100,000</w:t>
            </w:r>
          </w:p>
        </w:tc>
        <w:tc>
          <w:tcPr>
            <w:tcW w:w="1850" w:type="pct"/>
            <w:tcBorders>
              <w:top w:val="single" w:sz="4" w:space="0" w:color="auto"/>
              <w:bottom w:val="single" w:sz="4" w:space="0" w:color="auto"/>
            </w:tcBorders>
            <w:vAlign w:val="center"/>
          </w:tcPr>
          <w:p w:rsidR="004B20E5" w:rsidRDefault="004B20E5" w:rsidP="00F446EB">
            <w:pPr>
              <w:pStyle w:val="TableDataSource"/>
            </w:pPr>
            <w:r>
              <w:t>Registry of Vital Records and census</w:t>
            </w:r>
          </w:p>
          <w:p w:rsidR="004B20E5" w:rsidRPr="00666093" w:rsidRDefault="004B20E5" w:rsidP="00392EB9">
            <w:pPr>
              <w:pStyle w:val="TableDataSource"/>
            </w:pPr>
            <w:r>
              <w:t xml:space="preserve">*Age and </w:t>
            </w:r>
            <w:r w:rsidR="00392EB9">
              <w:t>s</w:t>
            </w:r>
            <w:r>
              <w:t>ex specific rates per 100,000; postcensal annual estimates of MA population by race/ethnicity, sex, and age group</w:t>
            </w:r>
          </w:p>
        </w:tc>
      </w:tr>
      <w:tr w:rsidR="004B20E5" w:rsidRPr="00666093" w:rsidTr="009346C8">
        <w:trPr>
          <w:cantSplit/>
        </w:trPr>
        <w:tc>
          <w:tcPr>
            <w:tcW w:w="1334" w:type="pct"/>
            <w:tcBorders>
              <w:top w:val="single" w:sz="4" w:space="0" w:color="auto"/>
              <w:bottom w:val="single" w:sz="4" w:space="0" w:color="auto"/>
            </w:tcBorders>
            <w:vAlign w:val="center"/>
          </w:tcPr>
          <w:p w:rsidR="004B20E5" w:rsidRPr="00666093" w:rsidRDefault="004B20E5" w:rsidP="00392EB9">
            <w:pPr>
              <w:pStyle w:val="TableOutcomeMeasure"/>
            </w:pPr>
            <w:r>
              <w:t>Two-year homicide rate per 100,000 among MA Hispanic male youth, ages 15 to 24</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t>40.7 homicides per 100,000</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t>38.7 homicides per 100,000</w:t>
            </w:r>
          </w:p>
        </w:tc>
        <w:tc>
          <w:tcPr>
            <w:tcW w:w="1850" w:type="pct"/>
            <w:tcBorders>
              <w:top w:val="single" w:sz="4" w:space="0" w:color="auto"/>
              <w:bottom w:val="single" w:sz="4" w:space="0" w:color="auto"/>
            </w:tcBorders>
            <w:vAlign w:val="center"/>
          </w:tcPr>
          <w:p w:rsidR="004B20E5" w:rsidRDefault="004B20E5" w:rsidP="00F446EB">
            <w:pPr>
              <w:pStyle w:val="TableDataSource"/>
            </w:pPr>
            <w:r>
              <w:t>Registry of Vital Records and census</w:t>
            </w:r>
          </w:p>
          <w:p w:rsidR="004B20E5" w:rsidRPr="00666093" w:rsidRDefault="004B20E5" w:rsidP="00F446EB">
            <w:pPr>
              <w:pStyle w:val="TableDataSource"/>
            </w:pPr>
            <w:r>
              <w:t xml:space="preserve">*Age and </w:t>
            </w:r>
            <w:r w:rsidR="00392EB9">
              <w:t>s</w:t>
            </w:r>
            <w:r>
              <w:t>ex specific rates per 100,000; postcensal annual estimates of MA population by race/ethnicity, sex, and age group</w:t>
            </w:r>
          </w:p>
        </w:tc>
      </w:tr>
      <w:tr w:rsidR="004B20E5" w:rsidRPr="00666093" w:rsidTr="009346C8">
        <w:trPr>
          <w:cantSplit/>
        </w:trPr>
        <w:tc>
          <w:tcPr>
            <w:tcW w:w="1334" w:type="pct"/>
            <w:tcBorders>
              <w:top w:val="single" w:sz="4" w:space="0" w:color="auto"/>
              <w:bottom w:val="single" w:sz="4" w:space="0" w:color="auto"/>
            </w:tcBorders>
            <w:vAlign w:val="center"/>
          </w:tcPr>
          <w:p w:rsidR="004B20E5" w:rsidRPr="00666093" w:rsidRDefault="004B20E5" w:rsidP="00F446EB">
            <w:pPr>
              <w:pStyle w:val="TableOutcomeMeasure"/>
            </w:pPr>
            <w:r>
              <w:t>Prevalence of carrying a weapon in the past 30 days among MA high school boys</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t>19.9%</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t>17.9%</w:t>
            </w:r>
          </w:p>
        </w:tc>
        <w:tc>
          <w:tcPr>
            <w:tcW w:w="1850" w:type="pct"/>
            <w:tcBorders>
              <w:top w:val="single" w:sz="4" w:space="0" w:color="auto"/>
              <w:bottom w:val="single" w:sz="4" w:space="0" w:color="auto"/>
            </w:tcBorders>
            <w:vAlign w:val="center"/>
          </w:tcPr>
          <w:p w:rsidR="004B20E5" w:rsidRPr="00666093" w:rsidRDefault="004B20E5" w:rsidP="00F446EB">
            <w:pPr>
              <w:pStyle w:val="TableDataSource"/>
            </w:pPr>
            <w:r>
              <w:t xml:space="preserve">Youth Health Survey </w:t>
            </w:r>
          </w:p>
        </w:tc>
      </w:tr>
      <w:tr w:rsidR="004B20E5" w:rsidRPr="00666093" w:rsidTr="009346C8">
        <w:trPr>
          <w:cantSplit/>
        </w:trPr>
        <w:tc>
          <w:tcPr>
            <w:tcW w:w="1334" w:type="pct"/>
            <w:tcBorders>
              <w:top w:val="single" w:sz="4" w:space="0" w:color="auto"/>
              <w:bottom w:val="single" w:sz="4" w:space="0" w:color="auto"/>
            </w:tcBorders>
            <w:vAlign w:val="center"/>
          </w:tcPr>
          <w:p w:rsidR="004B20E5" w:rsidRPr="00666093" w:rsidRDefault="004B20E5" w:rsidP="00F446EB">
            <w:pPr>
              <w:pStyle w:val="TableOutcomeMeasure"/>
            </w:pPr>
            <w:r>
              <w:t>Prevalence of carrying a weapon in the past 30 days among MA high school girls</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t>4.4%</w:t>
            </w:r>
          </w:p>
        </w:tc>
        <w:tc>
          <w:tcPr>
            <w:tcW w:w="908" w:type="pct"/>
            <w:tcBorders>
              <w:top w:val="single" w:sz="4" w:space="0" w:color="auto"/>
              <w:bottom w:val="single" w:sz="4" w:space="0" w:color="auto"/>
            </w:tcBorders>
            <w:vAlign w:val="center"/>
          </w:tcPr>
          <w:p w:rsidR="004B20E5" w:rsidRPr="00666093" w:rsidRDefault="004B20E5" w:rsidP="00F446EB">
            <w:pPr>
              <w:pStyle w:val="TableBaseline2020Target"/>
            </w:pPr>
            <w:r>
              <w:t>4.4% (or lower)</w:t>
            </w:r>
          </w:p>
        </w:tc>
        <w:tc>
          <w:tcPr>
            <w:tcW w:w="1850" w:type="pct"/>
            <w:tcBorders>
              <w:top w:val="single" w:sz="4" w:space="0" w:color="auto"/>
              <w:bottom w:val="single" w:sz="4" w:space="0" w:color="auto"/>
            </w:tcBorders>
            <w:vAlign w:val="center"/>
          </w:tcPr>
          <w:p w:rsidR="004B20E5" w:rsidRPr="00666093" w:rsidRDefault="004B20E5" w:rsidP="00F446EB">
            <w:pPr>
              <w:pStyle w:val="TableDataSource"/>
            </w:pPr>
            <w:r>
              <w:t xml:space="preserve">Youth Health Survey </w:t>
            </w:r>
          </w:p>
        </w:tc>
      </w:tr>
    </w:tbl>
    <w:p w:rsidR="004B20E5" w:rsidRDefault="004B20E5" w:rsidP="007947CF">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5B06A5">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5B06A5">
            <w:pPr>
              <w:pStyle w:val="TableOutcomeMeasure"/>
            </w:pPr>
            <w:r>
              <w:t>Number of MA males, ages 15-24 who die by homicide</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Pr="00391134" w:rsidDel="00F67FD0" w:rsidRDefault="004B20E5" w:rsidP="005B06A5">
            <w:pPr>
              <w:pStyle w:val="TableOutcomeMeasure"/>
            </w:pPr>
            <w:r>
              <w:t>Number of MA males, ages 15-24</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391134" w:rsidDel="00F67FD0" w:rsidRDefault="004B20E5" w:rsidP="005B06A5">
            <w:pPr>
              <w:pStyle w:val="TableOutcomeMeasure"/>
            </w:pPr>
            <w:r>
              <w:t>MA female residents, MA adult male residents ages 25 and older, MA male youth, ages 14 and younger</w:t>
            </w:r>
          </w:p>
        </w:tc>
      </w:tr>
      <w:tr w:rsidR="004B20E5" w:rsidRPr="00666093" w:rsidDel="00F67FD0" w:rsidTr="005B06A5">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391134" w:rsidDel="00F67FD0" w:rsidRDefault="004B20E5" w:rsidP="005B06A5">
            <w:pPr>
              <w:pStyle w:val="TableOutcomeMeasure"/>
            </w:pPr>
            <w:r>
              <w:t>Annual</w:t>
            </w:r>
          </w:p>
        </w:tc>
      </w:tr>
      <w:tr w:rsidR="004B20E5" w:rsidRPr="00666093" w:rsidDel="00F67FD0" w:rsidTr="005B06A5">
        <w:trPr>
          <w:cantSplit/>
        </w:trPr>
        <w:tc>
          <w:tcPr>
            <w:tcW w:w="1329" w:type="pct"/>
            <w:tcBorders>
              <w:bottom w:val="single" w:sz="4" w:space="0" w:color="auto"/>
            </w:tcBorders>
            <w:vAlign w:val="center"/>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Default="004B20E5" w:rsidP="005B06A5">
            <w:pPr>
              <w:pStyle w:val="TableOutcomeMeasure"/>
            </w:pPr>
            <w:r>
              <w:t>Reduction in rate per 100,000</w:t>
            </w:r>
          </w:p>
          <w:p w:rsidR="004B20E5" w:rsidRPr="00391134" w:rsidDel="00F67FD0" w:rsidRDefault="004B20E5" w:rsidP="005B06A5">
            <w:pPr>
              <w:pStyle w:val="TableOutcomeMeasure"/>
            </w:pPr>
          </w:p>
        </w:tc>
      </w:tr>
    </w:tbl>
    <w:p w:rsidR="004B20E5" w:rsidRDefault="004B20E5" w:rsidP="007C27A3">
      <w:pPr>
        <w:pStyle w:val="TableTenEssenHlthFunct"/>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5B06A5">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5B06A5">
            <w:pPr>
              <w:pStyle w:val="TableOutcomeMeasure"/>
            </w:pPr>
            <w:r>
              <w:t>Number of MA Black, Non-Hispanic males, ages 15-24 who die by homicide</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Pr="00391134" w:rsidDel="00F67FD0" w:rsidRDefault="004B20E5" w:rsidP="005B06A5">
            <w:pPr>
              <w:pStyle w:val="TableOutcomeMeasure"/>
            </w:pPr>
            <w:r>
              <w:t>Number of MA Black, Non-Hispanic male residents, ages 15-24</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391134" w:rsidDel="00F67FD0" w:rsidRDefault="004B20E5" w:rsidP="00392EB9">
            <w:pPr>
              <w:pStyle w:val="TableOutcomeMeasure"/>
            </w:pPr>
            <w:r>
              <w:t xml:space="preserve">MA female residents, MA adult male residents ages 25 and older, MA male youth, ages 14 and younger, MA male youth, ages 15-24, </w:t>
            </w:r>
            <w:r w:rsidR="00392EB9">
              <w:t xml:space="preserve">race other than </w:t>
            </w:r>
            <w:r>
              <w:t>Black, Non-Hispanic</w:t>
            </w:r>
          </w:p>
        </w:tc>
      </w:tr>
      <w:tr w:rsidR="004B20E5" w:rsidRPr="00666093" w:rsidDel="00F67FD0" w:rsidTr="005B06A5">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391134" w:rsidDel="00F67FD0" w:rsidRDefault="004B20E5" w:rsidP="005B06A5">
            <w:pPr>
              <w:pStyle w:val="TableOutcomeMeasure"/>
            </w:pPr>
            <w:r>
              <w:t>Annual</w:t>
            </w:r>
          </w:p>
        </w:tc>
      </w:tr>
      <w:tr w:rsidR="004B20E5" w:rsidRPr="00666093" w:rsidDel="00F67FD0" w:rsidTr="005B06A5">
        <w:trPr>
          <w:cantSplit/>
        </w:trPr>
        <w:tc>
          <w:tcPr>
            <w:tcW w:w="1329" w:type="pct"/>
            <w:tcBorders>
              <w:bottom w:val="single" w:sz="4" w:space="0" w:color="auto"/>
            </w:tcBorders>
            <w:vAlign w:val="center"/>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Default="004B20E5" w:rsidP="005B06A5">
            <w:pPr>
              <w:pStyle w:val="TableOutcomeMeasure"/>
            </w:pPr>
            <w:r>
              <w:t>Reduction in rate per 100,000</w:t>
            </w:r>
          </w:p>
          <w:p w:rsidR="004B20E5" w:rsidRPr="00391134" w:rsidDel="00F67FD0" w:rsidRDefault="004B20E5" w:rsidP="005B06A5">
            <w:pPr>
              <w:pStyle w:val="TableOutcomeMeasure"/>
            </w:pPr>
          </w:p>
        </w:tc>
      </w:tr>
    </w:tbl>
    <w:p w:rsidR="004B20E5" w:rsidRDefault="004B20E5" w:rsidP="007947CF">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5B06A5">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5B06A5">
            <w:pPr>
              <w:pStyle w:val="TableOutcomeMeasure"/>
            </w:pPr>
            <w:r>
              <w:t>Number of MA Hispanic males, ages 15-24 who die by homicide</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Pr="00391134" w:rsidDel="00F67FD0" w:rsidRDefault="004B20E5" w:rsidP="005B06A5">
            <w:pPr>
              <w:pStyle w:val="TableOutcomeMeasure"/>
            </w:pPr>
            <w:r>
              <w:t>Number of MA Hispanic male residents, ages 15-24</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391134" w:rsidDel="00F67FD0" w:rsidRDefault="004B20E5" w:rsidP="005B06A5">
            <w:pPr>
              <w:pStyle w:val="TableOutcomeMeasure"/>
            </w:pPr>
            <w:r>
              <w:t>MA female residents, MA adult male residents ages 25 and older, MA male youth, ages 14 and younger, MA male youth, ages 15-24, who are not Hispanic</w:t>
            </w:r>
          </w:p>
        </w:tc>
      </w:tr>
      <w:tr w:rsidR="004B20E5" w:rsidRPr="00666093" w:rsidDel="00F67FD0" w:rsidTr="005B06A5">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391134" w:rsidDel="00F67FD0" w:rsidRDefault="004B20E5" w:rsidP="005B06A5">
            <w:pPr>
              <w:pStyle w:val="TableOutcomeMeasure"/>
            </w:pPr>
            <w:r>
              <w:t>Annual</w:t>
            </w:r>
          </w:p>
        </w:tc>
      </w:tr>
      <w:tr w:rsidR="004B20E5" w:rsidRPr="00666093" w:rsidDel="00F67FD0" w:rsidTr="00850B92">
        <w:trPr>
          <w:cantSplit/>
        </w:trPr>
        <w:tc>
          <w:tcPr>
            <w:tcW w:w="1329" w:type="pct"/>
            <w:tcBorders>
              <w:bottom w:val="single" w:sz="4" w:space="0" w:color="auto"/>
            </w:tcBorders>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Default="004B20E5" w:rsidP="005B06A5">
            <w:pPr>
              <w:pStyle w:val="TableOutcomeMeasure"/>
            </w:pPr>
            <w:r>
              <w:t>Reduction in two-year combined rate per 100,000, combination years = 2010-2011, 2012-2013, 2014-2015, 2016-2017, 2018-2019</w:t>
            </w:r>
          </w:p>
          <w:p w:rsidR="004B20E5" w:rsidRPr="00391134" w:rsidDel="00F67FD0" w:rsidRDefault="004B20E5" w:rsidP="005B06A5">
            <w:pPr>
              <w:pStyle w:val="TableOutcomeMeasure"/>
            </w:pPr>
          </w:p>
        </w:tc>
      </w:tr>
    </w:tbl>
    <w:p w:rsidR="004B20E5" w:rsidRDefault="004B20E5" w:rsidP="007947CF">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5B06A5">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5B06A5">
            <w:pPr>
              <w:pStyle w:val="TableOutcomeMeasure"/>
            </w:pPr>
            <w:r>
              <w:t>Number of MA male high school students who report carrying a weapon in the past 30 days, and number of MA female high school students who report carrying a weapon in the past 30 days, respectively</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Pr="00391134" w:rsidDel="00F67FD0" w:rsidRDefault="004B20E5" w:rsidP="005B06A5">
            <w:pPr>
              <w:pStyle w:val="TableOutcomeMeasure"/>
            </w:pPr>
            <w:r>
              <w:t>Number of MA male high school students and number of MA female high school students, respectively</w:t>
            </w:r>
          </w:p>
        </w:tc>
      </w:tr>
      <w:tr w:rsidR="004B20E5" w:rsidRPr="00666093" w:rsidDel="00F67FD0" w:rsidTr="005B06A5">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391134" w:rsidDel="00F67FD0" w:rsidRDefault="004B20E5" w:rsidP="005B06A5">
            <w:pPr>
              <w:pStyle w:val="TableOutcomeMeasure"/>
            </w:pPr>
            <w:r>
              <w:t>MA youth not in high school, MA adults who are not students in high school</w:t>
            </w:r>
          </w:p>
        </w:tc>
      </w:tr>
      <w:tr w:rsidR="004B20E5" w:rsidRPr="00666093" w:rsidDel="00F67FD0" w:rsidTr="005B06A5">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391134" w:rsidDel="00F67FD0" w:rsidRDefault="004B20E5" w:rsidP="00F03FCB">
            <w:pPr>
              <w:pStyle w:val="TableOutcomeMeasure"/>
            </w:pPr>
            <w:r>
              <w:t>Biannual (odd years)</w:t>
            </w:r>
          </w:p>
        </w:tc>
      </w:tr>
      <w:tr w:rsidR="004B20E5" w:rsidRPr="00666093" w:rsidDel="00F67FD0" w:rsidTr="005B06A5">
        <w:trPr>
          <w:cantSplit/>
        </w:trPr>
        <w:tc>
          <w:tcPr>
            <w:tcW w:w="1329" w:type="pct"/>
            <w:tcBorders>
              <w:bottom w:val="single" w:sz="4" w:space="0" w:color="auto"/>
            </w:tcBorders>
            <w:vAlign w:val="center"/>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5B06A5">
            <w:pPr>
              <w:pStyle w:val="TableOutcomeMeasure"/>
            </w:pPr>
            <w:r>
              <w:t>Reduction in prevalence among boys; maintenance or reduction in the prevalence for girls</w:t>
            </w:r>
          </w:p>
        </w:tc>
      </w:tr>
    </w:tbl>
    <w:p w:rsidR="004B20E5" w:rsidRPr="005E736E" w:rsidRDefault="004B20E5" w:rsidP="005E736E">
      <w:pPr>
        <w:pStyle w:val="TableStrategiesunderHealthFunctions"/>
      </w:pPr>
    </w:p>
    <w:p w:rsidR="004B20E5" w:rsidRDefault="004B20E5" w:rsidP="007C27A3">
      <w:pPr>
        <w:pStyle w:val="TableTenEssenHlthFunct"/>
      </w:pPr>
      <w:r>
        <w:t xml:space="preserve">Inform, Educate, and Empower People About Health Issues </w:t>
      </w:r>
    </w:p>
    <w:p w:rsidR="004B20E5" w:rsidRPr="006256D0" w:rsidRDefault="004B20E5" w:rsidP="00116118">
      <w:pPr>
        <w:pStyle w:val="TableStrategiesunderHealthFunctions"/>
      </w:pPr>
      <w:r>
        <w:t>5.8.1</w:t>
      </w:r>
      <w:r>
        <w:tab/>
      </w:r>
      <w:r w:rsidRPr="00142648">
        <w:t xml:space="preserve">Promote peer education </w:t>
      </w:r>
      <w:r>
        <w:t xml:space="preserve">models </w:t>
      </w:r>
      <w:r w:rsidRPr="00142648">
        <w:t>to develop skills for preventing violence at home, at work and in the community.</w:t>
      </w:r>
    </w:p>
    <w:p w:rsidR="004B20E5" w:rsidRDefault="004B20E5" w:rsidP="007C27A3">
      <w:pPr>
        <w:pStyle w:val="TableTenEssenHlthFunct"/>
      </w:pPr>
      <w:r>
        <w:t>Mobilize Community Partnerships to Identify and Solve Health Problems</w:t>
      </w:r>
    </w:p>
    <w:p w:rsidR="004B20E5" w:rsidRPr="002D68E3" w:rsidRDefault="004B20E5" w:rsidP="00116118">
      <w:pPr>
        <w:pStyle w:val="TableStrategiesunderHealthFunctions"/>
      </w:pPr>
      <w:r>
        <w:t>5.8.2</w:t>
      </w:r>
      <w:r>
        <w:tab/>
      </w:r>
      <w:r w:rsidRPr="002D68E3">
        <w:t>Support community based youth employment and development programs</w:t>
      </w:r>
      <w:r>
        <w:t>.</w:t>
      </w:r>
    </w:p>
    <w:p w:rsidR="004B20E5" w:rsidRDefault="004B20E5" w:rsidP="00116118">
      <w:pPr>
        <w:pStyle w:val="TableStrategiesunderHealthFunctions"/>
      </w:pPr>
      <w:r>
        <w:t>5.8.3</w:t>
      </w:r>
      <w:r w:rsidRPr="002D68E3">
        <w:tab/>
        <w:t>Collaborate across sectors and state agencies to promote evidence-based strategies that promote resilience and reduce risk for young people</w:t>
      </w:r>
      <w:r>
        <w:t>.</w:t>
      </w:r>
    </w:p>
    <w:p w:rsidR="004B20E5" w:rsidRDefault="004B20E5" w:rsidP="00116118">
      <w:pPr>
        <w:pStyle w:val="TableStrategiesunderHealthFunctions"/>
      </w:pPr>
      <w:r>
        <w:t>5.8.4</w:t>
      </w:r>
      <w:r>
        <w:tab/>
        <w:t>Support</w:t>
      </w:r>
      <w:r w:rsidR="00A5793E">
        <w:t xml:space="preserve"> </w:t>
      </w:r>
      <w:r>
        <w:t>positive youth development programming in schools and the community</w:t>
      </w:r>
      <w:r w:rsidRPr="00520E8B">
        <w:t xml:space="preserve"> to reduce violence and promote healthy relationships for middle and high school-aged youth.</w:t>
      </w:r>
    </w:p>
    <w:p w:rsidR="004B20E5" w:rsidRDefault="004B20E5" w:rsidP="00116118">
      <w:pPr>
        <w:pStyle w:val="TableStrategiesunderHealthFunctions"/>
      </w:pPr>
      <w:r>
        <w:t>5.8.5</w:t>
      </w:r>
      <w:r>
        <w:tab/>
        <w:t>Assure formal relationships (via MOU</w:t>
      </w:r>
      <w:r w:rsidR="00A5793E">
        <w:t>s</w:t>
      </w:r>
      <w:r>
        <w:t xml:space="preserve"> and contracts) between clinical providers and community-based victim services programs to support cross trainings and needed referrals to ensure trauma-informed care.</w:t>
      </w:r>
    </w:p>
    <w:p w:rsidR="004B20E5" w:rsidRDefault="004B20E5" w:rsidP="007C27A3">
      <w:pPr>
        <w:pStyle w:val="TableTenEssenHlthFunct"/>
      </w:pPr>
      <w:r>
        <w:t xml:space="preserve">Develop Policies and Plans That Support Individual and Community Health Efforts </w:t>
      </w:r>
    </w:p>
    <w:p w:rsidR="004B20E5" w:rsidRDefault="004B20E5" w:rsidP="00116118">
      <w:pPr>
        <w:pStyle w:val="TableStrategiesunderHealthFunctions"/>
      </w:pPr>
      <w:r>
        <w:t>5.8.6</w:t>
      </w:r>
      <w:r>
        <w:tab/>
        <w:t>Promote violence prevention strategies that address disparities based on race, economic status, sexual orientation, gender or gender identity.</w:t>
      </w:r>
    </w:p>
    <w:p w:rsidR="004B20E5" w:rsidRPr="0046149F" w:rsidRDefault="004B20E5" w:rsidP="00116118">
      <w:pPr>
        <w:pStyle w:val="TableStrategiesunderHealthFunctions"/>
      </w:pPr>
      <w:r>
        <w:t>5.8.7</w:t>
      </w:r>
      <w:r w:rsidRPr="0046149F">
        <w:tab/>
      </w:r>
      <w:r>
        <w:t>I</w:t>
      </w:r>
      <w:r w:rsidRPr="0046149F">
        <w:t>ncrease programs that support employment opportunities for</w:t>
      </w:r>
      <w:r>
        <w:t xml:space="preserve"> all youth</w:t>
      </w:r>
      <w:r w:rsidRPr="0046149F">
        <w:t>.</w:t>
      </w:r>
    </w:p>
    <w:p w:rsidR="004B20E5" w:rsidRDefault="004B20E5" w:rsidP="007C27A3">
      <w:pPr>
        <w:pStyle w:val="TableTenEssenHlthFunct"/>
      </w:pPr>
      <w:r>
        <w:t>Enforce Laws and Regulations That Protect Health and Ensure Safety</w:t>
      </w:r>
    </w:p>
    <w:p w:rsidR="004B20E5" w:rsidRPr="006256D0" w:rsidRDefault="004B20E5" w:rsidP="007947CF">
      <w:pPr>
        <w:pStyle w:val="TableStrategiesunderHealthFunctions"/>
      </w:pPr>
      <w:r>
        <w:t>5.8.8</w:t>
      </w:r>
      <w:r>
        <w:tab/>
        <w:t>Amend existing hospital regulations to require universal education and suicidality and violence screening.</w:t>
      </w:r>
    </w:p>
    <w:p w:rsidR="004B20E5" w:rsidRDefault="004B20E5" w:rsidP="007C27A3">
      <w:pPr>
        <w:pStyle w:val="TableTenEssenHlthFunct"/>
      </w:pPr>
      <w:r>
        <w:t>Link People to Needed Personal Health Services and Health Care</w:t>
      </w:r>
    </w:p>
    <w:p w:rsidR="004B20E5" w:rsidRPr="00520E8B" w:rsidRDefault="004B20E5" w:rsidP="007947CF">
      <w:pPr>
        <w:pStyle w:val="TableStrategiesunderHealthFunctions"/>
      </w:pPr>
      <w:r w:rsidRPr="0046149F">
        <w:t>5</w:t>
      </w:r>
      <w:r>
        <w:t>.8.9</w:t>
      </w:r>
      <w:r w:rsidRPr="0046149F">
        <w:tab/>
      </w:r>
      <w:r>
        <w:t xml:space="preserve">Support and promote programming that addresses the highest risk/”proven risk” youth. </w:t>
      </w:r>
    </w:p>
    <w:p w:rsidR="004B20E5" w:rsidRDefault="004B20E5" w:rsidP="007947CF">
      <w:pPr>
        <w:pStyle w:val="TableStrategiesunderHealthFunctions"/>
      </w:pPr>
      <w:r>
        <w:t>5.8.10</w:t>
      </w:r>
      <w:r>
        <w:tab/>
        <w:t>Partner with EOHHS Safe and Successful Youth Initiative to provide wrap-around services for high impact youth who are at proven risk for firearm or edge/sharp weapon violence.</w:t>
      </w:r>
    </w:p>
    <w:p w:rsidR="004B20E5" w:rsidRPr="006256D0" w:rsidRDefault="004B20E5" w:rsidP="007947CF">
      <w:pPr>
        <w:pStyle w:val="TableStrategiesunderHealthFunctions"/>
      </w:pPr>
      <w:r>
        <w:t>5.8.11</w:t>
      </w:r>
      <w:r>
        <w:tab/>
        <w:t>Assure smooth continuum of care (track referrals to and from hospitals).</w:t>
      </w:r>
    </w:p>
    <w:p w:rsidR="004B20E5" w:rsidRDefault="004B20E5" w:rsidP="007C27A3">
      <w:pPr>
        <w:pStyle w:val="TableTenEssenHlthFunct"/>
      </w:pPr>
      <w:r>
        <w:t>Assure a Competent Public and Personal Healthcare Workforce</w:t>
      </w:r>
    </w:p>
    <w:p w:rsidR="004B20E5" w:rsidRDefault="004B20E5" w:rsidP="007947CF">
      <w:pPr>
        <w:pStyle w:val="TableStrategiesunderHealthFunctions"/>
      </w:pPr>
      <w:r>
        <w:t>5.8.12</w:t>
      </w:r>
      <w:r>
        <w:tab/>
        <w:t>Promote trauma-informed service provision among providers working in the youth violence prevention field in MA.</w:t>
      </w:r>
    </w:p>
    <w:p w:rsidR="004B20E5" w:rsidRPr="006256D0" w:rsidRDefault="004B20E5" w:rsidP="007947CF">
      <w:pPr>
        <w:pStyle w:val="TableStrategiesunderHealthFunctions"/>
      </w:pPr>
      <w:r>
        <w:t>5.8.13</w:t>
      </w:r>
      <w:r>
        <w:tab/>
        <w:t>Promote systems of care that are informed about the impact of trauma on physical and behavioral health and support provider training on prevalence and health impact of violent victimization as well as trauma-informed environments, care, screening, and referral practices.</w:t>
      </w:r>
    </w:p>
    <w:p w:rsidR="004B20E5" w:rsidRDefault="004B20E5" w:rsidP="007C27A3">
      <w:pPr>
        <w:pStyle w:val="TableTenEssenHlthFunct"/>
      </w:pPr>
      <w:r>
        <w:t>Maintain Administrative Management Capacity</w:t>
      </w:r>
    </w:p>
    <w:p w:rsidR="004B20E5" w:rsidRPr="006256D0" w:rsidRDefault="004B20E5" w:rsidP="007947CF">
      <w:pPr>
        <w:pStyle w:val="TableStrategiesunderHealthFunctions"/>
      </w:pPr>
      <w:r>
        <w:t>5.8.14</w:t>
      </w:r>
      <w:r>
        <w:tab/>
        <w:t>Assess hospital management expertise related to trauma-informed care.</w:t>
      </w:r>
    </w:p>
    <w:p w:rsidR="004B20E5" w:rsidRDefault="004B20E5" w:rsidP="007947CF">
      <w:pPr>
        <w:pStyle w:val="TableStrategiesunderHealthFunctions"/>
      </w:pPr>
    </w:p>
    <w:p w:rsidR="004B20E5" w:rsidRPr="000F6FAD" w:rsidRDefault="004B20E5" w:rsidP="00D00411">
      <w:pPr>
        <w:pStyle w:val="TableStrategiesunderHealthFunctions"/>
      </w:pPr>
    </w:p>
    <w:p w:rsidR="004B20E5" w:rsidRDefault="004B20E5" w:rsidP="00D00411">
      <w:pPr>
        <w:pStyle w:val="TableStrategiesunderHealthFunctions"/>
      </w:pPr>
    </w:p>
    <w:p w:rsidR="004B20E5" w:rsidRDefault="004B20E5" w:rsidP="00CB2B0E">
      <w:pPr>
        <w:pStyle w:val="StandardStatement"/>
      </w:pPr>
      <w:r>
        <w:t>Standard 5E:</w:t>
      </w:r>
      <w:r>
        <w:tab/>
        <w:t>Reduce health care facility se</w:t>
      </w:r>
      <w:r w:rsidR="00A5793E">
        <w:t>rious</w:t>
      </w:r>
      <w:r>
        <w:t xml:space="preserve"> reportable events.</w:t>
      </w:r>
    </w:p>
    <w:p w:rsidR="004B20E5" w:rsidRPr="00876533" w:rsidRDefault="004B20E5" w:rsidP="00876533">
      <w:pPr>
        <w:pStyle w:val="BodyText"/>
      </w:pPr>
    </w:p>
    <w:p w:rsidR="004B20E5" w:rsidRPr="008F09C7" w:rsidRDefault="004B20E5" w:rsidP="00CB2B0E">
      <w:pPr>
        <w:pStyle w:val="ObjectiveStatement"/>
      </w:pPr>
      <w:r w:rsidRPr="008F09C7">
        <w:t>Measure 5.</w:t>
      </w:r>
      <w:r>
        <w:t>9</w:t>
      </w:r>
      <w:r w:rsidRPr="008F09C7">
        <w:tab/>
        <w:t>Reduce the hospital-acquired pressure ulcer prevalence in acute and non-acute care hospitals</w:t>
      </w:r>
      <w:r w:rsidR="00A5793E">
        <w:t xml:space="preserve"> </w:t>
      </w:r>
      <w:r>
        <w:t>by 1</w:t>
      </w:r>
      <w:r w:rsidRPr="008F09C7">
        <w:t>0%.</w:t>
      </w:r>
    </w:p>
    <w:tbl>
      <w:tblPr>
        <w:tblW w:w="4108" w:type="pct"/>
        <w:tblInd w:w="1755" w:type="dxa"/>
        <w:tblLayout w:type="fixed"/>
        <w:tblLook w:val="00A0" w:firstRow="1" w:lastRow="0" w:firstColumn="1" w:lastColumn="0" w:noHBand="0" w:noVBand="0"/>
      </w:tblPr>
      <w:tblGrid>
        <w:gridCol w:w="2071"/>
        <w:gridCol w:w="1710"/>
        <w:gridCol w:w="1531"/>
        <w:gridCol w:w="3147"/>
      </w:tblGrid>
      <w:tr w:rsidR="004B20E5" w:rsidRPr="008F09C7" w:rsidTr="005B06A5">
        <w:trPr>
          <w:cantSplit/>
        </w:trPr>
        <w:tc>
          <w:tcPr>
            <w:tcW w:w="1224" w:type="pct"/>
            <w:tcBorders>
              <w:top w:val="single" w:sz="4" w:space="0" w:color="auto"/>
              <w:bottom w:val="single" w:sz="4" w:space="0" w:color="auto"/>
            </w:tcBorders>
            <w:vAlign w:val="center"/>
          </w:tcPr>
          <w:p w:rsidR="004B20E5" w:rsidRPr="008F09C7" w:rsidRDefault="004B20E5" w:rsidP="00B6039F">
            <w:pPr>
              <w:pStyle w:val="TableTitleTargetDataSource"/>
            </w:pPr>
            <w:r w:rsidRPr="008F09C7">
              <w:t xml:space="preserve">Outcome </w:t>
            </w:r>
            <w:r>
              <w:t>Indicator</w:t>
            </w:r>
          </w:p>
        </w:tc>
        <w:tc>
          <w:tcPr>
            <w:tcW w:w="1011" w:type="pct"/>
            <w:tcBorders>
              <w:top w:val="single" w:sz="4" w:space="0" w:color="auto"/>
              <w:bottom w:val="single" w:sz="4" w:space="0" w:color="auto"/>
            </w:tcBorders>
            <w:vAlign w:val="center"/>
          </w:tcPr>
          <w:p w:rsidR="004B20E5" w:rsidRPr="008F09C7" w:rsidRDefault="004B20E5" w:rsidP="005B06A5">
            <w:pPr>
              <w:pStyle w:val="TableTitleBaseline2020Target"/>
            </w:pPr>
            <w:r w:rsidRPr="008F09C7">
              <w:t>Baseline</w:t>
            </w:r>
          </w:p>
        </w:tc>
        <w:tc>
          <w:tcPr>
            <w:tcW w:w="905" w:type="pct"/>
            <w:tcBorders>
              <w:top w:val="single" w:sz="4" w:space="0" w:color="auto"/>
              <w:bottom w:val="single" w:sz="4" w:space="0" w:color="auto"/>
            </w:tcBorders>
            <w:vAlign w:val="center"/>
          </w:tcPr>
          <w:p w:rsidR="004B20E5" w:rsidRPr="008F09C7" w:rsidRDefault="004B20E5" w:rsidP="005B06A5">
            <w:pPr>
              <w:pStyle w:val="TableTitleBaseline2020Target"/>
            </w:pPr>
            <w:r w:rsidRPr="008F09C7">
              <w:t>2020 Target</w:t>
            </w:r>
          </w:p>
        </w:tc>
        <w:tc>
          <w:tcPr>
            <w:tcW w:w="1860" w:type="pct"/>
            <w:tcBorders>
              <w:top w:val="single" w:sz="4" w:space="0" w:color="auto"/>
              <w:bottom w:val="single" w:sz="4" w:space="0" w:color="auto"/>
            </w:tcBorders>
            <w:vAlign w:val="center"/>
          </w:tcPr>
          <w:p w:rsidR="004B20E5" w:rsidRPr="008F09C7" w:rsidRDefault="004B20E5" w:rsidP="005B06A5">
            <w:pPr>
              <w:pStyle w:val="TableTitleTargetDataSource"/>
            </w:pPr>
            <w:r w:rsidRPr="008F09C7">
              <w:t>Data Source</w:t>
            </w:r>
          </w:p>
        </w:tc>
      </w:tr>
      <w:tr w:rsidR="004B20E5" w:rsidRPr="008F09C7" w:rsidTr="005B06A5">
        <w:trPr>
          <w:cantSplit/>
        </w:trPr>
        <w:tc>
          <w:tcPr>
            <w:tcW w:w="1224" w:type="pct"/>
            <w:tcBorders>
              <w:top w:val="single" w:sz="4" w:space="0" w:color="auto"/>
              <w:bottom w:val="single" w:sz="4" w:space="0" w:color="auto"/>
            </w:tcBorders>
            <w:vAlign w:val="center"/>
          </w:tcPr>
          <w:p w:rsidR="004B20E5" w:rsidRPr="008F09C7" w:rsidRDefault="004B20E5" w:rsidP="005B06A5">
            <w:pPr>
              <w:pStyle w:val="TableOutcomeMeasure"/>
              <w:rPr>
                <w:rFonts w:cs="Arial"/>
              </w:rPr>
            </w:pPr>
            <w:r w:rsidRPr="008F09C7">
              <w:rPr>
                <w:rFonts w:cs="Arial"/>
              </w:rPr>
              <w:t>Stage +2 hospital acquired pressure ulcers</w:t>
            </w:r>
          </w:p>
        </w:tc>
        <w:tc>
          <w:tcPr>
            <w:tcW w:w="1011" w:type="pct"/>
            <w:tcBorders>
              <w:top w:val="single" w:sz="4" w:space="0" w:color="auto"/>
              <w:bottom w:val="single" w:sz="4" w:space="0" w:color="auto"/>
            </w:tcBorders>
            <w:vAlign w:val="center"/>
          </w:tcPr>
          <w:p w:rsidR="004B20E5" w:rsidRPr="008F09C7" w:rsidRDefault="004B20E5" w:rsidP="005B06A5">
            <w:pPr>
              <w:pStyle w:val="TableBaseline2020Target"/>
            </w:pPr>
            <w:r>
              <w:t>88</w:t>
            </w:r>
          </w:p>
        </w:tc>
        <w:tc>
          <w:tcPr>
            <w:tcW w:w="905" w:type="pct"/>
            <w:tcBorders>
              <w:top w:val="single" w:sz="4" w:space="0" w:color="auto"/>
              <w:bottom w:val="single" w:sz="4" w:space="0" w:color="auto"/>
            </w:tcBorders>
            <w:vAlign w:val="center"/>
          </w:tcPr>
          <w:p w:rsidR="004B20E5" w:rsidRPr="008F09C7" w:rsidRDefault="004B20E5" w:rsidP="005B06A5">
            <w:pPr>
              <w:pStyle w:val="TableBaseline2020Target"/>
            </w:pPr>
            <w:r>
              <w:t>79</w:t>
            </w:r>
          </w:p>
        </w:tc>
        <w:tc>
          <w:tcPr>
            <w:tcW w:w="1860" w:type="pct"/>
            <w:tcBorders>
              <w:top w:val="single" w:sz="4" w:space="0" w:color="auto"/>
              <w:bottom w:val="single" w:sz="4" w:space="0" w:color="auto"/>
            </w:tcBorders>
            <w:vAlign w:val="center"/>
          </w:tcPr>
          <w:p w:rsidR="004B20E5" w:rsidRPr="007947CF" w:rsidRDefault="004B20E5" w:rsidP="006218CA">
            <w:pPr>
              <w:pStyle w:val="TableDataSource"/>
            </w:pPr>
            <w:r w:rsidRPr="008F09C7">
              <w:t>SRE Annual Report: In the general hospitalized population the rate of Stage 2 or greater pressure ulcer is between 2-3%</w:t>
            </w:r>
          </w:p>
        </w:tc>
      </w:tr>
    </w:tbl>
    <w:p w:rsidR="004B20E5" w:rsidRDefault="004B20E5" w:rsidP="007947CF">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773D22">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Pr="008F09C7" w:rsidDel="00F67FD0" w:rsidRDefault="004B20E5" w:rsidP="005B06A5">
            <w:pPr>
              <w:pStyle w:val="TableOutcomeMeasure"/>
              <w:rPr>
                <w:rFonts w:cs="Arial"/>
              </w:rPr>
            </w:pPr>
            <w:r w:rsidRPr="008F09C7">
              <w:rPr>
                <w:rFonts w:cs="Arial"/>
              </w:rPr>
              <w:t>Number of reported hospital-acquired Stage III, IV or Unstageable Pressure Ulcers</w:t>
            </w:r>
          </w:p>
        </w:tc>
      </w:tr>
      <w:tr w:rsidR="004B20E5" w:rsidRPr="00666093" w:rsidDel="00F67FD0" w:rsidTr="00773D22">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Pr="008F09C7" w:rsidDel="00F67FD0" w:rsidRDefault="004B20E5" w:rsidP="005B06A5">
            <w:pPr>
              <w:pStyle w:val="TableOutcomeMeasure"/>
              <w:rPr>
                <w:rFonts w:cs="Arial"/>
              </w:rPr>
            </w:pPr>
            <w:r w:rsidRPr="008F09C7">
              <w:rPr>
                <w:rFonts w:cs="Arial"/>
              </w:rPr>
              <w:t>Number of patient</w:t>
            </w:r>
            <w:r w:rsidR="00A5793E">
              <w:rPr>
                <w:rFonts w:cs="Arial"/>
              </w:rPr>
              <w:t xml:space="preserve"> </w:t>
            </w:r>
            <w:r w:rsidRPr="008F09C7">
              <w:rPr>
                <w:rFonts w:cs="Arial"/>
              </w:rPr>
              <w:t>discharges at acute &amp; non-acute hospitals</w:t>
            </w:r>
          </w:p>
        </w:tc>
      </w:tr>
      <w:tr w:rsidR="004B20E5" w:rsidRPr="00666093" w:rsidDel="00F67FD0" w:rsidTr="00773D22">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8F09C7" w:rsidDel="00F67FD0" w:rsidRDefault="004B20E5" w:rsidP="005B06A5">
            <w:pPr>
              <w:pStyle w:val="TableOutcomeMeasure"/>
              <w:rPr>
                <w:rFonts w:cs="Arial"/>
              </w:rPr>
            </w:pPr>
            <w:r w:rsidRPr="008F09C7">
              <w:rPr>
                <w:rFonts w:cs="Arial"/>
              </w:rPr>
              <w:t>None</w:t>
            </w:r>
          </w:p>
        </w:tc>
      </w:tr>
      <w:tr w:rsidR="004B20E5" w:rsidRPr="00666093" w:rsidDel="00F67FD0" w:rsidTr="00773D22">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8F09C7" w:rsidDel="00F67FD0" w:rsidRDefault="004B20E5" w:rsidP="005B06A5">
            <w:pPr>
              <w:pStyle w:val="TableOutcomeMeasure"/>
              <w:rPr>
                <w:rFonts w:cs="Arial"/>
              </w:rPr>
            </w:pPr>
            <w:r w:rsidRPr="008F09C7">
              <w:rPr>
                <w:rFonts w:cs="Arial"/>
              </w:rPr>
              <w:t>Yearly</w:t>
            </w:r>
          </w:p>
        </w:tc>
      </w:tr>
      <w:tr w:rsidR="004B20E5" w:rsidRPr="00666093" w:rsidDel="00F67FD0" w:rsidTr="00773D22">
        <w:trPr>
          <w:cantSplit/>
        </w:trPr>
        <w:tc>
          <w:tcPr>
            <w:tcW w:w="1329" w:type="pct"/>
            <w:tcBorders>
              <w:bottom w:val="single" w:sz="4" w:space="0" w:color="auto"/>
            </w:tcBorders>
            <w:vAlign w:val="center"/>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Pr="008F09C7" w:rsidDel="00F67FD0" w:rsidRDefault="004B20E5" w:rsidP="005B06A5">
            <w:pPr>
              <w:pStyle w:val="TableOutcomeMeasure"/>
              <w:rPr>
                <w:rFonts w:cs="Arial"/>
              </w:rPr>
            </w:pPr>
            <w:r w:rsidRPr="008F09C7">
              <w:rPr>
                <w:rFonts w:cs="Arial"/>
              </w:rPr>
              <w:t>Annual SRE report</w:t>
            </w:r>
            <w:r w:rsidRPr="008F09C7">
              <w:rPr>
                <w:rFonts w:cs="Arial"/>
              </w:rPr>
              <w:br/>
              <w:t>(Calculation: 20% reduction of 2%; the lower bound of Stage 2+ hospital-acquired pressure ulcers)</w:t>
            </w:r>
          </w:p>
        </w:tc>
      </w:tr>
    </w:tbl>
    <w:p w:rsidR="004B20E5" w:rsidRDefault="004B20E5" w:rsidP="007947CF">
      <w:pPr>
        <w:pStyle w:val="StrategiesCategoryTitles"/>
      </w:pPr>
    </w:p>
    <w:p w:rsidR="004B20E5" w:rsidRDefault="004B20E5" w:rsidP="007C27A3">
      <w:pPr>
        <w:pStyle w:val="TableTenEssenHlthFunct"/>
      </w:pPr>
      <w:r>
        <w:t>Monitor Health to Identify and Solve Community Health Problems</w:t>
      </w:r>
    </w:p>
    <w:p w:rsidR="004B20E5" w:rsidRDefault="004B20E5" w:rsidP="007947CF">
      <w:pPr>
        <w:pStyle w:val="TableStrategiesunderHealthFunctions"/>
      </w:pPr>
      <w:r>
        <w:t>5.9.1</w:t>
      </w:r>
      <w:r>
        <w:tab/>
        <w:t>Collect SRE data from all hospital facilities (acute and non-acute).</w:t>
      </w:r>
    </w:p>
    <w:p w:rsidR="004B20E5" w:rsidRPr="006256D0" w:rsidRDefault="004B20E5" w:rsidP="007947CF">
      <w:pPr>
        <w:pStyle w:val="TableStrategiesunderHealthFunctions"/>
      </w:pPr>
      <w:r>
        <w:t>5.9.2</w:t>
      </w:r>
      <w:r>
        <w:tab/>
        <w:t>Track trends of SRE data to determine common themes.</w:t>
      </w:r>
    </w:p>
    <w:p w:rsidR="004B20E5" w:rsidRDefault="004B20E5" w:rsidP="007C27A3">
      <w:pPr>
        <w:pStyle w:val="TableTenEssenHlthFunct"/>
      </w:pPr>
      <w:r>
        <w:t xml:space="preserve">Inform, Educate, and Empower People About Health Issues </w:t>
      </w:r>
    </w:p>
    <w:p w:rsidR="004B20E5" w:rsidRPr="006256D0" w:rsidRDefault="004B20E5" w:rsidP="007947CF">
      <w:pPr>
        <w:pStyle w:val="TableStrategiesunderHealthFunctions"/>
      </w:pPr>
      <w:r w:rsidRPr="009A70B4">
        <w:rPr>
          <w:szCs w:val="22"/>
        </w:rPr>
        <w:t>5.</w:t>
      </w:r>
      <w:r>
        <w:rPr>
          <w:szCs w:val="22"/>
        </w:rPr>
        <w:t>9.3</w:t>
      </w:r>
      <w:r>
        <w:rPr>
          <w:szCs w:val="22"/>
        </w:rPr>
        <w:tab/>
      </w:r>
      <w:r w:rsidRPr="009A70B4">
        <w:t xml:space="preserve">Support efforts for </w:t>
      </w:r>
      <w:r>
        <w:t>education about SRE prevalence, sharing lessons learned, the importance of transparency and collaboration</w:t>
      </w:r>
      <w:r w:rsidRPr="009A70B4">
        <w:t>.</w:t>
      </w:r>
    </w:p>
    <w:p w:rsidR="004B20E5" w:rsidRDefault="004B20E5" w:rsidP="007C27A3">
      <w:pPr>
        <w:pStyle w:val="TableTenEssenHlthFunct"/>
      </w:pPr>
      <w:r>
        <w:t>Mobilize Community Partnerships to Identify and Solve Health Problems</w:t>
      </w:r>
    </w:p>
    <w:p w:rsidR="004B20E5" w:rsidRDefault="004B20E5" w:rsidP="007947CF">
      <w:pPr>
        <w:pStyle w:val="TableStrategiesunderHealthFunctions"/>
      </w:pPr>
      <w:r>
        <w:t>5.9.4</w:t>
      </w:r>
      <w:r w:rsidRPr="0046149F">
        <w:tab/>
      </w:r>
      <w:r>
        <w:t xml:space="preserve">Sustain and enhance collaborations among MDPH partners (injury prevention, health care facilities licensure and certification, policy and quality, as well as health professions licensure) and non-governmental partners/stakeholders to reduce the prevalence </w:t>
      </w:r>
      <w:r w:rsidR="00A5793E">
        <w:t xml:space="preserve">of </w:t>
      </w:r>
      <w:r>
        <w:t>serious reportable events.</w:t>
      </w:r>
    </w:p>
    <w:p w:rsidR="004B20E5" w:rsidRPr="006256D0" w:rsidRDefault="004B20E5" w:rsidP="007947CF">
      <w:pPr>
        <w:pStyle w:val="TableStrategiesunderHealthFunctions"/>
      </w:pPr>
      <w:r>
        <w:t>5.9.5</w:t>
      </w:r>
      <w:r>
        <w:tab/>
        <w:t>Support coalitions and partnerships to enhance and increase reporting of SREs and building joint efforts to minimize the impact of SREs.</w:t>
      </w:r>
    </w:p>
    <w:p w:rsidR="004B20E5" w:rsidRDefault="004B20E5" w:rsidP="007947CF">
      <w:pPr>
        <w:pStyle w:val="StrategiesCategoryTitles"/>
      </w:pPr>
    </w:p>
    <w:p w:rsidR="004B20E5" w:rsidRPr="008F09C7" w:rsidRDefault="004B20E5" w:rsidP="00CB2B0E">
      <w:pPr>
        <w:pStyle w:val="ObjectiveStatement"/>
      </w:pPr>
      <w:r w:rsidRPr="008F09C7">
        <w:t>Measure 5.</w:t>
      </w:r>
      <w:r>
        <w:t>10</w:t>
      </w:r>
      <w:r w:rsidRPr="008F09C7">
        <w:tab/>
      </w:r>
      <w:r w:rsidRPr="00C77D66">
        <w:t>Reduce the prevalence</w:t>
      </w:r>
      <w:r>
        <w:t xml:space="preserve"> of falls with serious injury or</w:t>
      </w:r>
      <w:r w:rsidRPr="00C77D66">
        <w:t xml:space="preserve"> death in acute and non-acute care hospitals</w:t>
      </w:r>
      <w:r w:rsidR="00A5793E">
        <w:t xml:space="preserve"> </w:t>
      </w:r>
      <w:r w:rsidRPr="00C77D66">
        <w:t xml:space="preserve">by </w:t>
      </w:r>
      <w:r>
        <w:t>10</w:t>
      </w:r>
      <w:r w:rsidRPr="00C77D66">
        <w:t>%.</w:t>
      </w:r>
    </w:p>
    <w:tbl>
      <w:tblPr>
        <w:tblW w:w="4108" w:type="pct"/>
        <w:tblInd w:w="1755" w:type="dxa"/>
        <w:tblLayout w:type="fixed"/>
        <w:tblLook w:val="00A0" w:firstRow="1" w:lastRow="0" w:firstColumn="1" w:lastColumn="0" w:noHBand="0" w:noVBand="0"/>
      </w:tblPr>
      <w:tblGrid>
        <w:gridCol w:w="2071"/>
        <w:gridCol w:w="1710"/>
        <w:gridCol w:w="1531"/>
        <w:gridCol w:w="3147"/>
      </w:tblGrid>
      <w:tr w:rsidR="004B20E5" w:rsidRPr="00666093" w:rsidTr="005B06A5">
        <w:trPr>
          <w:cantSplit/>
        </w:trPr>
        <w:tc>
          <w:tcPr>
            <w:tcW w:w="1224"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1011" w:type="pct"/>
            <w:tcBorders>
              <w:top w:val="single" w:sz="4" w:space="0" w:color="auto"/>
              <w:bottom w:val="single" w:sz="4" w:space="0" w:color="auto"/>
            </w:tcBorders>
            <w:vAlign w:val="center"/>
          </w:tcPr>
          <w:p w:rsidR="004B20E5" w:rsidRPr="00666093" w:rsidRDefault="004B20E5" w:rsidP="005B06A5">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5B06A5">
            <w:pPr>
              <w:pStyle w:val="TableTitleBaseline2020Target"/>
            </w:pPr>
            <w:r w:rsidRPr="00666093">
              <w:t>2020 Target</w:t>
            </w:r>
          </w:p>
        </w:tc>
        <w:tc>
          <w:tcPr>
            <w:tcW w:w="1860" w:type="pct"/>
            <w:tcBorders>
              <w:top w:val="single" w:sz="4" w:space="0" w:color="auto"/>
              <w:bottom w:val="single" w:sz="4" w:space="0" w:color="auto"/>
            </w:tcBorders>
            <w:vAlign w:val="center"/>
          </w:tcPr>
          <w:p w:rsidR="004B20E5" w:rsidRPr="00666093" w:rsidRDefault="004B20E5" w:rsidP="005B06A5">
            <w:pPr>
              <w:pStyle w:val="TableTitleTargetDataSource"/>
            </w:pPr>
            <w:r w:rsidRPr="00666093">
              <w:t>Data Source</w:t>
            </w:r>
          </w:p>
        </w:tc>
      </w:tr>
      <w:tr w:rsidR="004B20E5" w:rsidRPr="008F09C7" w:rsidTr="005B06A5">
        <w:trPr>
          <w:cantSplit/>
        </w:trPr>
        <w:tc>
          <w:tcPr>
            <w:tcW w:w="1224" w:type="pct"/>
            <w:tcBorders>
              <w:top w:val="single" w:sz="4" w:space="0" w:color="auto"/>
              <w:bottom w:val="single" w:sz="4" w:space="0" w:color="auto"/>
            </w:tcBorders>
            <w:vAlign w:val="center"/>
          </w:tcPr>
          <w:p w:rsidR="004B20E5" w:rsidRPr="008F09C7" w:rsidRDefault="004B20E5" w:rsidP="005B06A5">
            <w:pPr>
              <w:pStyle w:val="TableOutcomeMeasure"/>
              <w:rPr>
                <w:rFonts w:cs="Arial"/>
              </w:rPr>
            </w:pPr>
            <w:r w:rsidRPr="00C77D66">
              <w:rPr>
                <w:rFonts w:cs="Arial"/>
              </w:rPr>
              <w:t>Falls with serious injury or death</w:t>
            </w:r>
          </w:p>
        </w:tc>
        <w:tc>
          <w:tcPr>
            <w:tcW w:w="1011" w:type="pct"/>
            <w:tcBorders>
              <w:top w:val="single" w:sz="4" w:space="0" w:color="auto"/>
              <w:bottom w:val="single" w:sz="4" w:space="0" w:color="auto"/>
            </w:tcBorders>
            <w:vAlign w:val="center"/>
          </w:tcPr>
          <w:p w:rsidR="004B20E5" w:rsidRPr="008F09C7" w:rsidRDefault="004B20E5" w:rsidP="005B06A5">
            <w:pPr>
              <w:pStyle w:val="TableBaseline2020Target"/>
            </w:pPr>
            <w:r>
              <w:t>404</w:t>
            </w:r>
          </w:p>
        </w:tc>
        <w:tc>
          <w:tcPr>
            <w:tcW w:w="905" w:type="pct"/>
            <w:tcBorders>
              <w:top w:val="single" w:sz="4" w:space="0" w:color="auto"/>
              <w:bottom w:val="single" w:sz="4" w:space="0" w:color="auto"/>
            </w:tcBorders>
            <w:vAlign w:val="center"/>
          </w:tcPr>
          <w:p w:rsidR="004B20E5" w:rsidRPr="008F09C7" w:rsidRDefault="004B20E5" w:rsidP="005B06A5">
            <w:pPr>
              <w:pStyle w:val="TableBaseline2020Target"/>
            </w:pPr>
            <w:r>
              <w:t>361</w:t>
            </w:r>
          </w:p>
        </w:tc>
        <w:tc>
          <w:tcPr>
            <w:tcW w:w="1860" w:type="pct"/>
            <w:tcBorders>
              <w:top w:val="single" w:sz="4" w:space="0" w:color="auto"/>
              <w:bottom w:val="single" w:sz="4" w:space="0" w:color="auto"/>
            </w:tcBorders>
            <w:vAlign w:val="center"/>
          </w:tcPr>
          <w:p w:rsidR="004B20E5" w:rsidRPr="008F09C7" w:rsidRDefault="004B20E5" w:rsidP="007947CF">
            <w:pPr>
              <w:pStyle w:val="TableDataSource"/>
            </w:pPr>
            <w:r>
              <w:t>Annual SRE Report</w:t>
            </w:r>
          </w:p>
        </w:tc>
      </w:tr>
    </w:tbl>
    <w:p w:rsidR="004B20E5" w:rsidRDefault="004B20E5" w:rsidP="007947CF">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773D22">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Pr="008F09C7" w:rsidDel="00F67FD0" w:rsidRDefault="004B20E5" w:rsidP="005B06A5">
            <w:pPr>
              <w:pStyle w:val="TableOutcomeMeasure"/>
              <w:rPr>
                <w:rFonts w:cs="Arial"/>
              </w:rPr>
            </w:pPr>
            <w:r w:rsidRPr="00C77D66">
              <w:rPr>
                <w:rFonts w:cs="Arial"/>
              </w:rPr>
              <w:t>Number of reported falls with serious injury or death while a patient is being cared for in a hospital facility</w:t>
            </w:r>
          </w:p>
        </w:tc>
      </w:tr>
      <w:tr w:rsidR="004B20E5" w:rsidRPr="00666093" w:rsidDel="00F67FD0" w:rsidTr="00B6039F">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Pr="008F09C7" w:rsidDel="00F67FD0" w:rsidRDefault="004B20E5" w:rsidP="005B06A5">
            <w:pPr>
              <w:pStyle w:val="TableOutcomeMeasure"/>
              <w:rPr>
                <w:rFonts w:cs="Arial"/>
              </w:rPr>
            </w:pPr>
            <w:r w:rsidRPr="00C77D66">
              <w:rPr>
                <w:rFonts w:cs="Arial"/>
              </w:rPr>
              <w:t>Number of patient</w:t>
            </w:r>
            <w:r w:rsidR="00A5793E">
              <w:rPr>
                <w:rFonts w:cs="Arial"/>
              </w:rPr>
              <w:t xml:space="preserve"> </w:t>
            </w:r>
            <w:r w:rsidRPr="00C77D66">
              <w:rPr>
                <w:rFonts w:cs="Arial"/>
              </w:rPr>
              <w:t>days at acute &amp; non-acute hospitals</w:t>
            </w:r>
          </w:p>
        </w:tc>
      </w:tr>
      <w:tr w:rsidR="004B20E5" w:rsidRPr="00666093" w:rsidDel="00F67FD0" w:rsidTr="00773D22">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8F09C7" w:rsidDel="00F67FD0" w:rsidRDefault="004B20E5" w:rsidP="005B06A5">
            <w:pPr>
              <w:pStyle w:val="TableOutcomeMeasure"/>
              <w:rPr>
                <w:rFonts w:cs="Arial"/>
              </w:rPr>
            </w:pPr>
            <w:r w:rsidRPr="00C77D66">
              <w:rPr>
                <w:rFonts w:cs="Arial"/>
              </w:rPr>
              <w:t>None</w:t>
            </w:r>
          </w:p>
        </w:tc>
      </w:tr>
      <w:tr w:rsidR="004B20E5" w:rsidRPr="00666093" w:rsidDel="00F67FD0" w:rsidTr="00773D22">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8F09C7" w:rsidDel="00F67FD0" w:rsidRDefault="004B20E5" w:rsidP="005B06A5">
            <w:pPr>
              <w:pStyle w:val="TableOutcomeMeasure"/>
              <w:rPr>
                <w:rFonts w:cs="Arial"/>
              </w:rPr>
            </w:pPr>
            <w:r w:rsidRPr="008F09C7">
              <w:rPr>
                <w:rFonts w:cs="Arial"/>
              </w:rPr>
              <w:t>Yearly</w:t>
            </w:r>
          </w:p>
        </w:tc>
      </w:tr>
      <w:tr w:rsidR="004B20E5" w:rsidRPr="00666093" w:rsidDel="00F67FD0" w:rsidTr="00773D22">
        <w:trPr>
          <w:cantSplit/>
        </w:trPr>
        <w:tc>
          <w:tcPr>
            <w:tcW w:w="1329" w:type="pct"/>
            <w:tcBorders>
              <w:bottom w:val="single" w:sz="4" w:space="0" w:color="auto"/>
            </w:tcBorders>
            <w:vAlign w:val="center"/>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Pr="008F09C7" w:rsidDel="00F67FD0" w:rsidRDefault="004B20E5" w:rsidP="005B06A5">
            <w:pPr>
              <w:pStyle w:val="TableOutcomeMeasure"/>
              <w:rPr>
                <w:rFonts w:cs="Arial"/>
              </w:rPr>
            </w:pPr>
            <w:r w:rsidRPr="00C77D66">
              <w:rPr>
                <w:rFonts w:cs="Arial"/>
              </w:rPr>
              <w:t>Annual SRE report</w:t>
            </w:r>
            <w:r w:rsidRPr="00C77D66">
              <w:rPr>
                <w:rFonts w:cs="Arial"/>
              </w:rPr>
              <w:br/>
              <w:t>Calculation: 30% of 4.15 (mean value of reported prevalence in literature) is 1.4 falls with injury per 1000 patient days)</w:t>
            </w:r>
          </w:p>
        </w:tc>
      </w:tr>
    </w:tbl>
    <w:p w:rsidR="004B20E5" w:rsidRDefault="004B20E5" w:rsidP="007947CF">
      <w:pPr>
        <w:pStyle w:val="StrategiesCategoryTitles"/>
      </w:pPr>
    </w:p>
    <w:p w:rsidR="004B20E5" w:rsidRDefault="004B20E5" w:rsidP="007C27A3">
      <w:pPr>
        <w:pStyle w:val="TableTenEssenHlthFunct"/>
      </w:pPr>
      <w:r>
        <w:t>Monitor Health to Identify and Solve Community Health Problems</w:t>
      </w:r>
    </w:p>
    <w:p w:rsidR="004B20E5" w:rsidRDefault="004B20E5" w:rsidP="007947CF">
      <w:pPr>
        <w:pStyle w:val="TableStrategiesunderHealthFunctions"/>
      </w:pPr>
      <w:r>
        <w:t>5.10.1</w:t>
      </w:r>
      <w:r>
        <w:tab/>
        <w:t>Collect SRE data from all hospital facilities (acute and non-acute).</w:t>
      </w:r>
    </w:p>
    <w:p w:rsidR="004B20E5" w:rsidRPr="006256D0" w:rsidRDefault="004B20E5" w:rsidP="007947CF">
      <w:pPr>
        <w:pStyle w:val="TableStrategiesunderHealthFunctions"/>
      </w:pPr>
      <w:r>
        <w:t>5.10.2</w:t>
      </w:r>
      <w:r>
        <w:tab/>
        <w:t>Track trends of SRE data to determine common themes.</w:t>
      </w:r>
    </w:p>
    <w:p w:rsidR="004B20E5" w:rsidRDefault="004B20E5" w:rsidP="007C27A3">
      <w:pPr>
        <w:pStyle w:val="TableTenEssenHlthFunct"/>
      </w:pPr>
      <w:r>
        <w:t xml:space="preserve">Inform, Educate, and Empower People About Health Issues </w:t>
      </w:r>
    </w:p>
    <w:p w:rsidR="004B20E5" w:rsidRPr="006256D0" w:rsidRDefault="004B20E5" w:rsidP="007947CF">
      <w:pPr>
        <w:pStyle w:val="TableStrategiesunderHealthFunctions"/>
      </w:pPr>
      <w:r w:rsidRPr="009A70B4">
        <w:rPr>
          <w:szCs w:val="22"/>
        </w:rPr>
        <w:t>5.</w:t>
      </w:r>
      <w:r>
        <w:rPr>
          <w:szCs w:val="22"/>
        </w:rPr>
        <w:t>10.3</w:t>
      </w:r>
      <w:r>
        <w:rPr>
          <w:szCs w:val="22"/>
        </w:rPr>
        <w:tab/>
      </w:r>
      <w:r w:rsidRPr="009A70B4">
        <w:t xml:space="preserve">Support efforts for </w:t>
      </w:r>
      <w:r>
        <w:t>education about SRE prevalence, sharing lessons learned, the importance of transparency and collaboration</w:t>
      </w:r>
      <w:r w:rsidRPr="009A70B4">
        <w:t>.</w:t>
      </w:r>
    </w:p>
    <w:p w:rsidR="004B20E5" w:rsidRDefault="004B20E5" w:rsidP="00B92112">
      <w:pPr>
        <w:pStyle w:val="TableStrategiesunderHealthFunctions"/>
      </w:pPr>
      <w:r>
        <w:t>5.10.4</w:t>
      </w:r>
      <w:r>
        <w:tab/>
        <w:t>Educate Quality Improvement Staff at hospitals to identify units where falls are more prevalent and target areas for improvement.</w:t>
      </w:r>
    </w:p>
    <w:p w:rsidR="004B20E5" w:rsidRDefault="004B20E5" w:rsidP="007C27A3">
      <w:pPr>
        <w:pStyle w:val="TableTenEssenHlthFunct"/>
      </w:pPr>
      <w:r>
        <w:t>Mobilize Community Partnerships to Identify and Solve Health Problems</w:t>
      </w:r>
    </w:p>
    <w:p w:rsidR="004B20E5" w:rsidRDefault="004B20E5" w:rsidP="007947CF">
      <w:pPr>
        <w:pStyle w:val="TableStrategiesunderHealthFunctions"/>
      </w:pPr>
      <w:r>
        <w:t>5.10.5</w:t>
      </w:r>
      <w:r w:rsidRPr="0046149F">
        <w:tab/>
      </w:r>
      <w:r>
        <w:t>Sustain and enhance collaborations among MDPH partners (injury prevention, health care facilities licensure and certification, policy and quality, as well as health professions licensure) and non-governmental partners/stakeholders to reduce the prevalence serious reportable events.</w:t>
      </w:r>
    </w:p>
    <w:p w:rsidR="004B20E5" w:rsidRDefault="004B20E5" w:rsidP="007947CF"/>
    <w:p w:rsidR="004B20E5" w:rsidRDefault="004B20E5" w:rsidP="00850B92">
      <w:r>
        <w:br w:type="page"/>
      </w:r>
    </w:p>
    <w:p w:rsidR="004B20E5" w:rsidRDefault="004B20E5" w:rsidP="00CB2B0E">
      <w:pPr>
        <w:pStyle w:val="ObjectiveStatement"/>
      </w:pPr>
      <w:r w:rsidRPr="00C77D66">
        <w:t>Measure 5.</w:t>
      </w:r>
      <w:r>
        <w:t>11</w:t>
      </w:r>
      <w:r w:rsidRPr="00C77D66">
        <w:tab/>
        <w:t>Reduce the prevalence of wrong site or side procedures and surgeries in acute and non-acute care hospitals and ambulatory surgical centers</w:t>
      </w:r>
      <w:r w:rsidR="00A5793E">
        <w:t xml:space="preserve"> </w:t>
      </w:r>
      <w:r w:rsidRPr="00C77D66">
        <w:t xml:space="preserve">by </w:t>
      </w:r>
      <w:r>
        <w:t>10</w:t>
      </w:r>
      <w:r w:rsidRPr="00C77D66">
        <w:t>%. </w:t>
      </w:r>
    </w:p>
    <w:p w:rsidR="004B20E5" w:rsidRPr="007947CF" w:rsidRDefault="004B20E5" w:rsidP="007947CF">
      <w:pPr>
        <w:pStyle w:val="BodyText"/>
      </w:pPr>
    </w:p>
    <w:tbl>
      <w:tblPr>
        <w:tblW w:w="4108" w:type="pct"/>
        <w:tblInd w:w="1755" w:type="dxa"/>
        <w:tblLayout w:type="fixed"/>
        <w:tblLook w:val="00A0" w:firstRow="1" w:lastRow="0" w:firstColumn="1" w:lastColumn="0" w:noHBand="0" w:noVBand="0"/>
      </w:tblPr>
      <w:tblGrid>
        <w:gridCol w:w="2071"/>
        <w:gridCol w:w="1710"/>
        <w:gridCol w:w="1531"/>
        <w:gridCol w:w="3147"/>
      </w:tblGrid>
      <w:tr w:rsidR="004B20E5" w:rsidRPr="00666093" w:rsidTr="005B06A5">
        <w:trPr>
          <w:cantSplit/>
        </w:trPr>
        <w:tc>
          <w:tcPr>
            <w:tcW w:w="1224"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1011" w:type="pct"/>
            <w:tcBorders>
              <w:top w:val="single" w:sz="4" w:space="0" w:color="auto"/>
              <w:bottom w:val="single" w:sz="4" w:space="0" w:color="auto"/>
            </w:tcBorders>
            <w:vAlign w:val="center"/>
          </w:tcPr>
          <w:p w:rsidR="004B20E5" w:rsidRPr="00666093" w:rsidRDefault="004B20E5" w:rsidP="005B06A5">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5B06A5">
            <w:pPr>
              <w:pStyle w:val="TableTitleBaseline2020Target"/>
            </w:pPr>
            <w:r w:rsidRPr="00666093">
              <w:t>2020 Target</w:t>
            </w:r>
          </w:p>
        </w:tc>
        <w:tc>
          <w:tcPr>
            <w:tcW w:w="1860" w:type="pct"/>
            <w:tcBorders>
              <w:top w:val="single" w:sz="4" w:space="0" w:color="auto"/>
              <w:bottom w:val="single" w:sz="4" w:space="0" w:color="auto"/>
            </w:tcBorders>
            <w:vAlign w:val="center"/>
          </w:tcPr>
          <w:p w:rsidR="004B20E5" w:rsidRPr="00666093" w:rsidRDefault="004B20E5" w:rsidP="005B06A5">
            <w:pPr>
              <w:pStyle w:val="TableTitleTargetDataSource"/>
            </w:pPr>
            <w:r w:rsidRPr="00666093">
              <w:t>Data Source</w:t>
            </w:r>
          </w:p>
        </w:tc>
      </w:tr>
      <w:tr w:rsidR="004B20E5" w:rsidRPr="00C77D66" w:rsidTr="005B06A5">
        <w:trPr>
          <w:cantSplit/>
        </w:trPr>
        <w:tc>
          <w:tcPr>
            <w:tcW w:w="1224" w:type="pct"/>
            <w:tcBorders>
              <w:top w:val="single" w:sz="4" w:space="0" w:color="auto"/>
              <w:bottom w:val="single" w:sz="4" w:space="0" w:color="auto"/>
            </w:tcBorders>
            <w:vAlign w:val="center"/>
          </w:tcPr>
          <w:p w:rsidR="004B20E5" w:rsidRPr="00C77D66" w:rsidRDefault="004B20E5" w:rsidP="005B06A5">
            <w:pPr>
              <w:pStyle w:val="TableOutcomeMeasure"/>
              <w:rPr>
                <w:rFonts w:cs="Arial"/>
              </w:rPr>
            </w:pPr>
            <w:r w:rsidRPr="00C77D66">
              <w:rPr>
                <w:rFonts w:cs="Arial"/>
              </w:rPr>
              <w:t>Wrong site or side procedures and surgeries</w:t>
            </w:r>
          </w:p>
        </w:tc>
        <w:tc>
          <w:tcPr>
            <w:tcW w:w="1011" w:type="pct"/>
            <w:tcBorders>
              <w:top w:val="single" w:sz="4" w:space="0" w:color="auto"/>
              <w:bottom w:val="single" w:sz="4" w:space="0" w:color="auto"/>
            </w:tcBorders>
            <w:vAlign w:val="center"/>
          </w:tcPr>
          <w:p w:rsidR="004B20E5" w:rsidRPr="00C77D66" w:rsidRDefault="004B20E5" w:rsidP="005B06A5">
            <w:pPr>
              <w:pStyle w:val="TableBaseline2020Target"/>
            </w:pPr>
            <w:r>
              <w:t>34</w:t>
            </w:r>
          </w:p>
        </w:tc>
        <w:tc>
          <w:tcPr>
            <w:tcW w:w="905" w:type="pct"/>
            <w:tcBorders>
              <w:top w:val="single" w:sz="4" w:space="0" w:color="auto"/>
              <w:bottom w:val="single" w:sz="4" w:space="0" w:color="auto"/>
            </w:tcBorders>
            <w:vAlign w:val="center"/>
          </w:tcPr>
          <w:p w:rsidR="004B20E5" w:rsidRPr="00C77D66" w:rsidRDefault="004B20E5" w:rsidP="006218CA">
            <w:pPr>
              <w:pStyle w:val="TableBaseline2020Target"/>
            </w:pPr>
            <w:r>
              <w:t>31</w:t>
            </w:r>
          </w:p>
        </w:tc>
        <w:tc>
          <w:tcPr>
            <w:tcW w:w="1860" w:type="pct"/>
            <w:tcBorders>
              <w:top w:val="single" w:sz="4" w:space="0" w:color="auto"/>
              <w:bottom w:val="single" w:sz="4" w:space="0" w:color="auto"/>
            </w:tcBorders>
            <w:vAlign w:val="center"/>
          </w:tcPr>
          <w:p w:rsidR="004B20E5" w:rsidRPr="00C77D66" w:rsidRDefault="004B20E5" w:rsidP="000353C3">
            <w:pPr>
              <w:pStyle w:val="TableDataSource"/>
            </w:pPr>
            <w:r>
              <w:t xml:space="preserve">2013 Annual SRE report </w:t>
            </w:r>
          </w:p>
        </w:tc>
      </w:tr>
    </w:tbl>
    <w:p w:rsidR="004B20E5" w:rsidRDefault="004B20E5" w:rsidP="007947CF">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773D22">
        <w:trPr>
          <w:cantSplit/>
        </w:trPr>
        <w:tc>
          <w:tcPr>
            <w:tcW w:w="1329" w:type="pct"/>
            <w:tcBorders>
              <w:top w:val="single" w:sz="4" w:space="0" w:color="auto"/>
            </w:tcBorders>
          </w:tcPr>
          <w:p w:rsidR="004B20E5" w:rsidRPr="009171C7" w:rsidDel="00F67FD0" w:rsidRDefault="004B20E5" w:rsidP="005B06A5">
            <w:pPr>
              <w:pStyle w:val="TableTitleNumeratoretc"/>
            </w:pPr>
            <w:r w:rsidRPr="00A367E5">
              <w:t>Numerator</w:t>
            </w:r>
            <w:r>
              <w:t>:</w:t>
            </w:r>
          </w:p>
        </w:tc>
        <w:tc>
          <w:tcPr>
            <w:tcW w:w="3671" w:type="pct"/>
            <w:tcBorders>
              <w:top w:val="single" w:sz="4" w:space="0" w:color="auto"/>
            </w:tcBorders>
            <w:vAlign w:val="center"/>
          </w:tcPr>
          <w:p w:rsidR="004B20E5" w:rsidRPr="00C77D66" w:rsidDel="00F67FD0" w:rsidRDefault="004B20E5" w:rsidP="005B06A5">
            <w:pPr>
              <w:pStyle w:val="TableOutcomeMeasure"/>
              <w:rPr>
                <w:rFonts w:cs="Arial"/>
              </w:rPr>
            </w:pPr>
            <w:r w:rsidRPr="00C77D66">
              <w:rPr>
                <w:rFonts w:cs="Arial"/>
              </w:rPr>
              <w:t>Number of reported wrong site and side procedures or surgeries in a hospital or ambu</w:t>
            </w:r>
            <w:r>
              <w:rPr>
                <w:rFonts w:cs="Arial"/>
              </w:rPr>
              <w:t>latory surgical center facility</w:t>
            </w:r>
          </w:p>
        </w:tc>
      </w:tr>
      <w:tr w:rsidR="004B20E5" w:rsidRPr="00666093" w:rsidDel="00F67FD0" w:rsidTr="00773D22">
        <w:trPr>
          <w:cantSplit/>
        </w:trPr>
        <w:tc>
          <w:tcPr>
            <w:tcW w:w="1329" w:type="pct"/>
          </w:tcPr>
          <w:p w:rsidR="004B20E5" w:rsidRPr="009171C7" w:rsidDel="00F67FD0" w:rsidRDefault="004B20E5" w:rsidP="005B06A5">
            <w:pPr>
              <w:pStyle w:val="TableTitleNumeratoretc"/>
            </w:pPr>
            <w:r w:rsidRPr="00A367E5">
              <w:t>Denominator</w:t>
            </w:r>
            <w:r>
              <w:t>:</w:t>
            </w:r>
          </w:p>
        </w:tc>
        <w:tc>
          <w:tcPr>
            <w:tcW w:w="3671" w:type="pct"/>
            <w:vAlign w:val="center"/>
          </w:tcPr>
          <w:p w:rsidR="004B20E5" w:rsidRPr="00C77D66" w:rsidDel="00F67FD0" w:rsidRDefault="004B20E5" w:rsidP="005B06A5">
            <w:pPr>
              <w:pStyle w:val="TableOutcomeMeasure"/>
              <w:rPr>
                <w:rFonts w:cs="Arial"/>
              </w:rPr>
            </w:pPr>
            <w:r w:rsidRPr="00C77D66">
              <w:rPr>
                <w:rFonts w:cs="Arial"/>
              </w:rPr>
              <w:t>Number of surgeries or procedures at acute &amp; non-acute hospitals, &amp; ambulatory surgical centers</w:t>
            </w:r>
          </w:p>
        </w:tc>
      </w:tr>
      <w:tr w:rsidR="004B20E5" w:rsidRPr="00666093" w:rsidDel="00F67FD0" w:rsidTr="00773D22">
        <w:trPr>
          <w:cantSplit/>
        </w:trPr>
        <w:tc>
          <w:tcPr>
            <w:tcW w:w="1329" w:type="pct"/>
          </w:tcPr>
          <w:p w:rsidR="004B20E5" w:rsidRPr="009171C7" w:rsidDel="00F67FD0" w:rsidRDefault="004B20E5" w:rsidP="005B06A5">
            <w:pPr>
              <w:pStyle w:val="TableTitleNumeratoretc"/>
            </w:pPr>
            <w:r w:rsidRPr="00A367E5">
              <w:t>Exclusions</w:t>
            </w:r>
            <w:r>
              <w:t>:</w:t>
            </w:r>
          </w:p>
        </w:tc>
        <w:tc>
          <w:tcPr>
            <w:tcW w:w="3671" w:type="pct"/>
            <w:vAlign w:val="center"/>
          </w:tcPr>
          <w:p w:rsidR="004B20E5" w:rsidRPr="00C77D66" w:rsidDel="00F67FD0" w:rsidRDefault="004B20E5" w:rsidP="005B06A5">
            <w:pPr>
              <w:pStyle w:val="TableOutcomeMeasure"/>
              <w:rPr>
                <w:rFonts w:cs="Arial"/>
              </w:rPr>
            </w:pPr>
            <w:r w:rsidRPr="00C77D66">
              <w:rPr>
                <w:rFonts w:cs="Arial"/>
              </w:rPr>
              <w:t>None</w:t>
            </w:r>
          </w:p>
        </w:tc>
      </w:tr>
      <w:tr w:rsidR="004B20E5" w:rsidRPr="00666093" w:rsidDel="00F67FD0" w:rsidTr="00773D22">
        <w:trPr>
          <w:cantSplit/>
        </w:trPr>
        <w:tc>
          <w:tcPr>
            <w:tcW w:w="1329" w:type="pct"/>
            <w:vAlign w:val="center"/>
          </w:tcPr>
          <w:p w:rsidR="004B20E5" w:rsidRPr="009171C7" w:rsidDel="00F67FD0" w:rsidRDefault="004B20E5" w:rsidP="005B06A5">
            <w:pPr>
              <w:pStyle w:val="TableTitleNumeratoretc"/>
            </w:pPr>
            <w:r w:rsidRPr="00F67FD0">
              <w:t>Timeframe</w:t>
            </w:r>
            <w:r>
              <w:t>:</w:t>
            </w:r>
          </w:p>
        </w:tc>
        <w:tc>
          <w:tcPr>
            <w:tcW w:w="3671" w:type="pct"/>
            <w:vAlign w:val="center"/>
          </w:tcPr>
          <w:p w:rsidR="004B20E5" w:rsidRPr="00C77D66" w:rsidDel="00F67FD0" w:rsidRDefault="004B20E5" w:rsidP="005B06A5">
            <w:pPr>
              <w:pStyle w:val="TableOutcomeMeasure"/>
              <w:rPr>
                <w:rFonts w:cs="Arial"/>
              </w:rPr>
            </w:pPr>
            <w:r w:rsidRPr="00C77D66">
              <w:rPr>
                <w:rFonts w:cs="Arial"/>
              </w:rPr>
              <w:t>Yearly</w:t>
            </w:r>
          </w:p>
        </w:tc>
      </w:tr>
      <w:tr w:rsidR="004B20E5" w:rsidRPr="00666093" w:rsidDel="00F67FD0" w:rsidTr="00773D22">
        <w:trPr>
          <w:cantSplit/>
        </w:trPr>
        <w:tc>
          <w:tcPr>
            <w:tcW w:w="1329" w:type="pct"/>
            <w:tcBorders>
              <w:bottom w:val="single" w:sz="4" w:space="0" w:color="auto"/>
            </w:tcBorders>
            <w:vAlign w:val="center"/>
          </w:tcPr>
          <w:p w:rsidR="004B20E5" w:rsidRPr="009171C7" w:rsidDel="00F67FD0" w:rsidRDefault="004B20E5" w:rsidP="005B06A5">
            <w:pPr>
              <w:pStyle w:val="TableTitleNumeratoretc"/>
            </w:pPr>
            <w:r w:rsidRPr="00F67FD0">
              <w:t>How will this be measured?</w:t>
            </w:r>
          </w:p>
        </w:tc>
        <w:tc>
          <w:tcPr>
            <w:tcW w:w="3671" w:type="pct"/>
            <w:tcBorders>
              <w:bottom w:val="single" w:sz="4" w:space="0" w:color="auto"/>
            </w:tcBorders>
            <w:vAlign w:val="center"/>
          </w:tcPr>
          <w:p w:rsidR="004B20E5" w:rsidRPr="00C77D66" w:rsidDel="00F67FD0" w:rsidRDefault="004B20E5" w:rsidP="005B06A5">
            <w:pPr>
              <w:pStyle w:val="TableOutcomeMeasure"/>
              <w:rPr>
                <w:rFonts w:cs="Arial"/>
              </w:rPr>
            </w:pPr>
            <w:r w:rsidRPr="00C77D66">
              <w:rPr>
                <w:rFonts w:cs="Arial"/>
              </w:rPr>
              <w:t>Hospital reported occurrences in Health Care Facility Reporting System and CHIA Discharge Casemix Database</w:t>
            </w:r>
          </w:p>
        </w:tc>
      </w:tr>
    </w:tbl>
    <w:p w:rsidR="004B20E5" w:rsidRDefault="004B20E5" w:rsidP="007947CF">
      <w:pPr>
        <w:pStyle w:val="StrategiesCategoryTitles"/>
      </w:pPr>
    </w:p>
    <w:p w:rsidR="004B20E5" w:rsidRDefault="004B20E5" w:rsidP="007C27A3">
      <w:pPr>
        <w:pStyle w:val="TableTenEssenHlthFunct"/>
      </w:pPr>
      <w:r>
        <w:t>Monitor Health to Identify and Solve Community Health Problems</w:t>
      </w:r>
    </w:p>
    <w:p w:rsidR="004B20E5" w:rsidRDefault="004B20E5" w:rsidP="00AE1654">
      <w:pPr>
        <w:pStyle w:val="TableStrategiesunderHealthFunctions"/>
      </w:pPr>
      <w:r>
        <w:t>5.11.1</w:t>
      </w:r>
      <w:r>
        <w:tab/>
        <w:t>Work with hospital facilities (acute and non-acute) to encourage reporting of these SREs and awareness that reporting will help provide an understanding of how to target process issues.</w:t>
      </w:r>
    </w:p>
    <w:p w:rsidR="004B20E5" w:rsidRPr="006256D0" w:rsidRDefault="004B20E5" w:rsidP="00AE1654">
      <w:pPr>
        <w:pStyle w:val="TableStrategiesunderHealthFunctions"/>
      </w:pPr>
      <w:r>
        <w:t>5.11.2</w:t>
      </w:r>
      <w:r>
        <w:tab/>
        <w:t xml:space="preserve">Statewide, review the data to see if some procedures are more often repeated. </w:t>
      </w:r>
    </w:p>
    <w:p w:rsidR="004B20E5" w:rsidRDefault="004B20E5" w:rsidP="007C27A3">
      <w:pPr>
        <w:pStyle w:val="TableTenEssenHlthFunct"/>
      </w:pPr>
      <w:r>
        <w:t xml:space="preserve">Inform, Educate, and Empower People About Health Issues </w:t>
      </w:r>
    </w:p>
    <w:p w:rsidR="004B20E5" w:rsidRDefault="004B20E5" w:rsidP="00AE1654">
      <w:pPr>
        <w:pStyle w:val="TableStrategiesunderHealthFunctions"/>
      </w:pPr>
      <w:r w:rsidRPr="009A70B4">
        <w:rPr>
          <w:szCs w:val="22"/>
        </w:rPr>
        <w:t>5.</w:t>
      </w:r>
      <w:r>
        <w:rPr>
          <w:szCs w:val="22"/>
        </w:rPr>
        <w:t>11.3</w:t>
      </w:r>
      <w:r>
        <w:rPr>
          <w:szCs w:val="22"/>
        </w:rPr>
        <w:tab/>
      </w:r>
      <w:r w:rsidRPr="009A70B4">
        <w:t xml:space="preserve">Support efforts for </w:t>
      </w:r>
      <w:r>
        <w:t>education about wrong site and side procedures or surgery prevalence, sharing lessons learned, the importance of transparency and collaboration</w:t>
      </w:r>
      <w:r w:rsidRPr="009A70B4">
        <w:t>.</w:t>
      </w:r>
    </w:p>
    <w:p w:rsidR="004B20E5" w:rsidRPr="006256D0" w:rsidRDefault="004B20E5" w:rsidP="00AE1654">
      <w:pPr>
        <w:pStyle w:val="TableStrategiesunderHealthFunctions"/>
      </w:pPr>
      <w:r>
        <w:t xml:space="preserve">5.11.4 </w:t>
      </w:r>
      <w:r>
        <w:tab/>
        <w:t xml:space="preserve">Work with national organizations that provide education and support to hospitals to decrease wrong site or wrong side procedures or surgeries. </w:t>
      </w:r>
    </w:p>
    <w:p w:rsidR="004B20E5" w:rsidRDefault="004B20E5" w:rsidP="007C27A3">
      <w:pPr>
        <w:pStyle w:val="TableTenEssenHlthFunct"/>
      </w:pPr>
      <w:r>
        <w:t>Mobilize Community Partnerships And Action</w:t>
      </w:r>
    </w:p>
    <w:p w:rsidR="004B20E5" w:rsidRDefault="004B20E5" w:rsidP="00AE1654">
      <w:pPr>
        <w:pStyle w:val="TableStrategiesunderHealthFunctions"/>
      </w:pPr>
      <w:r>
        <w:t>5.11.5</w:t>
      </w:r>
      <w:r w:rsidRPr="0046149F">
        <w:tab/>
      </w:r>
      <w:r>
        <w:t>Sustain and enhance collaborations among MDPH partners (injury prevention, health care facilities licensure and certification, policy and quality, as well as health professions licensure) and non-governmental partners/stakeholders to reduce the prevalence serious reportable events.</w:t>
      </w:r>
    </w:p>
    <w:p w:rsidR="004B20E5" w:rsidRDefault="004B20E5" w:rsidP="00AE1654">
      <w:pPr>
        <w:pStyle w:val="TableStrategiesunderHealthFunctions"/>
      </w:pPr>
      <w:r>
        <w:t>5.11.6</w:t>
      </w:r>
      <w:r>
        <w:tab/>
        <w:t>Support coalitions and partnerships to enhance and increase reporting of wrong site or wrong side procedures or surgeries.</w:t>
      </w:r>
    </w:p>
    <w:p w:rsidR="004B20E5" w:rsidRPr="006256D0" w:rsidRDefault="004B20E5" w:rsidP="00AE1654">
      <w:pPr>
        <w:pStyle w:val="TableStrategiesunderHealthFunctions"/>
      </w:pPr>
      <w:r>
        <w:t>5.11.7</w:t>
      </w:r>
      <w:r>
        <w:tab/>
        <w:t>Build joint efforts to minimize the impact of SREs.</w:t>
      </w:r>
    </w:p>
    <w:p w:rsidR="004B20E5" w:rsidRPr="0046149F" w:rsidRDefault="004B20E5" w:rsidP="00D00411">
      <w:pPr>
        <w:pStyle w:val="TableStrategiesunderHealthFunctions"/>
      </w:pPr>
    </w:p>
    <w:p w:rsidR="004B20E5" w:rsidRDefault="004B20E5" w:rsidP="00571897">
      <w:pPr>
        <w:pStyle w:val="PartnersTitle"/>
      </w:pPr>
      <w:r>
        <w:br w:type="page"/>
      </w:r>
    </w:p>
    <w:p w:rsidR="004B20E5" w:rsidRPr="00571897" w:rsidRDefault="004B20E5" w:rsidP="00571897">
      <w:pPr>
        <w:pStyle w:val="PartnersTitle"/>
      </w:pPr>
      <w:r w:rsidRPr="00571897">
        <w:t>Partners/Resources for Injury, Suicide, and Violence</w:t>
      </w:r>
      <w:r>
        <w:t xml:space="preserve"> Prevention</w:t>
      </w:r>
    </w:p>
    <w:p w:rsidR="004B20E5" w:rsidRPr="00AF0910" w:rsidRDefault="004B20E5" w:rsidP="00720984">
      <w:pPr>
        <w:pStyle w:val="Partners"/>
      </w:pPr>
      <w:r w:rsidRPr="00AF0910">
        <w:t>Academic researchers</w:t>
      </w:r>
    </w:p>
    <w:p w:rsidR="004B20E5" w:rsidRPr="00AF0910" w:rsidRDefault="004B20E5" w:rsidP="00720984">
      <w:pPr>
        <w:pStyle w:val="Partners"/>
      </w:pPr>
      <w:r w:rsidRPr="00AF0910">
        <w:t>After school programs</w:t>
      </w:r>
    </w:p>
    <w:p w:rsidR="00427832" w:rsidRPr="00427832" w:rsidRDefault="00427832" w:rsidP="00427832">
      <w:pPr>
        <w:pStyle w:val="Partners"/>
      </w:pPr>
      <w:r w:rsidRPr="00427832">
        <w:t>American Association of Retired Persons (AARP)</w:t>
      </w:r>
    </w:p>
    <w:p w:rsidR="004B20E5" w:rsidRDefault="004B20E5" w:rsidP="00720984">
      <w:pPr>
        <w:pStyle w:val="Partners"/>
      </w:pPr>
      <w:r w:rsidRPr="00AF0910">
        <w:t>A</w:t>
      </w:r>
      <w:r w:rsidR="00427832">
        <w:t>merican Society of Safety Engineers</w:t>
      </w:r>
    </w:p>
    <w:p w:rsidR="004B20E5" w:rsidRPr="00AF0910" w:rsidRDefault="004B20E5" w:rsidP="00720984">
      <w:pPr>
        <w:pStyle w:val="Partners"/>
      </w:pPr>
      <w:r w:rsidRPr="00AF0910">
        <w:t>Businesses</w:t>
      </w:r>
    </w:p>
    <w:p w:rsidR="004B20E5" w:rsidRDefault="004B20E5" w:rsidP="00E94769">
      <w:pPr>
        <w:pStyle w:val="Partners"/>
      </w:pPr>
      <w:r>
        <w:t>Brain Injury Association of Massachusetts (BIA-MA)</w:t>
      </w:r>
    </w:p>
    <w:p w:rsidR="004B20E5" w:rsidRPr="00AF0910" w:rsidRDefault="004B20E5" w:rsidP="00720984">
      <w:pPr>
        <w:pStyle w:val="Partners"/>
      </w:pPr>
      <w:r w:rsidRPr="00AF0910">
        <w:t>CBOs serving newcomer groups</w:t>
      </w:r>
    </w:p>
    <w:p w:rsidR="004B20E5" w:rsidRPr="00AF0910" w:rsidRDefault="004B20E5" w:rsidP="00720984">
      <w:pPr>
        <w:pStyle w:val="Partners"/>
      </w:pPr>
      <w:r>
        <w:t>C</w:t>
      </w:r>
      <w:r w:rsidRPr="00AF0910">
        <w:t>hild care centers</w:t>
      </w:r>
    </w:p>
    <w:p w:rsidR="004B20E5" w:rsidRDefault="004B20E5" w:rsidP="00720984">
      <w:pPr>
        <w:pStyle w:val="Partners"/>
      </w:pPr>
      <w:r>
        <w:t>C</w:t>
      </w:r>
      <w:r w:rsidRPr="00AF0910">
        <w:t>oaches/sports program directors</w:t>
      </w:r>
    </w:p>
    <w:p w:rsidR="004B20E5" w:rsidRPr="00AF0910" w:rsidRDefault="004B20E5" w:rsidP="00720984">
      <w:pPr>
        <w:pStyle w:val="Partners"/>
      </w:pPr>
      <w:r>
        <w:t>Children’s Trust</w:t>
      </w:r>
    </w:p>
    <w:p w:rsidR="004B20E5" w:rsidRDefault="004B20E5" w:rsidP="00720984">
      <w:pPr>
        <w:pStyle w:val="Partners"/>
      </w:pPr>
      <w:r w:rsidRPr="00AF0910">
        <w:t>Commonwealth Corporation</w:t>
      </w:r>
    </w:p>
    <w:p w:rsidR="003B48FA" w:rsidRPr="00AF0910" w:rsidRDefault="003B48FA" w:rsidP="00720984">
      <w:pPr>
        <w:pStyle w:val="Partners"/>
      </w:pPr>
      <w:r>
        <w:t>Community-based organizations</w:t>
      </w:r>
    </w:p>
    <w:p w:rsidR="004B20E5" w:rsidRPr="00AF0910" w:rsidRDefault="004B20E5" w:rsidP="00720984">
      <w:pPr>
        <w:pStyle w:val="Partners"/>
      </w:pPr>
      <w:r w:rsidRPr="00AF0910">
        <w:t>Community Health Centers</w:t>
      </w:r>
    </w:p>
    <w:p w:rsidR="004B20E5" w:rsidRDefault="004B20E5" w:rsidP="00720984">
      <w:pPr>
        <w:pStyle w:val="Partners"/>
      </w:pPr>
      <w:r w:rsidRPr="00AF0910">
        <w:t>Community residents</w:t>
      </w:r>
    </w:p>
    <w:p w:rsidR="004B20E5" w:rsidRPr="00AF0910" w:rsidRDefault="004B20E5" w:rsidP="00720984">
      <w:pPr>
        <w:pStyle w:val="Partners"/>
      </w:pPr>
      <w:r>
        <w:t>Courts</w:t>
      </w:r>
    </w:p>
    <w:p w:rsidR="004B20E5" w:rsidRDefault="004B20E5" w:rsidP="00720984">
      <w:pPr>
        <w:pStyle w:val="Partners"/>
      </w:pPr>
      <w:r w:rsidRPr="00AF0910">
        <w:t>Dental providers</w:t>
      </w:r>
    </w:p>
    <w:p w:rsidR="004B20E5" w:rsidRDefault="004B20E5" w:rsidP="00FD219E">
      <w:pPr>
        <w:pStyle w:val="Partners"/>
      </w:pPr>
      <w:r>
        <w:t>Domestic Violence (DV)</w:t>
      </w:r>
      <w:r w:rsidRPr="00AF0910">
        <w:t xml:space="preserve"> victim service programs</w:t>
      </w:r>
    </w:p>
    <w:p w:rsidR="003B48FA" w:rsidRDefault="003B48FA" w:rsidP="00720984">
      <w:pPr>
        <w:pStyle w:val="Partners"/>
      </w:pPr>
      <w:r>
        <w:t xml:space="preserve">Elder </w:t>
      </w:r>
      <w:r w:rsidR="003120E8">
        <w:t>service</w:t>
      </w:r>
      <w:r>
        <w:t xml:space="preserve"> organizations</w:t>
      </w:r>
    </w:p>
    <w:p w:rsidR="004B20E5" w:rsidRPr="00AF0910" w:rsidRDefault="004B20E5" w:rsidP="00720984">
      <w:pPr>
        <w:pStyle w:val="Partners"/>
      </w:pPr>
      <w:r w:rsidRPr="00AF0910">
        <w:t>Ethnic media outlets</w:t>
      </w:r>
    </w:p>
    <w:p w:rsidR="004B20E5" w:rsidRPr="00AF0910" w:rsidRDefault="004B20E5" w:rsidP="00720984">
      <w:pPr>
        <w:pStyle w:val="Partners"/>
      </w:pPr>
      <w:r>
        <w:t>F</w:t>
      </w:r>
      <w:r w:rsidRPr="00AF0910">
        <w:t>aith-based organizations</w:t>
      </w:r>
    </w:p>
    <w:p w:rsidR="004B20E5" w:rsidRPr="00AF0910" w:rsidRDefault="004B20E5" w:rsidP="00720984">
      <w:pPr>
        <w:pStyle w:val="Partners"/>
      </w:pPr>
      <w:r>
        <w:t>F</w:t>
      </w:r>
      <w:r w:rsidRPr="00AF0910">
        <w:t>irst responders</w:t>
      </w:r>
    </w:p>
    <w:p w:rsidR="004B20E5" w:rsidRPr="00AF0910" w:rsidRDefault="004B20E5" w:rsidP="00720984">
      <w:pPr>
        <w:pStyle w:val="Partners"/>
      </w:pPr>
      <w:r>
        <w:t>H</w:t>
      </w:r>
      <w:r w:rsidRPr="00AF0910">
        <w:t>ealthcare based S/DV programs</w:t>
      </w:r>
    </w:p>
    <w:p w:rsidR="004B20E5" w:rsidRDefault="004B20E5" w:rsidP="00720984">
      <w:pPr>
        <w:pStyle w:val="Partners"/>
      </w:pPr>
      <w:r w:rsidRPr="00AF0910">
        <w:t>Healthcare facilities</w:t>
      </w:r>
    </w:p>
    <w:p w:rsidR="00182E8F" w:rsidRPr="00AF0910" w:rsidRDefault="00182E8F" w:rsidP="00720984">
      <w:pPr>
        <w:pStyle w:val="Partners"/>
      </w:pPr>
      <w:r>
        <w:t xml:space="preserve">Healthcare </w:t>
      </w:r>
      <w:r w:rsidR="00645690">
        <w:t>P</w:t>
      </w:r>
      <w:r>
        <w:t>roviders</w:t>
      </w:r>
    </w:p>
    <w:p w:rsidR="004B20E5" w:rsidRPr="00AF0910" w:rsidRDefault="004B20E5" w:rsidP="00720984">
      <w:pPr>
        <w:pStyle w:val="Partners"/>
      </w:pPr>
      <w:r w:rsidRPr="00AF0910">
        <w:t>Highway safety</w:t>
      </w:r>
    </w:p>
    <w:p w:rsidR="004B20E5" w:rsidRPr="00AF0910" w:rsidRDefault="004B20E5" w:rsidP="00720984">
      <w:pPr>
        <w:pStyle w:val="Partners"/>
      </w:pPr>
      <w:r>
        <w:t>L</w:t>
      </w:r>
      <w:r w:rsidRPr="00AF0910">
        <w:t>aw enforcement</w:t>
      </w:r>
    </w:p>
    <w:p w:rsidR="00381F08" w:rsidRDefault="00381F08" w:rsidP="00381F08">
      <w:pPr>
        <w:pStyle w:val="Partners"/>
      </w:pPr>
      <w:r w:rsidRPr="00381F08">
        <w:t>MA  Adolescent Sex Offender Coalition</w:t>
      </w:r>
    </w:p>
    <w:p w:rsidR="003B48FA" w:rsidRDefault="003B48FA" w:rsidP="003B48FA">
      <w:pPr>
        <w:pStyle w:val="Partners"/>
      </w:pPr>
      <w:r w:rsidRPr="003B48FA">
        <w:t>Massachusetts Association for the Treatment of Sexual Abusers</w:t>
      </w:r>
    </w:p>
    <w:p w:rsidR="00427832" w:rsidRPr="003B48FA" w:rsidRDefault="00427832" w:rsidP="003B48FA">
      <w:pPr>
        <w:pStyle w:val="Partners"/>
      </w:pPr>
      <w:r>
        <w:t>MA Attorney General</w:t>
      </w:r>
    </w:p>
    <w:p w:rsidR="00381F08" w:rsidRPr="00381F08" w:rsidRDefault="00381F08" w:rsidP="00381F08">
      <w:pPr>
        <w:pStyle w:val="Partners"/>
      </w:pPr>
      <w:r>
        <w:t xml:space="preserve">MA </w:t>
      </w:r>
      <w:r w:rsidRPr="00381F08">
        <w:t>Betsy Lehman Center for Patient Safety and Medical Error Reduction</w:t>
      </w:r>
      <w:r w:rsidR="003B48FA">
        <w:t xml:space="preserve"> </w:t>
      </w:r>
    </w:p>
    <w:p w:rsidR="004B20E5" w:rsidRDefault="00C36277" w:rsidP="00403B1F">
      <w:pPr>
        <w:pStyle w:val="Partners"/>
      </w:pPr>
      <w:r>
        <w:t xml:space="preserve">MA </w:t>
      </w:r>
      <w:r w:rsidR="004B20E5">
        <w:t>Certified Batterer Intervention Programs</w:t>
      </w:r>
    </w:p>
    <w:p w:rsidR="003B48FA" w:rsidRDefault="003B48FA" w:rsidP="00403B1F">
      <w:pPr>
        <w:pStyle w:val="Partners"/>
      </w:pPr>
      <w:r>
        <w:t>MA Disabled Persons Protection Commission</w:t>
      </w:r>
    </w:p>
    <w:p w:rsidR="003B48FA" w:rsidRDefault="003B48FA" w:rsidP="00403B1F">
      <w:pPr>
        <w:pStyle w:val="Partners"/>
      </w:pPr>
      <w:r>
        <w:t>MA Department of Developmental Services</w:t>
      </w:r>
    </w:p>
    <w:p w:rsidR="003B48FA" w:rsidRDefault="003B48FA" w:rsidP="00403B1F">
      <w:pPr>
        <w:pStyle w:val="Partners"/>
      </w:pPr>
      <w:r>
        <w:t>MA Department of Early Education and Care</w:t>
      </w:r>
    </w:p>
    <w:p w:rsidR="003B48FA" w:rsidRDefault="003B48FA" w:rsidP="00403B1F">
      <w:pPr>
        <w:pStyle w:val="Partners"/>
      </w:pPr>
      <w:r>
        <w:t>MA Department of Elementary and Secondary Education</w:t>
      </w:r>
    </w:p>
    <w:p w:rsidR="003B48FA" w:rsidRDefault="003B48FA" w:rsidP="00403B1F">
      <w:pPr>
        <w:pStyle w:val="Partners"/>
      </w:pPr>
      <w:r>
        <w:t>MA Executive Office of Elder Affairs</w:t>
      </w:r>
    </w:p>
    <w:p w:rsidR="003B48FA" w:rsidRDefault="003B48FA" w:rsidP="00403B1F">
      <w:pPr>
        <w:pStyle w:val="Partners"/>
      </w:pPr>
      <w:r>
        <w:t>MA Executive Office of Public Safety and Security</w:t>
      </w:r>
    </w:p>
    <w:p w:rsidR="003B48FA" w:rsidRDefault="003B48FA" w:rsidP="00403B1F">
      <w:pPr>
        <w:pStyle w:val="Partners"/>
      </w:pPr>
      <w:r>
        <w:t>MA Department of Higher Education</w:t>
      </w:r>
    </w:p>
    <w:p w:rsidR="003B48FA" w:rsidRDefault="003B48FA" w:rsidP="00403B1F">
      <w:pPr>
        <w:pStyle w:val="Partners"/>
      </w:pPr>
      <w:r>
        <w:t>MA Department of Labor Standards</w:t>
      </w:r>
    </w:p>
    <w:p w:rsidR="003B48FA" w:rsidRDefault="003B48FA" w:rsidP="00403B1F">
      <w:pPr>
        <w:pStyle w:val="Partners"/>
      </w:pPr>
      <w:r>
        <w:t>MA Department of Mental Health</w:t>
      </w:r>
    </w:p>
    <w:p w:rsidR="004B20E5" w:rsidRDefault="004B20E5" w:rsidP="003B48FA">
      <w:pPr>
        <w:pStyle w:val="Partners"/>
      </w:pPr>
      <w:r w:rsidRPr="00AF0910">
        <w:t>M</w:t>
      </w:r>
      <w:r w:rsidR="00645690">
        <w:t>A</w:t>
      </w:r>
      <w:r w:rsidRPr="00AF0910">
        <w:t xml:space="preserve"> Coalition for Occupational Safety and Health</w:t>
      </w:r>
    </w:p>
    <w:p w:rsidR="00645690" w:rsidRPr="00AF0910" w:rsidRDefault="00645690" w:rsidP="003B48FA">
      <w:pPr>
        <w:pStyle w:val="Partners"/>
      </w:pPr>
      <w:r>
        <w:t>MA Hospital Association</w:t>
      </w:r>
    </w:p>
    <w:p w:rsidR="004B20E5" w:rsidRPr="00AF0910" w:rsidRDefault="004B20E5" w:rsidP="00720984">
      <w:pPr>
        <w:pStyle w:val="Partners"/>
      </w:pPr>
      <w:r>
        <w:t>N</w:t>
      </w:r>
      <w:r w:rsidRPr="00AF0910">
        <w:t>ursing homes</w:t>
      </w:r>
    </w:p>
    <w:p w:rsidR="004B20E5" w:rsidRPr="00AF0910" w:rsidRDefault="004B20E5" w:rsidP="00720984">
      <w:pPr>
        <w:pStyle w:val="Partners"/>
      </w:pPr>
      <w:r w:rsidRPr="00AF0910">
        <w:t>OSHA</w:t>
      </w:r>
    </w:p>
    <w:p w:rsidR="004B20E5" w:rsidRPr="00AF0910" w:rsidRDefault="004B20E5" w:rsidP="00720984">
      <w:pPr>
        <w:pStyle w:val="Partners"/>
      </w:pPr>
      <w:r w:rsidRPr="00AF0910">
        <w:t>Pharmacies</w:t>
      </w:r>
    </w:p>
    <w:p w:rsidR="004B20E5" w:rsidRPr="00AF0910" w:rsidRDefault="004B20E5" w:rsidP="00720984">
      <w:pPr>
        <w:pStyle w:val="Partners"/>
      </w:pPr>
      <w:r>
        <w:t>P</w:t>
      </w:r>
      <w:r w:rsidRPr="00AF0910">
        <w:t>olicy makers</w:t>
      </w:r>
    </w:p>
    <w:p w:rsidR="004B20E5" w:rsidRPr="00AF0910" w:rsidRDefault="004B20E5" w:rsidP="00720984">
      <w:pPr>
        <w:pStyle w:val="Partners"/>
      </w:pPr>
      <w:r w:rsidRPr="00AF0910">
        <w:t>Rape crisis centers</w:t>
      </w:r>
    </w:p>
    <w:p w:rsidR="004B20E5" w:rsidRPr="00AF0910" w:rsidRDefault="004B20E5" w:rsidP="00720984">
      <w:pPr>
        <w:pStyle w:val="Partners"/>
      </w:pPr>
      <w:r w:rsidRPr="00AF0910">
        <w:t>Red Cross</w:t>
      </w:r>
    </w:p>
    <w:p w:rsidR="004B20E5" w:rsidRPr="00AF0910" w:rsidRDefault="004B20E5" w:rsidP="00720984">
      <w:pPr>
        <w:pStyle w:val="Partners"/>
      </w:pPr>
      <w:r w:rsidRPr="00AF0910">
        <w:t>Samaritans</w:t>
      </w:r>
    </w:p>
    <w:p w:rsidR="004B20E5" w:rsidRPr="00AF0910" w:rsidRDefault="004B20E5" w:rsidP="00720984">
      <w:pPr>
        <w:pStyle w:val="Partners"/>
      </w:pPr>
      <w:r w:rsidRPr="00AF0910">
        <w:t>Schools</w:t>
      </w:r>
    </w:p>
    <w:p w:rsidR="004B20E5" w:rsidRPr="00AF0910" w:rsidRDefault="004B20E5" w:rsidP="00720984">
      <w:pPr>
        <w:pStyle w:val="Partners"/>
      </w:pPr>
      <w:r>
        <w:t>State sexual and domestic violence coalition (Jane Doe Inc.)</w:t>
      </w:r>
    </w:p>
    <w:p w:rsidR="004B20E5" w:rsidRPr="00AF0910" w:rsidRDefault="004B20E5" w:rsidP="00720984">
      <w:pPr>
        <w:pStyle w:val="Partners"/>
      </w:pPr>
      <w:r w:rsidRPr="00AF0910">
        <w:t xml:space="preserve">Trade Associations </w:t>
      </w:r>
    </w:p>
    <w:p w:rsidR="004B20E5" w:rsidRPr="00AF0910" w:rsidRDefault="004B20E5" w:rsidP="00720984">
      <w:pPr>
        <w:pStyle w:val="Partners"/>
      </w:pPr>
      <w:r w:rsidRPr="00AF0910">
        <w:t>Unions</w:t>
      </w:r>
    </w:p>
    <w:p w:rsidR="004B20E5" w:rsidRPr="00AF0910" w:rsidRDefault="004B20E5" w:rsidP="00720984">
      <w:pPr>
        <w:pStyle w:val="Partners"/>
      </w:pPr>
      <w:r>
        <w:t>U</w:t>
      </w:r>
      <w:r w:rsidRPr="00AF0910">
        <w:t>niversities</w:t>
      </w:r>
    </w:p>
    <w:p w:rsidR="004B20E5" w:rsidRPr="00AF0910" w:rsidRDefault="00645690" w:rsidP="00720984">
      <w:pPr>
        <w:pStyle w:val="Partners"/>
      </w:pPr>
      <w:r>
        <w:t xml:space="preserve">US </w:t>
      </w:r>
      <w:r w:rsidR="003B48FA">
        <w:t>Department of Labor</w:t>
      </w:r>
    </w:p>
    <w:p w:rsidR="004B20E5" w:rsidRPr="00AF0910" w:rsidRDefault="004B20E5" w:rsidP="00720984">
      <w:pPr>
        <w:pStyle w:val="Partners"/>
        <w:rPr>
          <w:b/>
        </w:rPr>
      </w:pPr>
      <w:r w:rsidRPr="00AF0910">
        <w:t>Worker Centers</w:t>
      </w:r>
    </w:p>
    <w:p w:rsidR="004B20E5" w:rsidRPr="00AF0910" w:rsidRDefault="004B20E5" w:rsidP="00720984">
      <w:pPr>
        <w:pStyle w:val="Partners"/>
      </w:pPr>
      <w:r w:rsidRPr="00AF0910">
        <w:t>Workers’ compensation insurers</w:t>
      </w:r>
    </w:p>
    <w:p w:rsidR="004B20E5" w:rsidRDefault="004B20E5" w:rsidP="00720984">
      <w:pPr>
        <w:pStyle w:val="Partners"/>
      </w:pPr>
      <w:r w:rsidRPr="00AF0910">
        <w:t>Workforce Investment Boards, workforce development programs</w:t>
      </w:r>
    </w:p>
    <w:p w:rsidR="004B20E5" w:rsidRPr="00AF0910" w:rsidRDefault="004B20E5" w:rsidP="00720984">
      <w:pPr>
        <w:pStyle w:val="Partners"/>
      </w:pPr>
      <w:r w:rsidRPr="00AF0910">
        <w:t>YMCAs</w:t>
      </w:r>
      <w:r>
        <w:t xml:space="preserve"> and YWCAs</w:t>
      </w:r>
    </w:p>
    <w:p w:rsidR="004B20E5" w:rsidRPr="00AF0910" w:rsidRDefault="004B20E5" w:rsidP="00720984">
      <w:pPr>
        <w:pStyle w:val="Partners"/>
      </w:pPr>
      <w:r w:rsidRPr="00AF0910">
        <w:t>Youth centers/service agencies</w:t>
      </w:r>
    </w:p>
    <w:p w:rsidR="004B20E5" w:rsidRPr="00571897" w:rsidRDefault="004B20E5" w:rsidP="00571897">
      <w:pPr>
        <w:pStyle w:val="PartnersTitle"/>
      </w:pPr>
      <w:r w:rsidRPr="00571897">
        <w:t xml:space="preserve">Other Plans </w:t>
      </w:r>
      <w:r>
        <w:t>T</w:t>
      </w:r>
      <w:r w:rsidRPr="00571897">
        <w:t>hat are Incorporated Directly or by Reference in Injury, Suicide, and Violence</w:t>
      </w:r>
      <w:r>
        <w:t xml:space="preserve"> Prevention</w:t>
      </w:r>
    </w:p>
    <w:p w:rsidR="004B20E5" w:rsidRDefault="004B20E5" w:rsidP="00720984">
      <w:pPr>
        <w:pStyle w:val="Partners"/>
      </w:pPr>
      <w:r>
        <w:t>MA Teen Dating Violence Prevention/Healthy Relationship Promotion Plan</w:t>
      </w:r>
    </w:p>
    <w:p w:rsidR="004B20E5" w:rsidRDefault="004B20E5" w:rsidP="00720984">
      <w:pPr>
        <w:pStyle w:val="Partners"/>
      </w:pPr>
      <w:r>
        <w:t>MA Sexual Violence Prevention Plan</w:t>
      </w:r>
    </w:p>
    <w:p w:rsidR="004B20E5" w:rsidRDefault="004B20E5" w:rsidP="00720984">
      <w:pPr>
        <w:pStyle w:val="Partners"/>
      </w:pPr>
      <w:r>
        <w:t>MA Suicide Prevention Strategic Plan</w:t>
      </w:r>
    </w:p>
    <w:p w:rsidR="004B20E5" w:rsidRDefault="004B20E5" w:rsidP="00720984">
      <w:pPr>
        <w:pStyle w:val="Partners"/>
      </w:pPr>
      <w:r>
        <w:t>MA Injury Prevention Strategic Plan</w:t>
      </w:r>
    </w:p>
    <w:p w:rsidR="004B20E5" w:rsidRDefault="004B20E5" w:rsidP="00FD219E">
      <w:pPr>
        <w:pStyle w:val="Partners"/>
      </w:pPr>
      <w:r>
        <w:t>Disparities in Prevalence, Access to Services and Outcomes for Sexual and Domestic Violence Survivors From Five Underserved Populations (Gay, Lesbian, Bi-Sexual, Transgender (GLBT), Immigrant, People Living with Disabilities, Rural, Elder): Report of the Services Accessibility Working Group to the MA Governor’s Council to Address Sexual and Domestic Violence</w:t>
      </w:r>
    </w:p>
    <w:p w:rsidR="004B20E5" w:rsidRPr="00AF0910" w:rsidRDefault="004B20E5" w:rsidP="00720984">
      <w:pPr>
        <w:pStyle w:val="Partners"/>
        <w:numPr>
          <w:ilvl w:val="0"/>
          <w:numId w:val="0"/>
        </w:numPr>
        <w:ind w:left="720" w:hanging="180"/>
      </w:pPr>
    </w:p>
    <w:p w:rsidR="004B20E5" w:rsidRPr="0046149F" w:rsidRDefault="004B20E5" w:rsidP="00E607A7">
      <w:pPr>
        <w:rPr>
          <w:rFonts w:cs="Arial"/>
        </w:rPr>
      </w:pPr>
    </w:p>
    <w:p w:rsidR="004B20E5" w:rsidRDefault="004B20E5">
      <w:pPr>
        <w:spacing w:after="200" w:line="276" w:lineRule="auto"/>
        <w:rPr>
          <w:rFonts w:cs="Arial"/>
        </w:rPr>
        <w:sectPr w:rsidR="004B20E5" w:rsidSect="000D3A34">
          <w:endnotePr>
            <w:numFmt w:val="decimal"/>
          </w:endnotePr>
          <w:pgSz w:w="12240" w:h="15840" w:code="1"/>
          <w:pgMar w:top="1080" w:right="1080" w:bottom="1080" w:left="1080" w:header="648" w:footer="504" w:gutter="0"/>
          <w:cols w:space="720"/>
          <w:docGrid w:linePitch="360"/>
        </w:sectPr>
      </w:pPr>
    </w:p>
    <w:p w:rsidR="004B20E5" w:rsidRPr="004F0D58" w:rsidRDefault="004B20E5" w:rsidP="00533BB5">
      <w:pPr>
        <w:pStyle w:val="Heading2"/>
      </w:pPr>
      <w:bookmarkStart w:id="53" w:name="_Toc398819279"/>
      <w:r>
        <w:t>Domain</w:t>
      </w:r>
      <w:r w:rsidRPr="0046149F">
        <w:t xml:space="preserve"> 6:  </w:t>
      </w:r>
      <w:r>
        <w:t>Maternal, Child, and Family Health Promotion</w:t>
      </w:r>
      <w:bookmarkEnd w:id="53"/>
    </w:p>
    <w:p w:rsidR="004B20E5" w:rsidRDefault="004B20E5" w:rsidP="00533BB5">
      <w:pPr>
        <w:rPr>
          <w:rFonts w:cs="Arial"/>
          <w:b/>
          <w:smallCaps/>
        </w:rPr>
      </w:pPr>
    </w:p>
    <w:p w:rsidR="004B20E5" w:rsidRDefault="004B20E5" w:rsidP="00CB2B0E">
      <w:pPr>
        <w:pStyle w:val="GoalStatement"/>
      </w:pPr>
      <w:r w:rsidRPr="00986625">
        <w:t>Ensure the health and well-being of women, children and families.</w:t>
      </w:r>
    </w:p>
    <w:p w:rsidR="004B20E5" w:rsidRDefault="004B20E5" w:rsidP="00CB2B0E">
      <w:pPr>
        <w:pStyle w:val="GoalStatement"/>
      </w:pPr>
    </w:p>
    <w:p w:rsidR="004B20E5" w:rsidRDefault="004B20E5" w:rsidP="00CB2B0E">
      <w:pPr>
        <w:pStyle w:val="GoalStatement"/>
      </w:pPr>
      <w:r>
        <w:t>Why This Domain Is Important for Massachusetts:</w:t>
      </w:r>
    </w:p>
    <w:p w:rsidR="004B20E5" w:rsidRPr="00D217EF" w:rsidRDefault="004B20E5" w:rsidP="00532E86">
      <w:pPr>
        <w:pStyle w:val="BodyText"/>
      </w:pPr>
      <w:r w:rsidRPr="00D217EF">
        <w:rPr>
          <w:b/>
        </w:rPr>
        <w:t>Burden (Where We Are):</w:t>
      </w:r>
      <w:r w:rsidRPr="00D217EF">
        <w:t xml:space="preserve">  The Massachusetts teen birth rate has decreased by 52% since 1990, reaching 14.0 births per 1,000 females aged 15-19 years in 2012, the lowest rate ever recorded in Massachusetts. Although the overall teen birth rate is declining and has been consistently below the national rate, significant racial and ethnic disparities persist. In 2012, Hispanic and Black women had the highest teen birth rates. </w:t>
      </w:r>
    </w:p>
    <w:p w:rsidR="004B20E5" w:rsidRPr="00B6039F" w:rsidRDefault="004B20E5" w:rsidP="00B6039F">
      <w:pPr>
        <w:pStyle w:val="BodyText"/>
      </w:pPr>
      <w:r w:rsidRPr="00B6039F">
        <w:t>Based on the Center</w:t>
      </w:r>
      <w:r w:rsidR="00365946">
        <w:t>s</w:t>
      </w:r>
      <w:r w:rsidRPr="00B6039F">
        <w:t xml:space="preserve"> for Disease Control</w:t>
      </w:r>
      <w:r w:rsidR="00365946">
        <w:t xml:space="preserve"> and Prevention</w:t>
      </w:r>
      <w:r w:rsidRPr="00B6039F">
        <w:t xml:space="preserve">’s 2013 Breastfeeding Report Card, Massachusetts surpassed the nation in all breastfeeding measures and exceeded Healthy People 2020 goals for ever breastfeeding, breastfeeding at six months, and exclusive breastfeeding at three months. </w:t>
      </w:r>
    </w:p>
    <w:p w:rsidR="004B20E5" w:rsidRPr="00B6039F" w:rsidRDefault="004B20E5" w:rsidP="00B6039F">
      <w:pPr>
        <w:pStyle w:val="BodyText"/>
      </w:pPr>
      <w:r w:rsidRPr="00B6039F">
        <w:t>According to data from the 2009/2010 National Survey of Children with Special Health Care Needs, approximately 18% of Massachusetts children (ages 0-17) have special health care needs. Of these, 47.1% met all medical home criteria, compared to 43% for the nation as a whole.</w:t>
      </w:r>
    </w:p>
    <w:p w:rsidR="00365946" w:rsidRDefault="004B20E5" w:rsidP="00532E86">
      <w:pPr>
        <w:pStyle w:val="BodyText"/>
      </w:pPr>
      <w:r w:rsidRPr="002269B5">
        <w:rPr>
          <w:b/>
        </w:rPr>
        <w:t>Result (How This Affects Us):</w:t>
      </w:r>
      <w:r w:rsidRPr="00830C78">
        <w:t xml:space="preserve">Teen birth is an important public health issue, associated with long-term negative outcomes for both mother and child. </w:t>
      </w:r>
      <w:r w:rsidRPr="005D0C6C">
        <w:t>Teens and young women with developmental and other disabilities can be especially vulnerable to exploitation</w:t>
      </w:r>
      <w:r>
        <w:t>, and proper supports are needed for this population</w:t>
      </w:r>
      <w:r w:rsidRPr="00830C78">
        <w:t>.</w:t>
      </w:r>
      <w:r w:rsidR="00365946">
        <w:t xml:space="preserve"> </w:t>
      </w:r>
    </w:p>
    <w:p w:rsidR="00365946" w:rsidRDefault="004B20E5" w:rsidP="00532E86">
      <w:pPr>
        <w:pStyle w:val="BodyText"/>
      </w:pPr>
      <w:r w:rsidRPr="00830C78">
        <w:t xml:space="preserve">Infants who survive a preterm birth are at increased risk of lifetime health challenges, such as breathing problems, </w:t>
      </w:r>
      <w:r w:rsidR="000B2014">
        <w:t xml:space="preserve"> developmental delay,</w:t>
      </w:r>
      <w:r w:rsidRPr="00830C78">
        <w:t xml:space="preserve">, and other issues. </w:t>
      </w:r>
      <w:r>
        <w:t>Low Birth Weight (</w:t>
      </w:r>
      <w:r w:rsidRPr="00830C78">
        <w:t>L</w:t>
      </w:r>
      <w:r>
        <w:t>BW)</w:t>
      </w:r>
      <w:r w:rsidRPr="00830C78">
        <w:t xml:space="preserve"> infants are at increased risk of medical problems and death compared with infants of normal weight and are at higher risk of delayed development and poor school achievement</w:t>
      </w:r>
      <w:r w:rsidRPr="005D0C6C">
        <w:t xml:space="preserve"> later in life. </w:t>
      </w:r>
    </w:p>
    <w:p w:rsidR="004B20E5" w:rsidRDefault="004B20E5" w:rsidP="00532E86">
      <w:pPr>
        <w:pStyle w:val="BodyText"/>
      </w:pPr>
      <w:r>
        <w:t xml:space="preserve">Breastfeeding has health benefits for both mother and infant. Improved breastfeeding initiation and duration rates are critical health outcomes. </w:t>
      </w:r>
    </w:p>
    <w:p w:rsidR="004B20E5" w:rsidRPr="005D0C6C" w:rsidRDefault="004B20E5" w:rsidP="00532E86">
      <w:pPr>
        <w:pStyle w:val="BodyText"/>
      </w:pPr>
      <w:r w:rsidRPr="00CF570C">
        <w:t>Low family income and living in poverty are associated with developmental delays, lower academic performance, and poor health outcomes in infants and young children. Children who experienced adverse events during early childhood may struggle academ</w:t>
      </w:r>
      <w:r w:rsidRPr="00830C78">
        <w:t xml:space="preserve">ically indicating the impact of early childhood toxic stress on the skills children need to succeed in school. </w:t>
      </w:r>
    </w:p>
    <w:p w:rsidR="004B20E5" w:rsidRDefault="004B20E5" w:rsidP="00532E86">
      <w:pPr>
        <w:pStyle w:val="BodyText"/>
      </w:pPr>
      <w:r w:rsidRPr="002269B5">
        <w:rPr>
          <w:b/>
        </w:rPr>
        <w:t>Action (What We Can Do):</w:t>
      </w:r>
      <w:r w:rsidRPr="005D0C6C">
        <w:t>Comprehensive sexual health education for both males and females is critical for understanding reproductive health and making appropriate family planning decisions. Providing education and strategies to encourage women to receive preconception</w:t>
      </w:r>
      <w:r>
        <w:t xml:space="preserve"> and oral </w:t>
      </w:r>
      <w:r w:rsidRPr="005D0C6C">
        <w:t>health care</w:t>
      </w:r>
      <w:r>
        <w:t>;</w:t>
      </w:r>
      <w:r w:rsidR="00365946">
        <w:t xml:space="preserve"> </w:t>
      </w:r>
      <w:r>
        <w:t>to</w:t>
      </w:r>
      <w:r w:rsidRPr="005D0C6C">
        <w:t xml:space="preserve"> seek prenatal care as early in pregnancy as possible</w:t>
      </w:r>
      <w:r>
        <w:t>;</w:t>
      </w:r>
      <w:r w:rsidRPr="005D0C6C">
        <w:t xml:space="preserve"> to avoid smoking, alcohol and illicit drug use</w:t>
      </w:r>
      <w:r>
        <w:t>;</w:t>
      </w:r>
      <w:r w:rsidRPr="005D0C6C">
        <w:t xml:space="preserve"> and to control diseases such as high blood pressure and diabetes can mitigate the risk of adverse birth outcomes, including low birth weight and premature births. </w:t>
      </w:r>
    </w:p>
    <w:p w:rsidR="00D13D1B" w:rsidRPr="00CF570C" w:rsidRDefault="004B20E5" w:rsidP="00532E86">
      <w:pPr>
        <w:pStyle w:val="BodyText"/>
      </w:pPr>
      <w:r w:rsidRPr="005D0C6C">
        <w:rPr>
          <w:bCs/>
        </w:rPr>
        <w:t>Supporting maternity facilities to adopt practices that promote and support breastfeeding can increase the likelihood that mothers and infants planning to breastfeed get a solid foundation in the critical early days of life</w:t>
      </w:r>
      <w:r>
        <w:rPr>
          <w:bCs/>
        </w:rPr>
        <w:t>.</w:t>
      </w:r>
      <w:r w:rsidR="00365946">
        <w:rPr>
          <w:bCs/>
        </w:rPr>
        <w:t xml:space="preserve"> </w:t>
      </w:r>
      <w:r w:rsidRPr="00CF570C">
        <w:t>While MDPH and other state agencies provide a range of services for families and for children, very few services focus on two-generational approaches to ensure that families or other caring adults can help buffer the impact of family and community stress on the developing child.</w:t>
      </w:r>
      <w:r w:rsidR="00365946">
        <w:t xml:space="preserve"> </w:t>
      </w:r>
      <w:r w:rsidRPr="00830C78">
        <w:t xml:space="preserve">MDPH and its partners are working to build state and community capacity to identify and serve children </w:t>
      </w:r>
      <w:r w:rsidRPr="005D0C6C">
        <w:t xml:space="preserve">from birth to age five years who are at risk for toxic stress, support two-generational approaches across service sectors, </w:t>
      </w:r>
      <w:r>
        <w:t>promote the medical home approach to care, and</w:t>
      </w:r>
      <w:r w:rsidRPr="005D0C6C">
        <w:t xml:space="preserve"> enhance the skills and competencies of the workforce.</w:t>
      </w:r>
      <w:r w:rsidR="00365946">
        <w:t xml:space="preserve"> </w:t>
      </w:r>
      <w:r w:rsidRPr="00830C78">
        <w:rPr>
          <w:shd w:val="clear" w:color="auto" w:fill="FFFFFF"/>
        </w:rPr>
        <w:t xml:space="preserve">The </w:t>
      </w:r>
      <w:r w:rsidR="00A1594F">
        <w:rPr>
          <w:shd w:val="clear" w:color="auto" w:fill="FFFFFF"/>
        </w:rPr>
        <w:t>m</w:t>
      </w:r>
      <w:r w:rsidRPr="00830C78">
        <w:rPr>
          <w:shd w:val="clear" w:color="auto" w:fill="FFFFFF"/>
        </w:rPr>
        <w:t xml:space="preserve">edical </w:t>
      </w:r>
      <w:r w:rsidR="00A1594F">
        <w:rPr>
          <w:shd w:val="clear" w:color="auto" w:fill="FFFFFF"/>
        </w:rPr>
        <w:t>h</w:t>
      </w:r>
      <w:r w:rsidRPr="00830C78">
        <w:rPr>
          <w:shd w:val="clear" w:color="auto" w:fill="FFFFFF"/>
        </w:rPr>
        <w:t xml:space="preserve">ome model is an approach to care that promotes prevention and wellness and provides management of acute and chronic health conditions.  </w:t>
      </w:r>
    </w:p>
    <w:p w:rsidR="004B20E5" w:rsidRDefault="004B20E5" w:rsidP="00CB2B0E">
      <w:pPr>
        <w:pStyle w:val="StandardStatement"/>
      </w:pPr>
      <w:r>
        <w:t xml:space="preserve">Standard 6A:  </w:t>
      </w:r>
      <w:r w:rsidRPr="00C447DD">
        <w:t>Reduce teen birth</w:t>
      </w:r>
      <w:r>
        <w:t>s</w:t>
      </w:r>
      <w:r w:rsidR="00365946">
        <w:t xml:space="preserve"> </w:t>
      </w:r>
      <w:r>
        <w:t xml:space="preserve">in </w:t>
      </w:r>
      <w:r w:rsidRPr="00C447DD">
        <w:t>communities with the highest rates</w:t>
      </w:r>
      <w:r>
        <w:t>.</w:t>
      </w:r>
    </w:p>
    <w:p w:rsidR="004B20E5" w:rsidRDefault="004B20E5" w:rsidP="00CB75A1">
      <w:pPr>
        <w:pStyle w:val="BodyText"/>
      </w:pPr>
    </w:p>
    <w:p w:rsidR="004B20E5" w:rsidRDefault="00F03799" w:rsidP="00CB2B0E">
      <w:pPr>
        <w:pStyle w:val="ObjectiveStatement"/>
      </w:pPr>
      <w:r>
        <w:rPr>
          <w:noProof/>
        </w:rPr>
        <w:drawing>
          <wp:anchor distT="0" distB="0" distL="114300" distR="114300" simplePos="0" relativeHeight="251640832" behindDoc="0" locked="0" layoutInCell="1" allowOverlap="1" wp14:anchorId="4F9F6FA6" wp14:editId="328B110B">
            <wp:simplePos x="0" y="0"/>
            <wp:positionH relativeFrom="column">
              <wp:posOffset>14605</wp:posOffset>
            </wp:positionH>
            <wp:positionV relativeFrom="paragraph">
              <wp:posOffset>343535</wp:posOffset>
            </wp:positionV>
            <wp:extent cx="182880" cy="182880"/>
            <wp:effectExtent l="0" t="0" r="7620" b="7620"/>
            <wp:wrapThrough wrapText="bothSides">
              <wp:wrapPolygon edited="0">
                <wp:start x="2250" y="0"/>
                <wp:lineTo x="0" y="2250"/>
                <wp:lineTo x="0" y="15750"/>
                <wp:lineTo x="2250" y="20250"/>
                <wp:lineTo x="20250" y="20250"/>
                <wp:lineTo x="20250" y="0"/>
                <wp:lineTo x="2250" y="0"/>
              </wp:wrapPolygon>
            </wp:wrapThrough>
            <wp:docPr id="68"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4B20E5">
        <w:t>Measure 6.1:</w:t>
      </w:r>
      <w:r w:rsidR="004B20E5">
        <w:tab/>
      </w:r>
      <w:r w:rsidR="004B20E5" w:rsidRPr="00986625">
        <w:t xml:space="preserve">Reduce the teen birth rate </w:t>
      </w:r>
      <w:r w:rsidR="004B20E5">
        <w:t>in the highest need communities</w:t>
      </w:r>
      <w:r w:rsidR="00365946">
        <w:t xml:space="preserve"> </w:t>
      </w:r>
      <w:r w:rsidR="004B20E5" w:rsidRPr="00986625">
        <w:t xml:space="preserve">by </w:t>
      </w:r>
      <w:r w:rsidR="004B20E5">
        <w:t>10%.</w:t>
      </w:r>
    </w:p>
    <w:p w:rsidR="004B20E5" w:rsidRPr="007240F8" w:rsidRDefault="004B20E5" w:rsidP="001C15E6">
      <w:pPr>
        <w:tabs>
          <w:tab w:val="left" w:pos="7425"/>
        </w:tabs>
      </w:pPr>
      <w:r>
        <w:tab/>
      </w:r>
      <w:r>
        <w:tab/>
      </w:r>
    </w:p>
    <w:tbl>
      <w:tblPr>
        <w:tblW w:w="4095" w:type="pct"/>
        <w:tblInd w:w="1755" w:type="dxa"/>
        <w:tblLayout w:type="fixed"/>
        <w:tblLook w:val="00A0" w:firstRow="1" w:lastRow="0" w:firstColumn="1" w:lastColumn="0" w:noHBand="0" w:noVBand="0"/>
      </w:tblPr>
      <w:tblGrid>
        <w:gridCol w:w="2161"/>
        <w:gridCol w:w="1617"/>
        <w:gridCol w:w="1531"/>
        <w:gridCol w:w="3123"/>
      </w:tblGrid>
      <w:tr w:rsidR="004B20E5" w:rsidRPr="00666093" w:rsidTr="00346657">
        <w:trPr>
          <w:cantSplit/>
        </w:trPr>
        <w:tc>
          <w:tcPr>
            <w:tcW w:w="1281"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59" w:type="pct"/>
            <w:tcBorders>
              <w:top w:val="single" w:sz="4" w:space="0" w:color="auto"/>
              <w:bottom w:val="single" w:sz="4" w:space="0" w:color="auto"/>
            </w:tcBorders>
            <w:vAlign w:val="center"/>
          </w:tcPr>
          <w:p w:rsidR="004B20E5" w:rsidRPr="00666093" w:rsidRDefault="004B20E5" w:rsidP="00533BB5">
            <w:pPr>
              <w:pStyle w:val="TableTitleBaseline2020Target"/>
            </w:pPr>
            <w:r w:rsidRPr="00666093">
              <w:t>Baseline</w:t>
            </w:r>
          </w:p>
        </w:tc>
        <w:tc>
          <w:tcPr>
            <w:tcW w:w="908" w:type="pct"/>
            <w:tcBorders>
              <w:top w:val="single" w:sz="4" w:space="0" w:color="auto"/>
              <w:bottom w:val="single" w:sz="4" w:space="0" w:color="auto"/>
            </w:tcBorders>
            <w:vAlign w:val="center"/>
          </w:tcPr>
          <w:p w:rsidR="004B20E5" w:rsidRPr="00666093" w:rsidRDefault="004B20E5" w:rsidP="00533BB5">
            <w:pPr>
              <w:pStyle w:val="TableTitleBaseline2020Target"/>
            </w:pPr>
            <w:r w:rsidRPr="00666093">
              <w:t>2020 Target</w:t>
            </w:r>
          </w:p>
        </w:tc>
        <w:tc>
          <w:tcPr>
            <w:tcW w:w="1852" w:type="pct"/>
            <w:tcBorders>
              <w:top w:val="single" w:sz="4" w:space="0" w:color="auto"/>
              <w:bottom w:val="single" w:sz="4" w:space="0" w:color="auto"/>
            </w:tcBorders>
            <w:vAlign w:val="center"/>
          </w:tcPr>
          <w:p w:rsidR="004B20E5" w:rsidRPr="00666093" w:rsidRDefault="004B20E5" w:rsidP="00533BB5">
            <w:pPr>
              <w:pStyle w:val="TableTitleTargetDataSource"/>
            </w:pPr>
            <w:r w:rsidRPr="00666093">
              <w:t>Data Source</w:t>
            </w:r>
          </w:p>
        </w:tc>
      </w:tr>
      <w:tr w:rsidR="004B20E5" w:rsidRPr="00666093" w:rsidTr="00346657">
        <w:trPr>
          <w:cantSplit/>
        </w:trPr>
        <w:tc>
          <w:tcPr>
            <w:tcW w:w="1281" w:type="pct"/>
            <w:tcBorders>
              <w:top w:val="single" w:sz="4" w:space="0" w:color="auto"/>
              <w:bottom w:val="single" w:sz="4" w:space="0" w:color="auto"/>
            </w:tcBorders>
            <w:vAlign w:val="center"/>
          </w:tcPr>
          <w:p w:rsidR="004B20E5" w:rsidRPr="00666093" w:rsidRDefault="004B20E5" w:rsidP="00CB75A1">
            <w:pPr>
              <w:pStyle w:val="TableOutcomeMeasure"/>
            </w:pPr>
            <w:r>
              <w:t xml:space="preserve">MA Women 15-19 </w:t>
            </w:r>
          </w:p>
        </w:tc>
        <w:tc>
          <w:tcPr>
            <w:tcW w:w="959" w:type="pct"/>
            <w:tcBorders>
              <w:top w:val="single" w:sz="4" w:space="0" w:color="auto"/>
              <w:bottom w:val="single" w:sz="4" w:space="0" w:color="auto"/>
            </w:tcBorders>
            <w:vAlign w:val="center"/>
          </w:tcPr>
          <w:p w:rsidR="004B20E5" w:rsidRPr="00666093" w:rsidRDefault="004B20E5" w:rsidP="00CB75A1">
            <w:pPr>
              <w:pStyle w:val="TableBaseline2020Target"/>
            </w:pPr>
            <w:r>
              <w:t>14.0 births per 1,000 women 15-19</w:t>
            </w:r>
          </w:p>
        </w:tc>
        <w:tc>
          <w:tcPr>
            <w:tcW w:w="908" w:type="pct"/>
            <w:tcBorders>
              <w:top w:val="single" w:sz="4" w:space="0" w:color="auto"/>
              <w:bottom w:val="single" w:sz="4" w:space="0" w:color="auto"/>
            </w:tcBorders>
            <w:vAlign w:val="center"/>
          </w:tcPr>
          <w:p w:rsidR="004B20E5" w:rsidRPr="00666093" w:rsidRDefault="004B20E5" w:rsidP="00CB75A1">
            <w:pPr>
              <w:pStyle w:val="TableBaseline2020Target"/>
            </w:pPr>
            <w:r>
              <w:t>12.6 births per 1,000 women 15-19</w:t>
            </w:r>
          </w:p>
        </w:tc>
        <w:tc>
          <w:tcPr>
            <w:tcW w:w="1852" w:type="pct"/>
            <w:tcBorders>
              <w:top w:val="single" w:sz="4" w:space="0" w:color="auto"/>
              <w:bottom w:val="single" w:sz="4" w:space="0" w:color="auto"/>
            </w:tcBorders>
            <w:vAlign w:val="center"/>
          </w:tcPr>
          <w:p w:rsidR="004B20E5" w:rsidRPr="00666093" w:rsidRDefault="004B20E5" w:rsidP="00CB75A1">
            <w:pPr>
              <w:pStyle w:val="TableDataSource"/>
            </w:pPr>
            <w:r w:rsidRPr="00CE317D">
              <w:t xml:space="preserve">MDPH </w:t>
            </w:r>
            <w:r>
              <w:t>Vital Statistics</w:t>
            </w:r>
            <w:r w:rsidRPr="00CE317D">
              <w:t>. Data for 201</w:t>
            </w:r>
            <w:r>
              <w:t>2</w:t>
            </w:r>
            <w:r w:rsidRPr="00CE317D">
              <w:t xml:space="preserve">. </w:t>
            </w:r>
            <w:r>
              <w:t>Population estimates from DMOA</w:t>
            </w:r>
          </w:p>
        </w:tc>
      </w:tr>
      <w:tr w:rsidR="004B20E5" w:rsidRPr="00666093" w:rsidTr="00346657">
        <w:trPr>
          <w:cantSplit/>
        </w:trPr>
        <w:tc>
          <w:tcPr>
            <w:tcW w:w="1281" w:type="pct"/>
            <w:tcBorders>
              <w:top w:val="single" w:sz="4" w:space="0" w:color="auto"/>
              <w:bottom w:val="single" w:sz="4" w:space="0" w:color="auto"/>
            </w:tcBorders>
            <w:vAlign w:val="center"/>
          </w:tcPr>
          <w:p w:rsidR="004B20E5" w:rsidRDefault="004B20E5" w:rsidP="00CB75A1">
            <w:pPr>
              <w:pStyle w:val="TableOutcomeMeasure"/>
            </w:pPr>
            <w:r w:rsidRPr="00753B34">
              <w:t xml:space="preserve">Holyoke, MA </w:t>
            </w:r>
            <w:r>
              <w:br/>
            </w:r>
            <w:r w:rsidRPr="00753B34">
              <w:t>Women 15-19</w:t>
            </w:r>
          </w:p>
        </w:tc>
        <w:tc>
          <w:tcPr>
            <w:tcW w:w="959" w:type="pct"/>
            <w:tcBorders>
              <w:top w:val="single" w:sz="4" w:space="0" w:color="auto"/>
              <w:bottom w:val="single" w:sz="4" w:space="0" w:color="auto"/>
            </w:tcBorders>
            <w:vAlign w:val="center"/>
          </w:tcPr>
          <w:p w:rsidR="004B20E5" w:rsidRDefault="004B20E5" w:rsidP="00CB75A1">
            <w:pPr>
              <w:pStyle w:val="TableBaseline2020Target"/>
            </w:pPr>
            <w:r>
              <w:t>57.1</w:t>
            </w:r>
            <w:r w:rsidRPr="00753B34">
              <w:t xml:space="preserve"> births per 1,000 women 15-19</w:t>
            </w:r>
          </w:p>
        </w:tc>
        <w:tc>
          <w:tcPr>
            <w:tcW w:w="908" w:type="pct"/>
            <w:tcBorders>
              <w:top w:val="single" w:sz="4" w:space="0" w:color="auto"/>
              <w:bottom w:val="single" w:sz="4" w:space="0" w:color="auto"/>
            </w:tcBorders>
            <w:vAlign w:val="center"/>
          </w:tcPr>
          <w:p w:rsidR="004B20E5" w:rsidRDefault="004B20E5" w:rsidP="00CB75A1">
            <w:pPr>
              <w:pStyle w:val="TableBaseline2020Target"/>
            </w:pPr>
            <w:r>
              <w:t>51.4</w:t>
            </w:r>
            <w:r w:rsidRPr="00753B34">
              <w:t xml:space="preserve"> births per 1,000 women 15-19</w:t>
            </w:r>
          </w:p>
        </w:tc>
        <w:tc>
          <w:tcPr>
            <w:tcW w:w="1852" w:type="pct"/>
            <w:tcBorders>
              <w:top w:val="single" w:sz="4" w:space="0" w:color="auto"/>
              <w:bottom w:val="single" w:sz="4" w:space="0" w:color="auto"/>
            </w:tcBorders>
            <w:vAlign w:val="center"/>
          </w:tcPr>
          <w:p w:rsidR="004B20E5" w:rsidRPr="00CE317D" w:rsidRDefault="004B20E5" w:rsidP="00CB75A1">
            <w:pPr>
              <w:pStyle w:val="TableDataSource"/>
            </w:pPr>
            <w:r w:rsidRPr="00CE317D">
              <w:t xml:space="preserve">MDPH </w:t>
            </w:r>
            <w:r>
              <w:t>Vital Statistics</w:t>
            </w:r>
            <w:r w:rsidRPr="00CE317D">
              <w:t>. Data for 201</w:t>
            </w:r>
            <w:r>
              <w:t>2</w:t>
            </w:r>
            <w:r w:rsidRPr="00CE317D">
              <w:t>.</w:t>
            </w:r>
            <w:r>
              <w:t xml:space="preserve"> Population estimates from DMOA</w:t>
            </w:r>
          </w:p>
        </w:tc>
      </w:tr>
      <w:tr w:rsidR="004B20E5" w:rsidRPr="00666093" w:rsidTr="00346657">
        <w:trPr>
          <w:cantSplit/>
        </w:trPr>
        <w:tc>
          <w:tcPr>
            <w:tcW w:w="1281" w:type="pct"/>
            <w:tcBorders>
              <w:top w:val="single" w:sz="4" w:space="0" w:color="auto"/>
              <w:bottom w:val="single" w:sz="4" w:space="0" w:color="auto"/>
            </w:tcBorders>
            <w:vAlign w:val="center"/>
          </w:tcPr>
          <w:p w:rsidR="004B20E5" w:rsidRPr="00666093" w:rsidRDefault="004B20E5" w:rsidP="00CB75A1">
            <w:pPr>
              <w:pStyle w:val="TableOutcomeMeasure"/>
            </w:pPr>
            <w:r>
              <w:t>Springfield, MA Women 15-19</w:t>
            </w:r>
          </w:p>
        </w:tc>
        <w:tc>
          <w:tcPr>
            <w:tcW w:w="959" w:type="pct"/>
            <w:tcBorders>
              <w:top w:val="single" w:sz="4" w:space="0" w:color="auto"/>
              <w:bottom w:val="single" w:sz="4" w:space="0" w:color="auto"/>
            </w:tcBorders>
            <w:vAlign w:val="center"/>
          </w:tcPr>
          <w:p w:rsidR="004B20E5" w:rsidRPr="00666093" w:rsidRDefault="004B20E5" w:rsidP="00CB75A1">
            <w:pPr>
              <w:pStyle w:val="TableBaseline2020Target"/>
            </w:pPr>
            <w:r>
              <w:t>46.7 births per 1,000 women 15-19</w:t>
            </w:r>
          </w:p>
        </w:tc>
        <w:tc>
          <w:tcPr>
            <w:tcW w:w="908" w:type="pct"/>
            <w:tcBorders>
              <w:top w:val="single" w:sz="4" w:space="0" w:color="auto"/>
              <w:bottom w:val="single" w:sz="4" w:space="0" w:color="auto"/>
            </w:tcBorders>
            <w:vAlign w:val="center"/>
          </w:tcPr>
          <w:p w:rsidR="004B20E5" w:rsidRPr="00666093" w:rsidRDefault="004B20E5" w:rsidP="00CB75A1">
            <w:pPr>
              <w:pStyle w:val="TableBaseline2020Target"/>
            </w:pPr>
            <w:r>
              <w:t>42.0 births per 1,000 women 15-19</w:t>
            </w:r>
          </w:p>
        </w:tc>
        <w:tc>
          <w:tcPr>
            <w:tcW w:w="1852" w:type="pct"/>
            <w:tcBorders>
              <w:top w:val="single" w:sz="4" w:space="0" w:color="auto"/>
              <w:bottom w:val="single" w:sz="4" w:space="0" w:color="auto"/>
            </w:tcBorders>
            <w:vAlign w:val="center"/>
          </w:tcPr>
          <w:p w:rsidR="004B20E5" w:rsidRPr="00666093" w:rsidRDefault="004B20E5" w:rsidP="00CB75A1">
            <w:pPr>
              <w:pStyle w:val="TableDataSource"/>
            </w:pPr>
            <w:r w:rsidRPr="00CE317D">
              <w:t xml:space="preserve">MDPH </w:t>
            </w:r>
            <w:r>
              <w:t>Vital Statistics</w:t>
            </w:r>
            <w:r w:rsidRPr="00CE317D">
              <w:t>. Data for 201</w:t>
            </w:r>
            <w:r>
              <w:t>2</w:t>
            </w:r>
            <w:r w:rsidRPr="00CE317D">
              <w:t>.</w:t>
            </w:r>
            <w:r>
              <w:t xml:space="preserve"> Population estimates from DMOA</w:t>
            </w:r>
          </w:p>
        </w:tc>
      </w:tr>
      <w:tr w:rsidR="004B20E5" w:rsidRPr="00666093" w:rsidTr="00346657">
        <w:trPr>
          <w:cantSplit/>
        </w:trPr>
        <w:tc>
          <w:tcPr>
            <w:tcW w:w="1281" w:type="pct"/>
            <w:tcBorders>
              <w:top w:val="single" w:sz="4" w:space="0" w:color="auto"/>
              <w:bottom w:val="single" w:sz="4" w:space="0" w:color="auto"/>
            </w:tcBorders>
            <w:vAlign w:val="center"/>
          </w:tcPr>
          <w:p w:rsidR="004B20E5" w:rsidRPr="00666093" w:rsidRDefault="004B20E5" w:rsidP="00CB75A1">
            <w:pPr>
              <w:pStyle w:val="TableOutcomeMeasure"/>
            </w:pPr>
            <w:r>
              <w:t>Lawrence, MA Women 15-19</w:t>
            </w:r>
          </w:p>
        </w:tc>
        <w:tc>
          <w:tcPr>
            <w:tcW w:w="959" w:type="pct"/>
            <w:tcBorders>
              <w:top w:val="single" w:sz="4" w:space="0" w:color="auto"/>
              <w:bottom w:val="single" w:sz="4" w:space="0" w:color="auto"/>
            </w:tcBorders>
            <w:vAlign w:val="center"/>
          </w:tcPr>
          <w:p w:rsidR="004B20E5" w:rsidRPr="00666093" w:rsidRDefault="004B20E5" w:rsidP="00CB75A1">
            <w:pPr>
              <w:pStyle w:val="TableBaseline2020Target"/>
            </w:pPr>
            <w:r>
              <w:t>51.3 births per 1,000 women 15-19</w:t>
            </w:r>
          </w:p>
        </w:tc>
        <w:tc>
          <w:tcPr>
            <w:tcW w:w="908" w:type="pct"/>
            <w:tcBorders>
              <w:top w:val="single" w:sz="4" w:space="0" w:color="auto"/>
              <w:bottom w:val="single" w:sz="4" w:space="0" w:color="auto"/>
            </w:tcBorders>
            <w:vAlign w:val="center"/>
          </w:tcPr>
          <w:p w:rsidR="004B20E5" w:rsidRPr="00666093" w:rsidRDefault="004B20E5" w:rsidP="00CB75A1">
            <w:pPr>
              <w:pStyle w:val="TableBaseline2020Target"/>
            </w:pPr>
            <w:r>
              <w:t>46.2 births per 1,000 women 15-19</w:t>
            </w:r>
          </w:p>
        </w:tc>
        <w:tc>
          <w:tcPr>
            <w:tcW w:w="1852" w:type="pct"/>
            <w:tcBorders>
              <w:top w:val="single" w:sz="4" w:space="0" w:color="auto"/>
              <w:bottom w:val="single" w:sz="4" w:space="0" w:color="auto"/>
            </w:tcBorders>
            <w:vAlign w:val="center"/>
          </w:tcPr>
          <w:p w:rsidR="004B20E5" w:rsidRPr="00666093" w:rsidRDefault="004B20E5" w:rsidP="00CB75A1">
            <w:pPr>
              <w:pStyle w:val="TableDataSource"/>
            </w:pPr>
            <w:r w:rsidRPr="00CE317D">
              <w:t xml:space="preserve">MDPH </w:t>
            </w:r>
            <w:r>
              <w:t>Vital Statistics</w:t>
            </w:r>
            <w:r w:rsidRPr="00CE317D">
              <w:t>. Data for 201</w:t>
            </w:r>
            <w:r>
              <w:t>2</w:t>
            </w:r>
            <w:r w:rsidRPr="00CE317D">
              <w:t>.</w:t>
            </w:r>
            <w:r>
              <w:t xml:space="preserve"> Population estimates from DMOA</w:t>
            </w:r>
          </w:p>
        </w:tc>
      </w:tr>
      <w:tr w:rsidR="004B20E5" w:rsidRPr="00666093" w:rsidTr="00346657">
        <w:trPr>
          <w:cantSplit/>
        </w:trPr>
        <w:tc>
          <w:tcPr>
            <w:tcW w:w="1281" w:type="pct"/>
            <w:tcBorders>
              <w:top w:val="single" w:sz="4" w:space="0" w:color="auto"/>
              <w:bottom w:val="single" w:sz="4" w:space="0" w:color="auto"/>
            </w:tcBorders>
            <w:vAlign w:val="center"/>
          </w:tcPr>
          <w:p w:rsidR="004B20E5" w:rsidRPr="00666093" w:rsidRDefault="004B20E5" w:rsidP="00CB75A1">
            <w:pPr>
              <w:pStyle w:val="TableOutcomeMeasure"/>
            </w:pPr>
            <w:r>
              <w:t>New Bedford, MA Women 15-19</w:t>
            </w:r>
          </w:p>
        </w:tc>
        <w:tc>
          <w:tcPr>
            <w:tcW w:w="959" w:type="pct"/>
            <w:tcBorders>
              <w:top w:val="single" w:sz="4" w:space="0" w:color="auto"/>
              <w:bottom w:val="single" w:sz="4" w:space="0" w:color="auto"/>
            </w:tcBorders>
            <w:vAlign w:val="center"/>
          </w:tcPr>
          <w:p w:rsidR="004B20E5" w:rsidRPr="00666093" w:rsidRDefault="004B20E5" w:rsidP="00CB75A1">
            <w:pPr>
              <w:pStyle w:val="TableBaseline2020Target"/>
            </w:pPr>
            <w:r>
              <w:t>42.5 births per 1,000 women 15-19</w:t>
            </w:r>
          </w:p>
        </w:tc>
        <w:tc>
          <w:tcPr>
            <w:tcW w:w="908" w:type="pct"/>
            <w:tcBorders>
              <w:top w:val="single" w:sz="4" w:space="0" w:color="auto"/>
              <w:bottom w:val="single" w:sz="4" w:space="0" w:color="auto"/>
            </w:tcBorders>
            <w:vAlign w:val="center"/>
          </w:tcPr>
          <w:p w:rsidR="004B20E5" w:rsidRPr="00666093" w:rsidRDefault="004B20E5" w:rsidP="00CB75A1">
            <w:pPr>
              <w:pStyle w:val="TableBaseline2020Target"/>
            </w:pPr>
            <w:r>
              <w:t>38.3 births per 1,000 women 15-19</w:t>
            </w:r>
          </w:p>
        </w:tc>
        <w:tc>
          <w:tcPr>
            <w:tcW w:w="1852" w:type="pct"/>
            <w:tcBorders>
              <w:top w:val="single" w:sz="4" w:space="0" w:color="auto"/>
              <w:bottom w:val="single" w:sz="4" w:space="0" w:color="auto"/>
            </w:tcBorders>
            <w:vAlign w:val="center"/>
          </w:tcPr>
          <w:p w:rsidR="004B20E5" w:rsidRPr="00666093" w:rsidRDefault="004B20E5" w:rsidP="00CB75A1">
            <w:pPr>
              <w:pStyle w:val="TableDataSource"/>
            </w:pPr>
            <w:r w:rsidRPr="00CE317D">
              <w:t xml:space="preserve">MDPH </w:t>
            </w:r>
            <w:r>
              <w:t>Vital Statistics</w:t>
            </w:r>
            <w:r w:rsidRPr="00CE317D">
              <w:t>. Data for 201</w:t>
            </w:r>
            <w:r>
              <w:t>2</w:t>
            </w:r>
            <w:r w:rsidRPr="00CE317D">
              <w:t>.</w:t>
            </w:r>
            <w:r>
              <w:t xml:space="preserve"> Population estimates from DMOA</w:t>
            </w:r>
          </w:p>
        </w:tc>
      </w:tr>
      <w:tr w:rsidR="004B20E5" w:rsidRPr="00666093" w:rsidTr="00346657">
        <w:trPr>
          <w:cantSplit/>
        </w:trPr>
        <w:tc>
          <w:tcPr>
            <w:tcW w:w="1281" w:type="pct"/>
            <w:tcBorders>
              <w:top w:val="single" w:sz="4" w:space="0" w:color="auto"/>
              <w:bottom w:val="single" w:sz="4" w:space="0" w:color="auto"/>
            </w:tcBorders>
            <w:vAlign w:val="center"/>
          </w:tcPr>
          <w:p w:rsidR="004B20E5" w:rsidRDefault="004B20E5" w:rsidP="00CB75A1">
            <w:pPr>
              <w:pStyle w:val="TableOutcomeMeasure"/>
            </w:pPr>
            <w:r>
              <w:t>Worcester, MA Women 15-19</w:t>
            </w:r>
          </w:p>
        </w:tc>
        <w:tc>
          <w:tcPr>
            <w:tcW w:w="959" w:type="pct"/>
            <w:tcBorders>
              <w:top w:val="single" w:sz="4" w:space="0" w:color="auto"/>
              <w:bottom w:val="single" w:sz="4" w:space="0" w:color="auto"/>
            </w:tcBorders>
            <w:vAlign w:val="center"/>
          </w:tcPr>
          <w:p w:rsidR="004B20E5" w:rsidRDefault="004B20E5" w:rsidP="00CB75A1">
            <w:pPr>
              <w:pStyle w:val="TableBaseline2020Target"/>
            </w:pPr>
            <w:r>
              <w:t>24.1 births per 1,000 women 15-19</w:t>
            </w:r>
          </w:p>
        </w:tc>
        <w:tc>
          <w:tcPr>
            <w:tcW w:w="908" w:type="pct"/>
            <w:tcBorders>
              <w:top w:val="single" w:sz="4" w:space="0" w:color="auto"/>
              <w:bottom w:val="single" w:sz="4" w:space="0" w:color="auto"/>
            </w:tcBorders>
            <w:vAlign w:val="center"/>
          </w:tcPr>
          <w:p w:rsidR="004B20E5" w:rsidRDefault="004B20E5" w:rsidP="00CB75A1">
            <w:pPr>
              <w:pStyle w:val="TableBaseline2020Target"/>
            </w:pPr>
            <w:r>
              <w:t>21.7 births per 1,000 women 15-19</w:t>
            </w:r>
          </w:p>
        </w:tc>
        <w:tc>
          <w:tcPr>
            <w:tcW w:w="1852" w:type="pct"/>
            <w:tcBorders>
              <w:top w:val="single" w:sz="4" w:space="0" w:color="auto"/>
              <w:bottom w:val="single" w:sz="4" w:space="0" w:color="auto"/>
            </w:tcBorders>
            <w:vAlign w:val="center"/>
          </w:tcPr>
          <w:p w:rsidR="004B20E5" w:rsidRPr="00CC4659" w:rsidRDefault="004B20E5" w:rsidP="00CB75A1">
            <w:pPr>
              <w:pStyle w:val="TableDataSource"/>
            </w:pPr>
            <w:r w:rsidRPr="00CE317D">
              <w:t xml:space="preserve">MDPH </w:t>
            </w:r>
            <w:r>
              <w:t>Vital Statistics</w:t>
            </w:r>
            <w:r w:rsidRPr="00CE317D">
              <w:t>. Data for 201</w:t>
            </w:r>
            <w:r>
              <w:t>2</w:t>
            </w:r>
            <w:r w:rsidRPr="00CE317D">
              <w:t>.</w:t>
            </w:r>
            <w:r>
              <w:t xml:space="preserve"> Population estimates from DMOA</w:t>
            </w: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7"/>
        <w:gridCol w:w="6212"/>
      </w:tblGrid>
      <w:tr w:rsidR="004B20E5" w:rsidRPr="00666093" w:rsidDel="00F67FD0" w:rsidTr="00CB75A1">
        <w:trPr>
          <w:cantSplit/>
        </w:trPr>
        <w:tc>
          <w:tcPr>
            <w:tcW w:w="1328" w:type="pct"/>
            <w:tcBorders>
              <w:top w:val="single" w:sz="4" w:space="0" w:color="auto"/>
            </w:tcBorders>
          </w:tcPr>
          <w:p w:rsidR="004B20E5" w:rsidRPr="009171C7" w:rsidDel="00F67FD0" w:rsidRDefault="004B20E5" w:rsidP="00CB75A1">
            <w:pPr>
              <w:pStyle w:val="TableTitleNumeratoretc"/>
            </w:pPr>
            <w:r w:rsidRPr="00A367E5">
              <w:t>Numerator</w:t>
            </w:r>
            <w:r>
              <w:t>:</w:t>
            </w:r>
          </w:p>
        </w:tc>
        <w:tc>
          <w:tcPr>
            <w:tcW w:w="3672" w:type="pct"/>
            <w:tcBorders>
              <w:top w:val="single" w:sz="4" w:space="0" w:color="auto"/>
            </w:tcBorders>
            <w:vAlign w:val="center"/>
          </w:tcPr>
          <w:p w:rsidR="004B20E5" w:rsidRPr="00C75CE6" w:rsidDel="00F67FD0" w:rsidRDefault="004B20E5" w:rsidP="00C75CE6">
            <w:pPr>
              <w:pStyle w:val="TableOutcomeMeasure"/>
            </w:pPr>
            <w:r>
              <w:t>Number</w:t>
            </w:r>
            <w:r w:rsidRPr="00C75CE6">
              <w:t xml:space="preserve"> of births to females ages 15-19</w:t>
            </w:r>
          </w:p>
        </w:tc>
      </w:tr>
      <w:tr w:rsidR="004B20E5" w:rsidRPr="00666093" w:rsidDel="00F67FD0" w:rsidTr="00CB75A1">
        <w:trPr>
          <w:cantSplit/>
        </w:trPr>
        <w:tc>
          <w:tcPr>
            <w:tcW w:w="1328" w:type="pct"/>
          </w:tcPr>
          <w:p w:rsidR="004B20E5" w:rsidRPr="009171C7" w:rsidDel="00F67FD0" w:rsidRDefault="004B20E5" w:rsidP="00CB75A1">
            <w:pPr>
              <w:pStyle w:val="TableTitleNumeratoretc"/>
            </w:pPr>
            <w:r w:rsidRPr="00A367E5">
              <w:t>Denominator</w:t>
            </w:r>
            <w:r>
              <w:t>:</w:t>
            </w:r>
          </w:p>
        </w:tc>
        <w:tc>
          <w:tcPr>
            <w:tcW w:w="3672" w:type="pct"/>
            <w:vAlign w:val="center"/>
          </w:tcPr>
          <w:p w:rsidR="004B20E5" w:rsidRPr="00C75CE6" w:rsidDel="00F67FD0" w:rsidRDefault="004B20E5" w:rsidP="00365946">
            <w:pPr>
              <w:pStyle w:val="TableOutcomeMeasure"/>
            </w:pPr>
            <w:r>
              <w:t>Number</w:t>
            </w:r>
            <w:r w:rsidRPr="00C75CE6">
              <w:t xml:space="preserve"> of</w:t>
            </w:r>
            <w:r w:rsidR="00365946">
              <w:t xml:space="preserve"> </w:t>
            </w:r>
            <w:r w:rsidRPr="00C75CE6">
              <w:t xml:space="preserve">females ages 15-19 in the population </w:t>
            </w:r>
          </w:p>
        </w:tc>
      </w:tr>
      <w:tr w:rsidR="004B20E5" w:rsidRPr="00666093" w:rsidDel="00F67FD0" w:rsidTr="00CB75A1">
        <w:trPr>
          <w:cantSplit/>
        </w:trPr>
        <w:tc>
          <w:tcPr>
            <w:tcW w:w="1328" w:type="pct"/>
          </w:tcPr>
          <w:p w:rsidR="004B20E5" w:rsidRPr="009171C7" w:rsidDel="00F67FD0" w:rsidRDefault="004B20E5" w:rsidP="00CB75A1">
            <w:pPr>
              <w:pStyle w:val="TableTitleNumeratoretc"/>
            </w:pPr>
            <w:r w:rsidRPr="00A367E5">
              <w:t>Exclusions</w:t>
            </w:r>
            <w:r>
              <w:t>:</w:t>
            </w:r>
          </w:p>
        </w:tc>
        <w:tc>
          <w:tcPr>
            <w:tcW w:w="3672" w:type="pct"/>
            <w:vAlign w:val="center"/>
          </w:tcPr>
          <w:p w:rsidR="004B20E5" w:rsidRPr="00C75CE6" w:rsidDel="00F67FD0" w:rsidRDefault="004B20E5" w:rsidP="00C75CE6">
            <w:pPr>
              <w:pStyle w:val="TableOutcomeMeasure"/>
            </w:pPr>
            <w:r w:rsidRPr="00C75CE6">
              <w:t>Births without the mother’s age recorded</w:t>
            </w:r>
          </w:p>
        </w:tc>
      </w:tr>
      <w:tr w:rsidR="004B20E5" w:rsidRPr="00666093" w:rsidDel="00F67FD0" w:rsidTr="00CB75A1">
        <w:trPr>
          <w:cantSplit/>
        </w:trPr>
        <w:tc>
          <w:tcPr>
            <w:tcW w:w="1328" w:type="pct"/>
            <w:vAlign w:val="center"/>
          </w:tcPr>
          <w:p w:rsidR="004B20E5" w:rsidRPr="009171C7" w:rsidDel="00F67FD0" w:rsidRDefault="004B20E5" w:rsidP="00CB75A1">
            <w:pPr>
              <w:pStyle w:val="TableTitleNumeratoretc"/>
            </w:pPr>
            <w:r w:rsidRPr="00F67FD0">
              <w:t>Timeframe</w:t>
            </w:r>
            <w:r>
              <w:t>:</w:t>
            </w:r>
          </w:p>
        </w:tc>
        <w:tc>
          <w:tcPr>
            <w:tcW w:w="3672" w:type="pct"/>
            <w:vAlign w:val="center"/>
          </w:tcPr>
          <w:p w:rsidR="004B20E5" w:rsidRPr="00C75CE6" w:rsidDel="00F67FD0" w:rsidRDefault="004B20E5" w:rsidP="00C75CE6">
            <w:pPr>
              <w:pStyle w:val="TableOutcomeMeasure"/>
            </w:pPr>
            <w:r>
              <w:t>Annual</w:t>
            </w:r>
          </w:p>
        </w:tc>
      </w:tr>
      <w:tr w:rsidR="004B20E5" w:rsidRPr="00666093" w:rsidDel="00F67FD0" w:rsidTr="00CB75A1">
        <w:trPr>
          <w:cantSplit/>
        </w:trPr>
        <w:tc>
          <w:tcPr>
            <w:tcW w:w="1328" w:type="pct"/>
            <w:tcBorders>
              <w:bottom w:val="single" w:sz="4" w:space="0" w:color="auto"/>
            </w:tcBorders>
            <w:vAlign w:val="center"/>
          </w:tcPr>
          <w:p w:rsidR="004B20E5" w:rsidRPr="009171C7" w:rsidDel="00F67FD0" w:rsidRDefault="004B20E5" w:rsidP="00CB75A1">
            <w:pPr>
              <w:pStyle w:val="TableTitleNumeratoretc"/>
            </w:pPr>
            <w:r w:rsidRPr="00F67FD0">
              <w:t>How will this be measured?</w:t>
            </w:r>
          </w:p>
        </w:tc>
        <w:tc>
          <w:tcPr>
            <w:tcW w:w="3672" w:type="pct"/>
            <w:tcBorders>
              <w:bottom w:val="single" w:sz="4" w:space="0" w:color="auto"/>
            </w:tcBorders>
            <w:vAlign w:val="center"/>
          </w:tcPr>
          <w:p w:rsidR="004B20E5" w:rsidRDefault="004B20E5" w:rsidP="00C75CE6">
            <w:pPr>
              <w:pStyle w:val="TableOutcomeMeasure"/>
            </w:pPr>
            <w:r>
              <w:t>Registry of Vital Records and Statistics (RVRS)</w:t>
            </w:r>
          </w:p>
          <w:p w:rsidR="004B20E5" w:rsidRPr="00C75CE6" w:rsidDel="00F67FD0" w:rsidRDefault="004B20E5" w:rsidP="00C75CE6">
            <w:pPr>
              <w:pStyle w:val="TableOutcomeMeasure"/>
            </w:pP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70"/>
        <w:gridCol w:w="6189"/>
      </w:tblGrid>
      <w:tr w:rsidR="004B20E5" w:rsidRPr="00666093" w:rsidDel="00F67FD0" w:rsidTr="00773D22">
        <w:trPr>
          <w:cantSplit/>
        </w:trPr>
        <w:tc>
          <w:tcPr>
            <w:tcW w:w="1342" w:type="pct"/>
            <w:tcBorders>
              <w:top w:val="single" w:sz="4" w:space="0" w:color="auto"/>
            </w:tcBorders>
          </w:tcPr>
          <w:p w:rsidR="004B20E5" w:rsidRPr="009171C7" w:rsidDel="00F67FD0" w:rsidRDefault="004B20E5" w:rsidP="00177FD2">
            <w:pPr>
              <w:pStyle w:val="TableTitleNumeratoretc"/>
            </w:pPr>
            <w:r w:rsidRPr="00A367E5">
              <w:t>Numerator</w:t>
            </w:r>
            <w:r>
              <w:t>:</w:t>
            </w:r>
          </w:p>
        </w:tc>
        <w:tc>
          <w:tcPr>
            <w:tcW w:w="3658" w:type="pct"/>
            <w:tcBorders>
              <w:top w:val="single" w:sz="4" w:space="0" w:color="auto"/>
            </w:tcBorders>
            <w:vAlign w:val="center"/>
          </w:tcPr>
          <w:p w:rsidR="004B20E5" w:rsidRPr="00C75CE6" w:rsidDel="00F67FD0" w:rsidRDefault="004B20E5" w:rsidP="00C75CE6">
            <w:pPr>
              <w:pStyle w:val="TableOutcomeMeasure"/>
            </w:pPr>
            <w:r>
              <w:t>Number</w:t>
            </w:r>
            <w:r w:rsidRPr="00C75CE6">
              <w:t xml:space="preserve"> of births to females</w:t>
            </w:r>
            <w:r w:rsidR="00365946">
              <w:t xml:space="preserve"> </w:t>
            </w:r>
            <w:r w:rsidRPr="00C75CE6">
              <w:t>ages 15-19 Holyoke</w:t>
            </w:r>
          </w:p>
        </w:tc>
      </w:tr>
      <w:tr w:rsidR="004B20E5" w:rsidRPr="00666093" w:rsidDel="00F67FD0" w:rsidTr="00773D22">
        <w:trPr>
          <w:cantSplit/>
        </w:trPr>
        <w:tc>
          <w:tcPr>
            <w:tcW w:w="1342" w:type="pct"/>
          </w:tcPr>
          <w:p w:rsidR="004B20E5" w:rsidRPr="009171C7" w:rsidDel="00F67FD0" w:rsidRDefault="004B20E5" w:rsidP="00177FD2">
            <w:pPr>
              <w:pStyle w:val="TableTitleNumeratoretc"/>
            </w:pPr>
            <w:r w:rsidRPr="00A367E5">
              <w:t>Denominator</w:t>
            </w:r>
            <w:r>
              <w:t>:</w:t>
            </w:r>
          </w:p>
        </w:tc>
        <w:tc>
          <w:tcPr>
            <w:tcW w:w="3658" w:type="pct"/>
            <w:vAlign w:val="center"/>
          </w:tcPr>
          <w:p w:rsidR="004B20E5" w:rsidRPr="00C75CE6" w:rsidDel="00F67FD0" w:rsidRDefault="004B20E5" w:rsidP="00365946">
            <w:pPr>
              <w:pStyle w:val="TableOutcomeMeasure"/>
            </w:pPr>
            <w:r>
              <w:t>Number</w:t>
            </w:r>
            <w:r w:rsidRPr="00C75CE6">
              <w:t xml:space="preserve"> of</w:t>
            </w:r>
            <w:r w:rsidR="00365946">
              <w:t xml:space="preserve"> </w:t>
            </w:r>
            <w:r w:rsidRPr="00C75CE6">
              <w:t xml:space="preserve">females ages 15-19 in the population </w:t>
            </w:r>
          </w:p>
        </w:tc>
      </w:tr>
      <w:tr w:rsidR="004B20E5" w:rsidRPr="00666093" w:rsidDel="00F67FD0" w:rsidTr="00773D22">
        <w:trPr>
          <w:cantSplit/>
        </w:trPr>
        <w:tc>
          <w:tcPr>
            <w:tcW w:w="1342" w:type="pct"/>
          </w:tcPr>
          <w:p w:rsidR="004B20E5" w:rsidRPr="009171C7" w:rsidDel="00F67FD0" w:rsidRDefault="004B20E5" w:rsidP="00177FD2">
            <w:pPr>
              <w:pStyle w:val="TableTitleNumeratoretc"/>
            </w:pPr>
            <w:r w:rsidRPr="00A367E5">
              <w:t>Exclusions</w:t>
            </w:r>
            <w:r>
              <w:t>:</w:t>
            </w:r>
          </w:p>
        </w:tc>
        <w:tc>
          <w:tcPr>
            <w:tcW w:w="3658" w:type="pct"/>
            <w:vAlign w:val="center"/>
          </w:tcPr>
          <w:p w:rsidR="004B20E5" w:rsidRPr="00C75CE6" w:rsidDel="00F67FD0" w:rsidRDefault="004B20E5" w:rsidP="00C75CE6">
            <w:pPr>
              <w:pStyle w:val="TableOutcomeMeasure"/>
            </w:pPr>
            <w:r w:rsidRPr="00C75CE6">
              <w:t>Births without the mother’s age recorded</w:t>
            </w:r>
          </w:p>
        </w:tc>
      </w:tr>
      <w:tr w:rsidR="004B20E5" w:rsidRPr="00666093" w:rsidDel="00F67FD0" w:rsidTr="00773D22">
        <w:trPr>
          <w:cantSplit/>
        </w:trPr>
        <w:tc>
          <w:tcPr>
            <w:tcW w:w="1342" w:type="pct"/>
            <w:vAlign w:val="center"/>
          </w:tcPr>
          <w:p w:rsidR="004B20E5" w:rsidRPr="009171C7" w:rsidDel="00F67FD0" w:rsidRDefault="004B20E5" w:rsidP="00177FD2">
            <w:pPr>
              <w:pStyle w:val="TableTitleNumeratoretc"/>
            </w:pPr>
            <w:r w:rsidRPr="00F67FD0">
              <w:t>Timeframe</w:t>
            </w:r>
            <w:r>
              <w:t>:</w:t>
            </w:r>
          </w:p>
        </w:tc>
        <w:tc>
          <w:tcPr>
            <w:tcW w:w="3658" w:type="pct"/>
            <w:vAlign w:val="center"/>
          </w:tcPr>
          <w:p w:rsidR="004B20E5" w:rsidRPr="00C75CE6" w:rsidDel="00F67FD0" w:rsidRDefault="004B20E5" w:rsidP="00C75CE6">
            <w:pPr>
              <w:pStyle w:val="TableOutcomeMeasure"/>
            </w:pPr>
            <w:r>
              <w:t>Annual</w:t>
            </w:r>
          </w:p>
        </w:tc>
      </w:tr>
      <w:tr w:rsidR="004B20E5" w:rsidRPr="00666093" w:rsidDel="00F67FD0" w:rsidTr="00773D22">
        <w:trPr>
          <w:cantSplit/>
        </w:trPr>
        <w:tc>
          <w:tcPr>
            <w:tcW w:w="1342" w:type="pct"/>
            <w:tcBorders>
              <w:bottom w:val="single" w:sz="4" w:space="0" w:color="auto"/>
            </w:tcBorders>
            <w:vAlign w:val="center"/>
          </w:tcPr>
          <w:p w:rsidR="004B20E5" w:rsidRPr="009171C7" w:rsidDel="00F67FD0" w:rsidRDefault="004B20E5" w:rsidP="00177FD2">
            <w:pPr>
              <w:pStyle w:val="TableTitleNumeratoretc"/>
            </w:pPr>
            <w:r w:rsidRPr="00F67FD0">
              <w:t>How will this be measured?</w:t>
            </w:r>
          </w:p>
        </w:tc>
        <w:tc>
          <w:tcPr>
            <w:tcW w:w="3658" w:type="pct"/>
            <w:tcBorders>
              <w:bottom w:val="single" w:sz="4" w:space="0" w:color="auto"/>
            </w:tcBorders>
            <w:vAlign w:val="center"/>
          </w:tcPr>
          <w:p w:rsidR="004B20E5" w:rsidRDefault="004B20E5" w:rsidP="00C75CE6">
            <w:pPr>
              <w:pStyle w:val="TableOutcomeMeasure"/>
            </w:pPr>
            <w:r>
              <w:t>RVRS</w:t>
            </w:r>
          </w:p>
          <w:p w:rsidR="004B20E5" w:rsidRPr="00C75CE6" w:rsidDel="00F67FD0" w:rsidRDefault="004B20E5" w:rsidP="00C75CE6">
            <w:pPr>
              <w:pStyle w:val="TableOutcomeMeasure"/>
            </w:pPr>
          </w:p>
        </w:tc>
      </w:tr>
    </w:tbl>
    <w:p w:rsidR="004B20E5" w:rsidRDefault="004B20E5" w:rsidP="00A808B8">
      <w:pPr>
        <w:pStyle w:val="TOC1"/>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70"/>
        <w:gridCol w:w="6189"/>
      </w:tblGrid>
      <w:tr w:rsidR="004B20E5" w:rsidRPr="00666093" w:rsidDel="00F67FD0" w:rsidTr="00773D22">
        <w:trPr>
          <w:cantSplit/>
        </w:trPr>
        <w:tc>
          <w:tcPr>
            <w:tcW w:w="1342" w:type="pct"/>
            <w:tcBorders>
              <w:top w:val="single" w:sz="4" w:space="0" w:color="auto"/>
            </w:tcBorders>
          </w:tcPr>
          <w:p w:rsidR="004B20E5" w:rsidRPr="009171C7" w:rsidDel="00F67FD0" w:rsidRDefault="004B20E5" w:rsidP="00177FD2">
            <w:pPr>
              <w:pStyle w:val="TableTitleNumeratoretc"/>
            </w:pPr>
            <w:r w:rsidRPr="00A367E5">
              <w:t>Numerator</w:t>
            </w:r>
            <w:r>
              <w:t>:</w:t>
            </w:r>
          </w:p>
        </w:tc>
        <w:tc>
          <w:tcPr>
            <w:tcW w:w="3658" w:type="pct"/>
            <w:tcBorders>
              <w:top w:val="single" w:sz="4" w:space="0" w:color="auto"/>
            </w:tcBorders>
            <w:vAlign w:val="center"/>
          </w:tcPr>
          <w:p w:rsidR="004B20E5" w:rsidRPr="00C75CE6" w:rsidDel="00F67FD0" w:rsidRDefault="004B20E5" w:rsidP="00C75CE6">
            <w:pPr>
              <w:pStyle w:val="TableOutcomeMeasure"/>
            </w:pPr>
            <w:r>
              <w:t>Number</w:t>
            </w:r>
            <w:r w:rsidRPr="00C75CE6">
              <w:t xml:space="preserve"> of births to females ages 15-19 in Springfield</w:t>
            </w:r>
          </w:p>
        </w:tc>
      </w:tr>
      <w:tr w:rsidR="004B20E5" w:rsidRPr="00666093" w:rsidDel="00F67FD0" w:rsidTr="00773D22">
        <w:trPr>
          <w:cantSplit/>
        </w:trPr>
        <w:tc>
          <w:tcPr>
            <w:tcW w:w="1342" w:type="pct"/>
          </w:tcPr>
          <w:p w:rsidR="004B20E5" w:rsidRPr="009171C7" w:rsidDel="00F67FD0" w:rsidRDefault="004B20E5" w:rsidP="00177FD2">
            <w:pPr>
              <w:pStyle w:val="TableTitleNumeratoretc"/>
            </w:pPr>
            <w:r w:rsidRPr="00A367E5">
              <w:t>Denominator</w:t>
            </w:r>
            <w:r>
              <w:t>:</w:t>
            </w:r>
          </w:p>
        </w:tc>
        <w:tc>
          <w:tcPr>
            <w:tcW w:w="3658" w:type="pct"/>
            <w:vAlign w:val="center"/>
          </w:tcPr>
          <w:p w:rsidR="004B20E5" w:rsidRPr="00C75CE6" w:rsidDel="00F67FD0" w:rsidRDefault="004B20E5" w:rsidP="00C75CE6">
            <w:pPr>
              <w:pStyle w:val="TableOutcomeMeasure"/>
            </w:pPr>
            <w:r>
              <w:t>Number</w:t>
            </w:r>
            <w:r w:rsidRPr="00C75CE6">
              <w:t xml:space="preserve"> of</w:t>
            </w:r>
            <w:r w:rsidR="00365946">
              <w:t xml:space="preserve"> </w:t>
            </w:r>
            <w:r w:rsidRPr="00C75CE6">
              <w:t>females ages 15-19 in the population</w:t>
            </w:r>
          </w:p>
        </w:tc>
      </w:tr>
      <w:tr w:rsidR="004B20E5" w:rsidRPr="00666093" w:rsidDel="00F67FD0" w:rsidTr="00773D22">
        <w:trPr>
          <w:cantSplit/>
        </w:trPr>
        <w:tc>
          <w:tcPr>
            <w:tcW w:w="1342" w:type="pct"/>
          </w:tcPr>
          <w:p w:rsidR="004B20E5" w:rsidRPr="009171C7" w:rsidDel="00F67FD0" w:rsidRDefault="004B20E5" w:rsidP="00177FD2">
            <w:pPr>
              <w:pStyle w:val="TableTitleNumeratoretc"/>
            </w:pPr>
            <w:r w:rsidRPr="00A367E5">
              <w:t>Exclusions</w:t>
            </w:r>
            <w:r>
              <w:t>:</w:t>
            </w:r>
          </w:p>
        </w:tc>
        <w:tc>
          <w:tcPr>
            <w:tcW w:w="3658" w:type="pct"/>
            <w:vAlign w:val="center"/>
          </w:tcPr>
          <w:p w:rsidR="004B20E5" w:rsidRPr="00C75CE6" w:rsidDel="00F67FD0" w:rsidRDefault="004B20E5" w:rsidP="00C75CE6">
            <w:pPr>
              <w:pStyle w:val="TableOutcomeMeasure"/>
            </w:pPr>
            <w:r w:rsidRPr="00C75CE6">
              <w:t>Births without the mother’s age recorded</w:t>
            </w:r>
          </w:p>
        </w:tc>
      </w:tr>
      <w:tr w:rsidR="004B20E5" w:rsidRPr="00666093" w:rsidDel="00F67FD0" w:rsidTr="00773D22">
        <w:trPr>
          <w:cantSplit/>
        </w:trPr>
        <w:tc>
          <w:tcPr>
            <w:tcW w:w="1342" w:type="pct"/>
            <w:vAlign w:val="center"/>
          </w:tcPr>
          <w:p w:rsidR="004B20E5" w:rsidRPr="009171C7" w:rsidDel="00F67FD0" w:rsidRDefault="004B20E5" w:rsidP="00177FD2">
            <w:pPr>
              <w:pStyle w:val="TableTitleNumeratoretc"/>
            </w:pPr>
            <w:r w:rsidRPr="00F67FD0">
              <w:t>Timeframe</w:t>
            </w:r>
            <w:r>
              <w:t>:</w:t>
            </w:r>
          </w:p>
        </w:tc>
        <w:tc>
          <w:tcPr>
            <w:tcW w:w="3658" w:type="pct"/>
            <w:vAlign w:val="center"/>
          </w:tcPr>
          <w:p w:rsidR="004B20E5" w:rsidRPr="00C75CE6" w:rsidDel="00F67FD0" w:rsidRDefault="004B20E5" w:rsidP="00C75CE6">
            <w:pPr>
              <w:pStyle w:val="TableOutcomeMeasure"/>
            </w:pPr>
            <w:r>
              <w:t>Annual</w:t>
            </w:r>
          </w:p>
        </w:tc>
      </w:tr>
      <w:tr w:rsidR="004B20E5" w:rsidRPr="00666093" w:rsidDel="00F67FD0" w:rsidTr="00773D22">
        <w:trPr>
          <w:cantSplit/>
        </w:trPr>
        <w:tc>
          <w:tcPr>
            <w:tcW w:w="1342" w:type="pct"/>
            <w:tcBorders>
              <w:bottom w:val="single" w:sz="4" w:space="0" w:color="auto"/>
            </w:tcBorders>
            <w:vAlign w:val="center"/>
          </w:tcPr>
          <w:p w:rsidR="004B20E5" w:rsidRPr="009171C7" w:rsidDel="00F67FD0" w:rsidRDefault="004B20E5" w:rsidP="00177FD2">
            <w:pPr>
              <w:pStyle w:val="TableTitleNumeratoretc"/>
            </w:pPr>
            <w:r w:rsidRPr="00F67FD0">
              <w:t>How will this be measured?</w:t>
            </w:r>
          </w:p>
        </w:tc>
        <w:tc>
          <w:tcPr>
            <w:tcW w:w="3658" w:type="pct"/>
            <w:tcBorders>
              <w:bottom w:val="single" w:sz="4" w:space="0" w:color="auto"/>
            </w:tcBorders>
            <w:vAlign w:val="center"/>
          </w:tcPr>
          <w:p w:rsidR="004B20E5" w:rsidRDefault="004B20E5" w:rsidP="00C75CE6">
            <w:pPr>
              <w:pStyle w:val="TableOutcomeMeasure"/>
            </w:pPr>
            <w:r>
              <w:t>RVRS</w:t>
            </w:r>
          </w:p>
          <w:p w:rsidR="004B20E5" w:rsidRPr="00C75CE6" w:rsidDel="00F67FD0" w:rsidRDefault="004B20E5" w:rsidP="00C75CE6">
            <w:pPr>
              <w:pStyle w:val="TableOutcomeMeasure"/>
            </w:pPr>
          </w:p>
        </w:tc>
      </w:tr>
    </w:tbl>
    <w:p w:rsidR="004B20E5" w:rsidRDefault="004B20E5" w:rsidP="00A808B8">
      <w:pPr>
        <w:pStyle w:val="TOC1"/>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70"/>
        <w:gridCol w:w="6189"/>
      </w:tblGrid>
      <w:tr w:rsidR="004B20E5" w:rsidRPr="00666093" w:rsidDel="00F67FD0" w:rsidTr="00773D22">
        <w:trPr>
          <w:cantSplit/>
        </w:trPr>
        <w:tc>
          <w:tcPr>
            <w:tcW w:w="1342" w:type="pct"/>
            <w:tcBorders>
              <w:top w:val="single" w:sz="4" w:space="0" w:color="auto"/>
            </w:tcBorders>
          </w:tcPr>
          <w:p w:rsidR="004B20E5" w:rsidRPr="009171C7" w:rsidDel="00F67FD0" w:rsidRDefault="004B20E5" w:rsidP="00177FD2">
            <w:pPr>
              <w:pStyle w:val="TableTitleNumeratoretc"/>
            </w:pPr>
            <w:r w:rsidRPr="00A367E5">
              <w:t>Numerator</w:t>
            </w:r>
            <w:r>
              <w:t>:</w:t>
            </w:r>
          </w:p>
        </w:tc>
        <w:tc>
          <w:tcPr>
            <w:tcW w:w="3658" w:type="pct"/>
            <w:tcBorders>
              <w:top w:val="single" w:sz="4" w:space="0" w:color="auto"/>
            </w:tcBorders>
            <w:vAlign w:val="center"/>
          </w:tcPr>
          <w:p w:rsidR="004B20E5" w:rsidRPr="00C75CE6" w:rsidDel="00F67FD0" w:rsidRDefault="004B20E5" w:rsidP="00C75CE6">
            <w:pPr>
              <w:pStyle w:val="TableOutcomeMeasure"/>
            </w:pPr>
            <w:r>
              <w:t>Number</w:t>
            </w:r>
            <w:r w:rsidRPr="00C75CE6">
              <w:t xml:space="preserve"> of births to females</w:t>
            </w:r>
            <w:r w:rsidR="00365946">
              <w:t xml:space="preserve"> </w:t>
            </w:r>
            <w:r w:rsidRPr="00C75CE6">
              <w:t>ages 15-19 in Lawrence</w:t>
            </w:r>
          </w:p>
        </w:tc>
      </w:tr>
      <w:tr w:rsidR="004B20E5" w:rsidRPr="00666093" w:rsidDel="00F67FD0" w:rsidTr="00773D22">
        <w:trPr>
          <w:cantSplit/>
        </w:trPr>
        <w:tc>
          <w:tcPr>
            <w:tcW w:w="1342" w:type="pct"/>
          </w:tcPr>
          <w:p w:rsidR="004B20E5" w:rsidRPr="009171C7" w:rsidDel="00F67FD0" w:rsidRDefault="004B20E5" w:rsidP="00177FD2">
            <w:pPr>
              <w:pStyle w:val="TableTitleNumeratoretc"/>
            </w:pPr>
            <w:r w:rsidRPr="00A367E5">
              <w:t>Denominator</w:t>
            </w:r>
            <w:r>
              <w:t>:</w:t>
            </w:r>
          </w:p>
        </w:tc>
        <w:tc>
          <w:tcPr>
            <w:tcW w:w="3658" w:type="pct"/>
            <w:vAlign w:val="center"/>
          </w:tcPr>
          <w:p w:rsidR="004B20E5" w:rsidRPr="00C75CE6" w:rsidDel="00F67FD0" w:rsidRDefault="004B20E5" w:rsidP="00866C8C">
            <w:pPr>
              <w:pStyle w:val="TableOutcomeMeasure"/>
            </w:pPr>
            <w:r>
              <w:t>Number</w:t>
            </w:r>
            <w:r w:rsidRPr="00C75CE6">
              <w:t xml:space="preserve"> of  females ages 15-19 in the population </w:t>
            </w:r>
          </w:p>
        </w:tc>
      </w:tr>
      <w:tr w:rsidR="004B20E5" w:rsidRPr="00666093" w:rsidDel="00F67FD0" w:rsidTr="00773D22">
        <w:trPr>
          <w:cantSplit/>
        </w:trPr>
        <w:tc>
          <w:tcPr>
            <w:tcW w:w="1342" w:type="pct"/>
          </w:tcPr>
          <w:p w:rsidR="004B20E5" w:rsidRPr="009171C7" w:rsidDel="00F67FD0" w:rsidRDefault="004B20E5" w:rsidP="00177FD2">
            <w:pPr>
              <w:pStyle w:val="TableTitleNumeratoretc"/>
            </w:pPr>
            <w:r w:rsidRPr="00A367E5">
              <w:t>Exclusions</w:t>
            </w:r>
            <w:r>
              <w:t>:</w:t>
            </w:r>
          </w:p>
        </w:tc>
        <w:tc>
          <w:tcPr>
            <w:tcW w:w="3658" w:type="pct"/>
            <w:vAlign w:val="center"/>
          </w:tcPr>
          <w:p w:rsidR="004B20E5" w:rsidRPr="00C75CE6" w:rsidDel="00F67FD0" w:rsidRDefault="004B20E5" w:rsidP="00C75CE6">
            <w:pPr>
              <w:pStyle w:val="TableOutcomeMeasure"/>
            </w:pPr>
            <w:r w:rsidRPr="00C75CE6">
              <w:t>Births without the mother’s age recorded</w:t>
            </w:r>
          </w:p>
        </w:tc>
      </w:tr>
      <w:tr w:rsidR="004B20E5" w:rsidRPr="00666093" w:rsidDel="00F67FD0" w:rsidTr="00773D22">
        <w:trPr>
          <w:cantSplit/>
        </w:trPr>
        <w:tc>
          <w:tcPr>
            <w:tcW w:w="1342" w:type="pct"/>
            <w:vAlign w:val="center"/>
          </w:tcPr>
          <w:p w:rsidR="004B20E5" w:rsidRPr="009171C7" w:rsidDel="00F67FD0" w:rsidRDefault="004B20E5" w:rsidP="00177FD2">
            <w:pPr>
              <w:pStyle w:val="TableTitleNumeratoretc"/>
            </w:pPr>
            <w:r w:rsidRPr="00F67FD0">
              <w:t>Timeframe</w:t>
            </w:r>
            <w:r>
              <w:t>:</w:t>
            </w:r>
          </w:p>
        </w:tc>
        <w:tc>
          <w:tcPr>
            <w:tcW w:w="3658" w:type="pct"/>
            <w:vAlign w:val="center"/>
          </w:tcPr>
          <w:p w:rsidR="004B20E5" w:rsidRPr="00C75CE6" w:rsidDel="00F67FD0" w:rsidRDefault="004B20E5" w:rsidP="00C75CE6">
            <w:pPr>
              <w:pStyle w:val="TableOutcomeMeasure"/>
            </w:pPr>
            <w:r>
              <w:t>Annual</w:t>
            </w:r>
          </w:p>
        </w:tc>
      </w:tr>
      <w:tr w:rsidR="004B20E5" w:rsidRPr="00666093" w:rsidDel="00F67FD0" w:rsidTr="00773D22">
        <w:trPr>
          <w:cantSplit/>
        </w:trPr>
        <w:tc>
          <w:tcPr>
            <w:tcW w:w="1342" w:type="pct"/>
            <w:tcBorders>
              <w:bottom w:val="single" w:sz="4" w:space="0" w:color="auto"/>
            </w:tcBorders>
            <w:vAlign w:val="center"/>
          </w:tcPr>
          <w:p w:rsidR="004B20E5" w:rsidRPr="009171C7" w:rsidDel="00F67FD0" w:rsidRDefault="004B20E5" w:rsidP="00177FD2">
            <w:pPr>
              <w:pStyle w:val="TableTitleNumeratoretc"/>
            </w:pPr>
            <w:r w:rsidRPr="00F67FD0">
              <w:t>How will this be measured?</w:t>
            </w:r>
          </w:p>
        </w:tc>
        <w:tc>
          <w:tcPr>
            <w:tcW w:w="3658" w:type="pct"/>
            <w:tcBorders>
              <w:bottom w:val="single" w:sz="4" w:space="0" w:color="auto"/>
            </w:tcBorders>
            <w:vAlign w:val="center"/>
          </w:tcPr>
          <w:p w:rsidR="004B20E5" w:rsidRDefault="004B20E5" w:rsidP="00C75CE6">
            <w:pPr>
              <w:pStyle w:val="TableOutcomeMeasure"/>
            </w:pPr>
            <w:r>
              <w:t>RVRS</w:t>
            </w:r>
          </w:p>
          <w:p w:rsidR="004B20E5" w:rsidRPr="00C75CE6" w:rsidDel="00F67FD0" w:rsidRDefault="004B20E5" w:rsidP="00C75CE6">
            <w:pPr>
              <w:pStyle w:val="TableOutcomeMeasure"/>
            </w:pPr>
          </w:p>
        </w:tc>
      </w:tr>
    </w:tbl>
    <w:p w:rsidR="004B20E5" w:rsidRDefault="004B20E5" w:rsidP="00A808B8">
      <w:pPr>
        <w:pStyle w:val="TOC1"/>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70"/>
        <w:gridCol w:w="6189"/>
      </w:tblGrid>
      <w:tr w:rsidR="004B20E5" w:rsidRPr="00666093" w:rsidDel="00F67FD0" w:rsidTr="00773D22">
        <w:trPr>
          <w:cantSplit/>
        </w:trPr>
        <w:tc>
          <w:tcPr>
            <w:tcW w:w="1342" w:type="pct"/>
            <w:tcBorders>
              <w:top w:val="single" w:sz="4" w:space="0" w:color="auto"/>
            </w:tcBorders>
          </w:tcPr>
          <w:p w:rsidR="004B20E5" w:rsidRPr="009171C7" w:rsidDel="00F67FD0" w:rsidRDefault="004B20E5" w:rsidP="00177FD2">
            <w:pPr>
              <w:pStyle w:val="TableTitleNumeratoretc"/>
            </w:pPr>
            <w:r w:rsidRPr="00A367E5">
              <w:t>Numerator</w:t>
            </w:r>
            <w:r>
              <w:t>:</w:t>
            </w:r>
          </w:p>
        </w:tc>
        <w:tc>
          <w:tcPr>
            <w:tcW w:w="3658" w:type="pct"/>
            <w:tcBorders>
              <w:top w:val="single" w:sz="4" w:space="0" w:color="auto"/>
            </w:tcBorders>
            <w:vAlign w:val="center"/>
          </w:tcPr>
          <w:p w:rsidR="004B20E5" w:rsidRPr="00C75CE6" w:rsidDel="00F67FD0" w:rsidRDefault="004B20E5" w:rsidP="00C75CE6">
            <w:pPr>
              <w:pStyle w:val="TableOutcomeMeasure"/>
            </w:pPr>
            <w:r>
              <w:t>Number</w:t>
            </w:r>
            <w:r w:rsidRPr="00C75CE6">
              <w:t xml:space="preserve"> of births to females</w:t>
            </w:r>
            <w:r w:rsidR="00365946">
              <w:t xml:space="preserve"> </w:t>
            </w:r>
            <w:r w:rsidRPr="00C75CE6">
              <w:t>ages 15-19 in New Bedford</w:t>
            </w:r>
          </w:p>
        </w:tc>
      </w:tr>
      <w:tr w:rsidR="004B20E5" w:rsidRPr="00666093" w:rsidDel="00F67FD0" w:rsidTr="00773D22">
        <w:trPr>
          <w:cantSplit/>
        </w:trPr>
        <w:tc>
          <w:tcPr>
            <w:tcW w:w="1342" w:type="pct"/>
          </w:tcPr>
          <w:p w:rsidR="004B20E5" w:rsidRPr="009171C7" w:rsidDel="00F67FD0" w:rsidRDefault="004B20E5" w:rsidP="00177FD2">
            <w:pPr>
              <w:pStyle w:val="TableTitleNumeratoretc"/>
            </w:pPr>
            <w:r w:rsidRPr="00A367E5">
              <w:t>Denominator</w:t>
            </w:r>
            <w:r>
              <w:t>:</w:t>
            </w:r>
          </w:p>
        </w:tc>
        <w:tc>
          <w:tcPr>
            <w:tcW w:w="3658" w:type="pct"/>
            <w:vAlign w:val="center"/>
          </w:tcPr>
          <w:p w:rsidR="004B20E5" w:rsidRPr="00C75CE6" w:rsidDel="00F67FD0" w:rsidRDefault="004B20E5" w:rsidP="00365946">
            <w:pPr>
              <w:pStyle w:val="TableOutcomeMeasure"/>
            </w:pPr>
            <w:r>
              <w:t>Number</w:t>
            </w:r>
            <w:r w:rsidRPr="00C75CE6">
              <w:t xml:space="preserve"> of  females ages 15-19 in the population </w:t>
            </w:r>
          </w:p>
        </w:tc>
      </w:tr>
      <w:tr w:rsidR="004B20E5" w:rsidRPr="00666093" w:rsidDel="00F67FD0" w:rsidTr="00773D22">
        <w:trPr>
          <w:cantSplit/>
        </w:trPr>
        <w:tc>
          <w:tcPr>
            <w:tcW w:w="1342" w:type="pct"/>
          </w:tcPr>
          <w:p w:rsidR="004B20E5" w:rsidRPr="009171C7" w:rsidDel="00F67FD0" w:rsidRDefault="004B20E5" w:rsidP="00177FD2">
            <w:pPr>
              <w:pStyle w:val="TableTitleNumeratoretc"/>
            </w:pPr>
            <w:r w:rsidRPr="00A367E5">
              <w:t>Exclusions</w:t>
            </w:r>
            <w:r>
              <w:t>:</w:t>
            </w:r>
          </w:p>
        </w:tc>
        <w:tc>
          <w:tcPr>
            <w:tcW w:w="3658" w:type="pct"/>
            <w:vAlign w:val="center"/>
          </w:tcPr>
          <w:p w:rsidR="004B20E5" w:rsidRPr="00C75CE6" w:rsidDel="00F67FD0" w:rsidRDefault="004B20E5" w:rsidP="00C75CE6">
            <w:pPr>
              <w:pStyle w:val="TableOutcomeMeasure"/>
            </w:pPr>
            <w:r w:rsidRPr="00C75CE6">
              <w:t>Births without the mother’s age recorded</w:t>
            </w:r>
          </w:p>
        </w:tc>
      </w:tr>
      <w:tr w:rsidR="004B20E5" w:rsidRPr="00666093" w:rsidDel="00F67FD0" w:rsidTr="00773D22">
        <w:trPr>
          <w:cantSplit/>
        </w:trPr>
        <w:tc>
          <w:tcPr>
            <w:tcW w:w="1342" w:type="pct"/>
            <w:vAlign w:val="center"/>
          </w:tcPr>
          <w:p w:rsidR="004B20E5" w:rsidRPr="009171C7" w:rsidDel="00F67FD0" w:rsidRDefault="004B20E5" w:rsidP="00177FD2">
            <w:pPr>
              <w:pStyle w:val="TableTitleNumeratoretc"/>
            </w:pPr>
            <w:r w:rsidRPr="00F67FD0">
              <w:t>Timeframe</w:t>
            </w:r>
            <w:r>
              <w:t>:</w:t>
            </w:r>
          </w:p>
        </w:tc>
        <w:tc>
          <w:tcPr>
            <w:tcW w:w="3658" w:type="pct"/>
            <w:vAlign w:val="center"/>
          </w:tcPr>
          <w:p w:rsidR="004B20E5" w:rsidRPr="00C75CE6" w:rsidDel="00F67FD0" w:rsidRDefault="004B20E5" w:rsidP="00C75CE6">
            <w:pPr>
              <w:pStyle w:val="TableOutcomeMeasure"/>
            </w:pPr>
            <w:r>
              <w:t>Annual</w:t>
            </w:r>
          </w:p>
        </w:tc>
      </w:tr>
      <w:tr w:rsidR="004B20E5" w:rsidRPr="00666093" w:rsidDel="00F67FD0" w:rsidTr="00773D22">
        <w:trPr>
          <w:cantSplit/>
        </w:trPr>
        <w:tc>
          <w:tcPr>
            <w:tcW w:w="1342" w:type="pct"/>
            <w:tcBorders>
              <w:bottom w:val="single" w:sz="4" w:space="0" w:color="auto"/>
            </w:tcBorders>
            <w:vAlign w:val="center"/>
          </w:tcPr>
          <w:p w:rsidR="004B20E5" w:rsidRPr="009171C7" w:rsidDel="00F67FD0" w:rsidRDefault="004B20E5" w:rsidP="00177FD2">
            <w:pPr>
              <w:pStyle w:val="TableTitleNumeratoretc"/>
            </w:pPr>
            <w:r w:rsidRPr="00F67FD0">
              <w:t>How will this be measured?</w:t>
            </w:r>
          </w:p>
        </w:tc>
        <w:tc>
          <w:tcPr>
            <w:tcW w:w="3658" w:type="pct"/>
            <w:tcBorders>
              <w:bottom w:val="single" w:sz="4" w:space="0" w:color="auto"/>
            </w:tcBorders>
            <w:vAlign w:val="center"/>
          </w:tcPr>
          <w:p w:rsidR="004B20E5" w:rsidRDefault="004B20E5" w:rsidP="00C75CE6">
            <w:pPr>
              <w:pStyle w:val="TableOutcomeMeasure"/>
            </w:pPr>
            <w:r>
              <w:t>RVRS</w:t>
            </w:r>
          </w:p>
          <w:p w:rsidR="004B20E5" w:rsidRPr="00C75CE6" w:rsidDel="00F67FD0" w:rsidRDefault="004B20E5" w:rsidP="00C75CE6">
            <w:pPr>
              <w:pStyle w:val="TableOutcomeMeasure"/>
            </w:pPr>
          </w:p>
        </w:tc>
      </w:tr>
    </w:tbl>
    <w:p w:rsidR="004B20E5" w:rsidRDefault="004B20E5" w:rsidP="00A808B8">
      <w:pPr>
        <w:pStyle w:val="TOC1"/>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70"/>
        <w:gridCol w:w="6189"/>
      </w:tblGrid>
      <w:tr w:rsidR="004B20E5" w:rsidRPr="00666093" w:rsidDel="00F67FD0" w:rsidTr="00773D22">
        <w:trPr>
          <w:cantSplit/>
        </w:trPr>
        <w:tc>
          <w:tcPr>
            <w:tcW w:w="1342" w:type="pct"/>
            <w:tcBorders>
              <w:top w:val="single" w:sz="4" w:space="0" w:color="auto"/>
            </w:tcBorders>
          </w:tcPr>
          <w:p w:rsidR="004B20E5" w:rsidRPr="009171C7" w:rsidDel="00F67FD0" w:rsidRDefault="004B20E5" w:rsidP="00177FD2">
            <w:pPr>
              <w:pStyle w:val="TableTitleNumeratoretc"/>
            </w:pPr>
            <w:r w:rsidRPr="00A367E5">
              <w:t>Numerator</w:t>
            </w:r>
            <w:r>
              <w:t>:</w:t>
            </w:r>
          </w:p>
        </w:tc>
        <w:tc>
          <w:tcPr>
            <w:tcW w:w="3658" w:type="pct"/>
            <w:tcBorders>
              <w:top w:val="single" w:sz="4" w:space="0" w:color="auto"/>
            </w:tcBorders>
            <w:vAlign w:val="center"/>
          </w:tcPr>
          <w:p w:rsidR="004B20E5" w:rsidRPr="00C75CE6" w:rsidDel="00F67FD0" w:rsidRDefault="004B20E5" w:rsidP="00C75CE6">
            <w:pPr>
              <w:pStyle w:val="TableOutcomeMeasure"/>
            </w:pPr>
            <w:r>
              <w:t>Number</w:t>
            </w:r>
            <w:r w:rsidRPr="00C75CE6">
              <w:t xml:space="preserve"> of births to females</w:t>
            </w:r>
            <w:r w:rsidR="00365946">
              <w:t xml:space="preserve"> </w:t>
            </w:r>
            <w:r w:rsidRPr="00C75CE6">
              <w:t>ages 15-19 in Worcester</w:t>
            </w:r>
          </w:p>
        </w:tc>
      </w:tr>
      <w:tr w:rsidR="004B20E5" w:rsidRPr="00666093" w:rsidDel="00F67FD0" w:rsidTr="00773D22">
        <w:trPr>
          <w:cantSplit/>
        </w:trPr>
        <w:tc>
          <w:tcPr>
            <w:tcW w:w="1342" w:type="pct"/>
          </w:tcPr>
          <w:p w:rsidR="004B20E5" w:rsidRPr="009171C7" w:rsidDel="00F67FD0" w:rsidRDefault="004B20E5" w:rsidP="00177FD2">
            <w:pPr>
              <w:pStyle w:val="TableTitleNumeratoretc"/>
            </w:pPr>
            <w:r w:rsidRPr="00A367E5">
              <w:t>Denominator</w:t>
            </w:r>
            <w:r>
              <w:t>:</w:t>
            </w:r>
          </w:p>
        </w:tc>
        <w:tc>
          <w:tcPr>
            <w:tcW w:w="3658" w:type="pct"/>
            <w:vAlign w:val="center"/>
          </w:tcPr>
          <w:p w:rsidR="004B20E5" w:rsidRPr="00C75CE6" w:rsidDel="00F67FD0" w:rsidRDefault="004B20E5" w:rsidP="00C75CE6">
            <w:pPr>
              <w:pStyle w:val="TableOutcomeMeasure"/>
            </w:pPr>
            <w:r>
              <w:t>Number</w:t>
            </w:r>
            <w:r w:rsidRPr="00C75CE6">
              <w:t xml:space="preserve"> of  females ages 15-19 in the population </w:t>
            </w:r>
          </w:p>
        </w:tc>
      </w:tr>
      <w:tr w:rsidR="004B20E5" w:rsidRPr="00666093" w:rsidDel="00F67FD0" w:rsidTr="00773D22">
        <w:trPr>
          <w:cantSplit/>
        </w:trPr>
        <w:tc>
          <w:tcPr>
            <w:tcW w:w="1342" w:type="pct"/>
          </w:tcPr>
          <w:p w:rsidR="004B20E5" w:rsidRPr="009171C7" w:rsidDel="00F67FD0" w:rsidRDefault="004B20E5" w:rsidP="00177FD2">
            <w:pPr>
              <w:pStyle w:val="TableTitleNumeratoretc"/>
            </w:pPr>
            <w:r w:rsidRPr="00A367E5">
              <w:t>Exclusions</w:t>
            </w:r>
            <w:r>
              <w:t>:</w:t>
            </w:r>
          </w:p>
        </w:tc>
        <w:tc>
          <w:tcPr>
            <w:tcW w:w="3658" w:type="pct"/>
            <w:vAlign w:val="center"/>
          </w:tcPr>
          <w:p w:rsidR="004B20E5" w:rsidRPr="00C75CE6" w:rsidDel="00F67FD0" w:rsidRDefault="004B20E5" w:rsidP="00C75CE6">
            <w:pPr>
              <w:pStyle w:val="TableOutcomeMeasure"/>
            </w:pPr>
            <w:r w:rsidRPr="00C75CE6">
              <w:t>Births without the mother’s age recorded</w:t>
            </w:r>
          </w:p>
        </w:tc>
      </w:tr>
      <w:tr w:rsidR="004B20E5" w:rsidRPr="00666093" w:rsidDel="00F67FD0" w:rsidTr="00773D22">
        <w:trPr>
          <w:cantSplit/>
        </w:trPr>
        <w:tc>
          <w:tcPr>
            <w:tcW w:w="1342" w:type="pct"/>
            <w:vAlign w:val="center"/>
          </w:tcPr>
          <w:p w:rsidR="004B20E5" w:rsidRPr="009171C7" w:rsidDel="00F67FD0" w:rsidRDefault="004B20E5" w:rsidP="00177FD2">
            <w:pPr>
              <w:pStyle w:val="TableTitleNumeratoretc"/>
            </w:pPr>
            <w:r w:rsidRPr="00F67FD0">
              <w:t>Timeframe</w:t>
            </w:r>
            <w:r>
              <w:t>:</w:t>
            </w:r>
          </w:p>
        </w:tc>
        <w:tc>
          <w:tcPr>
            <w:tcW w:w="3658" w:type="pct"/>
            <w:vAlign w:val="center"/>
          </w:tcPr>
          <w:p w:rsidR="004B20E5" w:rsidRPr="00C75CE6" w:rsidDel="00F67FD0" w:rsidRDefault="004B20E5" w:rsidP="00C75CE6">
            <w:pPr>
              <w:pStyle w:val="TableOutcomeMeasure"/>
            </w:pPr>
            <w:r>
              <w:t>Annual</w:t>
            </w:r>
          </w:p>
        </w:tc>
      </w:tr>
      <w:tr w:rsidR="004B20E5" w:rsidRPr="00666093" w:rsidDel="00F67FD0" w:rsidTr="00773D22">
        <w:trPr>
          <w:cantSplit/>
        </w:trPr>
        <w:tc>
          <w:tcPr>
            <w:tcW w:w="1342" w:type="pct"/>
            <w:tcBorders>
              <w:bottom w:val="single" w:sz="4" w:space="0" w:color="auto"/>
            </w:tcBorders>
            <w:vAlign w:val="center"/>
          </w:tcPr>
          <w:p w:rsidR="004B20E5" w:rsidRPr="009171C7" w:rsidDel="00F67FD0" w:rsidRDefault="004B20E5" w:rsidP="00177FD2">
            <w:pPr>
              <w:pStyle w:val="TableTitleNumeratoretc"/>
            </w:pPr>
            <w:r w:rsidRPr="00F67FD0">
              <w:t>How will this be measured?</w:t>
            </w:r>
          </w:p>
        </w:tc>
        <w:tc>
          <w:tcPr>
            <w:tcW w:w="3658" w:type="pct"/>
            <w:tcBorders>
              <w:bottom w:val="single" w:sz="4" w:space="0" w:color="auto"/>
            </w:tcBorders>
            <w:vAlign w:val="center"/>
          </w:tcPr>
          <w:p w:rsidR="004B20E5" w:rsidRDefault="004B20E5" w:rsidP="00C75CE6">
            <w:pPr>
              <w:pStyle w:val="TableOutcomeMeasure"/>
            </w:pPr>
            <w:r>
              <w:t>RVRS</w:t>
            </w:r>
          </w:p>
          <w:p w:rsidR="004B20E5" w:rsidRPr="00C75CE6" w:rsidDel="00F67FD0" w:rsidRDefault="004B20E5" w:rsidP="00C75CE6">
            <w:pPr>
              <w:pStyle w:val="TableOutcomeMeasure"/>
            </w:pPr>
          </w:p>
        </w:tc>
      </w:tr>
    </w:tbl>
    <w:p w:rsidR="004B20E5" w:rsidRPr="00EE0CC5" w:rsidRDefault="004B20E5" w:rsidP="00CB75A1">
      <w:pPr>
        <w:pStyle w:val="StrategiesCategoryTitles"/>
      </w:pPr>
    </w:p>
    <w:p w:rsidR="004B20E5" w:rsidRDefault="004B20E5" w:rsidP="007C27A3">
      <w:pPr>
        <w:pStyle w:val="TableTenEssenHlthFunct"/>
      </w:pPr>
      <w:r>
        <w:t>Monitor Health to Identify and Solve Community Health Problems</w:t>
      </w:r>
    </w:p>
    <w:p w:rsidR="004B20E5" w:rsidRPr="006256D0" w:rsidRDefault="004B20E5" w:rsidP="00D00411">
      <w:pPr>
        <w:pStyle w:val="TableStrategiesunderHealthFunctions"/>
      </w:pPr>
      <w:r>
        <w:t xml:space="preserve">6.1.1 </w:t>
      </w:r>
      <w:r>
        <w:tab/>
        <w:t>Prepare and disseminate Teen Birth Packets to communities with highest rates to promote community awareness and action.</w:t>
      </w:r>
    </w:p>
    <w:p w:rsidR="004B20E5" w:rsidRDefault="004B20E5" w:rsidP="007C27A3">
      <w:pPr>
        <w:pStyle w:val="TableTenEssenHlthFunct"/>
      </w:pPr>
      <w:r>
        <w:t xml:space="preserve">Inform, Educate, and Empower People About Health Issues </w:t>
      </w:r>
    </w:p>
    <w:p w:rsidR="004B20E5" w:rsidRPr="00986625" w:rsidRDefault="004B20E5" w:rsidP="00D00411">
      <w:pPr>
        <w:pStyle w:val="TableStrategiesunderHealthFunctions"/>
      </w:pPr>
      <w:r w:rsidRPr="00986625">
        <w:t>6.1.</w:t>
      </w:r>
      <w:r>
        <w:t>2</w:t>
      </w:r>
      <w:r w:rsidRPr="00986625">
        <w:tab/>
      </w:r>
      <w:r>
        <w:t>Provide</w:t>
      </w:r>
      <w:r w:rsidRPr="00986625">
        <w:t xml:space="preserve"> comprehensive</w:t>
      </w:r>
      <w:r>
        <w:t>, culturally appropriate</w:t>
      </w:r>
      <w:r w:rsidR="00365946">
        <w:t xml:space="preserve"> </w:t>
      </w:r>
      <w:r w:rsidRPr="00986625">
        <w:t xml:space="preserve">family planning services and education for </w:t>
      </w:r>
      <w:r>
        <w:t>adolescents and young adults</w:t>
      </w:r>
      <w:r w:rsidRPr="00986625">
        <w:t>.</w:t>
      </w:r>
    </w:p>
    <w:p w:rsidR="004B20E5" w:rsidRPr="00986625" w:rsidRDefault="004B20E5" w:rsidP="00D00411">
      <w:pPr>
        <w:pStyle w:val="TableStrategiesunderHealthFunctions"/>
      </w:pPr>
      <w:r w:rsidRPr="00986625">
        <w:t>6.1.3</w:t>
      </w:r>
      <w:r w:rsidRPr="00986625">
        <w:tab/>
        <w:t>Develop tools for p</w:t>
      </w:r>
      <w:r>
        <w:t>ro</w:t>
      </w:r>
      <w:r w:rsidRPr="00986625">
        <w:t>active life planning and risk management</w:t>
      </w:r>
      <w:r>
        <w:t>.</w:t>
      </w:r>
    </w:p>
    <w:p w:rsidR="004B20E5" w:rsidRPr="00B51A88" w:rsidRDefault="004B20E5" w:rsidP="00D00411">
      <w:pPr>
        <w:pStyle w:val="TableStrategiesunderHealthFunctions"/>
      </w:pPr>
      <w:r w:rsidRPr="00B51A88">
        <w:t>6.1.</w:t>
      </w:r>
      <w:r>
        <w:t>4</w:t>
      </w:r>
      <w:r>
        <w:tab/>
      </w:r>
      <w:r w:rsidRPr="00B51A88">
        <w:t xml:space="preserve">Provide education in schools to encourage wellness, healthy relationships and optimal reproductive health </w:t>
      </w:r>
      <w:r>
        <w:t>that is responsive to all genders and sexual orientations.</w:t>
      </w:r>
    </w:p>
    <w:p w:rsidR="004B20E5" w:rsidRDefault="004B20E5" w:rsidP="00D00411">
      <w:pPr>
        <w:pStyle w:val="TableStrategiesunderHealthFunctions"/>
      </w:pPr>
      <w:r>
        <w:t>6.1.5</w:t>
      </w:r>
      <w:r>
        <w:tab/>
      </w:r>
      <w:r w:rsidRPr="00F67798">
        <w:t>Develop educat</w:t>
      </w:r>
      <w:r>
        <w:t>ional/outreach programming that addresses the issues of consent and coercion.</w:t>
      </w:r>
    </w:p>
    <w:p w:rsidR="004B20E5" w:rsidRPr="006256D0" w:rsidRDefault="004B20E5" w:rsidP="00D00411">
      <w:pPr>
        <w:pStyle w:val="TableStrategiesunderHealthFunctions"/>
      </w:pPr>
      <w:r>
        <w:t>6.1.6</w:t>
      </w:r>
      <w:r>
        <w:tab/>
        <w:t>Ensure that strategies for youth with disabilities are included in all educational efforts.</w:t>
      </w:r>
    </w:p>
    <w:p w:rsidR="004B20E5" w:rsidRDefault="004B20E5" w:rsidP="007C27A3">
      <w:pPr>
        <w:pStyle w:val="TableTenEssenHlthFunct"/>
      </w:pPr>
      <w:r>
        <w:t>Mobilize Community Partnerships to Identify and Solve Health Problems</w:t>
      </w:r>
    </w:p>
    <w:p w:rsidR="004B20E5" w:rsidRPr="006256D0" w:rsidRDefault="004B20E5" w:rsidP="00D00411">
      <w:pPr>
        <w:pStyle w:val="TableStrategiesunderHealthFunctions"/>
      </w:pPr>
      <w:r>
        <w:t xml:space="preserve">6.1.7 </w:t>
      </w:r>
      <w:r>
        <w:tab/>
        <w:t>Prepare and disseminate Teen Birth Packets to communities with highest rates to promote community awareness and action.</w:t>
      </w:r>
    </w:p>
    <w:p w:rsidR="004B20E5" w:rsidRDefault="004B20E5" w:rsidP="007C27A3">
      <w:pPr>
        <w:pStyle w:val="TableTenEssenHlthFunct"/>
      </w:pPr>
      <w:r>
        <w:t xml:space="preserve">Develop Policies and Plans That Support Individual and Community Health Efforts </w:t>
      </w:r>
    </w:p>
    <w:p w:rsidR="004B20E5" w:rsidRPr="00986625" w:rsidRDefault="004B20E5" w:rsidP="00D00411">
      <w:pPr>
        <w:pStyle w:val="TableStrategiesunderHealthFunctions"/>
      </w:pPr>
      <w:r w:rsidRPr="00986625">
        <w:t>6.1.</w:t>
      </w:r>
      <w:r>
        <w:t>8</w:t>
      </w:r>
      <w:r w:rsidRPr="00986625">
        <w:tab/>
        <w:t>Promote sustainability for evidence-based teen pregnancy prevention programs in targeted communities.</w:t>
      </w:r>
    </w:p>
    <w:p w:rsidR="004B20E5" w:rsidRPr="006256D0" w:rsidRDefault="004B20E5" w:rsidP="00D00411">
      <w:pPr>
        <w:pStyle w:val="TableStrategiesunderHealthFunctions"/>
      </w:pPr>
      <w:r w:rsidRPr="00986625">
        <w:t>6.1.</w:t>
      </w:r>
      <w:r>
        <w:t>9</w:t>
      </w:r>
      <w:r w:rsidRPr="00986625">
        <w:tab/>
        <w:t xml:space="preserve">Focus </w:t>
      </w:r>
      <w:r>
        <w:t xml:space="preserve">program </w:t>
      </w:r>
      <w:r w:rsidRPr="00986625">
        <w:t>efforts on high-risk population groups and communities</w:t>
      </w:r>
      <w:r>
        <w:t>.</w:t>
      </w:r>
    </w:p>
    <w:p w:rsidR="004B20E5" w:rsidRDefault="004B20E5" w:rsidP="007C27A3">
      <w:pPr>
        <w:pStyle w:val="TableTenEssenHlthFunct"/>
      </w:pPr>
      <w:r>
        <w:t>Link People to Needed Personal Health Services and Health Care</w:t>
      </w:r>
    </w:p>
    <w:p w:rsidR="004B20E5" w:rsidRPr="006256D0" w:rsidRDefault="004B20E5" w:rsidP="00D00411">
      <w:pPr>
        <w:pStyle w:val="TableStrategiesunderHealthFunctions"/>
      </w:pPr>
      <w:r>
        <w:t>6.1.10</w:t>
      </w:r>
      <w:r>
        <w:tab/>
      </w:r>
      <w:r w:rsidRPr="00B51A88">
        <w:t>Support and expand school based health clinics</w:t>
      </w:r>
      <w:r>
        <w:t>.</w:t>
      </w:r>
    </w:p>
    <w:p w:rsidR="004B20E5" w:rsidRDefault="004B20E5" w:rsidP="007C27A3">
      <w:pPr>
        <w:pStyle w:val="TableTenEssenHlthFunct"/>
      </w:pPr>
      <w:r w:rsidRPr="001B5074">
        <w:t>Research for New Insights and Innovative Solutions to Health Problems</w:t>
      </w:r>
    </w:p>
    <w:p w:rsidR="004B20E5" w:rsidRPr="00986625" w:rsidRDefault="004B20E5" w:rsidP="00D00411">
      <w:pPr>
        <w:pStyle w:val="TableStrategiesunderHealthFunctions"/>
      </w:pPr>
      <w:r w:rsidRPr="00986625">
        <w:t>6.1.</w:t>
      </w:r>
      <w:r>
        <w:t>11</w:t>
      </w:r>
      <w:r w:rsidRPr="00986625">
        <w:tab/>
        <w:t>Promote sustainability for evidence-based teen pregnancy prevention programs in targeted communities.</w:t>
      </w:r>
    </w:p>
    <w:p w:rsidR="004B20E5" w:rsidRPr="00986625" w:rsidRDefault="004B20E5" w:rsidP="00D00411">
      <w:pPr>
        <w:pStyle w:val="TableStrategiesunderHealthFunctions"/>
      </w:pPr>
    </w:p>
    <w:p w:rsidR="004B20E5" w:rsidRDefault="004B20E5" w:rsidP="00CB2B0E">
      <w:pPr>
        <w:pStyle w:val="StandardStatement"/>
      </w:pPr>
      <w:r>
        <w:t>Standard 6B: Improve maternal health and infant outcomes.</w:t>
      </w:r>
    </w:p>
    <w:p w:rsidR="004B20E5" w:rsidRPr="00CB75A1" w:rsidRDefault="004B20E5" w:rsidP="00CB75A1">
      <w:pPr>
        <w:pStyle w:val="BodyText"/>
      </w:pPr>
    </w:p>
    <w:p w:rsidR="004B20E5" w:rsidRDefault="00F03799" w:rsidP="00CB2B0E">
      <w:pPr>
        <w:pStyle w:val="ObjectiveStatement"/>
      </w:pPr>
      <w:r>
        <w:rPr>
          <w:noProof/>
        </w:rPr>
        <w:drawing>
          <wp:anchor distT="0" distB="0" distL="114300" distR="114300" simplePos="0" relativeHeight="251644928" behindDoc="0" locked="0" layoutInCell="1" allowOverlap="1" wp14:anchorId="1C198F64" wp14:editId="1B9EB23E">
            <wp:simplePos x="0" y="0"/>
            <wp:positionH relativeFrom="column">
              <wp:posOffset>0</wp:posOffset>
            </wp:positionH>
            <wp:positionV relativeFrom="paragraph">
              <wp:posOffset>410845</wp:posOffset>
            </wp:positionV>
            <wp:extent cx="182880" cy="182880"/>
            <wp:effectExtent l="0" t="0" r="7620" b="7620"/>
            <wp:wrapThrough wrapText="bothSides">
              <wp:wrapPolygon edited="0">
                <wp:start x="2250" y="0"/>
                <wp:lineTo x="0" y="2250"/>
                <wp:lineTo x="0" y="15750"/>
                <wp:lineTo x="2250" y="20250"/>
                <wp:lineTo x="20250" y="20250"/>
                <wp:lineTo x="20250" y="0"/>
                <wp:lineTo x="2250" y="0"/>
              </wp:wrapPolygon>
            </wp:wrapThrough>
            <wp:docPr id="6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4B20E5">
        <w:t>Measure 6.2:</w:t>
      </w:r>
      <w:r w:rsidR="004B20E5">
        <w:tab/>
      </w:r>
      <w:r w:rsidR="004B20E5" w:rsidRPr="00986625">
        <w:t xml:space="preserve">Reduce </w:t>
      </w:r>
      <w:r w:rsidR="004B20E5">
        <w:t xml:space="preserve">the relative percentage of infants with low </w:t>
      </w:r>
      <w:r w:rsidR="004B20E5" w:rsidRPr="00986625">
        <w:t xml:space="preserve">birth </w:t>
      </w:r>
      <w:r w:rsidR="004B20E5">
        <w:t xml:space="preserve">weight births by 5% and premature births by </w:t>
      </w:r>
      <w:r w:rsidR="009170FB">
        <w:t>5</w:t>
      </w:r>
      <w:r w:rsidR="004B20E5">
        <w:t>%.</w:t>
      </w:r>
    </w:p>
    <w:p w:rsidR="004B20E5" w:rsidRPr="009E570C" w:rsidRDefault="004B20E5" w:rsidP="009E570C">
      <w:pPr>
        <w:pStyle w:val="BodyText"/>
      </w:pP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346657">
        <w:trPr>
          <w:cantSplit/>
        </w:trPr>
        <w:tc>
          <w:tcPr>
            <w:tcW w:w="1329"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533BB5">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533BB5">
            <w:pPr>
              <w:pStyle w:val="TableTitleBaseline2020Target"/>
            </w:pPr>
            <w:r w:rsidRPr="00666093">
              <w:t>2020 Target</w:t>
            </w:r>
          </w:p>
        </w:tc>
        <w:tc>
          <w:tcPr>
            <w:tcW w:w="1861" w:type="pct"/>
            <w:tcBorders>
              <w:top w:val="single" w:sz="4" w:space="0" w:color="auto"/>
              <w:bottom w:val="single" w:sz="4" w:space="0" w:color="auto"/>
            </w:tcBorders>
            <w:vAlign w:val="center"/>
          </w:tcPr>
          <w:p w:rsidR="004B20E5" w:rsidRPr="00666093" w:rsidRDefault="004B20E5" w:rsidP="00533BB5">
            <w:pPr>
              <w:pStyle w:val="TableTitleTargetDataSource"/>
            </w:pPr>
            <w:r w:rsidRPr="00666093">
              <w:t>Data Source</w:t>
            </w:r>
          </w:p>
        </w:tc>
      </w:tr>
      <w:tr w:rsidR="004B20E5" w:rsidRPr="00666093" w:rsidTr="00346657">
        <w:trPr>
          <w:cantSplit/>
        </w:trPr>
        <w:tc>
          <w:tcPr>
            <w:tcW w:w="1329" w:type="pct"/>
            <w:tcBorders>
              <w:top w:val="single" w:sz="4" w:space="0" w:color="auto"/>
              <w:bottom w:val="single" w:sz="4" w:space="0" w:color="auto"/>
            </w:tcBorders>
            <w:vAlign w:val="center"/>
          </w:tcPr>
          <w:p w:rsidR="004B20E5" w:rsidRPr="00666093" w:rsidRDefault="004B20E5" w:rsidP="00CB75A1">
            <w:pPr>
              <w:pStyle w:val="TableOutcomeMeasure"/>
            </w:pPr>
            <w:r>
              <w:t>Percentage of infants born weighing less than 2,500 grams</w:t>
            </w:r>
          </w:p>
        </w:tc>
        <w:tc>
          <w:tcPr>
            <w:tcW w:w="905" w:type="pct"/>
            <w:tcBorders>
              <w:top w:val="single" w:sz="4" w:space="0" w:color="auto"/>
              <w:bottom w:val="single" w:sz="4" w:space="0" w:color="auto"/>
            </w:tcBorders>
            <w:vAlign w:val="center"/>
          </w:tcPr>
          <w:p w:rsidR="004B20E5" w:rsidRPr="00666093" w:rsidRDefault="004B20E5" w:rsidP="00CB75A1">
            <w:pPr>
              <w:pStyle w:val="TableBaseline2020Target"/>
            </w:pPr>
            <w:r>
              <w:t>7.6% of births are LBW</w:t>
            </w:r>
          </w:p>
        </w:tc>
        <w:tc>
          <w:tcPr>
            <w:tcW w:w="905" w:type="pct"/>
            <w:tcBorders>
              <w:top w:val="single" w:sz="4" w:space="0" w:color="auto"/>
              <w:bottom w:val="single" w:sz="4" w:space="0" w:color="auto"/>
            </w:tcBorders>
            <w:vAlign w:val="center"/>
          </w:tcPr>
          <w:p w:rsidR="004B20E5" w:rsidRPr="00666093" w:rsidRDefault="004B20E5" w:rsidP="00CB75A1">
            <w:pPr>
              <w:pStyle w:val="TableBaseline2020Target"/>
            </w:pPr>
            <w:r>
              <w:t>7.2%</w:t>
            </w:r>
          </w:p>
        </w:tc>
        <w:tc>
          <w:tcPr>
            <w:tcW w:w="1861" w:type="pct"/>
            <w:tcBorders>
              <w:top w:val="single" w:sz="4" w:space="0" w:color="auto"/>
              <w:bottom w:val="single" w:sz="4" w:space="0" w:color="auto"/>
            </w:tcBorders>
            <w:vAlign w:val="center"/>
          </w:tcPr>
          <w:p w:rsidR="004B20E5" w:rsidRPr="00666093" w:rsidRDefault="004B20E5" w:rsidP="00CB75A1">
            <w:pPr>
              <w:pStyle w:val="TableDataSource"/>
            </w:pPr>
            <w:r w:rsidRPr="00CE317D">
              <w:t xml:space="preserve">MDPH </w:t>
            </w:r>
            <w:r>
              <w:t>Vital Statistics</w:t>
            </w:r>
            <w:r w:rsidRPr="00CE317D">
              <w:t>. Data for 201</w:t>
            </w:r>
            <w:r>
              <w:t>2</w:t>
            </w:r>
          </w:p>
        </w:tc>
      </w:tr>
      <w:tr w:rsidR="004B20E5" w:rsidRPr="00666093" w:rsidTr="00346657">
        <w:trPr>
          <w:cantSplit/>
        </w:trPr>
        <w:tc>
          <w:tcPr>
            <w:tcW w:w="1329" w:type="pct"/>
            <w:tcBorders>
              <w:top w:val="single" w:sz="4" w:space="0" w:color="auto"/>
              <w:bottom w:val="single" w:sz="4" w:space="0" w:color="auto"/>
            </w:tcBorders>
            <w:vAlign w:val="center"/>
          </w:tcPr>
          <w:p w:rsidR="004B20E5" w:rsidRPr="00666093" w:rsidRDefault="004B20E5" w:rsidP="000B2014">
            <w:pPr>
              <w:pStyle w:val="TableOutcomeMeasure"/>
            </w:pPr>
            <w:r>
              <w:t xml:space="preserve">Percentage of infants born </w:t>
            </w:r>
            <w:r w:rsidR="000B2014">
              <w:t>prematurely</w:t>
            </w:r>
            <w:r>
              <w:t xml:space="preserve"> </w:t>
            </w:r>
          </w:p>
        </w:tc>
        <w:tc>
          <w:tcPr>
            <w:tcW w:w="905" w:type="pct"/>
            <w:tcBorders>
              <w:top w:val="single" w:sz="4" w:space="0" w:color="auto"/>
              <w:bottom w:val="single" w:sz="4" w:space="0" w:color="auto"/>
            </w:tcBorders>
            <w:vAlign w:val="center"/>
          </w:tcPr>
          <w:p w:rsidR="004B20E5" w:rsidRPr="00666093" w:rsidRDefault="004B20E5" w:rsidP="00236D48">
            <w:pPr>
              <w:pStyle w:val="TableBaseline2020Target"/>
            </w:pPr>
            <w:r>
              <w:t>8.6% of births</w:t>
            </w:r>
          </w:p>
        </w:tc>
        <w:tc>
          <w:tcPr>
            <w:tcW w:w="905" w:type="pct"/>
            <w:tcBorders>
              <w:top w:val="single" w:sz="4" w:space="0" w:color="auto"/>
              <w:bottom w:val="single" w:sz="4" w:space="0" w:color="auto"/>
            </w:tcBorders>
            <w:vAlign w:val="center"/>
          </w:tcPr>
          <w:p w:rsidR="004B20E5" w:rsidRPr="00666093" w:rsidRDefault="004B20E5" w:rsidP="00D1777A">
            <w:pPr>
              <w:pStyle w:val="TableBaseline2020Target"/>
            </w:pPr>
            <w:r>
              <w:t>8.2%</w:t>
            </w:r>
          </w:p>
        </w:tc>
        <w:tc>
          <w:tcPr>
            <w:tcW w:w="1861" w:type="pct"/>
            <w:tcBorders>
              <w:top w:val="single" w:sz="4" w:space="0" w:color="auto"/>
              <w:bottom w:val="single" w:sz="4" w:space="0" w:color="auto"/>
            </w:tcBorders>
            <w:vAlign w:val="center"/>
          </w:tcPr>
          <w:p w:rsidR="004B20E5" w:rsidRPr="00666093" w:rsidRDefault="004B20E5" w:rsidP="00236D48">
            <w:pPr>
              <w:pStyle w:val="TableDataSource"/>
            </w:pPr>
            <w:r w:rsidRPr="00CE317D">
              <w:t xml:space="preserve">MDPH </w:t>
            </w:r>
            <w:r>
              <w:t>Vital Statistics</w:t>
            </w:r>
            <w:r w:rsidRPr="00CE317D">
              <w:t>. Data for 201</w:t>
            </w:r>
            <w:r>
              <w:t>2</w:t>
            </w:r>
          </w:p>
        </w:tc>
      </w:tr>
      <w:tr w:rsidR="004B20E5" w:rsidRPr="00666093" w:rsidTr="009E570C">
        <w:trPr>
          <w:cantSplit/>
        </w:trPr>
        <w:tc>
          <w:tcPr>
            <w:tcW w:w="1329" w:type="pct"/>
            <w:tcBorders>
              <w:top w:val="single" w:sz="4" w:space="0" w:color="auto"/>
              <w:bottom w:val="single" w:sz="4" w:space="0" w:color="auto"/>
            </w:tcBorders>
            <w:vAlign w:val="center"/>
          </w:tcPr>
          <w:p w:rsidR="004B20E5" w:rsidRDefault="00365946" w:rsidP="003815C0">
            <w:pPr>
              <w:pStyle w:val="TableOutcomeMeasure"/>
            </w:pPr>
            <w:r>
              <w:t xml:space="preserve">Percentage of </w:t>
            </w:r>
            <w:r w:rsidR="003815C0">
              <w:t xml:space="preserve">infants born to </w:t>
            </w:r>
            <w:r w:rsidR="004B20E5">
              <w:t xml:space="preserve">Black, non-Hispanic </w:t>
            </w:r>
            <w:r w:rsidR="003815C0">
              <w:t xml:space="preserve">women that are less </w:t>
            </w:r>
            <w:r>
              <w:t>than 2,500 grams</w:t>
            </w:r>
          </w:p>
        </w:tc>
        <w:tc>
          <w:tcPr>
            <w:tcW w:w="905" w:type="pct"/>
            <w:tcBorders>
              <w:top w:val="single" w:sz="4" w:space="0" w:color="auto"/>
              <w:bottom w:val="single" w:sz="4" w:space="0" w:color="auto"/>
            </w:tcBorders>
            <w:vAlign w:val="center"/>
          </w:tcPr>
          <w:p w:rsidR="004B20E5" w:rsidRDefault="004B20E5" w:rsidP="00236D48">
            <w:pPr>
              <w:pStyle w:val="TableBaseline2020Target"/>
            </w:pPr>
            <w:r w:rsidRPr="00A94B0B">
              <w:t>10.</w:t>
            </w:r>
            <w:r>
              <w:t>2</w:t>
            </w:r>
            <w:r w:rsidRPr="00A94B0B">
              <w:t xml:space="preserve"> % of births are LBW</w:t>
            </w:r>
          </w:p>
        </w:tc>
        <w:tc>
          <w:tcPr>
            <w:tcW w:w="905" w:type="pct"/>
            <w:tcBorders>
              <w:top w:val="single" w:sz="4" w:space="0" w:color="auto"/>
              <w:bottom w:val="single" w:sz="4" w:space="0" w:color="auto"/>
            </w:tcBorders>
            <w:vAlign w:val="center"/>
          </w:tcPr>
          <w:p w:rsidR="004B20E5" w:rsidRDefault="004B20E5" w:rsidP="00236D48">
            <w:pPr>
              <w:pStyle w:val="TableBaseline2020Target"/>
            </w:pPr>
            <w:r>
              <w:t>9.7%</w:t>
            </w:r>
          </w:p>
        </w:tc>
        <w:tc>
          <w:tcPr>
            <w:tcW w:w="1861" w:type="pct"/>
            <w:tcBorders>
              <w:top w:val="single" w:sz="4" w:space="0" w:color="auto"/>
              <w:bottom w:val="single" w:sz="4" w:space="0" w:color="auto"/>
            </w:tcBorders>
            <w:vAlign w:val="center"/>
          </w:tcPr>
          <w:p w:rsidR="004B20E5" w:rsidRPr="00CC4659" w:rsidRDefault="004B20E5" w:rsidP="00236D48">
            <w:pPr>
              <w:pStyle w:val="TableDataSource"/>
            </w:pPr>
            <w:r w:rsidRPr="00CE317D">
              <w:t xml:space="preserve">MDPH </w:t>
            </w:r>
            <w:r>
              <w:t>Vital Statistics</w:t>
            </w:r>
            <w:r w:rsidRPr="00CE317D">
              <w:t>. Data for 201</w:t>
            </w:r>
            <w:r>
              <w:t>2</w:t>
            </w: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7"/>
        <w:gridCol w:w="6212"/>
      </w:tblGrid>
      <w:tr w:rsidR="004B20E5" w:rsidRPr="00666093" w:rsidDel="00F67FD0" w:rsidTr="00CB75A1">
        <w:trPr>
          <w:cantSplit/>
        </w:trPr>
        <w:tc>
          <w:tcPr>
            <w:tcW w:w="1328" w:type="pct"/>
            <w:tcBorders>
              <w:top w:val="single" w:sz="4" w:space="0" w:color="auto"/>
            </w:tcBorders>
          </w:tcPr>
          <w:p w:rsidR="004B20E5" w:rsidRPr="009171C7" w:rsidDel="00F67FD0" w:rsidRDefault="004B20E5" w:rsidP="00CB75A1">
            <w:pPr>
              <w:pStyle w:val="TableTitleNumeratoretc"/>
            </w:pPr>
            <w:r w:rsidRPr="00A367E5">
              <w:t>Numerator</w:t>
            </w:r>
            <w:r>
              <w:t>:</w:t>
            </w:r>
          </w:p>
        </w:tc>
        <w:tc>
          <w:tcPr>
            <w:tcW w:w="3672" w:type="pct"/>
            <w:tcBorders>
              <w:top w:val="single" w:sz="4" w:space="0" w:color="auto"/>
            </w:tcBorders>
            <w:vAlign w:val="center"/>
          </w:tcPr>
          <w:p w:rsidR="004B20E5" w:rsidRPr="00236D48" w:rsidDel="00F67FD0" w:rsidRDefault="004B20E5" w:rsidP="00236D48">
            <w:pPr>
              <w:pStyle w:val="TableOutcomeMeasure"/>
            </w:pPr>
            <w:r w:rsidRPr="00236D48">
              <w:t>Number of all live births that are less than 2,500 grams (LBW) in a calendar year</w:t>
            </w:r>
          </w:p>
        </w:tc>
      </w:tr>
      <w:tr w:rsidR="004B20E5" w:rsidRPr="00666093" w:rsidDel="00F67FD0" w:rsidTr="00CB75A1">
        <w:trPr>
          <w:cantSplit/>
        </w:trPr>
        <w:tc>
          <w:tcPr>
            <w:tcW w:w="1328" w:type="pct"/>
          </w:tcPr>
          <w:p w:rsidR="004B20E5" w:rsidRPr="009171C7" w:rsidDel="00F67FD0" w:rsidRDefault="004B20E5" w:rsidP="00CB75A1">
            <w:pPr>
              <w:pStyle w:val="TableTitleNumeratoretc"/>
            </w:pPr>
            <w:r w:rsidRPr="00A367E5">
              <w:t>Denominator</w:t>
            </w:r>
            <w:r>
              <w:t>:</w:t>
            </w:r>
          </w:p>
        </w:tc>
        <w:tc>
          <w:tcPr>
            <w:tcW w:w="3672" w:type="pct"/>
            <w:vAlign w:val="center"/>
          </w:tcPr>
          <w:p w:rsidR="004B20E5" w:rsidRPr="00236D48" w:rsidDel="00F67FD0" w:rsidRDefault="004B20E5" w:rsidP="00236D48">
            <w:pPr>
              <w:pStyle w:val="TableOutcomeMeasure"/>
            </w:pPr>
            <w:r w:rsidRPr="00236D48">
              <w:t>Number</w:t>
            </w:r>
            <w:r w:rsidR="00365946">
              <w:t xml:space="preserve"> </w:t>
            </w:r>
            <w:r w:rsidRPr="00236D48">
              <w:t>of all live births in that year</w:t>
            </w:r>
          </w:p>
        </w:tc>
      </w:tr>
      <w:tr w:rsidR="004B20E5" w:rsidRPr="00666093" w:rsidDel="00F67FD0" w:rsidTr="00CB75A1">
        <w:trPr>
          <w:cantSplit/>
        </w:trPr>
        <w:tc>
          <w:tcPr>
            <w:tcW w:w="1328" w:type="pct"/>
          </w:tcPr>
          <w:p w:rsidR="004B20E5" w:rsidRPr="009171C7" w:rsidDel="00F67FD0" w:rsidRDefault="004B20E5" w:rsidP="00CB75A1">
            <w:pPr>
              <w:pStyle w:val="TableTitleNumeratoretc"/>
            </w:pPr>
            <w:r w:rsidRPr="00A367E5">
              <w:t>Exclusions</w:t>
            </w:r>
            <w:r>
              <w:t>:</w:t>
            </w:r>
          </w:p>
        </w:tc>
        <w:tc>
          <w:tcPr>
            <w:tcW w:w="3672" w:type="pct"/>
            <w:vAlign w:val="center"/>
          </w:tcPr>
          <w:p w:rsidR="004B20E5" w:rsidRPr="00236D48" w:rsidDel="00F67FD0" w:rsidRDefault="004B20E5" w:rsidP="00236D48">
            <w:pPr>
              <w:pStyle w:val="TableOutcomeMeasure"/>
            </w:pPr>
            <w:r w:rsidRPr="00236D48">
              <w:t>Births without a birthweight recorded</w:t>
            </w:r>
          </w:p>
        </w:tc>
      </w:tr>
      <w:tr w:rsidR="004B20E5" w:rsidRPr="00666093" w:rsidDel="00F67FD0" w:rsidTr="00CB75A1">
        <w:trPr>
          <w:cantSplit/>
        </w:trPr>
        <w:tc>
          <w:tcPr>
            <w:tcW w:w="1328" w:type="pct"/>
            <w:vAlign w:val="center"/>
          </w:tcPr>
          <w:p w:rsidR="004B20E5" w:rsidRPr="009171C7" w:rsidDel="00F67FD0" w:rsidRDefault="004B20E5" w:rsidP="00CB75A1">
            <w:pPr>
              <w:pStyle w:val="TableTitleNumeratoretc"/>
            </w:pPr>
            <w:r w:rsidRPr="00F67FD0">
              <w:t>Timeframe</w:t>
            </w:r>
            <w:r>
              <w:t>:</w:t>
            </w:r>
          </w:p>
        </w:tc>
        <w:tc>
          <w:tcPr>
            <w:tcW w:w="3672" w:type="pct"/>
            <w:vAlign w:val="center"/>
          </w:tcPr>
          <w:p w:rsidR="004B20E5" w:rsidRPr="00236D48" w:rsidDel="00F67FD0" w:rsidRDefault="004B20E5" w:rsidP="00236D48">
            <w:pPr>
              <w:pStyle w:val="TableOutcomeMeasure"/>
            </w:pPr>
            <w:r>
              <w:t>Annual</w:t>
            </w:r>
          </w:p>
        </w:tc>
      </w:tr>
      <w:tr w:rsidR="004B20E5" w:rsidRPr="00666093" w:rsidDel="00F67FD0" w:rsidTr="00CB75A1">
        <w:trPr>
          <w:cantSplit/>
        </w:trPr>
        <w:tc>
          <w:tcPr>
            <w:tcW w:w="1328" w:type="pct"/>
            <w:tcBorders>
              <w:bottom w:val="single" w:sz="4" w:space="0" w:color="auto"/>
            </w:tcBorders>
            <w:vAlign w:val="center"/>
          </w:tcPr>
          <w:p w:rsidR="004B20E5" w:rsidRPr="009171C7" w:rsidDel="00F67FD0" w:rsidRDefault="004B20E5" w:rsidP="00CB75A1">
            <w:pPr>
              <w:pStyle w:val="TableTitleNumeratoretc"/>
            </w:pPr>
            <w:r w:rsidRPr="00F67FD0">
              <w:t>How will this be measured?</w:t>
            </w:r>
          </w:p>
        </w:tc>
        <w:tc>
          <w:tcPr>
            <w:tcW w:w="3672" w:type="pct"/>
            <w:tcBorders>
              <w:bottom w:val="single" w:sz="4" w:space="0" w:color="auto"/>
            </w:tcBorders>
            <w:vAlign w:val="center"/>
          </w:tcPr>
          <w:p w:rsidR="004B20E5" w:rsidRDefault="004B20E5" w:rsidP="00236D48">
            <w:pPr>
              <w:pStyle w:val="TableOutcomeMeasure"/>
            </w:pPr>
            <w:r>
              <w:t>RVRS</w:t>
            </w:r>
          </w:p>
          <w:p w:rsidR="004B20E5" w:rsidRPr="00236D48" w:rsidDel="00F67FD0" w:rsidRDefault="004B20E5" w:rsidP="00236D48">
            <w:pPr>
              <w:pStyle w:val="TableOutcomeMeasure"/>
            </w:pP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391134" w:rsidDel="00F67FD0" w:rsidTr="00236D48">
        <w:trPr>
          <w:cantSplit/>
        </w:trPr>
        <w:tc>
          <w:tcPr>
            <w:tcW w:w="1329" w:type="pct"/>
            <w:tcBorders>
              <w:top w:val="single" w:sz="4" w:space="0" w:color="auto"/>
            </w:tcBorders>
          </w:tcPr>
          <w:p w:rsidR="004B20E5" w:rsidRPr="009171C7" w:rsidDel="00F67FD0" w:rsidRDefault="004B20E5" w:rsidP="00236D48">
            <w:pPr>
              <w:pStyle w:val="TableTitleNumeratoretc"/>
            </w:pPr>
            <w:r w:rsidRPr="00A367E5">
              <w:t>Numerator</w:t>
            </w:r>
            <w:r>
              <w:t>:</w:t>
            </w:r>
          </w:p>
        </w:tc>
        <w:tc>
          <w:tcPr>
            <w:tcW w:w="3671" w:type="pct"/>
            <w:tcBorders>
              <w:top w:val="single" w:sz="4" w:space="0" w:color="auto"/>
            </w:tcBorders>
            <w:vAlign w:val="center"/>
          </w:tcPr>
          <w:p w:rsidR="004B20E5" w:rsidRPr="00236D48" w:rsidDel="00F67FD0" w:rsidRDefault="004B20E5" w:rsidP="00236D48">
            <w:pPr>
              <w:pStyle w:val="TableOutcomeMeasure"/>
            </w:pPr>
            <w:r>
              <w:t xml:space="preserve">Number </w:t>
            </w:r>
            <w:r w:rsidRPr="00236D48">
              <w:t>of all live births that occur at less than 37 weeks gestation in a calendar year</w:t>
            </w:r>
          </w:p>
        </w:tc>
      </w:tr>
      <w:tr w:rsidR="004B20E5" w:rsidRPr="00391134" w:rsidDel="00F67FD0" w:rsidTr="00236D48">
        <w:trPr>
          <w:cantSplit/>
        </w:trPr>
        <w:tc>
          <w:tcPr>
            <w:tcW w:w="1329" w:type="pct"/>
          </w:tcPr>
          <w:p w:rsidR="004B20E5" w:rsidRPr="009171C7" w:rsidDel="00F67FD0" w:rsidRDefault="004B20E5" w:rsidP="00236D48">
            <w:pPr>
              <w:pStyle w:val="TableTitleNumeratoretc"/>
            </w:pPr>
            <w:r w:rsidRPr="00A367E5">
              <w:t>Denominator</w:t>
            </w:r>
            <w:r>
              <w:t>:</w:t>
            </w:r>
          </w:p>
        </w:tc>
        <w:tc>
          <w:tcPr>
            <w:tcW w:w="3671" w:type="pct"/>
            <w:vAlign w:val="center"/>
          </w:tcPr>
          <w:p w:rsidR="004B20E5" w:rsidRPr="00236D48" w:rsidDel="00F67FD0" w:rsidRDefault="004B20E5" w:rsidP="00236D48">
            <w:pPr>
              <w:pStyle w:val="TableOutcomeMeasure"/>
            </w:pPr>
            <w:r>
              <w:t>Number</w:t>
            </w:r>
            <w:r w:rsidRPr="00236D48">
              <w:t xml:space="preserve"> of all live births in that year</w:t>
            </w:r>
          </w:p>
        </w:tc>
      </w:tr>
      <w:tr w:rsidR="004B20E5" w:rsidRPr="00391134" w:rsidDel="00F67FD0" w:rsidTr="00236D48">
        <w:trPr>
          <w:cantSplit/>
        </w:trPr>
        <w:tc>
          <w:tcPr>
            <w:tcW w:w="1329" w:type="pct"/>
          </w:tcPr>
          <w:p w:rsidR="004B20E5" w:rsidRPr="009171C7" w:rsidDel="00F67FD0" w:rsidRDefault="004B20E5" w:rsidP="00236D48">
            <w:pPr>
              <w:pStyle w:val="TableTitleNumeratoretc"/>
            </w:pPr>
            <w:r w:rsidRPr="00A367E5">
              <w:t>Exclusions</w:t>
            </w:r>
            <w:r>
              <w:t>:</w:t>
            </w:r>
          </w:p>
        </w:tc>
        <w:tc>
          <w:tcPr>
            <w:tcW w:w="3671" w:type="pct"/>
            <w:vAlign w:val="center"/>
          </w:tcPr>
          <w:p w:rsidR="004B20E5" w:rsidRPr="00236D48" w:rsidDel="00F67FD0" w:rsidRDefault="004B20E5" w:rsidP="00236D48">
            <w:pPr>
              <w:pStyle w:val="TableOutcomeMeasure"/>
            </w:pPr>
            <w:r w:rsidRPr="00236D48">
              <w:t>Births without gestational age recorded</w:t>
            </w:r>
          </w:p>
        </w:tc>
      </w:tr>
      <w:tr w:rsidR="004B20E5" w:rsidRPr="00391134" w:rsidDel="00F67FD0" w:rsidTr="00236D48">
        <w:trPr>
          <w:cantSplit/>
        </w:trPr>
        <w:tc>
          <w:tcPr>
            <w:tcW w:w="1329" w:type="pct"/>
            <w:vAlign w:val="center"/>
          </w:tcPr>
          <w:p w:rsidR="004B20E5" w:rsidRPr="009171C7" w:rsidDel="00F67FD0" w:rsidRDefault="004B20E5" w:rsidP="00236D48">
            <w:pPr>
              <w:pStyle w:val="TableTitleNumeratoretc"/>
            </w:pPr>
            <w:r w:rsidRPr="00F67FD0">
              <w:t>Timeframe</w:t>
            </w:r>
            <w:r>
              <w:t>:</w:t>
            </w:r>
          </w:p>
        </w:tc>
        <w:tc>
          <w:tcPr>
            <w:tcW w:w="3671" w:type="pct"/>
            <w:vAlign w:val="center"/>
          </w:tcPr>
          <w:p w:rsidR="004B20E5" w:rsidRPr="00236D48" w:rsidDel="00F67FD0" w:rsidRDefault="004B20E5" w:rsidP="00236D48">
            <w:pPr>
              <w:pStyle w:val="TableOutcomeMeasure"/>
            </w:pPr>
            <w:r>
              <w:t>Annual</w:t>
            </w:r>
          </w:p>
        </w:tc>
      </w:tr>
      <w:tr w:rsidR="004B20E5" w:rsidRPr="00391134" w:rsidDel="00F67FD0" w:rsidTr="00236D48">
        <w:trPr>
          <w:cantSplit/>
        </w:trPr>
        <w:tc>
          <w:tcPr>
            <w:tcW w:w="1329" w:type="pct"/>
            <w:tcBorders>
              <w:bottom w:val="single" w:sz="4" w:space="0" w:color="auto"/>
            </w:tcBorders>
            <w:vAlign w:val="center"/>
          </w:tcPr>
          <w:p w:rsidR="004B20E5" w:rsidRPr="009171C7" w:rsidDel="00F67FD0" w:rsidRDefault="004B20E5" w:rsidP="00236D48">
            <w:pPr>
              <w:pStyle w:val="TableTitleNumeratoretc"/>
            </w:pPr>
            <w:r w:rsidRPr="00F67FD0">
              <w:t>How will this be measured?</w:t>
            </w:r>
          </w:p>
        </w:tc>
        <w:tc>
          <w:tcPr>
            <w:tcW w:w="3671" w:type="pct"/>
            <w:tcBorders>
              <w:bottom w:val="single" w:sz="4" w:space="0" w:color="auto"/>
            </w:tcBorders>
            <w:vAlign w:val="center"/>
          </w:tcPr>
          <w:p w:rsidR="004B20E5" w:rsidRDefault="004B20E5" w:rsidP="00236D48">
            <w:pPr>
              <w:pStyle w:val="TableOutcomeMeasure"/>
            </w:pPr>
            <w:r>
              <w:t>RVRS</w:t>
            </w:r>
          </w:p>
          <w:p w:rsidR="004B20E5" w:rsidRPr="00236D48" w:rsidDel="00F67FD0" w:rsidRDefault="004B20E5" w:rsidP="00236D48">
            <w:pPr>
              <w:pStyle w:val="TableOutcomeMeasure"/>
            </w:pPr>
          </w:p>
        </w:tc>
      </w:tr>
    </w:tbl>
    <w:p w:rsidR="004B20E5" w:rsidRDefault="004B20E5" w:rsidP="00236D48">
      <w:pPr>
        <w:pStyle w:val="Strategi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7"/>
        <w:gridCol w:w="6212"/>
      </w:tblGrid>
      <w:tr w:rsidR="004B20E5" w:rsidRPr="00391134" w:rsidDel="00F67FD0" w:rsidTr="00236D48">
        <w:trPr>
          <w:cantSplit/>
        </w:trPr>
        <w:tc>
          <w:tcPr>
            <w:tcW w:w="1328" w:type="pct"/>
            <w:tcBorders>
              <w:top w:val="single" w:sz="4" w:space="0" w:color="auto"/>
            </w:tcBorders>
          </w:tcPr>
          <w:p w:rsidR="004B20E5" w:rsidRPr="009171C7" w:rsidDel="00F67FD0" w:rsidRDefault="004B20E5" w:rsidP="00236D48">
            <w:pPr>
              <w:pStyle w:val="TableTitleNumeratoretc"/>
            </w:pPr>
            <w:r w:rsidRPr="00A367E5">
              <w:t>Numerator</w:t>
            </w:r>
            <w:r>
              <w:t>:</w:t>
            </w:r>
          </w:p>
        </w:tc>
        <w:tc>
          <w:tcPr>
            <w:tcW w:w="3672" w:type="pct"/>
            <w:tcBorders>
              <w:top w:val="single" w:sz="4" w:space="0" w:color="auto"/>
            </w:tcBorders>
            <w:vAlign w:val="center"/>
          </w:tcPr>
          <w:p w:rsidR="004B20E5" w:rsidRPr="00236D48" w:rsidDel="00F67FD0" w:rsidRDefault="004B20E5" w:rsidP="00236D48">
            <w:pPr>
              <w:pStyle w:val="TableOutcomeMeasure"/>
            </w:pPr>
            <w:r>
              <w:t xml:space="preserve">Number </w:t>
            </w:r>
            <w:r w:rsidRPr="00236D48">
              <w:t xml:space="preserve">of all live births to </w:t>
            </w:r>
            <w:r>
              <w:t>B</w:t>
            </w:r>
            <w:r w:rsidRPr="00236D48">
              <w:t>lack non-Hispanic women that are less than 2,500 grams (LBW) in a calendar year</w:t>
            </w:r>
          </w:p>
        </w:tc>
      </w:tr>
      <w:tr w:rsidR="004B20E5" w:rsidRPr="00391134" w:rsidDel="00F67FD0" w:rsidTr="00236D48">
        <w:trPr>
          <w:cantSplit/>
        </w:trPr>
        <w:tc>
          <w:tcPr>
            <w:tcW w:w="1328" w:type="pct"/>
          </w:tcPr>
          <w:p w:rsidR="004B20E5" w:rsidRPr="009171C7" w:rsidDel="00F67FD0" w:rsidRDefault="004B20E5" w:rsidP="00236D48">
            <w:pPr>
              <w:pStyle w:val="TableTitleNumeratoretc"/>
            </w:pPr>
            <w:r w:rsidRPr="00A367E5">
              <w:t>Denominator</w:t>
            </w:r>
            <w:r>
              <w:t>:</w:t>
            </w:r>
          </w:p>
        </w:tc>
        <w:tc>
          <w:tcPr>
            <w:tcW w:w="3672" w:type="pct"/>
            <w:vAlign w:val="center"/>
          </w:tcPr>
          <w:p w:rsidR="004B20E5" w:rsidRPr="00236D48" w:rsidDel="00F67FD0" w:rsidRDefault="004B20E5" w:rsidP="00236D48">
            <w:pPr>
              <w:pStyle w:val="TableOutcomeMeasure"/>
            </w:pPr>
            <w:r>
              <w:t>Number</w:t>
            </w:r>
            <w:r w:rsidRPr="00236D48">
              <w:t xml:space="preserve"> of all live births to </w:t>
            </w:r>
            <w:r>
              <w:t>B</w:t>
            </w:r>
            <w:r w:rsidRPr="00236D48">
              <w:t>lack non-Hispanic women in that year</w:t>
            </w:r>
          </w:p>
        </w:tc>
      </w:tr>
      <w:tr w:rsidR="004B20E5" w:rsidRPr="00391134" w:rsidDel="00F67FD0" w:rsidTr="00236D48">
        <w:trPr>
          <w:cantSplit/>
        </w:trPr>
        <w:tc>
          <w:tcPr>
            <w:tcW w:w="1328" w:type="pct"/>
          </w:tcPr>
          <w:p w:rsidR="004B20E5" w:rsidRPr="009171C7" w:rsidDel="00F67FD0" w:rsidRDefault="004B20E5" w:rsidP="00236D48">
            <w:pPr>
              <w:pStyle w:val="TableTitleNumeratoretc"/>
            </w:pPr>
            <w:r w:rsidRPr="00A367E5">
              <w:t>Exclusions</w:t>
            </w:r>
            <w:r>
              <w:t>:</w:t>
            </w:r>
          </w:p>
        </w:tc>
        <w:tc>
          <w:tcPr>
            <w:tcW w:w="3672" w:type="pct"/>
            <w:vAlign w:val="center"/>
          </w:tcPr>
          <w:p w:rsidR="004B20E5" w:rsidRPr="00236D48" w:rsidDel="00F67FD0" w:rsidRDefault="004B20E5" w:rsidP="00236D48">
            <w:pPr>
              <w:pStyle w:val="TableOutcomeMeasure"/>
            </w:pPr>
            <w:r w:rsidRPr="00236D48">
              <w:t>Births without a birthweight or mother’s race recorded</w:t>
            </w:r>
          </w:p>
        </w:tc>
      </w:tr>
      <w:tr w:rsidR="004B20E5" w:rsidRPr="00391134" w:rsidDel="00F67FD0" w:rsidTr="00236D48">
        <w:trPr>
          <w:cantSplit/>
        </w:trPr>
        <w:tc>
          <w:tcPr>
            <w:tcW w:w="1328" w:type="pct"/>
            <w:vAlign w:val="center"/>
          </w:tcPr>
          <w:p w:rsidR="004B20E5" w:rsidRPr="009171C7" w:rsidDel="00F67FD0" w:rsidRDefault="004B20E5" w:rsidP="00236D48">
            <w:pPr>
              <w:pStyle w:val="TableTitleNumeratoretc"/>
            </w:pPr>
            <w:r w:rsidRPr="00F67FD0">
              <w:t>Timeframe</w:t>
            </w:r>
            <w:r>
              <w:t>:</w:t>
            </w:r>
          </w:p>
        </w:tc>
        <w:tc>
          <w:tcPr>
            <w:tcW w:w="3672" w:type="pct"/>
            <w:vAlign w:val="center"/>
          </w:tcPr>
          <w:p w:rsidR="004B20E5" w:rsidRPr="00236D48" w:rsidDel="00F67FD0" w:rsidRDefault="004B20E5" w:rsidP="00236D48">
            <w:pPr>
              <w:pStyle w:val="TableOutcomeMeasure"/>
            </w:pPr>
            <w:r>
              <w:t>Annual</w:t>
            </w:r>
          </w:p>
        </w:tc>
      </w:tr>
      <w:tr w:rsidR="004B20E5" w:rsidRPr="00391134" w:rsidDel="00F67FD0" w:rsidTr="00236D48">
        <w:trPr>
          <w:cantSplit/>
        </w:trPr>
        <w:tc>
          <w:tcPr>
            <w:tcW w:w="1328" w:type="pct"/>
            <w:tcBorders>
              <w:bottom w:val="single" w:sz="4" w:space="0" w:color="auto"/>
            </w:tcBorders>
            <w:vAlign w:val="center"/>
          </w:tcPr>
          <w:p w:rsidR="004B20E5" w:rsidRPr="009171C7" w:rsidDel="00F67FD0" w:rsidRDefault="004B20E5" w:rsidP="00236D48">
            <w:pPr>
              <w:pStyle w:val="TableTitleNumeratoretc"/>
            </w:pPr>
            <w:r w:rsidRPr="00F67FD0">
              <w:t>How will this be measured?</w:t>
            </w:r>
          </w:p>
        </w:tc>
        <w:tc>
          <w:tcPr>
            <w:tcW w:w="3672" w:type="pct"/>
            <w:tcBorders>
              <w:bottom w:val="single" w:sz="4" w:space="0" w:color="auto"/>
            </w:tcBorders>
            <w:vAlign w:val="center"/>
          </w:tcPr>
          <w:p w:rsidR="004B20E5" w:rsidRDefault="004B20E5" w:rsidP="00236D48">
            <w:pPr>
              <w:pStyle w:val="TableOutcomeMeasure"/>
            </w:pPr>
            <w:r>
              <w:t>RVRS</w:t>
            </w:r>
          </w:p>
          <w:p w:rsidR="004B20E5" w:rsidRPr="00236D48" w:rsidDel="00F67FD0" w:rsidRDefault="004B20E5" w:rsidP="00236D48">
            <w:pPr>
              <w:pStyle w:val="TableOutcomeMeasure"/>
            </w:pPr>
          </w:p>
        </w:tc>
      </w:tr>
    </w:tbl>
    <w:p w:rsidR="004B20E5" w:rsidRDefault="004B20E5" w:rsidP="00236D48">
      <w:pPr>
        <w:pStyle w:val="Strategies"/>
      </w:pPr>
    </w:p>
    <w:p w:rsidR="004B20E5" w:rsidRDefault="004B20E5" w:rsidP="007C27A3">
      <w:pPr>
        <w:pStyle w:val="TableTenEssenHlthFunct"/>
      </w:pPr>
      <w:r>
        <w:t>Monitor Health to Identify and Solve Community Health Problems</w:t>
      </w:r>
    </w:p>
    <w:p w:rsidR="004B20E5" w:rsidRPr="006256D0" w:rsidRDefault="004B20E5" w:rsidP="00D00411">
      <w:pPr>
        <w:pStyle w:val="TableStrategiesunderHealthFunctions"/>
      </w:pPr>
      <w:r>
        <w:t>6.2.1</w:t>
      </w:r>
      <w:r>
        <w:tab/>
        <w:t xml:space="preserve">Prepare and disseminate Birth Data Packets and </w:t>
      </w:r>
      <w:r w:rsidRPr="000B49BC">
        <w:t>other</w:t>
      </w:r>
      <w:r>
        <w:t xml:space="preserve"> reports.</w:t>
      </w:r>
    </w:p>
    <w:p w:rsidR="004B20E5" w:rsidRDefault="004B20E5" w:rsidP="007C27A3">
      <w:pPr>
        <w:pStyle w:val="TableTenEssenHlthFunct"/>
      </w:pPr>
      <w:r>
        <w:t>Diagnose and Investigate Health Problems and Hazards in the Community</w:t>
      </w:r>
    </w:p>
    <w:p w:rsidR="004B20E5" w:rsidRPr="006256D0" w:rsidRDefault="004B20E5" w:rsidP="00D00411">
      <w:pPr>
        <w:pStyle w:val="TableStrategiesunderHealthFunctions"/>
      </w:pPr>
      <w:r>
        <w:t>6.2.2</w:t>
      </w:r>
      <w:r>
        <w:tab/>
        <w:t>Participate in National Infant Mortality Collaborative for Improvement and Innovation Network (CoIIN) and take a lead in Massachusetts to assess infant mortality and to inform the development of effective infant mortality reduction strategies.</w:t>
      </w:r>
    </w:p>
    <w:p w:rsidR="004B20E5" w:rsidRDefault="004B20E5" w:rsidP="007C27A3">
      <w:pPr>
        <w:pStyle w:val="TableTenEssenHlthFunct"/>
      </w:pPr>
      <w:r>
        <w:br w:type="page"/>
      </w:r>
    </w:p>
    <w:p w:rsidR="004B20E5" w:rsidRDefault="004B20E5" w:rsidP="007C27A3">
      <w:pPr>
        <w:pStyle w:val="TableTenEssenHlthFunct"/>
      </w:pPr>
      <w:r>
        <w:t xml:space="preserve">Inform, Educate, and Empower People About Health Issues </w:t>
      </w:r>
    </w:p>
    <w:p w:rsidR="004B20E5" w:rsidRPr="00B052EE" w:rsidRDefault="004B20E5" w:rsidP="00D00411">
      <w:pPr>
        <w:pStyle w:val="TableStrategiesunderHealthFunctions"/>
        <w:rPr>
          <w:i/>
        </w:rPr>
      </w:pPr>
      <w:r>
        <w:t>6.2.3</w:t>
      </w:r>
      <w:r>
        <w:tab/>
      </w:r>
      <w:r w:rsidRPr="00986625">
        <w:t>Support social media and other efforts to increase awareness of preterm birth outcome</w:t>
      </w:r>
      <w:r>
        <w:t>s</w:t>
      </w:r>
      <w:r w:rsidRPr="00986625">
        <w:t xml:space="preserve">, including </w:t>
      </w:r>
      <w:r w:rsidRPr="00B052EE">
        <w:rPr>
          <w:i/>
        </w:rPr>
        <w:t>text4baby.</w:t>
      </w:r>
    </w:p>
    <w:p w:rsidR="004B20E5" w:rsidRPr="006256D0" w:rsidRDefault="004B20E5" w:rsidP="00D00411">
      <w:pPr>
        <w:pStyle w:val="TableStrategiesunderHealthFunctions"/>
      </w:pPr>
      <w:r>
        <w:t>6.2.4</w:t>
      </w:r>
      <w:r>
        <w:tab/>
      </w:r>
      <w:r w:rsidRPr="004F270F">
        <w:t>Provide education on primary and secondary strategies for preconception and interconception health including</w:t>
      </w:r>
      <w:r>
        <w:t xml:space="preserve">:  </w:t>
      </w:r>
      <w:r w:rsidRPr="004F270F">
        <w:t>folic acid</w:t>
      </w:r>
      <w:r>
        <w:t xml:space="preserve"> supplements;</w:t>
      </w:r>
      <w:r w:rsidR="003F14D1">
        <w:t xml:space="preserve"> </w:t>
      </w:r>
      <w:r>
        <w:t>minimize</w:t>
      </w:r>
      <w:r w:rsidRPr="004F270F">
        <w:t xml:space="preserve"> elective inductions or deliveries </w:t>
      </w:r>
      <w:r>
        <w:t>prior to 39 weeks in singletons;</w:t>
      </w:r>
      <w:r w:rsidRPr="004F270F">
        <w:t xml:space="preserve"> progesterone for those with a previous </w:t>
      </w:r>
      <w:r>
        <w:t>preterm birth (</w:t>
      </w:r>
      <w:r w:rsidRPr="004F270F">
        <w:t>PTB</w:t>
      </w:r>
      <w:r>
        <w:t>);</w:t>
      </w:r>
      <w:r w:rsidR="003F14D1">
        <w:t xml:space="preserve"> </w:t>
      </w:r>
      <w:r>
        <w:t xml:space="preserve">no </w:t>
      </w:r>
      <w:r w:rsidRPr="004F270F">
        <w:t xml:space="preserve">smoking, alcohol </w:t>
      </w:r>
      <w:r>
        <w:t>or illicit drug use during pregnancy;</w:t>
      </w:r>
      <w:r w:rsidR="003F14D1">
        <w:t xml:space="preserve"> </w:t>
      </w:r>
      <w:r>
        <w:t xml:space="preserve">and disease </w:t>
      </w:r>
      <w:r w:rsidRPr="004F270F">
        <w:t>prevent</w:t>
      </w:r>
      <w:r>
        <w:t>ion</w:t>
      </w:r>
      <w:r w:rsidRPr="004F270F">
        <w:t xml:space="preserve"> and</w:t>
      </w:r>
      <w:r>
        <w:t xml:space="preserve"> treatment.</w:t>
      </w:r>
    </w:p>
    <w:p w:rsidR="004B20E5" w:rsidRDefault="004B20E5" w:rsidP="007C27A3">
      <w:pPr>
        <w:pStyle w:val="TableTenEssenHlthFunct"/>
      </w:pPr>
      <w:r>
        <w:t>Mobilize Community Partnerships to Identify and Solve Health Problems</w:t>
      </w:r>
    </w:p>
    <w:p w:rsidR="004B20E5" w:rsidRPr="006256D0" w:rsidRDefault="004B20E5" w:rsidP="00D00411">
      <w:pPr>
        <w:pStyle w:val="TableStrategiesunderHealthFunctions"/>
      </w:pPr>
      <w:r w:rsidRPr="00986625">
        <w:t>6.</w:t>
      </w:r>
      <w:r>
        <w:t>2.5</w:t>
      </w:r>
      <w:r w:rsidRPr="00986625">
        <w:tab/>
        <w:t>Strengthen and expand public/private collaborative</w:t>
      </w:r>
      <w:r>
        <w:t xml:space="preserve"> through leading the Massachusetts CoIIN</w:t>
      </w:r>
      <w:r w:rsidRPr="00986625">
        <w:t xml:space="preserve">, </w:t>
      </w:r>
      <w:r>
        <w:t xml:space="preserve">and supporting </w:t>
      </w:r>
      <w:r w:rsidRPr="00986625">
        <w:t>evidence-based intervention initiatives (e.g.</w:t>
      </w:r>
      <w:r>
        <w:t xml:space="preserve">, Massachusetts </w:t>
      </w:r>
      <w:r w:rsidRPr="00FA5D6D">
        <w:t>Perinatal Quality Collaborative (MPQC), Neonatal Quality Imp</w:t>
      </w:r>
      <w:r>
        <w:t>rovement Collaboration (neoQIC).</w:t>
      </w:r>
    </w:p>
    <w:p w:rsidR="004B20E5" w:rsidRDefault="004B20E5" w:rsidP="007C27A3">
      <w:pPr>
        <w:pStyle w:val="TableTenEssenHlthFunct"/>
      </w:pPr>
      <w:r>
        <w:t xml:space="preserve">Develop Policies and Plans That Support Individual and Community Health Efforts </w:t>
      </w:r>
    </w:p>
    <w:p w:rsidR="004B20E5" w:rsidRPr="00986625" w:rsidRDefault="004B20E5" w:rsidP="00D00411">
      <w:pPr>
        <w:pStyle w:val="TableStrategiesunderHealthFunctions"/>
      </w:pPr>
      <w:r w:rsidRPr="00986625">
        <w:t>6.</w:t>
      </w:r>
      <w:r>
        <w:t>2.6</w:t>
      </w:r>
      <w:r w:rsidRPr="00986625">
        <w:tab/>
        <w:t xml:space="preserve">Establish health care systems and clinical protocols to reduce pre-term </w:t>
      </w:r>
      <w:r>
        <w:t>and low birth weight births</w:t>
      </w:r>
      <w:r w:rsidRPr="00986625">
        <w:t>.</w:t>
      </w:r>
    </w:p>
    <w:p w:rsidR="004B20E5" w:rsidRDefault="004B20E5" w:rsidP="00D00411">
      <w:pPr>
        <w:pStyle w:val="TableStrategiesunderHealthFunctions"/>
      </w:pPr>
      <w:r w:rsidRPr="00986625">
        <w:t>6.</w:t>
      </w:r>
      <w:r>
        <w:t>2.7</w:t>
      </w:r>
      <w:r w:rsidRPr="00986625">
        <w:tab/>
        <w:t>Support efforts to reduce non-medically indicated deliveries prior to 39 weeks gestation.</w:t>
      </w:r>
    </w:p>
    <w:p w:rsidR="004B20E5" w:rsidRPr="006256D0" w:rsidRDefault="004B20E5" w:rsidP="00D00411">
      <w:pPr>
        <w:pStyle w:val="TableStrategiesunderHealthFunctions"/>
      </w:pPr>
      <w:r>
        <w:t>6.2.8</w:t>
      </w:r>
      <w:r>
        <w:tab/>
        <w:t>Through CoIIN establish quality improvement, innovation and collaborative learning to address infant mortality.</w:t>
      </w:r>
    </w:p>
    <w:p w:rsidR="004B20E5" w:rsidRDefault="004B20E5" w:rsidP="007C27A3">
      <w:pPr>
        <w:pStyle w:val="TableTenEssenHlthFunct"/>
      </w:pPr>
      <w:r>
        <w:t>Enforce Laws and Regulations That Protect Health and Ensure Safety</w:t>
      </w:r>
    </w:p>
    <w:p w:rsidR="004B20E5" w:rsidRPr="006256D0" w:rsidRDefault="004B20E5" w:rsidP="00D00411">
      <w:pPr>
        <w:pStyle w:val="TableStrategiesunderHealthFunctions"/>
      </w:pPr>
      <w:r>
        <w:t>6.2.9</w:t>
      </w:r>
      <w:r>
        <w:tab/>
        <w:t xml:space="preserve">Convene Perinatal Advisory Committee as part of the perinatal regulations to review standards of care in Massachusetts </w:t>
      </w:r>
      <w:r w:rsidR="003F14D1">
        <w:t>b</w:t>
      </w:r>
      <w:r>
        <w:t xml:space="preserve">irth </w:t>
      </w:r>
      <w:r w:rsidR="003F14D1">
        <w:t>h</w:t>
      </w:r>
      <w:r>
        <w:t>ospitals and survey birth hospitals to ensure compliance with regulations.</w:t>
      </w:r>
    </w:p>
    <w:p w:rsidR="004B20E5" w:rsidRDefault="004B20E5" w:rsidP="007C27A3">
      <w:pPr>
        <w:pStyle w:val="TableTenEssenHlthFunct"/>
      </w:pPr>
      <w:r>
        <w:t>Link People to Needed Personal Health Services and Health Care</w:t>
      </w:r>
    </w:p>
    <w:p w:rsidR="004B20E5" w:rsidRPr="006256D0" w:rsidRDefault="004B20E5" w:rsidP="00D00411">
      <w:pPr>
        <w:pStyle w:val="TableStrategiesunderHealthFunctions"/>
      </w:pPr>
      <w:r>
        <w:t>6.2.10</w:t>
      </w:r>
      <w:r>
        <w:tab/>
      </w:r>
      <w:r w:rsidRPr="00E12BAB">
        <w:t>Promote behavioral and community interventions</w:t>
      </w:r>
      <w:r>
        <w:t>, including the use of community health workers and doulas,</w:t>
      </w:r>
      <w:r w:rsidRPr="00E12BAB">
        <w:t xml:space="preserve"> to reduce smoking and other substance use during pregnancy, prevent violence against pregnant women, and address other social stressors linked to increased risk of preterm delivery</w:t>
      </w:r>
      <w:r w:rsidRPr="00B51A88">
        <w:t>.</w:t>
      </w:r>
    </w:p>
    <w:p w:rsidR="004B20E5" w:rsidRDefault="004B20E5" w:rsidP="007C27A3">
      <w:pPr>
        <w:pStyle w:val="TableTenEssenHlthFunct"/>
      </w:pPr>
      <w:r>
        <w:t>Assure a Competent Public and Personal Healthcare Workforce</w:t>
      </w:r>
    </w:p>
    <w:p w:rsidR="004B20E5" w:rsidRPr="006256D0" w:rsidRDefault="004B20E5" w:rsidP="00D00411">
      <w:pPr>
        <w:pStyle w:val="TableStrategiesunderHealthFunctions"/>
      </w:pPr>
      <w:r w:rsidRPr="00B51A88">
        <w:t>6.</w:t>
      </w:r>
      <w:r>
        <w:t>2.11</w:t>
      </w:r>
      <w:r w:rsidRPr="00B51A88">
        <w:tab/>
        <w:t xml:space="preserve">Increase the use of Community Health Workers </w:t>
      </w:r>
      <w:r>
        <w:t>and paraprofessional home visitors in prenatal care.</w:t>
      </w:r>
    </w:p>
    <w:p w:rsidR="004B20E5" w:rsidRDefault="004B20E5" w:rsidP="007C27A3">
      <w:pPr>
        <w:pStyle w:val="TableTenEssenHlthFunct"/>
      </w:pPr>
      <w:r>
        <w:t>Evaluate Effectiveness, Accessibility, and Quality of Health Services</w:t>
      </w:r>
    </w:p>
    <w:p w:rsidR="004B20E5" w:rsidRDefault="004B20E5" w:rsidP="00D00411">
      <w:pPr>
        <w:pStyle w:val="TableStrategiesunderHealthFunctions"/>
      </w:pPr>
      <w:r w:rsidRPr="00986625">
        <w:t>6.</w:t>
      </w:r>
      <w:r>
        <w:t>2.12</w:t>
      </w:r>
      <w:r w:rsidRPr="00986625">
        <w:tab/>
        <w:t>Strengthen and expand public/private collaborative, evidence-based intervention initiatives (e.g.</w:t>
      </w:r>
      <w:r>
        <w:t xml:space="preserve">, Massachusetts </w:t>
      </w:r>
      <w:r w:rsidRPr="00FA5D6D">
        <w:t>Perinatal Quality Collaborative (MPQC), Neonatal Quality Imp</w:t>
      </w:r>
      <w:r>
        <w:t>rovement Collaboration (neoQIC).</w:t>
      </w:r>
    </w:p>
    <w:p w:rsidR="004B20E5" w:rsidRDefault="004B20E5" w:rsidP="007C27A3">
      <w:pPr>
        <w:pStyle w:val="TableTenEssenHlthFunct"/>
      </w:pPr>
      <w:r w:rsidRPr="001B5074">
        <w:t>Research for New Insights and Innovative Solutions to Health Problems</w:t>
      </w:r>
    </w:p>
    <w:p w:rsidR="004B20E5" w:rsidRPr="006256D0" w:rsidRDefault="004B20E5" w:rsidP="00D00411">
      <w:pPr>
        <w:pStyle w:val="TableStrategiesunderHealthFunctions"/>
      </w:pPr>
      <w:r>
        <w:t>6.2.13</w:t>
      </w:r>
      <w:r>
        <w:tab/>
        <w:t>Through CoIIN collaborate with multiple states to identify effective infant mortality reduction strategies.</w:t>
      </w:r>
    </w:p>
    <w:p w:rsidR="004B20E5" w:rsidRDefault="004B20E5" w:rsidP="007C27A3">
      <w:pPr>
        <w:pStyle w:val="TableTenEssenHlthFunct"/>
      </w:pPr>
      <w:r>
        <w:t>Engagement with Governing Entities</w:t>
      </w:r>
    </w:p>
    <w:p w:rsidR="004B20E5" w:rsidRDefault="004B20E5" w:rsidP="00D00411">
      <w:pPr>
        <w:pStyle w:val="TableStrategiesunderHealthFunctions"/>
      </w:pPr>
      <w:r>
        <w:t>6.2.14</w:t>
      </w:r>
      <w:r>
        <w:tab/>
        <w:t>Through CoIIN engage with state and community stakeholders to develop and implement strategic plan to reduce infant mortality and identify opportunities to leverage existing state and federal resources.</w:t>
      </w:r>
    </w:p>
    <w:p w:rsidR="004B20E5" w:rsidRPr="000E11FC" w:rsidRDefault="004B20E5" w:rsidP="00D00411">
      <w:pPr>
        <w:pStyle w:val="TableStrategiesunderHealthFunctions"/>
      </w:pPr>
    </w:p>
    <w:p w:rsidR="004B20E5" w:rsidRPr="00986625" w:rsidRDefault="004B20E5" w:rsidP="00D00411">
      <w:pPr>
        <w:pStyle w:val="TableStrategiesunderHealthFunctions"/>
      </w:pPr>
    </w:p>
    <w:p w:rsidR="004B20E5" w:rsidRDefault="004B20E5" w:rsidP="00876533">
      <w:pPr>
        <w:pStyle w:val="BodyText"/>
      </w:pPr>
      <w:r>
        <w:br w:type="page"/>
      </w:r>
    </w:p>
    <w:p w:rsidR="004B20E5" w:rsidRDefault="00F03799" w:rsidP="00CB2B0E">
      <w:pPr>
        <w:pStyle w:val="ObjectiveStatement"/>
      </w:pPr>
      <w:r>
        <w:rPr>
          <w:noProof/>
        </w:rPr>
        <w:drawing>
          <wp:anchor distT="0" distB="0" distL="114300" distR="114300" simplePos="0" relativeHeight="251638784" behindDoc="0" locked="0" layoutInCell="1" allowOverlap="1" wp14:anchorId="3228AFDE" wp14:editId="5DEFAC17">
            <wp:simplePos x="0" y="0"/>
            <wp:positionH relativeFrom="column">
              <wp:posOffset>13970</wp:posOffset>
            </wp:positionH>
            <wp:positionV relativeFrom="paragraph">
              <wp:posOffset>411480</wp:posOffset>
            </wp:positionV>
            <wp:extent cx="182880" cy="182880"/>
            <wp:effectExtent l="0" t="0" r="7620" b="7620"/>
            <wp:wrapThrough wrapText="bothSides">
              <wp:wrapPolygon edited="0">
                <wp:start x="2250" y="0"/>
                <wp:lineTo x="0" y="2250"/>
                <wp:lineTo x="0" y="15750"/>
                <wp:lineTo x="2250" y="20250"/>
                <wp:lineTo x="20250" y="20250"/>
                <wp:lineTo x="20250" y="0"/>
                <wp:lineTo x="2250" y="0"/>
              </wp:wrapPolygon>
            </wp:wrapThrough>
            <wp:docPr id="70"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4B20E5">
        <w:t xml:space="preserve">Measure </w:t>
      </w:r>
      <w:r w:rsidR="004B20E5" w:rsidRPr="00986625">
        <w:t>6.</w:t>
      </w:r>
      <w:r w:rsidR="004B20E5">
        <w:t>3</w:t>
      </w:r>
      <w:r w:rsidR="004B20E5" w:rsidRPr="00986625">
        <w:t>:</w:t>
      </w:r>
      <w:r w:rsidR="004B20E5">
        <w:tab/>
      </w:r>
      <w:r w:rsidR="004B20E5" w:rsidRPr="00986625">
        <w:t>Increase the proportion of infants who are breastfed</w:t>
      </w:r>
      <w:r w:rsidR="003F14D1">
        <w:t xml:space="preserve"> </w:t>
      </w:r>
      <w:r w:rsidR="004B20E5">
        <w:t>to meet multiple specified targets</w:t>
      </w:r>
      <w:r w:rsidR="004B20E5" w:rsidRPr="00986625">
        <w:t>.</w:t>
      </w: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346657">
        <w:trPr>
          <w:cantSplit/>
        </w:trPr>
        <w:tc>
          <w:tcPr>
            <w:tcW w:w="1329"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533BB5">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533BB5">
            <w:pPr>
              <w:pStyle w:val="TableTitleBaseline2020Target"/>
            </w:pPr>
            <w:r w:rsidRPr="00666093">
              <w:t>2020 Target</w:t>
            </w:r>
          </w:p>
        </w:tc>
        <w:tc>
          <w:tcPr>
            <w:tcW w:w="1861" w:type="pct"/>
            <w:tcBorders>
              <w:top w:val="single" w:sz="4" w:space="0" w:color="auto"/>
              <w:bottom w:val="single" w:sz="4" w:space="0" w:color="auto"/>
            </w:tcBorders>
            <w:vAlign w:val="center"/>
          </w:tcPr>
          <w:p w:rsidR="004B20E5" w:rsidRPr="00666093" w:rsidRDefault="004B20E5" w:rsidP="00533BB5">
            <w:pPr>
              <w:pStyle w:val="TableTitleTargetDataSource"/>
            </w:pPr>
            <w:r w:rsidRPr="00666093">
              <w:t>Data Source</w:t>
            </w:r>
          </w:p>
        </w:tc>
      </w:tr>
      <w:tr w:rsidR="004B20E5" w:rsidRPr="00666093" w:rsidTr="00346657">
        <w:trPr>
          <w:cantSplit/>
        </w:trPr>
        <w:tc>
          <w:tcPr>
            <w:tcW w:w="1329" w:type="pct"/>
            <w:tcBorders>
              <w:top w:val="single" w:sz="4" w:space="0" w:color="auto"/>
              <w:bottom w:val="single" w:sz="4" w:space="0" w:color="auto"/>
            </w:tcBorders>
            <w:vAlign w:val="center"/>
          </w:tcPr>
          <w:p w:rsidR="004B20E5" w:rsidRPr="00666093" w:rsidRDefault="004B20E5" w:rsidP="00236D48">
            <w:pPr>
              <w:pStyle w:val="TableOutcomeMeasure"/>
            </w:pPr>
            <w:r w:rsidRPr="009171C7">
              <w:t>Breastfe</w:t>
            </w:r>
            <w:r w:rsidRPr="00556FD0">
              <w:t xml:space="preserve">d </w:t>
            </w:r>
            <w:r w:rsidRPr="009171C7">
              <w:t xml:space="preserve">at </w:t>
            </w:r>
            <w:r>
              <w:t>8 weeks</w:t>
            </w:r>
          </w:p>
        </w:tc>
        <w:tc>
          <w:tcPr>
            <w:tcW w:w="905" w:type="pct"/>
            <w:tcBorders>
              <w:top w:val="single" w:sz="4" w:space="0" w:color="auto"/>
              <w:bottom w:val="single" w:sz="4" w:space="0" w:color="auto"/>
            </w:tcBorders>
            <w:vAlign w:val="center"/>
          </w:tcPr>
          <w:p w:rsidR="004B20E5" w:rsidRPr="00666093" w:rsidRDefault="004B20E5" w:rsidP="00236D48">
            <w:pPr>
              <w:pStyle w:val="TableBaseline2020Target"/>
            </w:pPr>
            <w:r>
              <w:t>63.7%</w:t>
            </w:r>
          </w:p>
        </w:tc>
        <w:tc>
          <w:tcPr>
            <w:tcW w:w="905" w:type="pct"/>
            <w:tcBorders>
              <w:top w:val="single" w:sz="4" w:space="0" w:color="auto"/>
              <w:bottom w:val="single" w:sz="4" w:space="0" w:color="auto"/>
            </w:tcBorders>
            <w:vAlign w:val="center"/>
          </w:tcPr>
          <w:p w:rsidR="004B20E5" w:rsidRPr="00666093" w:rsidRDefault="004B20E5" w:rsidP="00236D48">
            <w:pPr>
              <w:pStyle w:val="TableBaseline2020Target"/>
            </w:pPr>
            <w:r>
              <w:t>&gt;63.7%</w:t>
            </w:r>
          </w:p>
        </w:tc>
        <w:tc>
          <w:tcPr>
            <w:tcW w:w="1861" w:type="pct"/>
            <w:tcBorders>
              <w:top w:val="single" w:sz="4" w:space="0" w:color="auto"/>
              <w:bottom w:val="single" w:sz="4" w:space="0" w:color="auto"/>
            </w:tcBorders>
            <w:vAlign w:val="center"/>
          </w:tcPr>
          <w:p w:rsidR="004B20E5" w:rsidRPr="00666093" w:rsidRDefault="004B20E5" w:rsidP="00236D48">
            <w:pPr>
              <w:pStyle w:val="TableDataSource"/>
            </w:pPr>
            <w:r w:rsidRPr="006236B6">
              <w:t>MA PRAMS Surveillance Report 2013. Data for 2009/2010</w:t>
            </w:r>
          </w:p>
        </w:tc>
      </w:tr>
      <w:tr w:rsidR="004B20E5" w:rsidRPr="00666093" w:rsidTr="00346657">
        <w:trPr>
          <w:cantSplit/>
        </w:trPr>
        <w:tc>
          <w:tcPr>
            <w:tcW w:w="1329" w:type="pct"/>
            <w:tcBorders>
              <w:top w:val="single" w:sz="4" w:space="0" w:color="auto"/>
              <w:bottom w:val="single" w:sz="4" w:space="0" w:color="auto"/>
            </w:tcBorders>
            <w:vAlign w:val="center"/>
          </w:tcPr>
          <w:p w:rsidR="004B20E5" w:rsidRPr="00666093" w:rsidRDefault="004B20E5" w:rsidP="00236D48">
            <w:pPr>
              <w:pStyle w:val="TableOutcomeMeasure"/>
            </w:pPr>
            <w:r>
              <w:t>Exclusive breastfeeding at hospital discharge</w:t>
            </w:r>
          </w:p>
        </w:tc>
        <w:tc>
          <w:tcPr>
            <w:tcW w:w="905" w:type="pct"/>
            <w:tcBorders>
              <w:top w:val="single" w:sz="4" w:space="0" w:color="auto"/>
              <w:bottom w:val="single" w:sz="4" w:space="0" w:color="auto"/>
            </w:tcBorders>
            <w:vAlign w:val="center"/>
          </w:tcPr>
          <w:p w:rsidR="004B20E5" w:rsidRPr="00666093" w:rsidRDefault="004B20E5" w:rsidP="00236D48">
            <w:pPr>
              <w:pStyle w:val="TableBaseline2020Target"/>
            </w:pPr>
            <w:r>
              <w:t>60.3%</w:t>
            </w:r>
          </w:p>
        </w:tc>
        <w:tc>
          <w:tcPr>
            <w:tcW w:w="905" w:type="pct"/>
            <w:tcBorders>
              <w:top w:val="single" w:sz="4" w:space="0" w:color="auto"/>
              <w:bottom w:val="single" w:sz="4" w:space="0" w:color="auto"/>
            </w:tcBorders>
            <w:vAlign w:val="center"/>
          </w:tcPr>
          <w:p w:rsidR="004B20E5" w:rsidRPr="00666093" w:rsidRDefault="004B20E5" w:rsidP="00236D48">
            <w:pPr>
              <w:pStyle w:val="TableBaseline2020Target"/>
            </w:pPr>
            <w:r>
              <w:t>66.3%</w:t>
            </w:r>
          </w:p>
        </w:tc>
        <w:tc>
          <w:tcPr>
            <w:tcW w:w="1861" w:type="pct"/>
            <w:tcBorders>
              <w:top w:val="single" w:sz="4" w:space="0" w:color="auto"/>
              <w:bottom w:val="single" w:sz="4" w:space="0" w:color="auto"/>
            </w:tcBorders>
            <w:vAlign w:val="center"/>
          </w:tcPr>
          <w:p w:rsidR="004B20E5" w:rsidRPr="00666093" w:rsidRDefault="004B20E5" w:rsidP="00236D48">
            <w:pPr>
              <w:pStyle w:val="TableDataSource"/>
            </w:pPr>
            <w:r w:rsidRPr="00CE317D">
              <w:t xml:space="preserve">MDPH </w:t>
            </w:r>
            <w:r>
              <w:t>Vital Statistics</w:t>
            </w:r>
            <w:r w:rsidRPr="00CE317D">
              <w:t>. Data for 201</w:t>
            </w:r>
            <w:r>
              <w:t>2</w:t>
            </w:r>
          </w:p>
        </w:tc>
      </w:tr>
      <w:tr w:rsidR="004B20E5" w:rsidRPr="00666093" w:rsidTr="00236D48">
        <w:trPr>
          <w:cantSplit/>
        </w:trPr>
        <w:tc>
          <w:tcPr>
            <w:tcW w:w="1329" w:type="pct"/>
            <w:tcBorders>
              <w:top w:val="single" w:sz="4" w:space="0" w:color="auto"/>
              <w:bottom w:val="single" w:sz="4" w:space="0" w:color="auto"/>
            </w:tcBorders>
            <w:vAlign w:val="center"/>
          </w:tcPr>
          <w:p w:rsidR="004B20E5" w:rsidRPr="00666093" w:rsidRDefault="004B20E5" w:rsidP="00236D48">
            <w:pPr>
              <w:pStyle w:val="TableOutcomeMeasure"/>
            </w:pPr>
            <w:r>
              <w:t>Number of Baby-Friendly Hospitals</w:t>
            </w:r>
          </w:p>
        </w:tc>
        <w:tc>
          <w:tcPr>
            <w:tcW w:w="905" w:type="pct"/>
            <w:tcBorders>
              <w:top w:val="single" w:sz="4" w:space="0" w:color="auto"/>
              <w:bottom w:val="single" w:sz="4" w:space="0" w:color="auto"/>
            </w:tcBorders>
            <w:vAlign w:val="center"/>
          </w:tcPr>
          <w:p w:rsidR="004B20E5" w:rsidRPr="00666093" w:rsidRDefault="004B20E5" w:rsidP="00236D48">
            <w:pPr>
              <w:pStyle w:val="TableBaseline2020Target"/>
            </w:pPr>
            <w:r>
              <w:t>6 (of 47)</w:t>
            </w:r>
          </w:p>
        </w:tc>
        <w:tc>
          <w:tcPr>
            <w:tcW w:w="905" w:type="pct"/>
            <w:tcBorders>
              <w:top w:val="single" w:sz="4" w:space="0" w:color="auto"/>
              <w:bottom w:val="single" w:sz="4" w:space="0" w:color="auto"/>
            </w:tcBorders>
            <w:vAlign w:val="center"/>
          </w:tcPr>
          <w:p w:rsidR="004B20E5" w:rsidRPr="00666093" w:rsidRDefault="004B20E5" w:rsidP="00236D48">
            <w:pPr>
              <w:pStyle w:val="TableBaseline2020Target"/>
            </w:pPr>
            <w:r>
              <w:t>13 (of 47)</w:t>
            </w:r>
          </w:p>
        </w:tc>
        <w:tc>
          <w:tcPr>
            <w:tcW w:w="1861" w:type="pct"/>
            <w:tcBorders>
              <w:top w:val="single" w:sz="4" w:space="0" w:color="auto"/>
              <w:bottom w:val="single" w:sz="4" w:space="0" w:color="auto"/>
            </w:tcBorders>
            <w:vAlign w:val="center"/>
          </w:tcPr>
          <w:p w:rsidR="004B20E5" w:rsidRPr="00666093" w:rsidRDefault="004B20E5" w:rsidP="00236D48">
            <w:pPr>
              <w:pStyle w:val="TableDataSource"/>
            </w:pPr>
            <w:r>
              <w:t>Baby-Friendly USA data</w:t>
            </w: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7"/>
        <w:gridCol w:w="6212"/>
      </w:tblGrid>
      <w:tr w:rsidR="004B20E5" w:rsidRPr="00391134" w:rsidDel="00F67FD0" w:rsidTr="00236D48">
        <w:trPr>
          <w:cantSplit/>
        </w:trPr>
        <w:tc>
          <w:tcPr>
            <w:tcW w:w="1328" w:type="pct"/>
            <w:tcBorders>
              <w:top w:val="single" w:sz="4" w:space="0" w:color="auto"/>
            </w:tcBorders>
          </w:tcPr>
          <w:p w:rsidR="004B20E5" w:rsidRPr="009171C7" w:rsidDel="00F67FD0" w:rsidRDefault="004B20E5" w:rsidP="00236D48">
            <w:pPr>
              <w:pStyle w:val="TableTitleNumeratoretc"/>
            </w:pPr>
            <w:r w:rsidRPr="00A367E5">
              <w:t>Numerator</w:t>
            </w:r>
            <w:r>
              <w:t>:</w:t>
            </w:r>
          </w:p>
        </w:tc>
        <w:tc>
          <w:tcPr>
            <w:tcW w:w="3672" w:type="pct"/>
            <w:tcBorders>
              <w:top w:val="single" w:sz="4" w:space="0" w:color="auto"/>
            </w:tcBorders>
            <w:vAlign w:val="center"/>
          </w:tcPr>
          <w:p w:rsidR="004B20E5" w:rsidRPr="00236D48" w:rsidDel="00F67FD0" w:rsidRDefault="004B20E5" w:rsidP="00236D48">
            <w:pPr>
              <w:pStyle w:val="TableOutcomeMeasure"/>
            </w:pPr>
            <w:r>
              <w:t>Number</w:t>
            </w:r>
            <w:r w:rsidRPr="00236D48">
              <w:t xml:space="preserve"> of women with a recent live birth who were breastfeeding</w:t>
            </w:r>
            <w:r>
              <w:t xml:space="preserve"> their infant at 8 weeks of age</w:t>
            </w:r>
          </w:p>
        </w:tc>
      </w:tr>
      <w:tr w:rsidR="004B20E5" w:rsidRPr="00391134" w:rsidDel="00F67FD0" w:rsidTr="00236D48">
        <w:trPr>
          <w:cantSplit/>
        </w:trPr>
        <w:tc>
          <w:tcPr>
            <w:tcW w:w="1328" w:type="pct"/>
          </w:tcPr>
          <w:p w:rsidR="004B20E5" w:rsidRPr="009171C7" w:rsidDel="00F67FD0" w:rsidRDefault="004B20E5" w:rsidP="00236D48">
            <w:pPr>
              <w:pStyle w:val="TableTitleNumeratoretc"/>
            </w:pPr>
            <w:r w:rsidRPr="00A367E5">
              <w:t>Denominator</w:t>
            </w:r>
            <w:r>
              <w:t>:</w:t>
            </w:r>
          </w:p>
        </w:tc>
        <w:tc>
          <w:tcPr>
            <w:tcW w:w="3672" w:type="pct"/>
            <w:vAlign w:val="center"/>
          </w:tcPr>
          <w:p w:rsidR="004B20E5" w:rsidRPr="00236D48" w:rsidDel="00F67FD0" w:rsidRDefault="004B20E5" w:rsidP="00236D48">
            <w:pPr>
              <w:pStyle w:val="TableOutcomeMeasure"/>
            </w:pPr>
            <w:r w:rsidRPr="00236D48">
              <w:t>Total number of women with a recent live birth</w:t>
            </w:r>
          </w:p>
        </w:tc>
      </w:tr>
      <w:tr w:rsidR="004B20E5" w:rsidRPr="00391134" w:rsidDel="00F67FD0" w:rsidTr="00236D48">
        <w:trPr>
          <w:cantSplit/>
        </w:trPr>
        <w:tc>
          <w:tcPr>
            <w:tcW w:w="1328" w:type="pct"/>
          </w:tcPr>
          <w:p w:rsidR="004B20E5" w:rsidRPr="009171C7" w:rsidDel="00F67FD0" w:rsidRDefault="004B20E5" w:rsidP="00236D48">
            <w:pPr>
              <w:pStyle w:val="TableTitleNumeratoretc"/>
            </w:pPr>
            <w:r w:rsidRPr="00A367E5">
              <w:t>Exclusions</w:t>
            </w:r>
            <w:r>
              <w:t>:</w:t>
            </w:r>
          </w:p>
        </w:tc>
        <w:tc>
          <w:tcPr>
            <w:tcW w:w="3672" w:type="pct"/>
            <w:vAlign w:val="center"/>
          </w:tcPr>
          <w:p w:rsidR="004B20E5" w:rsidRPr="00236D48" w:rsidDel="00F67FD0" w:rsidRDefault="004B20E5" w:rsidP="00236D48">
            <w:pPr>
              <w:pStyle w:val="TableOutcomeMeasure"/>
            </w:pPr>
            <w:r w:rsidRPr="00236D48">
              <w:t>Multiple births greater than 3, births to non-resident mothers, births to MA resident outside of MA</w:t>
            </w:r>
          </w:p>
        </w:tc>
      </w:tr>
      <w:tr w:rsidR="004B20E5" w:rsidRPr="00391134" w:rsidDel="00F67FD0" w:rsidTr="00236D48">
        <w:trPr>
          <w:cantSplit/>
        </w:trPr>
        <w:tc>
          <w:tcPr>
            <w:tcW w:w="1328" w:type="pct"/>
            <w:vAlign w:val="center"/>
          </w:tcPr>
          <w:p w:rsidR="004B20E5" w:rsidRPr="009171C7" w:rsidDel="00F67FD0" w:rsidRDefault="004B20E5" w:rsidP="00236D48">
            <w:pPr>
              <w:pStyle w:val="TableTitleNumeratoretc"/>
            </w:pPr>
            <w:r w:rsidRPr="00F67FD0">
              <w:t>Timeframe</w:t>
            </w:r>
            <w:r>
              <w:t>:</w:t>
            </w:r>
          </w:p>
        </w:tc>
        <w:tc>
          <w:tcPr>
            <w:tcW w:w="3672" w:type="pct"/>
            <w:vAlign w:val="center"/>
          </w:tcPr>
          <w:p w:rsidR="004B20E5" w:rsidRPr="00236D48" w:rsidDel="00F67FD0" w:rsidRDefault="004B20E5" w:rsidP="00236D48">
            <w:pPr>
              <w:pStyle w:val="TableOutcomeMeasure"/>
            </w:pPr>
            <w:r>
              <w:t>Biannual</w:t>
            </w:r>
          </w:p>
        </w:tc>
      </w:tr>
      <w:tr w:rsidR="004B20E5" w:rsidRPr="00391134" w:rsidDel="00F67FD0" w:rsidTr="00236D48">
        <w:trPr>
          <w:cantSplit/>
        </w:trPr>
        <w:tc>
          <w:tcPr>
            <w:tcW w:w="1328" w:type="pct"/>
            <w:tcBorders>
              <w:bottom w:val="single" w:sz="4" w:space="0" w:color="auto"/>
            </w:tcBorders>
            <w:vAlign w:val="center"/>
          </w:tcPr>
          <w:p w:rsidR="004B20E5" w:rsidRDefault="004B20E5" w:rsidP="00236D48">
            <w:pPr>
              <w:pStyle w:val="TableTitleNumeratoretc"/>
            </w:pPr>
            <w:r w:rsidRPr="00F67FD0">
              <w:t>How will this be measured?</w:t>
            </w:r>
          </w:p>
          <w:p w:rsidR="004B20E5" w:rsidRPr="009171C7" w:rsidDel="00F67FD0" w:rsidRDefault="004B20E5" w:rsidP="00236D48">
            <w:pPr>
              <w:pStyle w:val="TableTitleNumeratoretc"/>
            </w:pPr>
          </w:p>
        </w:tc>
        <w:tc>
          <w:tcPr>
            <w:tcW w:w="3672" w:type="pct"/>
            <w:tcBorders>
              <w:bottom w:val="single" w:sz="4" w:space="0" w:color="auto"/>
            </w:tcBorders>
            <w:vAlign w:val="center"/>
          </w:tcPr>
          <w:p w:rsidR="004B20E5" w:rsidRPr="00236D48" w:rsidDel="00F67FD0" w:rsidRDefault="004B20E5" w:rsidP="00236D48">
            <w:pPr>
              <w:pStyle w:val="TableOutcomeMeasure"/>
            </w:pPr>
            <w:r w:rsidRPr="00236D48">
              <w:t>Women who responded: (1)</w:t>
            </w:r>
            <w:r w:rsidR="00210F04">
              <w:t xml:space="preserve"> </w:t>
            </w:r>
            <w:r w:rsidRPr="00236D48">
              <w:t>“yes” to initiating breastfeeding and (2) “yes” to currently breastfeeding or “no” to currently breastfeeding, but breastfed at least 8 weeks will be included in the numerator</w:t>
            </w:r>
          </w:p>
        </w:tc>
      </w:tr>
    </w:tbl>
    <w:p w:rsidR="004B20E5" w:rsidRPr="00236D48" w:rsidRDefault="004B20E5" w:rsidP="00236D48">
      <w:pPr>
        <w:pStyle w:val="Strategi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7"/>
        <w:gridCol w:w="6212"/>
      </w:tblGrid>
      <w:tr w:rsidR="004B20E5" w:rsidRPr="00666093" w:rsidDel="00F67FD0" w:rsidTr="00236D48">
        <w:trPr>
          <w:cantSplit/>
        </w:trPr>
        <w:tc>
          <w:tcPr>
            <w:tcW w:w="1328" w:type="pct"/>
            <w:tcBorders>
              <w:top w:val="single" w:sz="4" w:space="0" w:color="auto"/>
            </w:tcBorders>
          </w:tcPr>
          <w:p w:rsidR="004B20E5" w:rsidRPr="009171C7" w:rsidDel="00F67FD0" w:rsidRDefault="004B20E5" w:rsidP="00236D48">
            <w:pPr>
              <w:pStyle w:val="TableTitleNumeratoretc"/>
            </w:pPr>
            <w:r w:rsidRPr="00A367E5">
              <w:t>Numerator</w:t>
            </w:r>
            <w:r>
              <w:t>:</w:t>
            </w:r>
          </w:p>
        </w:tc>
        <w:tc>
          <w:tcPr>
            <w:tcW w:w="3672" w:type="pct"/>
            <w:tcBorders>
              <w:top w:val="single" w:sz="4" w:space="0" w:color="auto"/>
            </w:tcBorders>
            <w:vAlign w:val="center"/>
          </w:tcPr>
          <w:p w:rsidR="004B20E5" w:rsidRPr="00236D48" w:rsidDel="00F67FD0" w:rsidRDefault="004B20E5" w:rsidP="00236D48">
            <w:pPr>
              <w:pStyle w:val="TableOutcomeMeasure"/>
            </w:pPr>
            <w:r w:rsidRPr="00236D48">
              <w:t>Number of births among women who responded feeding their baby with breast milk only at the time of discharge</w:t>
            </w:r>
          </w:p>
        </w:tc>
      </w:tr>
      <w:tr w:rsidR="004B20E5" w:rsidRPr="00666093" w:rsidDel="00F67FD0" w:rsidTr="00236D48">
        <w:trPr>
          <w:cantSplit/>
        </w:trPr>
        <w:tc>
          <w:tcPr>
            <w:tcW w:w="1328" w:type="pct"/>
          </w:tcPr>
          <w:p w:rsidR="004B20E5" w:rsidRPr="009171C7" w:rsidDel="00F67FD0" w:rsidRDefault="004B20E5" w:rsidP="00236D48">
            <w:pPr>
              <w:pStyle w:val="TableTitleNumeratoretc"/>
            </w:pPr>
            <w:r w:rsidRPr="00A367E5">
              <w:t>Denominator</w:t>
            </w:r>
            <w:r>
              <w:t>:</w:t>
            </w:r>
          </w:p>
        </w:tc>
        <w:tc>
          <w:tcPr>
            <w:tcW w:w="3672" w:type="pct"/>
            <w:vAlign w:val="center"/>
          </w:tcPr>
          <w:p w:rsidR="004B20E5" w:rsidRPr="00236D48" w:rsidDel="00F67FD0" w:rsidRDefault="004B20E5" w:rsidP="00236D48">
            <w:pPr>
              <w:pStyle w:val="TableOutcomeMeasure"/>
            </w:pPr>
            <w:r w:rsidRPr="00236D48">
              <w:t>Total number of live births in that year</w:t>
            </w:r>
          </w:p>
        </w:tc>
      </w:tr>
      <w:tr w:rsidR="004B20E5" w:rsidRPr="00666093" w:rsidDel="00F67FD0" w:rsidTr="00236D48">
        <w:trPr>
          <w:cantSplit/>
        </w:trPr>
        <w:tc>
          <w:tcPr>
            <w:tcW w:w="1328" w:type="pct"/>
          </w:tcPr>
          <w:p w:rsidR="004B20E5" w:rsidRPr="009171C7" w:rsidDel="00F67FD0" w:rsidRDefault="004B20E5" w:rsidP="00236D48">
            <w:pPr>
              <w:pStyle w:val="TableTitleNumeratoretc"/>
            </w:pPr>
            <w:r w:rsidRPr="00A367E5">
              <w:t>Exclusions</w:t>
            </w:r>
            <w:r>
              <w:t>:</w:t>
            </w:r>
          </w:p>
        </w:tc>
        <w:tc>
          <w:tcPr>
            <w:tcW w:w="3672" w:type="pct"/>
            <w:vAlign w:val="center"/>
          </w:tcPr>
          <w:p w:rsidR="004B20E5" w:rsidRPr="00236D48" w:rsidDel="00F67FD0" w:rsidRDefault="004B20E5" w:rsidP="00236D48">
            <w:pPr>
              <w:pStyle w:val="TableOutcomeMeasure"/>
            </w:pPr>
            <w:r w:rsidRPr="00236D48">
              <w:t xml:space="preserve">Births with missing information on exclusive </w:t>
            </w:r>
            <w:r w:rsidR="003F14D1">
              <w:t>b</w:t>
            </w:r>
            <w:r w:rsidRPr="00236D48">
              <w:t>reastfeeding</w:t>
            </w:r>
          </w:p>
        </w:tc>
      </w:tr>
      <w:tr w:rsidR="004B20E5" w:rsidRPr="00666093" w:rsidDel="00F67FD0" w:rsidTr="00236D48">
        <w:trPr>
          <w:cantSplit/>
        </w:trPr>
        <w:tc>
          <w:tcPr>
            <w:tcW w:w="1328" w:type="pct"/>
            <w:vAlign w:val="center"/>
          </w:tcPr>
          <w:p w:rsidR="004B20E5" w:rsidRPr="009171C7" w:rsidDel="00F67FD0" w:rsidRDefault="004B20E5" w:rsidP="00236D48">
            <w:pPr>
              <w:pStyle w:val="TableTitleNumeratoretc"/>
            </w:pPr>
            <w:r w:rsidRPr="00F67FD0">
              <w:t>Timeframe</w:t>
            </w:r>
            <w:r>
              <w:t>:</w:t>
            </w:r>
          </w:p>
        </w:tc>
        <w:tc>
          <w:tcPr>
            <w:tcW w:w="3672" w:type="pct"/>
            <w:vAlign w:val="center"/>
          </w:tcPr>
          <w:p w:rsidR="004B20E5" w:rsidRPr="00236D48" w:rsidDel="00F67FD0" w:rsidRDefault="004B20E5" w:rsidP="00236D48">
            <w:pPr>
              <w:pStyle w:val="TableOutcomeMeasure"/>
            </w:pPr>
            <w:r>
              <w:t>Annual</w:t>
            </w:r>
          </w:p>
        </w:tc>
      </w:tr>
      <w:tr w:rsidR="004B20E5" w:rsidRPr="00666093" w:rsidDel="00F67FD0" w:rsidTr="00236D48">
        <w:trPr>
          <w:cantSplit/>
        </w:trPr>
        <w:tc>
          <w:tcPr>
            <w:tcW w:w="1328" w:type="pct"/>
            <w:tcBorders>
              <w:bottom w:val="single" w:sz="4" w:space="0" w:color="auto"/>
            </w:tcBorders>
            <w:vAlign w:val="center"/>
          </w:tcPr>
          <w:p w:rsidR="004B20E5" w:rsidRPr="009171C7" w:rsidDel="00F67FD0" w:rsidRDefault="004B20E5" w:rsidP="00236D48">
            <w:pPr>
              <w:pStyle w:val="TableTitleNumeratoretc"/>
            </w:pPr>
            <w:r w:rsidRPr="00F67FD0">
              <w:t>How will this be measured?</w:t>
            </w:r>
          </w:p>
        </w:tc>
        <w:tc>
          <w:tcPr>
            <w:tcW w:w="3672" w:type="pct"/>
            <w:tcBorders>
              <w:bottom w:val="single" w:sz="4" w:space="0" w:color="auto"/>
            </w:tcBorders>
            <w:vAlign w:val="center"/>
          </w:tcPr>
          <w:p w:rsidR="004B20E5" w:rsidRDefault="004B20E5" w:rsidP="00236D48">
            <w:pPr>
              <w:pStyle w:val="TableOutcomeMeasure"/>
            </w:pPr>
            <w:r>
              <w:t>RVRS.</w:t>
            </w:r>
          </w:p>
          <w:p w:rsidR="004B20E5" w:rsidRPr="00236D48" w:rsidDel="00F67FD0" w:rsidRDefault="004B20E5" w:rsidP="00236D48">
            <w:pPr>
              <w:pStyle w:val="TableOutcomeMeasure"/>
            </w:pPr>
          </w:p>
        </w:tc>
      </w:tr>
    </w:tbl>
    <w:p w:rsidR="004B20E5" w:rsidRPr="00236D48" w:rsidRDefault="004B20E5" w:rsidP="00236D48">
      <w:pPr>
        <w:pStyle w:val="Strategi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7"/>
        <w:gridCol w:w="6212"/>
      </w:tblGrid>
      <w:tr w:rsidR="004B20E5" w:rsidRPr="00391134" w:rsidDel="00F67FD0" w:rsidTr="00236D48">
        <w:trPr>
          <w:cantSplit/>
        </w:trPr>
        <w:tc>
          <w:tcPr>
            <w:tcW w:w="1328" w:type="pct"/>
            <w:tcBorders>
              <w:top w:val="single" w:sz="4" w:space="0" w:color="auto"/>
            </w:tcBorders>
          </w:tcPr>
          <w:p w:rsidR="004B20E5" w:rsidRPr="009171C7" w:rsidDel="00F67FD0" w:rsidRDefault="004B20E5" w:rsidP="00236D48">
            <w:pPr>
              <w:pStyle w:val="TableTitleNumeratoretc"/>
            </w:pPr>
            <w:r w:rsidRPr="00A367E5">
              <w:t>Numerator</w:t>
            </w:r>
            <w:r>
              <w:t>:</w:t>
            </w:r>
          </w:p>
        </w:tc>
        <w:tc>
          <w:tcPr>
            <w:tcW w:w="3672" w:type="pct"/>
            <w:tcBorders>
              <w:top w:val="single" w:sz="4" w:space="0" w:color="auto"/>
            </w:tcBorders>
            <w:vAlign w:val="center"/>
          </w:tcPr>
          <w:p w:rsidR="004B20E5" w:rsidRPr="00236D48" w:rsidDel="00F67FD0" w:rsidRDefault="004B20E5" w:rsidP="00236D48">
            <w:pPr>
              <w:pStyle w:val="TableOutcomeMeasure"/>
            </w:pPr>
            <w:r w:rsidRPr="00236D48">
              <w:t>Number of</w:t>
            </w:r>
            <w:r w:rsidR="003F14D1">
              <w:t xml:space="preserve"> </w:t>
            </w:r>
            <w:r w:rsidRPr="00236D48">
              <w:t>birth hospitals with Baby-Friendly designation</w:t>
            </w:r>
          </w:p>
        </w:tc>
      </w:tr>
      <w:tr w:rsidR="004B20E5" w:rsidRPr="00391134" w:rsidDel="00F67FD0" w:rsidTr="00236D48">
        <w:trPr>
          <w:cantSplit/>
        </w:trPr>
        <w:tc>
          <w:tcPr>
            <w:tcW w:w="1328" w:type="pct"/>
          </w:tcPr>
          <w:p w:rsidR="004B20E5" w:rsidRPr="009171C7" w:rsidDel="00F67FD0" w:rsidRDefault="004B20E5" w:rsidP="00236D48">
            <w:pPr>
              <w:pStyle w:val="TableTitleNumeratoretc"/>
            </w:pPr>
            <w:r w:rsidRPr="00A367E5">
              <w:t>Denominator</w:t>
            </w:r>
            <w:r>
              <w:t>:</w:t>
            </w:r>
          </w:p>
        </w:tc>
        <w:tc>
          <w:tcPr>
            <w:tcW w:w="3672" w:type="pct"/>
            <w:vAlign w:val="center"/>
          </w:tcPr>
          <w:p w:rsidR="004B20E5" w:rsidRPr="00236D48" w:rsidDel="00F67FD0" w:rsidRDefault="004B20E5" w:rsidP="00236D48">
            <w:pPr>
              <w:pStyle w:val="TableOutcomeMeasure"/>
            </w:pPr>
            <w:r w:rsidRPr="00236D48">
              <w:t>Number of birth hospitals in Massachusetts</w:t>
            </w:r>
          </w:p>
        </w:tc>
      </w:tr>
      <w:tr w:rsidR="004B20E5" w:rsidRPr="00391134" w:rsidDel="00F67FD0" w:rsidTr="00236D48">
        <w:trPr>
          <w:cantSplit/>
        </w:trPr>
        <w:tc>
          <w:tcPr>
            <w:tcW w:w="1328" w:type="pct"/>
          </w:tcPr>
          <w:p w:rsidR="004B20E5" w:rsidRPr="009171C7" w:rsidDel="00F67FD0" w:rsidRDefault="004B20E5" w:rsidP="00236D48">
            <w:pPr>
              <w:pStyle w:val="TableTitleNumeratoretc"/>
            </w:pPr>
            <w:r w:rsidRPr="00A367E5">
              <w:t>Exclusions</w:t>
            </w:r>
            <w:r>
              <w:t>:</w:t>
            </w:r>
          </w:p>
        </w:tc>
        <w:tc>
          <w:tcPr>
            <w:tcW w:w="3672" w:type="pct"/>
            <w:vAlign w:val="center"/>
          </w:tcPr>
          <w:p w:rsidR="004B20E5" w:rsidRPr="00236D48" w:rsidDel="00F67FD0" w:rsidRDefault="004B20E5" w:rsidP="00236D48">
            <w:pPr>
              <w:pStyle w:val="TableOutcomeMeasure"/>
            </w:pPr>
            <w:r w:rsidRPr="00236D48">
              <w:t>None</w:t>
            </w:r>
          </w:p>
        </w:tc>
      </w:tr>
      <w:tr w:rsidR="004B20E5" w:rsidRPr="00391134" w:rsidDel="00F67FD0" w:rsidTr="00236D48">
        <w:trPr>
          <w:cantSplit/>
        </w:trPr>
        <w:tc>
          <w:tcPr>
            <w:tcW w:w="1328" w:type="pct"/>
            <w:vAlign w:val="center"/>
          </w:tcPr>
          <w:p w:rsidR="004B20E5" w:rsidRPr="009171C7" w:rsidDel="00F67FD0" w:rsidRDefault="004B20E5" w:rsidP="00236D48">
            <w:pPr>
              <w:pStyle w:val="TableTitleNumeratoretc"/>
            </w:pPr>
            <w:r w:rsidRPr="00F67FD0">
              <w:t>Timeframe</w:t>
            </w:r>
            <w:r>
              <w:t>:</w:t>
            </w:r>
          </w:p>
        </w:tc>
        <w:tc>
          <w:tcPr>
            <w:tcW w:w="3672" w:type="pct"/>
            <w:vAlign w:val="center"/>
          </w:tcPr>
          <w:p w:rsidR="004B20E5" w:rsidRPr="00236D48" w:rsidDel="00F67FD0" w:rsidRDefault="004B20E5" w:rsidP="00236D48">
            <w:pPr>
              <w:pStyle w:val="TableOutcomeMeasure"/>
            </w:pPr>
            <w:r w:rsidRPr="00236D48">
              <w:t>Annual</w:t>
            </w:r>
          </w:p>
        </w:tc>
      </w:tr>
      <w:tr w:rsidR="004B20E5" w:rsidRPr="00391134" w:rsidDel="00F67FD0" w:rsidTr="00236D48">
        <w:trPr>
          <w:cantSplit/>
        </w:trPr>
        <w:tc>
          <w:tcPr>
            <w:tcW w:w="1328" w:type="pct"/>
            <w:tcBorders>
              <w:bottom w:val="single" w:sz="4" w:space="0" w:color="auto"/>
            </w:tcBorders>
            <w:vAlign w:val="center"/>
          </w:tcPr>
          <w:p w:rsidR="004B20E5" w:rsidRPr="009171C7" w:rsidDel="00F67FD0" w:rsidRDefault="004B20E5" w:rsidP="00236D48">
            <w:pPr>
              <w:pStyle w:val="TableTitleNumeratoretc"/>
            </w:pPr>
            <w:r w:rsidRPr="00F67FD0">
              <w:t>How will this be measured?</w:t>
            </w:r>
          </w:p>
        </w:tc>
        <w:tc>
          <w:tcPr>
            <w:tcW w:w="3672" w:type="pct"/>
            <w:tcBorders>
              <w:bottom w:val="single" w:sz="4" w:space="0" w:color="auto"/>
            </w:tcBorders>
            <w:vAlign w:val="center"/>
          </w:tcPr>
          <w:p w:rsidR="004B20E5" w:rsidRDefault="004B20E5" w:rsidP="00236D48">
            <w:pPr>
              <w:pStyle w:val="TableOutcomeMeasure"/>
            </w:pPr>
            <w:r w:rsidRPr="00236D48">
              <w:t>Review of Baby-Friendly data</w:t>
            </w:r>
          </w:p>
          <w:p w:rsidR="004B20E5" w:rsidRPr="00236D48" w:rsidDel="00F67FD0" w:rsidRDefault="004B20E5" w:rsidP="00236D48">
            <w:pPr>
              <w:pStyle w:val="TableOutcomeMeasure"/>
            </w:pPr>
          </w:p>
        </w:tc>
      </w:tr>
    </w:tbl>
    <w:p w:rsidR="004B20E5" w:rsidRDefault="004B20E5" w:rsidP="007348F7">
      <w:pPr>
        <w:pStyle w:val="StrategiesCategoryTitles"/>
      </w:pPr>
    </w:p>
    <w:p w:rsidR="004B20E5" w:rsidRDefault="004B20E5" w:rsidP="007C27A3">
      <w:pPr>
        <w:pStyle w:val="TableTenEssenHlthFunct"/>
      </w:pPr>
      <w:r>
        <w:t>Monitor Health to Identify and Solve Community Health Problems</w:t>
      </w:r>
    </w:p>
    <w:p w:rsidR="004B20E5" w:rsidRPr="006256D0" w:rsidRDefault="004B20E5" w:rsidP="00D00411">
      <w:pPr>
        <w:pStyle w:val="TableStrategiesunderHealthFunctions"/>
      </w:pPr>
      <w:r w:rsidRPr="00986625">
        <w:t>6.</w:t>
      </w:r>
      <w:r>
        <w:t>3.1</w:t>
      </w:r>
      <w:r w:rsidRPr="00986625">
        <w:tab/>
        <w:t>Establish data sources and baseline data to measure exclusive breastfeeding at discharge and other metrics.</w:t>
      </w:r>
    </w:p>
    <w:p w:rsidR="004B20E5" w:rsidRDefault="004B20E5" w:rsidP="007C27A3">
      <w:pPr>
        <w:pStyle w:val="TableTenEssenHlthFunct"/>
      </w:pPr>
      <w:r>
        <w:t xml:space="preserve">Inform, Educate, and Empower People About Health Issues </w:t>
      </w:r>
    </w:p>
    <w:p w:rsidR="004B20E5" w:rsidRPr="005256A0" w:rsidRDefault="004B20E5" w:rsidP="00D00411">
      <w:pPr>
        <w:pStyle w:val="TableStrategiesunderHealthFunctions"/>
      </w:pPr>
      <w:r>
        <w:t>6.3.2</w:t>
      </w:r>
      <w:r w:rsidRPr="005256A0">
        <w:tab/>
        <w:t xml:space="preserve">Educate employers and new mothers about federal (ACA) requirements, including new coverage options for breastfeeding support after delivery, and availability of providers to support breastfeeding mothers in the workplace. </w:t>
      </w:r>
    </w:p>
    <w:p w:rsidR="004B20E5" w:rsidRPr="00B052EE" w:rsidRDefault="004B20E5" w:rsidP="00D00411">
      <w:pPr>
        <w:pStyle w:val="TableStrategiesunderHealthFunctions"/>
        <w:rPr>
          <w:i/>
        </w:rPr>
      </w:pPr>
      <w:r>
        <w:t>6.3.3</w:t>
      </w:r>
      <w:r w:rsidRPr="00C31980">
        <w:tab/>
        <w:t>Develop a marketing campaign on the benefits of breastfeeding and available supports. Connect to celebrity endorsement</w:t>
      </w:r>
      <w:r>
        <w:t>,</w:t>
      </w:r>
      <w:r w:rsidRPr="00986625">
        <w:t xml:space="preserve"> social media and other efforts to increase awareness of the importance of breastfeeding, including </w:t>
      </w:r>
      <w:r w:rsidRPr="00B052EE">
        <w:rPr>
          <w:i/>
        </w:rPr>
        <w:t>text4baby.</w:t>
      </w:r>
    </w:p>
    <w:p w:rsidR="004B20E5" w:rsidRPr="006256D0" w:rsidRDefault="004B20E5" w:rsidP="00D00411">
      <w:pPr>
        <w:pStyle w:val="TableStrategiesunderHealthFunctions"/>
      </w:pPr>
      <w:r>
        <w:t>6.3.4</w:t>
      </w:r>
      <w:r w:rsidRPr="00C31980">
        <w:tab/>
        <w:t xml:space="preserve">Provide education </w:t>
      </w:r>
      <w:r>
        <w:t xml:space="preserve">and support </w:t>
      </w:r>
      <w:r w:rsidRPr="00C31980">
        <w:t>to pregnant women and new mothers on the benefits of breastfeeding, breastfeeding management, and obtaining support to continue breastfeeding</w:t>
      </w:r>
      <w:r>
        <w:t xml:space="preserve">, </w:t>
      </w:r>
      <w:r w:rsidRPr="00B052EE">
        <w:rPr>
          <w:szCs w:val="22"/>
        </w:rPr>
        <w:t>in school health classes, and family support service settings</w:t>
      </w:r>
      <w:r w:rsidRPr="00C31980">
        <w:t>.</w:t>
      </w:r>
    </w:p>
    <w:p w:rsidR="004B20E5" w:rsidRDefault="004B20E5" w:rsidP="007C27A3">
      <w:pPr>
        <w:pStyle w:val="TableTenEssenHlthFunct"/>
      </w:pPr>
      <w:r>
        <w:t>Mobilize Community Partnerships to Identify and Solve Health Problems</w:t>
      </w:r>
    </w:p>
    <w:p w:rsidR="004B20E5" w:rsidRPr="006256D0" w:rsidRDefault="004B20E5" w:rsidP="00D00411">
      <w:pPr>
        <w:pStyle w:val="TableStrategiesunderHealthFunctions"/>
      </w:pPr>
      <w:r>
        <w:t>6.3.5</w:t>
      </w:r>
      <w:r>
        <w:tab/>
        <w:t xml:space="preserve">Collaborate with Massachusetts Breastfeeding Coalition (MBC) to enhance collaboration with Massachusetts </w:t>
      </w:r>
      <w:r w:rsidR="003F14D1">
        <w:t>b</w:t>
      </w:r>
      <w:r>
        <w:t xml:space="preserve">irth </w:t>
      </w:r>
      <w:r w:rsidR="003F14D1">
        <w:t>h</w:t>
      </w:r>
      <w:r>
        <w:t>ospitals to support hospital policies that promote breastfeeding.</w:t>
      </w:r>
    </w:p>
    <w:p w:rsidR="004B20E5" w:rsidRDefault="004B20E5" w:rsidP="007C27A3">
      <w:pPr>
        <w:pStyle w:val="TableTenEssenHlthFunct"/>
      </w:pPr>
      <w:r>
        <w:t xml:space="preserve">Develop Policies and Plans That Support Individual and Community Health Efforts </w:t>
      </w:r>
    </w:p>
    <w:p w:rsidR="004B20E5" w:rsidRPr="00986625" w:rsidRDefault="004B20E5" w:rsidP="00D00411">
      <w:pPr>
        <w:pStyle w:val="TableStrategiesunderHealthFunctions"/>
      </w:pPr>
      <w:r w:rsidRPr="00986625">
        <w:t>6.</w:t>
      </w:r>
      <w:r>
        <w:t>3.6</w:t>
      </w:r>
      <w:r w:rsidRPr="00986625">
        <w:tab/>
        <w:t>Promote CDC Guide to Strategies to Support Breastfeeding Mothers and Babies (2013).</w:t>
      </w:r>
    </w:p>
    <w:p w:rsidR="004B20E5" w:rsidRPr="00B05B86" w:rsidRDefault="004B20E5" w:rsidP="00D00411">
      <w:pPr>
        <w:pStyle w:val="TableStrategiesunderHealthFunctions"/>
      </w:pPr>
      <w:r>
        <w:t>6.3.7</w:t>
      </w:r>
      <w:r w:rsidRPr="00B05B86">
        <w:tab/>
      </w:r>
      <w:r w:rsidRPr="00C31980">
        <w:t xml:space="preserve">Encourage expansion of workplace provisions to all employees regarding </w:t>
      </w:r>
      <w:r w:rsidRPr="00B05B86">
        <w:t>support for breastfeeding mothers in the workplace.</w:t>
      </w:r>
    </w:p>
    <w:p w:rsidR="004B20E5" w:rsidRPr="00B052EE" w:rsidRDefault="004B20E5" w:rsidP="00D00411">
      <w:pPr>
        <w:pStyle w:val="TableStrategiesunderHealthFunctions"/>
        <w:rPr>
          <w:szCs w:val="22"/>
        </w:rPr>
      </w:pPr>
      <w:r w:rsidRPr="00B052EE">
        <w:rPr>
          <w:szCs w:val="22"/>
        </w:rPr>
        <w:t>6.</w:t>
      </w:r>
      <w:r>
        <w:rPr>
          <w:szCs w:val="22"/>
        </w:rPr>
        <w:t>3.8</w:t>
      </w:r>
      <w:r w:rsidRPr="00B052EE">
        <w:rPr>
          <w:szCs w:val="22"/>
        </w:rPr>
        <w:tab/>
      </w:r>
      <w:r>
        <w:t>Promote and support breastfeeding-friendly practices, such as on-site breastfeeding, in child care settings and in the workplace</w:t>
      </w:r>
      <w:r w:rsidRPr="00B052EE">
        <w:rPr>
          <w:szCs w:val="22"/>
        </w:rPr>
        <w:t>.</w:t>
      </w:r>
    </w:p>
    <w:p w:rsidR="004B20E5" w:rsidRPr="00B052EE" w:rsidRDefault="004B20E5" w:rsidP="00D00411">
      <w:pPr>
        <w:pStyle w:val="TableStrategiesunderHealthFunctions"/>
        <w:rPr>
          <w:szCs w:val="22"/>
        </w:rPr>
      </w:pPr>
      <w:r w:rsidRPr="00B052EE">
        <w:rPr>
          <w:szCs w:val="22"/>
        </w:rPr>
        <w:t>6.</w:t>
      </w:r>
      <w:r>
        <w:rPr>
          <w:szCs w:val="22"/>
        </w:rPr>
        <w:t>3.9</w:t>
      </w:r>
      <w:r w:rsidRPr="00B052EE">
        <w:rPr>
          <w:szCs w:val="22"/>
        </w:rPr>
        <w:tab/>
        <w:t>Increase the number of Baby-Friendly Hospitals</w:t>
      </w:r>
      <w:r>
        <w:t xml:space="preserve"> by s</w:t>
      </w:r>
      <w:r w:rsidRPr="00C31980">
        <w:t>upport</w:t>
      </w:r>
      <w:r>
        <w:t>ing</w:t>
      </w:r>
      <w:r w:rsidRPr="00C31980">
        <w:t xml:space="preserve"> hospitals in adopting Baby Friendly Hospital Initiative practices/achiev</w:t>
      </w:r>
      <w:r>
        <w:t>ing</w:t>
      </w:r>
      <w:r w:rsidRPr="00C31980">
        <w:t xml:space="preserve"> BFHI designation.</w:t>
      </w:r>
    </w:p>
    <w:p w:rsidR="004B20E5" w:rsidRPr="00C31980" w:rsidRDefault="004B20E5" w:rsidP="00D00411">
      <w:pPr>
        <w:pStyle w:val="TableStrategiesunderHealthFunctions"/>
      </w:pPr>
      <w:r>
        <w:t>6.3.10</w:t>
      </w:r>
      <w:r w:rsidRPr="00C31980">
        <w:tab/>
        <w:t>Define and provide incentives to new mothers who breastfeed.</w:t>
      </w:r>
    </w:p>
    <w:p w:rsidR="004B20E5" w:rsidRPr="00C31980" w:rsidRDefault="004B20E5" w:rsidP="00D00411">
      <w:pPr>
        <w:pStyle w:val="TableStrategiesunderHealthFunctions"/>
      </w:pPr>
      <w:r>
        <w:t>6.3.11</w:t>
      </w:r>
      <w:r w:rsidRPr="00C31980">
        <w:tab/>
        <w:t>Explore ways to incentivize providers to promote higher breastfeeding duration/exclusivity for new mothers.</w:t>
      </w:r>
    </w:p>
    <w:p w:rsidR="004B20E5" w:rsidRPr="006256D0" w:rsidRDefault="004B20E5" w:rsidP="00D00411">
      <w:pPr>
        <w:pStyle w:val="TableStrategiesunderHealthFunctions"/>
      </w:pPr>
      <w:r w:rsidRPr="00986625">
        <w:t>6.</w:t>
      </w:r>
      <w:r>
        <w:t>3.12</w:t>
      </w:r>
      <w:r w:rsidRPr="00986625">
        <w:tab/>
        <w:t>Support parents of infants with complex health needs to breastfeed.</w:t>
      </w:r>
    </w:p>
    <w:p w:rsidR="004B20E5" w:rsidRDefault="004B20E5" w:rsidP="007C27A3">
      <w:pPr>
        <w:pStyle w:val="TableTenEssenHlthFunct"/>
      </w:pPr>
      <w:r>
        <w:t>Link People to Needed Personal Health Services and Health Care</w:t>
      </w:r>
    </w:p>
    <w:p w:rsidR="004B20E5" w:rsidRPr="006256D0" w:rsidRDefault="004B20E5" w:rsidP="00D00411">
      <w:pPr>
        <w:pStyle w:val="TableStrategiesunderHealthFunctions"/>
      </w:pPr>
      <w:r w:rsidRPr="00986625">
        <w:t>6.</w:t>
      </w:r>
      <w:r>
        <w:t>3</w:t>
      </w:r>
      <w:r w:rsidRPr="00986625">
        <w:t>.</w:t>
      </w:r>
      <w:r>
        <w:t>13</w:t>
      </w:r>
      <w:r>
        <w:tab/>
      </w:r>
      <w:r w:rsidRPr="00986625">
        <w:t>Improve community and pediatric provider post-discharge support for breastfeeding women and infants.</w:t>
      </w:r>
    </w:p>
    <w:p w:rsidR="004B20E5" w:rsidRDefault="004B20E5" w:rsidP="007C27A3">
      <w:pPr>
        <w:pStyle w:val="TableTenEssenHlthFunct"/>
      </w:pPr>
      <w:r>
        <w:t>Assure a Competent Public and Personal Healthcare Workforce</w:t>
      </w:r>
    </w:p>
    <w:p w:rsidR="004B20E5" w:rsidRDefault="004B20E5" w:rsidP="00D00411">
      <w:pPr>
        <w:pStyle w:val="TableStrategiesunderHealthFunctions"/>
      </w:pPr>
      <w:r>
        <w:t>6.3.14</w:t>
      </w:r>
      <w:r>
        <w:tab/>
        <w:t>Provide breastfeeding promotion and support education and training to all WIC staff and home visitors.</w:t>
      </w:r>
    </w:p>
    <w:p w:rsidR="004B20E5" w:rsidRDefault="004B20E5" w:rsidP="00D00411">
      <w:pPr>
        <w:pStyle w:val="TableStrategiesunderHealthFunctions"/>
      </w:pPr>
      <w:r>
        <w:t>6.3.15</w:t>
      </w:r>
      <w:r>
        <w:tab/>
        <w:t>Offer 3-hour free CMEs related to breastfeeding management.</w:t>
      </w:r>
    </w:p>
    <w:p w:rsidR="004B20E5" w:rsidRPr="006256D0" w:rsidRDefault="004B20E5" w:rsidP="00D00411">
      <w:pPr>
        <w:pStyle w:val="TableStrategiesunderHealthFunctions"/>
      </w:pPr>
    </w:p>
    <w:p w:rsidR="004B20E5" w:rsidRDefault="004B20E5" w:rsidP="00CB2B0E">
      <w:pPr>
        <w:pStyle w:val="ObjectiveStatement"/>
      </w:pPr>
      <w:r>
        <w:t xml:space="preserve">Measure </w:t>
      </w:r>
      <w:r w:rsidRPr="00986625">
        <w:t>6.</w:t>
      </w:r>
      <w:r>
        <w:t>4:</w:t>
      </w:r>
      <w:r>
        <w:tab/>
      </w:r>
      <w:r w:rsidRPr="00986625">
        <w:t xml:space="preserve">Increase the proportion of pregnant women who receive </w:t>
      </w:r>
      <w:r w:rsidR="009170FB">
        <w:t>teeth cleaning</w:t>
      </w:r>
      <w:r w:rsidR="00170A28">
        <w:t xml:space="preserve"> </w:t>
      </w:r>
      <w:r w:rsidRPr="00986625">
        <w:t xml:space="preserve">before </w:t>
      </w:r>
      <w:r>
        <w:t>and during pregnancy</w:t>
      </w:r>
      <w:r w:rsidR="00C03198">
        <w:t xml:space="preserve"> </w:t>
      </w:r>
      <w:r>
        <w:t>by 5%.</w:t>
      </w:r>
    </w:p>
    <w:tbl>
      <w:tblPr>
        <w:tblW w:w="4095" w:type="pct"/>
        <w:tblInd w:w="1755" w:type="dxa"/>
        <w:tblLayout w:type="fixed"/>
        <w:tblLook w:val="00A0" w:firstRow="1" w:lastRow="0" w:firstColumn="1" w:lastColumn="0" w:noHBand="0" w:noVBand="0"/>
      </w:tblPr>
      <w:tblGrid>
        <w:gridCol w:w="2248"/>
        <w:gridCol w:w="1531"/>
        <w:gridCol w:w="1531"/>
        <w:gridCol w:w="3122"/>
      </w:tblGrid>
      <w:tr w:rsidR="004B20E5" w:rsidRPr="00666093" w:rsidTr="00236D48">
        <w:trPr>
          <w:cantSplit/>
          <w:tblHeader/>
        </w:trPr>
        <w:tc>
          <w:tcPr>
            <w:tcW w:w="1333"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8" w:type="pct"/>
            <w:tcBorders>
              <w:top w:val="single" w:sz="4" w:space="0" w:color="auto"/>
              <w:bottom w:val="single" w:sz="4" w:space="0" w:color="auto"/>
            </w:tcBorders>
            <w:vAlign w:val="center"/>
          </w:tcPr>
          <w:p w:rsidR="004B20E5" w:rsidRPr="00666093" w:rsidRDefault="004B20E5" w:rsidP="00236D48">
            <w:pPr>
              <w:pStyle w:val="TableTitleBaseline2020Target"/>
            </w:pPr>
            <w:r w:rsidRPr="00666093">
              <w:t>Baseline</w:t>
            </w:r>
          </w:p>
        </w:tc>
        <w:tc>
          <w:tcPr>
            <w:tcW w:w="908" w:type="pct"/>
            <w:tcBorders>
              <w:top w:val="single" w:sz="4" w:space="0" w:color="auto"/>
              <w:bottom w:val="single" w:sz="4" w:space="0" w:color="auto"/>
            </w:tcBorders>
            <w:vAlign w:val="center"/>
          </w:tcPr>
          <w:p w:rsidR="004B20E5" w:rsidRPr="00666093" w:rsidRDefault="004B20E5" w:rsidP="00236D48">
            <w:pPr>
              <w:pStyle w:val="TableTitleBaseline2020Target"/>
            </w:pPr>
            <w:r w:rsidRPr="00666093">
              <w:t>2020 Target</w:t>
            </w:r>
          </w:p>
        </w:tc>
        <w:tc>
          <w:tcPr>
            <w:tcW w:w="1851" w:type="pct"/>
            <w:tcBorders>
              <w:top w:val="single" w:sz="4" w:space="0" w:color="auto"/>
              <w:bottom w:val="single" w:sz="4" w:space="0" w:color="auto"/>
            </w:tcBorders>
            <w:vAlign w:val="center"/>
          </w:tcPr>
          <w:p w:rsidR="004B20E5" w:rsidRPr="00666093" w:rsidRDefault="004B20E5" w:rsidP="00236D48">
            <w:pPr>
              <w:pStyle w:val="TableTitleTargetDataSource"/>
            </w:pPr>
            <w:r w:rsidRPr="00666093">
              <w:t>Data Source</w:t>
            </w:r>
          </w:p>
        </w:tc>
      </w:tr>
      <w:tr w:rsidR="004B20E5" w:rsidRPr="00666093" w:rsidTr="00236D48">
        <w:trPr>
          <w:cantSplit/>
        </w:trPr>
        <w:tc>
          <w:tcPr>
            <w:tcW w:w="1333" w:type="pct"/>
            <w:tcBorders>
              <w:top w:val="single" w:sz="4" w:space="0" w:color="auto"/>
              <w:bottom w:val="single" w:sz="4" w:space="0" w:color="auto"/>
            </w:tcBorders>
            <w:vAlign w:val="center"/>
          </w:tcPr>
          <w:p w:rsidR="004B20E5" w:rsidRPr="00666093" w:rsidRDefault="004B20E5" w:rsidP="00236D48">
            <w:pPr>
              <w:pStyle w:val="TableOutcomeMeasure"/>
            </w:pPr>
            <w:r>
              <w:t xml:space="preserve">Women who received teeth cleaning in the 12 months prior to pregnancy </w:t>
            </w:r>
          </w:p>
        </w:tc>
        <w:tc>
          <w:tcPr>
            <w:tcW w:w="908" w:type="pct"/>
            <w:tcBorders>
              <w:top w:val="single" w:sz="4" w:space="0" w:color="auto"/>
              <w:bottom w:val="single" w:sz="4" w:space="0" w:color="auto"/>
            </w:tcBorders>
            <w:vAlign w:val="center"/>
          </w:tcPr>
          <w:p w:rsidR="004B20E5" w:rsidRPr="00666093" w:rsidRDefault="004B20E5" w:rsidP="00236D48">
            <w:pPr>
              <w:pStyle w:val="TableBaseline2020Target"/>
            </w:pPr>
            <w:r>
              <w:t>68.7%</w:t>
            </w:r>
          </w:p>
        </w:tc>
        <w:tc>
          <w:tcPr>
            <w:tcW w:w="908" w:type="pct"/>
            <w:tcBorders>
              <w:top w:val="single" w:sz="4" w:space="0" w:color="auto"/>
              <w:bottom w:val="single" w:sz="4" w:space="0" w:color="auto"/>
            </w:tcBorders>
            <w:vAlign w:val="center"/>
          </w:tcPr>
          <w:p w:rsidR="004B20E5" w:rsidRPr="00666093" w:rsidRDefault="004B20E5" w:rsidP="00236D48">
            <w:pPr>
              <w:pStyle w:val="TableBaseline2020Target"/>
            </w:pPr>
            <w:r>
              <w:t>72.1%</w:t>
            </w:r>
          </w:p>
        </w:tc>
        <w:tc>
          <w:tcPr>
            <w:tcW w:w="1851" w:type="pct"/>
            <w:tcBorders>
              <w:top w:val="single" w:sz="4" w:space="0" w:color="auto"/>
              <w:bottom w:val="single" w:sz="4" w:space="0" w:color="auto"/>
            </w:tcBorders>
            <w:vAlign w:val="center"/>
          </w:tcPr>
          <w:p w:rsidR="004B20E5" w:rsidRPr="00666093" w:rsidRDefault="004B20E5" w:rsidP="00236D48">
            <w:pPr>
              <w:pStyle w:val="TableDataSource"/>
            </w:pPr>
            <w:r w:rsidRPr="00CE317D">
              <w:t>MA PRAMS Surveillance Report 2013</w:t>
            </w:r>
            <w:r>
              <w:t xml:space="preserve"> (</w:t>
            </w:r>
            <w:r w:rsidRPr="00CE317D">
              <w:t>Data for 2009/2010</w:t>
            </w:r>
            <w:r>
              <w:t>)</w:t>
            </w:r>
          </w:p>
        </w:tc>
      </w:tr>
      <w:tr w:rsidR="004B20E5" w:rsidRPr="00666093" w:rsidTr="00236D48">
        <w:trPr>
          <w:cantSplit/>
        </w:trPr>
        <w:tc>
          <w:tcPr>
            <w:tcW w:w="1333" w:type="pct"/>
            <w:tcBorders>
              <w:top w:val="single" w:sz="4" w:space="0" w:color="auto"/>
              <w:bottom w:val="single" w:sz="4" w:space="0" w:color="auto"/>
            </w:tcBorders>
            <w:vAlign w:val="center"/>
          </w:tcPr>
          <w:p w:rsidR="004B20E5" w:rsidRPr="00666093" w:rsidRDefault="004B20E5" w:rsidP="00236D48">
            <w:pPr>
              <w:pStyle w:val="TableOutcomeMeasure"/>
            </w:pPr>
            <w:r>
              <w:t xml:space="preserve">Women who received teeth cleaning during pregnancy </w:t>
            </w:r>
          </w:p>
        </w:tc>
        <w:tc>
          <w:tcPr>
            <w:tcW w:w="908" w:type="pct"/>
            <w:tcBorders>
              <w:top w:val="single" w:sz="4" w:space="0" w:color="auto"/>
              <w:bottom w:val="single" w:sz="4" w:space="0" w:color="auto"/>
            </w:tcBorders>
            <w:vAlign w:val="center"/>
          </w:tcPr>
          <w:p w:rsidR="004B20E5" w:rsidRPr="00666093" w:rsidRDefault="004B20E5" w:rsidP="00236D48">
            <w:pPr>
              <w:pStyle w:val="TableBaseline2020Target"/>
            </w:pPr>
            <w:r>
              <w:t>50.6%</w:t>
            </w:r>
          </w:p>
        </w:tc>
        <w:tc>
          <w:tcPr>
            <w:tcW w:w="908" w:type="pct"/>
            <w:tcBorders>
              <w:top w:val="single" w:sz="4" w:space="0" w:color="auto"/>
              <w:bottom w:val="single" w:sz="4" w:space="0" w:color="auto"/>
            </w:tcBorders>
            <w:vAlign w:val="center"/>
          </w:tcPr>
          <w:p w:rsidR="004B20E5" w:rsidRPr="00666093" w:rsidRDefault="004B20E5" w:rsidP="00236D48">
            <w:pPr>
              <w:pStyle w:val="TableBaseline2020Target"/>
            </w:pPr>
            <w:r>
              <w:t>53.1%</w:t>
            </w:r>
          </w:p>
        </w:tc>
        <w:tc>
          <w:tcPr>
            <w:tcW w:w="1851" w:type="pct"/>
            <w:tcBorders>
              <w:top w:val="single" w:sz="4" w:space="0" w:color="auto"/>
              <w:bottom w:val="single" w:sz="4" w:space="0" w:color="auto"/>
            </w:tcBorders>
            <w:vAlign w:val="center"/>
          </w:tcPr>
          <w:p w:rsidR="004B20E5" w:rsidRPr="00666093" w:rsidRDefault="004B20E5" w:rsidP="00236D48">
            <w:pPr>
              <w:pStyle w:val="TableDataSource"/>
            </w:pPr>
            <w:r w:rsidRPr="006236B6">
              <w:t>MA PRAMS Surveillance Report 2013</w:t>
            </w:r>
            <w:r>
              <w:t xml:space="preserve"> (</w:t>
            </w:r>
            <w:r w:rsidRPr="006236B6">
              <w:t>Data for 2009/2010</w:t>
            </w:r>
            <w:r>
              <w:t>)</w:t>
            </w:r>
          </w:p>
        </w:tc>
      </w:tr>
    </w:tbl>
    <w:p w:rsidR="004B20E5" w:rsidRDefault="004B20E5" w:rsidP="00236D48">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7"/>
        <w:gridCol w:w="6212"/>
      </w:tblGrid>
      <w:tr w:rsidR="004B20E5" w:rsidRPr="00666093" w:rsidDel="00F67FD0" w:rsidTr="00236D48">
        <w:trPr>
          <w:cantSplit/>
        </w:trPr>
        <w:tc>
          <w:tcPr>
            <w:tcW w:w="1328" w:type="pct"/>
            <w:tcBorders>
              <w:top w:val="single" w:sz="4" w:space="0" w:color="auto"/>
            </w:tcBorders>
          </w:tcPr>
          <w:p w:rsidR="004B20E5" w:rsidRPr="009171C7" w:rsidDel="00F67FD0" w:rsidRDefault="004B20E5" w:rsidP="00236D48">
            <w:pPr>
              <w:pStyle w:val="TableTitleNumeratoretc"/>
            </w:pPr>
            <w:r w:rsidRPr="00A367E5">
              <w:t>Numerator</w:t>
            </w:r>
            <w:r>
              <w:t>:</w:t>
            </w:r>
          </w:p>
        </w:tc>
        <w:tc>
          <w:tcPr>
            <w:tcW w:w="3672" w:type="pct"/>
            <w:tcBorders>
              <w:top w:val="single" w:sz="4" w:space="0" w:color="auto"/>
            </w:tcBorders>
            <w:vAlign w:val="center"/>
          </w:tcPr>
          <w:p w:rsidR="004B20E5" w:rsidRPr="00236D48" w:rsidDel="00F67FD0" w:rsidRDefault="004B20E5" w:rsidP="009170FB">
            <w:pPr>
              <w:pStyle w:val="TableOutcomeMeasure"/>
            </w:pPr>
            <w:r>
              <w:t>Number</w:t>
            </w:r>
            <w:r w:rsidRPr="00236D48">
              <w:t xml:space="preserve"> of women with a recent live birth who responded “yes” to receiving </w:t>
            </w:r>
            <w:r w:rsidR="009170FB">
              <w:t>teeth cleaning</w:t>
            </w:r>
            <w:r w:rsidR="003B48FA">
              <w:t xml:space="preserve"> </w:t>
            </w:r>
            <w:r w:rsidRPr="00236D48">
              <w:t>in the 12 months prior to pregnancy</w:t>
            </w:r>
          </w:p>
        </w:tc>
      </w:tr>
      <w:tr w:rsidR="004B20E5" w:rsidRPr="00666093" w:rsidDel="00F67FD0" w:rsidTr="00236D48">
        <w:trPr>
          <w:cantSplit/>
        </w:trPr>
        <w:tc>
          <w:tcPr>
            <w:tcW w:w="1328" w:type="pct"/>
          </w:tcPr>
          <w:p w:rsidR="004B20E5" w:rsidRPr="009171C7" w:rsidDel="00F67FD0" w:rsidRDefault="004B20E5" w:rsidP="00236D48">
            <w:pPr>
              <w:pStyle w:val="TableTitleNumeratoretc"/>
            </w:pPr>
            <w:r w:rsidRPr="00A367E5">
              <w:t>Denominator</w:t>
            </w:r>
            <w:r>
              <w:t>:</w:t>
            </w:r>
          </w:p>
        </w:tc>
        <w:tc>
          <w:tcPr>
            <w:tcW w:w="3672" w:type="pct"/>
            <w:vAlign w:val="center"/>
          </w:tcPr>
          <w:p w:rsidR="004B20E5" w:rsidRPr="00236D48" w:rsidDel="00F67FD0" w:rsidRDefault="004B20E5" w:rsidP="00236D48">
            <w:pPr>
              <w:pStyle w:val="TableOutcomeMeasure"/>
            </w:pPr>
            <w:r w:rsidRPr="00236D48">
              <w:t>Total number of women with a recent live birth</w:t>
            </w:r>
          </w:p>
        </w:tc>
      </w:tr>
      <w:tr w:rsidR="004B20E5" w:rsidRPr="00666093" w:rsidDel="00F67FD0" w:rsidTr="00236D48">
        <w:trPr>
          <w:cantSplit/>
        </w:trPr>
        <w:tc>
          <w:tcPr>
            <w:tcW w:w="1328" w:type="pct"/>
          </w:tcPr>
          <w:p w:rsidR="004B20E5" w:rsidRPr="009171C7" w:rsidDel="00F67FD0" w:rsidRDefault="004B20E5" w:rsidP="00236D48">
            <w:pPr>
              <w:pStyle w:val="TableTitleNumeratoretc"/>
            </w:pPr>
            <w:r w:rsidRPr="00A367E5">
              <w:t>Exclusions</w:t>
            </w:r>
            <w:r>
              <w:t>:</w:t>
            </w:r>
          </w:p>
        </w:tc>
        <w:tc>
          <w:tcPr>
            <w:tcW w:w="3672" w:type="pct"/>
            <w:vAlign w:val="center"/>
          </w:tcPr>
          <w:p w:rsidR="004B20E5" w:rsidRPr="00236D48" w:rsidDel="00F67FD0" w:rsidRDefault="004B20E5" w:rsidP="00236D48">
            <w:pPr>
              <w:pStyle w:val="TableOutcomeMeasure"/>
            </w:pPr>
            <w:r w:rsidRPr="00236D48">
              <w:t>Multiple births greater than 3, births to non-resident mothers, births to MA resident outside of MA</w:t>
            </w:r>
          </w:p>
        </w:tc>
      </w:tr>
      <w:tr w:rsidR="004B20E5" w:rsidRPr="00666093" w:rsidDel="00F67FD0" w:rsidTr="00236D48">
        <w:trPr>
          <w:cantSplit/>
        </w:trPr>
        <w:tc>
          <w:tcPr>
            <w:tcW w:w="1328" w:type="pct"/>
            <w:vAlign w:val="center"/>
          </w:tcPr>
          <w:p w:rsidR="004B20E5" w:rsidRPr="009171C7" w:rsidDel="00F67FD0" w:rsidRDefault="004B20E5" w:rsidP="00236D48">
            <w:pPr>
              <w:pStyle w:val="TableTitleNumeratoretc"/>
            </w:pPr>
            <w:r w:rsidRPr="00F67FD0">
              <w:t>Timeframe</w:t>
            </w:r>
            <w:r>
              <w:t>:</w:t>
            </w:r>
          </w:p>
        </w:tc>
        <w:tc>
          <w:tcPr>
            <w:tcW w:w="3672" w:type="pct"/>
            <w:vAlign w:val="center"/>
          </w:tcPr>
          <w:p w:rsidR="004B20E5" w:rsidRPr="00236D48" w:rsidDel="00F67FD0" w:rsidRDefault="004B20E5" w:rsidP="00236D48">
            <w:pPr>
              <w:pStyle w:val="TableOutcomeMeasure"/>
            </w:pPr>
            <w:r w:rsidRPr="00236D48">
              <w:t>New data every two years</w:t>
            </w:r>
          </w:p>
        </w:tc>
      </w:tr>
      <w:tr w:rsidR="004B20E5" w:rsidRPr="00666093" w:rsidDel="00F67FD0" w:rsidTr="00236D48">
        <w:trPr>
          <w:cantSplit/>
        </w:trPr>
        <w:tc>
          <w:tcPr>
            <w:tcW w:w="1328" w:type="pct"/>
            <w:tcBorders>
              <w:bottom w:val="single" w:sz="4" w:space="0" w:color="auto"/>
            </w:tcBorders>
            <w:vAlign w:val="center"/>
          </w:tcPr>
          <w:p w:rsidR="004B20E5" w:rsidRPr="009171C7" w:rsidDel="00F67FD0" w:rsidRDefault="004B20E5" w:rsidP="00236D48">
            <w:pPr>
              <w:pStyle w:val="TableTitleNumeratoretc"/>
            </w:pPr>
            <w:r w:rsidRPr="00F67FD0">
              <w:t>How will this be measured?</w:t>
            </w:r>
          </w:p>
        </w:tc>
        <w:tc>
          <w:tcPr>
            <w:tcW w:w="3672" w:type="pct"/>
            <w:tcBorders>
              <w:bottom w:val="single" w:sz="4" w:space="0" w:color="auto"/>
            </w:tcBorders>
            <w:vAlign w:val="center"/>
          </w:tcPr>
          <w:p w:rsidR="004B20E5" w:rsidRDefault="004B20E5" w:rsidP="00236D48">
            <w:pPr>
              <w:pStyle w:val="TableOutcomeMeasure"/>
            </w:pPr>
            <w:r w:rsidRPr="00236D48">
              <w:t>Review of PRAMS survey data</w:t>
            </w:r>
          </w:p>
          <w:p w:rsidR="004B20E5" w:rsidRPr="00236D48" w:rsidDel="00F67FD0" w:rsidRDefault="004B20E5" w:rsidP="00236D48">
            <w:pPr>
              <w:pStyle w:val="TableOutcomeMeasure"/>
            </w:pPr>
          </w:p>
        </w:tc>
      </w:tr>
    </w:tbl>
    <w:p w:rsidR="004B20E5" w:rsidRDefault="004B20E5" w:rsidP="00236D48">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7"/>
        <w:gridCol w:w="6212"/>
      </w:tblGrid>
      <w:tr w:rsidR="004B20E5" w:rsidRPr="00236D48" w:rsidDel="00F67FD0" w:rsidTr="00236D48">
        <w:trPr>
          <w:cantSplit/>
        </w:trPr>
        <w:tc>
          <w:tcPr>
            <w:tcW w:w="1328" w:type="pct"/>
            <w:tcBorders>
              <w:top w:val="single" w:sz="4" w:space="0" w:color="auto"/>
            </w:tcBorders>
          </w:tcPr>
          <w:p w:rsidR="004B20E5" w:rsidRPr="009171C7" w:rsidDel="00F67FD0" w:rsidRDefault="004B20E5" w:rsidP="00236D48">
            <w:pPr>
              <w:pStyle w:val="TableTitleNumeratoretc"/>
            </w:pPr>
            <w:r w:rsidRPr="00A367E5">
              <w:t>Numerator</w:t>
            </w:r>
            <w:r>
              <w:t>:</w:t>
            </w:r>
          </w:p>
        </w:tc>
        <w:tc>
          <w:tcPr>
            <w:tcW w:w="3672" w:type="pct"/>
            <w:tcBorders>
              <w:top w:val="single" w:sz="4" w:space="0" w:color="auto"/>
            </w:tcBorders>
            <w:vAlign w:val="center"/>
          </w:tcPr>
          <w:p w:rsidR="004B20E5" w:rsidRPr="00236D48" w:rsidRDefault="004B20E5" w:rsidP="009170FB">
            <w:pPr>
              <w:pStyle w:val="TableOutcomeMeasure"/>
            </w:pPr>
            <w:r>
              <w:t>Number</w:t>
            </w:r>
            <w:r w:rsidRPr="00236D48">
              <w:t xml:space="preserve"> of women with a recent live birth who responded “yes” to receiving </w:t>
            </w:r>
            <w:r w:rsidR="009170FB">
              <w:t>teeth cleaning</w:t>
            </w:r>
            <w:r w:rsidRPr="00236D48">
              <w:t xml:space="preserve"> during pregnancy</w:t>
            </w:r>
          </w:p>
        </w:tc>
      </w:tr>
      <w:tr w:rsidR="004B20E5" w:rsidRPr="00236D48" w:rsidDel="00F67FD0" w:rsidTr="00236D48">
        <w:trPr>
          <w:cantSplit/>
        </w:trPr>
        <w:tc>
          <w:tcPr>
            <w:tcW w:w="1328" w:type="pct"/>
          </w:tcPr>
          <w:p w:rsidR="004B20E5" w:rsidRPr="009171C7" w:rsidDel="00F67FD0" w:rsidRDefault="004B20E5" w:rsidP="00236D48">
            <w:pPr>
              <w:pStyle w:val="TableTitleNumeratoretc"/>
            </w:pPr>
            <w:r w:rsidRPr="00A367E5">
              <w:t>Denominator</w:t>
            </w:r>
            <w:r>
              <w:t>:</w:t>
            </w:r>
          </w:p>
        </w:tc>
        <w:tc>
          <w:tcPr>
            <w:tcW w:w="3672" w:type="pct"/>
            <w:vAlign w:val="center"/>
          </w:tcPr>
          <w:p w:rsidR="004B20E5" w:rsidRPr="00236D48" w:rsidRDefault="004B20E5" w:rsidP="00236D48">
            <w:pPr>
              <w:pStyle w:val="TableOutcomeMeasure"/>
            </w:pPr>
            <w:r w:rsidRPr="00236D48">
              <w:t>Total number of women with a recent live birth</w:t>
            </w:r>
          </w:p>
        </w:tc>
      </w:tr>
      <w:tr w:rsidR="004B20E5" w:rsidRPr="00236D48" w:rsidDel="00F67FD0" w:rsidTr="00236D48">
        <w:trPr>
          <w:cantSplit/>
        </w:trPr>
        <w:tc>
          <w:tcPr>
            <w:tcW w:w="1328" w:type="pct"/>
          </w:tcPr>
          <w:p w:rsidR="004B20E5" w:rsidRPr="009171C7" w:rsidDel="00F67FD0" w:rsidRDefault="004B20E5" w:rsidP="00236D48">
            <w:pPr>
              <w:pStyle w:val="TableTitleNumeratoretc"/>
            </w:pPr>
            <w:r w:rsidRPr="00A367E5">
              <w:t>Exclusions</w:t>
            </w:r>
            <w:r>
              <w:t>:</w:t>
            </w:r>
          </w:p>
        </w:tc>
        <w:tc>
          <w:tcPr>
            <w:tcW w:w="3672" w:type="pct"/>
            <w:vAlign w:val="center"/>
          </w:tcPr>
          <w:p w:rsidR="004B20E5" w:rsidRPr="00236D48" w:rsidRDefault="004B20E5" w:rsidP="00236D48">
            <w:pPr>
              <w:pStyle w:val="TableOutcomeMeasure"/>
            </w:pPr>
            <w:r w:rsidRPr="00236D48">
              <w:t>Multiple births greater than 3, births to non-resident mothers, births to MA resident outside of MA</w:t>
            </w:r>
          </w:p>
        </w:tc>
      </w:tr>
      <w:tr w:rsidR="004B20E5" w:rsidRPr="00236D48" w:rsidDel="00F67FD0" w:rsidTr="00236D48">
        <w:trPr>
          <w:cantSplit/>
        </w:trPr>
        <w:tc>
          <w:tcPr>
            <w:tcW w:w="1328" w:type="pct"/>
            <w:vAlign w:val="center"/>
          </w:tcPr>
          <w:p w:rsidR="004B20E5" w:rsidRPr="009171C7" w:rsidDel="00F67FD0" w:rsidRDefault="004B20E5" w:rsidP="00236D48">
            <w:pPr>
              <w:pStyle w:val="TableTitleNumeratoretc"/>
            </w:pPr>
            <w:r w:rsidRPr="00F67FD0">
              <w:t>Timeframe</w:t>
            </w:r>
            <w:r>
              <w:t>:</w:t>
            </w:r>
          </w:p>
        </w:tc>
        <w:tc>
          <w:tcPr>
            <w:tcW w:w="3672" w:type="pct"/>
            <w:vAlign w:val="center"/>
          </w:tcPr>
          <w:p w:rsidR="004B20E5" w:rsidRPr="00236D48" w:rsidRDefault="004B20E5" w:rsidP="00236D48">
            <w:pPr>
              <w:pStyle w:val="TableOutcomeMeasure"/>
            </w:pPr>
            <w:r w:rsidRPr="00236D48">
              <w:t>New data every two years</w:t>
            </w:r>
          </w:p>
        </w:tc>
      </w:tr>
      <w:tr w:rsidR="004B20E5" w:rsidRPr="00236D48" w:rsidDel="00F67FD0" w:rsidTr="00236D48">
        <w:trPr>
          <w:cantSplit/>
        </w:trPr>
        <w:tc>
          <w:tcPr>
            <w:tcW w:w="1328" w:type="pct"/>
            <w:tcBorders>
              <w:bottom w:val="single" w:sz="4" w:space="0" w:color="auto"/>
            </w:tcBorders>
            <w:vAlign w:val="center"/>
          </w:tcPr>
          <w:p w:rsidR="004B20E5" w:rsidRPr="009171C7" w:rsidDel="00F67FD0" w:rsidRDefault="004B20E5" w:rsidP="00236D48">
            <w:pPr>
              <w:pStyle w:val="TableTitleNumeratoretc"/>
            </w:pPr>
            <w:r w:rsidRPr="00F67FD0">
              <w:t>How will this be measured?</w:t>
            </w:r>
          </w:p>
        </w:tc>
        <w:tc>
          <w:tcPr>
            <w:tcW w:w="3672" w:type="pct"/>
            <w:tcBorders>
              <w:bottom w:val="single" w:sz="4" w:space="0" w:color="auto"/>
            </w:tcBorders>
            <w:vAlign w:val="center"/>
          </w:tcPr>
          <w:p w:rsidR="004B20E5" w:rsidRDefault="004B20E5" w:rsidP="00236D48">
            <w:pPr>
              <w:pStyle w:val="TableOutcomeMeasure"/>
            </w:pPr>
            <w:r w:rsidRPr="00236D48">
              <w:t>Review of PRAMS survey data</w:t>
            </w:r>
          </w:p>
          <w:p w:rsidR="004B20E5" w:rsidRPr="00236D48" w:rsidRDefault="004B20E5" w:rsidP="00236D48">
            <w:pPr>
              <w:pStyle w:val="TableOutcomeMeasure"/>
            </w:pPr>
          </w:p>
        </w:tc>
      </w:tr>
    </w:tbl>
    <w:p w:rsidR="004B20E5" w:rsidRPr="00236D48" w:rsidRDefault="004B20E5" w:rsidP="00236D48">
      <w:pPr>
        <w:pStyle w:val="Strategies"/>
      </w:pPr>
    </w:p>
    <w:p w:rsidR="004B20E5" w:rsidRDefault="004B20E5" w:rsidP="007C27A3">
      <w:pPr>
        <w:pStyle w:val="TableTenEssenHlthFunct"/>
      </w:pPr>
      <w:r>
        <w:t>Monitor Health to Identify and Solve Community Health Problems</w:t>
      </w:r>
    </w:p>
    <w:p w:rsidR="004B20E5" w:rsidRPr="006256D0" w:rsidRDefault="004B20E5" w:rsidP="00236D48">
      <w:pPr>
        <w:pStyle w:val="TableStrategiesunderHealthFunctions"/>
      </w:pPr>
      <w:r>
        <w:t>6.4.1</w:t>
      </w:r>
      <w:r>
        <w:tab/>
        <w:t xml:space="preserve">Use PRAMS data to monitor the proportion of postpartum women who received </w:t>
      </w:r>
      <w:r w:rsidR="009170FB">
        <w:t>teeth cleaning</w:t>
      </w:r>
      <w:r>
        <w:t>s before and/or during pregnancy.</w:t>
      </w:r>
    </w:p>
    <w:p w:rsidR="004B20E5" w:rsidRDefault="004B20E5" w:rsidP="007C27A3">
      <w:pPr>
        <w:pStyle w:val="TableTenEssenHlthFunct"/>
      </w:pPr>
      <w:r>
        <w:t>Diagnose and Investigate Health Problems and Hazards in the Community</w:t>
      </w:r>
    </w:p>
    <w:p w:rsidR="004B20E5" w:rsidRPr="006256D0" w:rsidRDefault="004B20E5" w:rsidP="00236D48">
      <w:pPr>
        <w:pStyle w:val="TableStrategiesunderHealthFunctions"/>
      </w:pPr>
      <w:r>
        <w:t>6.4.2</w:t>
      </w:r>
      <w:r>
        <w:tab/>
        <w:t>Review claims data for evidence of non-utilizers of oral health prevention services.</w:t>
      </w:r>
    </w:p>
    <w:p w:rsidR="004B20E5" w:rsidRDefault="004B20E5" w:rsidP="007C27A3">
      <w:pPr>
        <w:pStyle w:val="TableTenEssenHlthFunct"/>
      </w:pPr>
      <w:r>
        <w:t xml:space="preserve">Inform, Educate, and Empower People About Health Issues </w:t>
      </w:r>
    </w:p>
    <w:p w:rsidR="004B20E5" w:rsidRPr="006256D0" w:rsidRDefault="004B20E5" w:rsidP="00236D48">
      <w:pPr>
        <w:pStyle w:val="TableStrategiesunderHealthFunctions"/>
      </w:pPr>
      <w:r>
        <w:t>6.4.3</w:t>
      </w:r>
      <w:r>
        <w:tab/>
        <w:t>Provide SEAL programs in schools and meet with nurse leaders to promote program regarding dental caries and prevention.</w:t>
      </w:r>
    </w:p>
    <w:p w:rsidR="004B20E5" w:rsidRDefault="004B20E5" w:rsidP="007C27A3">
      <w:pPr>
        <w:pStyle w:val="TableTenEssenHlthFunct"/>
      </w:pPr>
      <w:r>
        <w:t>Mobilize Community Partnerships to Identify and Solve Health Problems</w:t>
      </w:r>
    </w:p>
    <w:p w:rsidR="004B20E5" w:rsidRPr="006256D0" w:rsidRDefault="004B20E5" w:rsidP="00236D48">
      <w:pPr>
        <w:pStyle w:val="TableStrategiesunderHealthFunctions"/>
      </w:pPr>
      <w:r>
        <w:t>6.4.4</w:t>
      </w:r>
      <w:r>
        <w:tab/>
        <w:t xml:space="preserve">Work with </w:t>
      </w:r>
      <w:r w:rsidR="00C03198">
        <w:t>c</w:t>
      </w:r>
      <w:r>
        <w:t>ommunity health centers to promote referral to oral health and linkage of medical and dental treatment.</w:t>
      </w:r>
    </w:p>
    <w:p w:rsidR="004B20E5" w:rsidRDefault="004B20E5" w:rsidP="007C27A3">
      <w:pPr>
        <w:pStyle w:val="TableTenEssenHlthFunct"/>
      </w:pPr>
      <w:r>
        <w:t xml:space="preserve">Develop Policies and Plans That Support Individual and Community Health Efforts </w:t>
      </w:r>
    </w:p>
    <w:p w:rsidR="004B20E5" w:rsidRPr="00986625" w:rsidRDefault="004B20E5" w:rsidP="00236D48">
      <w:pPr>
        <w:pStyle w:val="TableStrategiesunderHealthFunctions"/>
      </w:pPr>
      <w:r>
        <w:t>6.4.5</w:t>
      </w:r>
      <w:r>
        <w:tab/>
      </w:r>
      <w:r w:rsidRPr="00986625">
        <w:t>Develop evidence-based oral health guidelines for prenatal</w:t>
      </w:r>
      <w:r>
        <w:t>, pediatric,</w:t>
      </w:r>
      <w:r w:rsidRPr="00986625">
        <w:t xml:space="preserve"> and dental providers. </w:t>
      </w:r>
    </w:p>
    <w:p w:rsidR="004B20E5" w:rsidRPr="00986625" w:rsidRDefault="004B20E5" w:rsidP="00236D48">
      <w:pPr>
        <w:pStyle w:val="TableStrategiesunderHealthFunctions"/>
      </w:pPr>
      <w:r>
        <w:t>6.4.6</w:t>
      </w:r>
      <w:r>
        <w:tab/>
      </w:r>
      <w:r w:rsidRPr="00986625">
        <w:t xml:space="preserve">Implement Perinatal Care Recommendations issued by the Massachusetts Health </w:t>
      </w:r>
      <w:r w:rsidR="00C03198">
        <w:t xml:space="preserve">Quality </w:t>
      </w:r>
      <w:r w:rsidRPr="00986625">
        <w:t>Partners (MHQP) which include oral health assessment and or referral in th</w:t>
      </w:r>
      <w:r>
        <w:t>e first 6-12 weeks of pregnancy.</w:t>
      </w:r>
    </w:p>
    <w:p w:rsidR="004B20E5" w:rsidRPr="00986625" w:rsidRDefault="004B20E5" w:rsidP="00236D48">
      <w:pPr>
        <w:pStyle w:val="TableStrategiesunderHealthFunctions"/>
      </w:pPr>
      <w:r>
        <w:t>6.4.7</w:t>
      </w:r>
      <w:r>
        <w:tab/>
      </w:r>
      <w:r w:rsidRPr="00986625">
        <w:t>Integrate oral health into primary care practice</w:t>
      </w:r>
      <w:r>
        <w:t>.</w:t>
      </w:r>
    </w:p>
    <w:p w:rsidR="004B20E5" w:rsidRPr="006256D0" w:rsidRDefault="004B20E5" w:rsidP="00236D48">
      <w:pPr>
        <w:pStyle w:val="TableStrategiesunderHealthFunctions"/>
      </w:pPr>
      <w:r>
        <w:t>6.4.8</w:t>
      </w:r>
      <w:r>
        <w:tab/>
      </w:r>
      <w:r w:rsidRPr="00986625">
        <w:t>Establish provider performance incentives for adequate oral h</w:t>
      </w:r>
      <w:r>
        <w:t>ealth screenings and referrals.</w:t>
      </w:r>
    </w:p>
    <w:p w:rsidR="004B20E5" w:rsidRDefault="004B20E5" w:rsidP="007C27A3">
      <w:pPr>
        <w:pStyle w:val="TableTenEssenHlthFunct"/>
      </w:pPr>
      <w:r>
        <w:t>Link People to Needed Personal Health Services and Health Care</w:t>
      </w:r>
    </w:p>
    <w:p w:rsidR="004B20E5" w:rsidRPr="006256D0" w:rsidRDefault="004B20E5" w:rsidP="00236D48">
      <w:pPr>
        <w:pStyle w:val="TableStrategiesunderHealthFunctions"/>
      </w:pPr>
      <w:r>
        <w:t>6.4.9</w:t>
      </w:r>
      <w:r>
        <w:tab/>
      </w:r>
      <w:r w:rsidR="00C03198">
        <w:t xml:space="preserve">Support </w:t>
      </w:r>
      <w:r w:rsidRPr="00986625">
        <w:t>access to and coverage for dental services among the Medicaid population</w:t>
      </w:r>
      <w:r>
        <w:t>.</w:t>
      </w:r>
    </w:p>
    <w:p w:rsidR="004B20E5" w:rsidRDefault="004B20E5" w:rsidP="007C27A3">
      <w:pPr>
        <w:pStyle w:val="TableTenEssenHlthFunct"/>
      </w:pPr>
      <w:r>
        <w:t>Assure a Competent Public and Personal Healthcare Workforce</w:t>
      </w:r>
    </w:p>
    <w:p w:rsidR="004B20E5" w:rsidRDefault="004B20E5" w:rsidP="00236D48">
      <w:pPr>
        <w:pStyle w:val="TableStrategiesunderHealthFunctions"/>
      </w:pPr>
      <w:r>
        <w:t>6.4.10</w:t>
      </w:r>
      <w:r>
        <w:tab/>
      </w:r>
      <w:r w:rsidRPr="00986625">
        <w:t>Promote and integrate oral health curriculums into medical sch</w:t>
      </w:r>
      <w:r>
        <w:t>ools and OB residency programs.</w:t>
      </w:r>
    </w:p>
    <w:p w:rsidR="004B20E5" w:rsidRPr="00986625" w:rsidRDefault="004B20E5" w:rsidP="00236D48">
      <w:pPr>
        <w:pStyle w:val="TableStrategiesunderHealthFunctions"/>
      </w:pPr>
      <w:r>
        <w:t>6.4.11</w:t>
      </w:r>
      <w:r>
        <w:tab/>
        <w:t>Use loan repayment and training incentives to improve access to oral health providers.</w:t>
      </w:r>
    </w:p>
    <w:p w:rsidR="004B20E5" w:rsidRDefault="004B20E5" w:rsidP="00876533">
      <w:pPr>
        <w:pStyle w:val="BodyText"/>
      </w:pPr>
      <w:r>
        <w:br w:type="page"/>
      </w:r>
    </w:p>
    <w:p w:rsidR="004B20E5" w:rsidRDefault="004B20E5" w:rsidP="00CB2B0E">
      <w:pPr>
        <w:pStyle w:val="StandardStatement"/>
      </w:pPr>
      <w:r>
        <w:t>Standard 6C:</w:t>
      </w:r>
      <w:r>
        <w:tab/>
        <w:t>Ensure positive early childhood health and development.</w:t>
      </w:r>
    </w:p>
    <w:p w:rsidR="004B20E5" w:rsidRDefault="004B20E5" w:rsidP="00773D22">
      <w:pPr>
        <w:pStyle w:val="BodyText"/>
      </w:pPr>
    </w:p>
    <w:p w:rsidR="004B20E5" w:rsidRDefault="004B20E5" w:rsidP="00CB2B0E">
      <w:pPr>
        <w:pStyle w:val="ObjectiveStatement"/>
      </w:pPr>
      <w:r>
        <w:t xml:space="preserve">Measure </w:t>
      </w:r>
      <w:r w:rsidRPr="00986625">
        <w:t>6.</w:t>
      </w:r>
      <w:r>
        <w:t>5:</w:t>
      </w:r>
      <w:r>
        <w:tab/>
      </w:r>
      <w:r w:rsidRPr="00986625">
        <w:t xml:space="preserve">Increase the </w:t>
      </w:r>
      <w:r>
        <w:t xml:space="preserve">relative percentage </w:t>
      </w:r>
      <w:r w:rsidRPr="00986625">
        <w:t xml:space="preserve">of children and adolescents </w:t>
      </w:r>
      <w:r>
        <w:t>who have a</w:t>
      </w:r>
      <w:r w:rsidR="00C03198">
        <w:t xml:space="preserve"> m</w:t>
      </w:r>
      <w:r>
        <w:t xml:space="preserve">edical </w:t>
      </w:r>
      <w:r w:rsidR="00C03198">
        <w:t>h</w:t>
      </w:r>
      <w:r>
        <w:t>ome by 10%, especially children and youth with special health care needs.</w:t>
      </w:r>
    </w:p>
    <w:tbl>
      <w:tblPr>
        <w:tblW w:w="4095" w:type="pct"/>
        <w:tblInd w:w="1755" w:type="dxa"/>
        <w:tblLayout w:type="fixed"/>
        <w:tblLook w:val="00A0" w:firstRow="1" w:lastRow="0" w:firstColumn="1" w:lastColumn="0" w:noHBand="0" w:noVBand="0"/>
      </w:tblPr>
      <w:tblGrid>
        <w:gridCol w:w="2250"/>
        <w:gridCol w:w="1531"/>
        <w:gridCol w:w="1531"/>
        <w:gridCol w:w="3120"/>
      </w:tblGrid>
      <w:tr w:rsidR="004B20E5" w:rsidRPr="00666093" w:rsidTr="00B01EE2">
        <w:trPr>
          <w:cantSplit/>
        </w:trPr>
        <w:tc>
          <w:tcPr>
            <w:tcW w:w="1334"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8" w:type="pct"/>
            <w:tcBorders>
              <w:top w:val="single" w:sz="4" w:space="0" w:color="auto"/>
              <w:bottom w:val="single" w:sz="4" w:space="0" w:color="auto"/>
            </w:tcBorders>
            <w:vAlign w:val="center"/>
          </w:tcPr>
          <w:p w:rsidR="004B20E5" w:rsidRPr="00666093" w:rsidRDefault="004B20E5" w:rsidP="00533BB5">
            <w:pPr>
              <w:pStyle w:val="TableTitleBaseline2020Target"/>
            </w:pPr>
            <w:r w:rsidRPr="00666093">
              <w:t>Baseline</w:t>
            </w:r>
          </w:p>
        </w:tc>
        <w:tc>
          <w:tcPr>
            <w:tcW w:w="908" w:type="pct"/>
            <w:tcBorders>
              <w:top w:val="single" w:sz="4" w:space="0" w:color="auto"/>
              <w:bottom w:val="single" w:sz="4" w:space="0" w:color="auto"/>
            </w:tcBorders>
            <w:vAlign w:val="center"/>
          </w:tcPr>
          <w:p w:rsidR="004B20E5" w:rsidRPr="00666093" w:rsidRDefault="004B20E5" w:rsidP="00533BB5">
            <w:pPr>
              <w:pStyle w:val="TableTitleBaseline2020Target"/>
            </w:pPr>
            <w:r w:rsidRPr="00666093">
              <w:t>2020 Target</w:t>
            </w:r>
          </w:p>
        </w:tc>
        <w:tc>
          <w:tcPr>
            <w:tcW w:w="1850" w:type="pct"/>
            <w:tcBorders>
              <w:top w:val="single" w:sz="4" w:space="0" w:color="auto"/>
              <w:bottom w:val="single" w:sz="4" w:space="0" w:color="auto"/>
            </w:tcBorders>
            <w:vAlign w:val="center"/>
          </w:tcPr>
          <w:p w:rsidR="004B20E5" w:rsidRPr="00666093" w:rsidRDefault="004B20E5" w:rsidP="00533BB5">
            <w:pPr>
              <w:pStyle w:val="TableTitleTargetDataSource"/>
            </w:pPr>
            <w:r w:rsidRPr="00666093">
              <w:t>Data Source</w:t>
            </w:r>
          </w:p>
        </w:tc>
      </w:tr>
      <w:tr w:rsidR="004B20E5" w:rsidRPr="00666093" w:rsidTr="00B01EE2">
        <w:trPr>
          <w:cantSplit/>
        </w:trPr>
        <w:tc>
          <w:tcPr>
            <w:tcW w:w="1334" w:type="pct"/>
            <w:tcBorders>
              <w:top w:val="single" w:sz="4" w:space="0" w:color="auto"/>
              <w:bottom w:val="single" w:sz="4" w:space="0" w:color="auto"/>
            </w:tcBorders>
            <w:vAlign w:val="center"/>
          </w:tcPr>
          <w:p w:rsidR="004B20E5" w:rsidRPr="00666093" w:rsidRDefault="004B20E5" w:rsidP="00B01EE2">
            <w:pPr>
              <w:pStyle w:val="TableOutcomeMeasure"/>
            </w:pPr>
            <w:r w:rsidRPr="00666093">
              <w:t xml:space="preserve">Children </w:t>
            </w:r>
            <w:r>
              <w:t>&amp; youth aged 0 – 17</w:t>
            </w:r>
          </w:p>
        </w:tc>
        <w:tc>
          <w:tcPr>
            <w:tcW w:w="908" w:type="pct"/>
            <w:tcBorders>
              <w:top w:val="single" w:sz="4" w:space="0" w:color="auto"/>
              <w:bottom w:val="single" w:sz="4" w:space="0" w:color="auto"/>
            </w:tcBorders>
            <w:vAlign w:val="center"/>
          </w:tcPr>
          <w:p w:rsidR="004B20E5" w:rsidRPr="00FC68FA" w:rsidRDefault="004B20E5" w:rsidP="00B01EE2">
            <w:pPr>
              <w:pStyle w:val="TableBaseline2020Target"/>
            </w:pPr>
            <w:r w:rsidRPr="00FC68FA">
              <w:t>62.7%</w:t>
            </w:r>
          </w:p>
        </w:tc>
        <w:tc>
          <w:tcPr>
            <w:tcW w:w="908" w:type="pct"/>
            <w:tcBorders>
              <w:top w:val="single" w:sz="4" w:space="0" w:color="auto"/>
              <w:bottom w:val="single" w:sz="4" w:space="0" w:color="auto"/>
            </w:tcBorders>
            <w:vAlign w:val="center"/>
          </w:tcPr>
          <w:p w:rsidR="004B20E5" w:rsidRPr="00FC68FA" w:rsidRDefault="004B20E5" w:rsidP="00B01EE2">
            <w:pPr>
              <w:pStyle w:val="TableBaseline2020Target"/>
            </w:pPr>
            <w:r>
              <w:t>69.0</w:t>
            </w:r>
            <w:r w:rsidRPr="00FC68FA">
              <w:t>%</w:t>
            </w:r>
          </w:p>
        </w:tc>
        <w:tc>
          <w:tcPr>
            <w:tcW w:w="1850" w:type="pct"/>
            <w:tcBorders>
              <w:top w:val="single" w:sz="4" w:space="0" w:color="auto"/>
              <w:bottom w:val="single" w:sz="4" w:space="0" w:color="auto"/>
            </w:tcBorders>
            <w:vAlign w:val="center"/>
          </w:tcPr>
          <w:p w:rsidR="004B20E5" w:rsidRPr="00FC68FA" w:rsidRDefault="004B20E5" w:rsidP="00B01EE2">
            <w:pPr>
              <w:pStyle w:val="TableDataSource"/>
            </w:pPr>
            <w:r w:rsidRPr="00FC68FA">
              <w:t>National Survey of Children’s Health (NSCH) / 2011</w:t>
            </w:r>
            <w:r>
              <w:t>/2012</w:t>
            </w:r>
          </w:p>
        </w:tc>
      </w:tr>
      <w:tr w:rsidR="004B20E5" w:rsidRPr="00666093" w:rsidTr="00B01EE2">
        <w:trPr>
          <w:cantSplit/>
        </w:trPr>
        <w:tc>
          <w:tcPr>
            <w:tcW w:w="1334" w:type="pct"/>
            <w:tcBorders>
              <w:top w:val="single" w:sz="4" w:space="0" w:color="auto"/>
              <w:bottom w:val="single" w:sz="4" w:space="0" w:color="auto"/>
            </w:tcBorders>
            <w:vAlign w:val="center"/>
          </w:tcPr>
          <w:p w:rsidR="004B20E5" w:rsidRPr="00666093" w:rsidRDefault="004B20E5" w:rsidP="00B01EE2">
            <w:pPr>
              <w:pStyle w:val="TableOutcomeMeasure"/>
            </w:pPr>
            <w:r>
              <w:t>Children &amp; youth with special health care needs</w:t>
            </w:r>
          </w:p>
        </w:tc>
        <w:tc>
          <w:tcPr>
            <w:tcW w:w="908" w:type="pct"/>
            <w:tcBorders>
              <w:top w:val="single" w:sz="4" w:space="0" w:color="auto"/>
              <w:bottom w:val="single" w:sz="4" w:space="0" w:color="auto"/>
            </w:tcBorders>
            <w:vAlign w:val="center"/>
          </w:tcPr>
          <w:p w:rsidR="004B20E5" w:rsidRPr="00FC68FA" w:rsidRDefault="004B20E5" w:rsidP="00B01EE2">
            <w:pPr>
              <w:pStyle w:val="TableBaseline2020Target"/>
            </w:pPr>
            <w:r w:rsidRPr="00FC68FA">
              <w:t>49.2%</w:t>
            </w:r>
          </w:p>
        </w:tc>
        <w:tc>
          <w:tcPr>
            <w:tcW w:w="908" w:type="pct"/>
            <w:tcBorders>
              <w:top w:val="single" w:sz="4" w:space="0" w:color="auto"/>
              <w:bottom w:val="single" w:sz="4" w:space="0" w:color="auto"/>
            </w:tcBorders>
            <w:vAlign w:val="center"/>
          </w:tcPr>
          <w:p w:rsidR="004B20E5" w:rsidRPr="00FC68FA" w:rsidRDefault="004B20E5" w:rsidP="00B01EE2">
            <w:pPr>
              <w:pStyle w:val="TableBaseline2020Target"/>
            </w:pPr>
            <w:r>
              <w:t>54.1</w:t>
            </w:r>
            <w:r w:rsidRPr="00FC68FA">
              <w:t>%</w:t>
            </w:r>
          </w:p>
        </w:tc>
        <w:tc>
          <w:tcPr>
            <w:tcW w:w="1850" w:type="pct"/>
            <w:tcBorders>
              <w:top w:val="single" w:sz="4" w:space="0" w:color="auto"/>
              <w:bottom w:val="single" w:sz="4" w:space="0" w:color="auto"/>
            </w:tcBorders>
            <w:vAlign w:val="center"/>
          </w:tcPr>
          <w:p w:rsidR="004B20E5" w:rsidRPr="00FC68FA" w:rsidRDefault="004B20E5" w:rsidP="00B01EE2">
            <w:pPr>
              <w:pStyle w:val="TableDataSource"/>
            </w:pPr>
            <w:r>
              <w:rPr>
                <w:rFonts w:ascii="Calibri" w:hAnsi="Calibri"/>
                <w:sz w:val="22"/>
              </w:rPr>
              <w:t>National Survey of Children’s Health (NSCH).(2011/12)</w:t>
            </w: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7"/>
        <w:gridCol w:w="6212"/>
      </w:tblGrid>
      <w:tr w:rsidR="004B20E5" w:rsidRPr="00666093" w:rsidDel="00F67FD0" w:rsidTr="00B01EE2">
        <w:trPr>
          <w:cantSplit/>
        </w:trPr>
        <w:tc>
          <w:tcPr>
            <w:tcW w:w="1328" w:type="pct"/>
            <w:tcBorders>
              <w:top w:val="single" w:sz="4" w:space="0" w:color="auto"/>
            </w:tcBorders>
          </w:tcPr>
          <w:p w:rsidR="004B20E5" w:rsidRPr="009171C7" w:rsidDel="00F67FD0" w:rsidRDefault="004B20E5" w:rsidP="00B01EE2">
            <w:pPr>
              <w:pStyle w:val="TableTitleNumeratoretc"/>
            </w:pPr>
            <w:r w:rsidRPr="00A367E5">
              <w:t>Numerator</w:t>
            </w:r>
            <w:r>
              <w:t>:</w:t>
            </w:r>
          </w:p>
        </w:tc>
        <w:tc>
          <w:tcPr>
            <w:tcW w:w="3672" w:type="pct"/>
            <w:tcBorders>
              <w:top w:val="single" w:sz="4" w:space="0" w:color="auto"/>
            </w:tcBorders>
            <w:vAlign w:val="center"/>
          </w:tcPr>
          <w:p w:rsidR="004B20E5" w:rsidRPr="00B01EE2" w:rsidDel="00F67FD0" w:rsidRDefault="004B20E5" w:rsidP="00B01EE2">
            <w:pPr>
              <w:pStyle w:val="TableOutcomeMeasure"/>
            </w:pPr>
            <w:r w:rsidRPr="00B01EE2">
              <w:t>Children whose health care meets medical home criteria</w:t>
            </w:r>
            <w:r>
              <w:t>.</w:t>
            </w:r>
          </w:p>
        </w:tc>
      </w:tr>
      <w:tr w:rsidR="004B20E5" w:rsidRPr="00666093" w:rsidDel="00F67FD0" w:rsidTr="00B01EE2">
        <w:trPr>
          <w:cantSplit/>
        </w:trPr>
        <w:tc>
          <w:tcPr>
            <w:tcW w:w="1328" w:type="pct"/>
          </w:tcPr>
          <w:p w:rsidR="004B20E5" w:rsidRPr="009171C7" w:rsidDel="00F67FD0" w:rsidRDefault="004B20E5" w:rsidP="00B01EE2">
            <w:pPr>
              <w:pStyle w:val="TableTitleNumeratoretc"/>
            </w:pPr>
            <w:r w:rsidRPr="00A367E5">
              <w:t>Denominator</w:t>
            </w:r>
            <w:r>
              <w:t>:</w:t>
            </w:r>
          </w:p>
        </w:tc>
        <w:tc>
          <w:tcPr>
            <w:tcW w:w="3672" w:type="pct"/>
            <w:vAlign w:val="center"/>
          </w:tcPr>
          <w:p w:rsidR="004B20E5" w:rsidRPr="00B01EE2" w:rsidDel="00F67FD0" w:rsidRDefault="004B20E5" w:rsidP="00B01EE2">
            <w:pPr>
              <w:pStyle w:val="TableOutcomeMeasure"/>
            </w:pPr>
            <w:r w:rsidRPr="00B01EE2">
              <w:t>Children aged 0-17 years</w:t>
            </w:r>
          </w:p>
        </w:tc>
      </w:tr>
      <w:tr w:rsidR="004B20E5" w:rsidRPr="00666093" w:rsidDel="00F67FD0" w:rsidTr="00B01EE2">
        <w:trPr>
          <w:cantSplit/>
        </w:trPr>
        <w:tc>
          <w:tcPr>
            <w:tcW w:w="1328" w:type="pct"/>
          </w:tcPr>
          <w:p w:rsidR="004B20E5" w:rsidRPr="009171C7" w:rsidDel="00F67FD0" w:rsidRDefault="004B20E5" w:rsidP="00B01EE2">
            <w:pPr>
              <w:pStyle w:val="TableTitleNumeratoretc"/>
            </w:pPr>
            <w:r w:rsidRPr="00A367E5">
              <w:t>Exclusions</w:t>
            </w:r>
            <w:r>
              <w:t>:</w:t>
            </w:r>
          </w:p>
        </w:tc>
        <w:tc>
          <w:tcPr>
            <w:tcW w:w="3672" w:type="pct"/>
            <w:vAlign w:val="center"/>
          </w:tcPr>
          <w:p w:rsidR="004B20E5" w:rsidRPr="00B01EE2" w:rsidDel="00F67FD0" w:rsidRDefault="004B20E5" w:rsidP="00B01EE2">
            <w:pPr>
              <w:pStyle w:val="TableOutcomeMeasure"/>
            </w:pPr>
            <w:r w:rsidRPr="00B01EE2">
              <w:t>Unknown values (responses coded as 'refused', 'don't know', or system missing)</w:t>
            </w:r>
          </w:p>
        </w:tc>
      </w:tr>
      <w:tr w:rsidR="004B20E5" w:rsidRPr="00666093" w:rsidDel="00F67FD0" w:rsidTr="00B01EE2">
        <w:trPr>
          <w:cantSplit/>
        </w:trPr>
        <w:tc>
          <w:tcPr>
            <w:tcW w:w="1328" w:type="pct"/>
            <w:vAlign w:val="center"/>
          </w:tcPr>
          <w:p w:rsidR="004B20E5" w:rsidRPr="009171C7" w:rsidDel="00F67FD0" w:rsidRDefault="004B20E5" w:rsidP="00B01EE2">
            <w:pPr>
              <w:pStyle w:val="TableTitleNumeratoretc"/>
            </w:pPr>
            <w:r w:rsidRPr="00F67FD0">
              <w:t>Timeframe</w:t>
            </w:r>
            <w:r>
              <w:t>:</w:t>
            </w:r>
          </w:p>
        </w:tc>
        <w:tc>
          <w:tcPr>
            <w:tcW w:w="3672" w:type="pct"/>
            <w:vAlign w:val="center"/>
          </w:tcPr>
          <w:p w:rsidR="004B20E5" w:rsidRPr="00B01EE2" w:rsidDel="00F67FD0" w:rsidRDefault="004B20E5" w:rsidP="00B01EE2">
            <w:pPr>
              <w:pStyle w:val="TableOutcomeMeasure"/>
            </w:pPr>
            <w:r w:rsidRPr="00B01EE2">
              <w:t>Likely bi-annual - Dependent on federal decisions about survey administration</w:t>
            </w:r>
          </w:p>
        </w:tc>
      </w:tr>
      <w:tr w:rsidR="004B20E5" w:rsidRPr="00666093" w:rsidDel="00F67FD0" w:rsidTr="00850B92">
        <w:trPr>
          <w:cantSplit/>
        </w:trPr>
        <w:tc>
          <w:tcPr>
            <w:tcW w:w="1328" w:type="pct"/>
            <w:tcBorders>
              <w:bottom w:val="single" w:sz="4" w:space="0" w:color="auto"/>
            </w:tcBorders>
          </w:tcPr>
          <w:p w:rsidR="004B20E5" w:rsidRPr="009171C7" w:rsidDel="00F67FD0" w:rsidRDefault="004B20E5" w:rsidP="00876533">
            <w:pPr>
              <w:pStyle w:val="TableTitleNumeratoretc"/>
              <w:keepNext w:val="0"/>
            </w:pPr>
            <w:r w:rsidRPr="00F67FD0">
              <w:t>How will this be measured?</w:t>
            </w:r>
          </w:p>
        </w:tc>
        <w:tc>
          <w:tcPr>
            <w:tcW w:w="3672" w:type="pct"/>
            <w:tcBorders>
              <w:bottom w:val="single" w:sz="4" w:space="0" w:color="auto"/>
            </w:tcBorders>
            <w:vAlign w:val="center"/>
          </w:tcPr>
          <w:p w:rsidR="004B20E5" w:rsidRPr="00B01EE2" w:rsidDel="00F67FD0" w:rsidRDefault="004B20E5" w:rsidP="00C03198">
            <w:pPr>
              <w:pStyle w:val="TableOutcomeMeasure"/>
            </w:pPr>
            <w:r w:rsidRPr="00B01EE2">
              <w:t xml:space="preserve">The American Academy of Pediatrics' (AAP) description of a "medical home” lists seven defining components: accessible, continuous, comprehensive, family-centered, coordinated, compassionate and culturally effective. Ideally, these seven components are delivered by </w:t>
            </w:r>
            <w:r w:rsidR="00C03198">
              <w:t xml:space="preserve">a </w:t>
            </w:r>
            <w:r w:rsidRPr="00B01EE2">
              <w:t xml:space="preserve">doctor or other health professional who knows the child well. Presence of a medical home is measured in NSCH by a composite based on five component variables constructed from a total of 19 survey items. These component indicators are: personal doctor or nurse; usual source for sick and well care; family-centered care; problems getting needed referrals; effective Care Coordination when needed. To qualify as having a </w:t>
            </w:r>
            <w:r w:rsidR="00C03198">
              <w:t>m</w:t>
            </w:r>
            <w:r w:rsidRPr="00B01EE2">
              <w:t xml:space="preserve">edical </w:t>
            </w:r>
            <w:r w:rsidR="00C03198">
              <w:t>h</w:t>
            </w:r>
            <w:r w:rsidRPr="00B01EE2">
              <w:t>ome children must meet the criteria for adequate care on the first three components: personal doctor or nurse, usual source for care, and family-centered care. Any children who needed referrals or care coordination must also meet criteria for those components in order to qualify as having a medical home.</w:t>
            </w: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7"/>
        <w:gridCol w:w="6212"/>
      </w:tblGrid>
      <w:tr w:rsidR="004B20E5" w:rsidRPr="00B01EE2" w:rsidDel="00F67FD0" w:rsidTr="00B01EE2">
        <w:trPr>
          <w:cantSplit/>
        </w:trPr>
        <w:tc>
          <w:tcPr>
            <w:tcW w:w="1328" w:type="pct"/>
            <w:tcBorders>
              <w:top w:val="single" w:sz="4" w:space="0" w:color="auto"/>
            </w:tcBorders>
          </w:tcPr>
          <w:p w:rsidR="004B20E5" w:rsidRPr="009171C7" w:rsidDel="00F67FD0" w:rsidRDefault="004B20E5" w:rsidP="00B01EE2">
            <w:pPr>
              <w:pStyle w:val="TableTitleNumeratoretc"/>
            </w:pPr>
            <w:r w:rsidRPr="00A367E5">
              <w:t>Numerator</w:t>
            </w:r>
            <w:r>
              <w:t>:</w:t>
            </w:r>
          </w:p>
        </w:tc>
        <w:tc>
          <w:tcPr>
            <w:tcW w:w="3672" w:type="pct"/>
            <w:tcBorders>
              <w:top w:val="single" w:sz="4" w:space="0" w:color="auto"/>
            </w:tcBorders>
            <w:vAlign w:val="center"/>
          </w:tcPr>
          <w:p w:rsidR="004B20E5" w:rsidRPr="00B01EE2" w:rsidRDefault="004B20E5" w:rsidP="00B01EE2">
            <w:pPr>
              <w:pStyle w:val="TableOutcomeMeasure"/>
            </w:pPr>
            <w:r w:rsidRPr="00B01EE2">
              <w:t>CYSHN whose health care meets medical home criteria</w:t>
            </w:r>
          </w:p>
        </w:tc>
      </w:tr>
      <w:tr w:rsidR="004B20E5" w:rsidRPr="00B01EE2" w:rsidDel="00F67FD0" w:rsidTr="00B01EE2">
        <w:trPr>
          <w:cantSplit/>
        </w:trPr>
        <w:tc>
          <w:tcPr>
            <w:tcW w:w="1328" w:type="pct"/>
          </w:tcPr>
          <w:p w:rsidR="004B20E5" w:rsidRPr="009171C7" w:rsidDel="00F67FD0" w:rsidRDefault="004B20E5" w:rsidP="00B01EE2">
            <w:pPr>
              <w:pStyle w:val="TableTitleNumeratoretc"/>
            </w:pPr>
            <w:r w:rsidRPr="00A367E5">
              <w:t>Denominator</w:t>
            </w:r>
            <w:r>
              <w:t>:</w:t>
            </w:r>
          </w:p>
        </w:tc>
        <w:tc>
          <w:tcPr>
            <w:tcW w:w="3672" w:type="pct"/>
            <w:vAlign w:val="center"/>
          </w:tcPr>
          <w:p w:rsidR="004B20E5" w:rsidRPr="00B01EE2" w:rsidRDefault="004B20E5" w:rsidP="00B01EE2">
            <w:pPr>
              <w:pStyle w:val="TableOutcomeMeasure"/>
            </w:pPr>
            <w:r w:rsidRPr="00B01EE2">
              <w:t>Children and youth with special health needs aged 0-17 years</w:t>
            </w:r>
          </w:p>
        </w:tc>
      </w:tr>
      <w:tr w:rsidR="004B20E5" w:rsidRPr="00B01EE2" w:rsidDel="00F67FD0" w:rsidTr="00B01EE2">
        <w:trPr>
          <w:cantSplit/>
        </w:trPr>
        <w:tc>
          <w:tcPr>
            <w:tcW w:w="1328" w:type="pct"/>
          </w:tcPr>
          <w:p w:rsidR="004B20E5" w:rsidRPr="009171C7" w:rsidDel="00F67FD0" w:rsidRDefault="004B20E5" w:rsidP="00B01EE2">
            <w:pPr>
              <w:pStyle w:val="TableTitleNumeratoretc"/>
            </w:pPr>
            <w:r w:rsidRPr="00A367E5">
              <w:t>Exclusions</w:t>
            </w:r>
            <w:r>
              <w:t>:</w:t>
            </w:r>
          </w:p>
        </w:tc>
        <w:tc>
          <w:tcPr>
            <w:tcW w:w="3672" w:type="pct"/>
            <w:vAlign w:val="center"/>
          </w:tcPr>
          <w:p w:rsidR="004B20E5" w:rsidRPr="00B01EE2" w:rsidRDefault="004B20E5" w:rsidP="00B01EE2">
            <w:pPr>
              <w:pStyle w:val="TableOutcomeMeasure"/>
            </w:pPr>
            <w:r w:rsidRPr="00B01EE2">
              <w:t>Unknown values (responses coded as 'refused', 'don't know', or system missing)</w:t>
            </w:r>
          </w:p>
        </w:tc>
      </w:tr>
      <w:tr w:rsidR="004B20E5" w:rsidRPr="00B01EE2" w:rsidDel="00F67FD0" w:rsidTr="00B01EE2">
        <w:trPr>
          <w:cantSplit/>
        </w:trPr>
        <w:tc>
          <w:tcPr>
            <w:tcW w:w="1328" w:type="pct"/>
            <w:vAlign w:val="center"/>
          </w:tcPr>
          <w:p w:rsidR="004B20E5" w:rsidRPr="009171C7" w:rsidDel="00F67FD0" w:rsidRDefault="004B20E5" w:rsidP="00B01EE2">
            <w:pPr>
              <w:pStyle w:val="TableTitleNumeratoretc"/>
            </w:pPr>
            <w:r w:rsidRPr="00F67FD0">
              <w:t>Timeframe</w:t>
            </w:r>
            <w:r>
              <w:t>:</w:t>
            </w:r>
          </w:p>
        </w:tc>
        <w:tc>
          <w:tcPr>
            <w:tcW w:w="3672" w:type="pct"/>
            <w:vAlign w:val="center"/>
          </w:tcPr>
          <w:p w:rsidR="004B20E5" w:rsidRPr="00B01EE2" w:rsidRDefault="004B20E5" w:rsidP="00B01EE2">
            <w:pPr>
              <w:pStyle w:val="TableOutcomeMeasure"/>
            </w:pPr>
            <w:r w:rsidRPr="00B01EE2">
              <w:t>Likely bi-annual - Dependent on federal decisions about survey administration</w:t>
            </w:r>
          </w:p>
        </w:tc>
      </w:tr>
      <w:tr w:rsidR="004B20E5" w:rsidRPr="00B01EE2" w:rsidDel="00F67FD0" w:rsidTr="00850B92">
        <w:trPr>
          <w:cantSplit/>
        </w:trPr>
        <w:tc>
          <w:tcPr>
            <w:tcW w:w="1328" w:type="pct"/>
            <w:tcBorders>
              <w:bottom w:val="single" w:sz="4" w:space="0" w:color="auto"/>
            </w:tcBorders>
          </w:tcPr>
          <w:p w:rsidR="004B20E5" w:rsidRPr="009171C7" w:rsidDel="00F67FD0" w:rsidRDefault="004B20E5" w:rsidP="00B01EE2">
            <w:pPr>
              <w:pStyle w:val="TableTitleNumeratoretc"/>
            </w:pPr>
            <w:r w:rsidRPr="00F67FD0">
              <w:t>How will this be measured?</w:t>
            </w:r>
          </w:p>
        </w:tc>
        <w:tc>
          <w:tcPr>
            <w:tcW w:w="3672" w:type="pct"/>
            <w:tcBorders>
              <w:bottom w:val="single" w:sz="4" w:space="0" w:color="auto"/>
            </w:tcBorders>
            <w:vAlign w:val="center"/>
          </w:tcPr>
          <w:p w:rsidR="004B20E5" w:rsidRPr="00B01EE2" w:rsidRDefault="004B20E5" w:rsidP="00C03198">
            <w:pPr>
              <w:pStyle w:val="TableOutcomeMeasure"/>
            </w:pPr>
            <w:r w:rsidRPr="00B01EE2">
              <w:t xml:space="preserve">The American Academy of Pediatrics' (AAP) description of a "medical home" lists seven defining components: accessible, continuous, comprehensive, family-centered, coordinated, compassionate and culturally effective. Ideally, these seven components are delivered by </w:t>
            </w:r>
            <w:r w:rsidR="00C03198">
              <w:t xml:space="preserve">a </w:t>
            </w:r>
            <w:r w:rsidRPr="00B01EE2">
              <w:t xml:space="preserve">doctor or other health professional who knows the child well. Presence of a medical home is measured in NSCH by a composite based on five component variables constructed from a total of 19 survey items. These component indicators are: personal doctor or nurse; usual source for sick and well care; family-centered care; problems getting needed referrals; effective Care Coordination when needed. To qualify as having a </w:t>
            </w:r>
            <w:r w:rsidR="00C03198">
              <w:t>m</w:t>
            </w:r>
            <w:r w:rsidRPr="00B01EE2">
              <w:t xml:space="preserve">edical </w:t>
            </w:r>
            <w:r w:rsidR="00C03198">
              <w:t>h</w:t>
            </w:r>
            <w:r w:rsidRPr="00B01EE2">
              <w:t>ome children must meet the criteria for adequate care on the first three components: personal doctor or nurse, usual source for care, and family-centered care. Any children who needed referrals or care coordination must also meet criteria for those components in order to qualify as having a medical home.  To obtain estimate for CYSHN, results were stratified by ‘special health care needs status.’</w:t>
            </w:r>
          </w:p>
        </w:tc>
      </w:tr>
    </w:tbl>
    <w:p w:rsidR="004B20E5" w:rsidRDefault="004B20E5" w:rsidP="00B01EE2">
      <w:pPr>
        <w:pStyle w:val="Strategies"/>
      </w:pPr>
    </w:p>
    <w:p w:rsidR="004B20E5" w:rsidRDefault="004B20E5" w:rsidP="007C27A3">
      <w:pPr>
        <w:pStyle w:val="TableTenEssenHlthFunct"/>
      </w:pPr>
      <w:r>
        <w:t>Monitor Health to Identify and Solve Community Health Problems</w:t>
      </w:r>
    </w:p>
    <w:p w:rsidR="004B20E5" w:rsidRPr="006256D0" w:rsidRDefault="004B20E5" w:rsidP="00D00411">
      <w:pPr>
        <w:pStyle w:val="TableStrategiesunderHealthFunctions"/>
      </w:pPr>
      <w:r>
        <w:t>6.5.1</w:t>
      </w:r>
      <w:r>
        <w:tab/>
      </w:r>
      <w:r w:rsidRPr="00875FC0">
        <w:t>Assess linkage to medical homes among participants in family support programs (</w:t>
      </w:r>
      <w:r w:rsidRPr="00FD219E">
        <w:t>Massachusetts Ho</w:t>
      </w:r>
      <w:r>
        <w:t>me Visiting Initiative (MHVI)</w:t>
      </w:r>
      <w:r w:rsidRPr="00875FC0">
        <w:t>, EIPP, etc.) and facilitate connections to medical homes as needed</w:t>
      </w:r>
      <w:r>
        <w:t>.</w:t>
      </w:r>
    </w:p>
    <w:p w:rsidR="004B20E5" w:rsidRDefault="004B20E5" w:rsidP="007C27A3">
      <w:pPr>
        <w:pStyle w:val="TableTenEssenHlthFunct"/>
      </w:pPr>
      <w:r>
        <w:t xml:space="preserve">Inform, Educate, and Empower People About Health Issues </w:t>
      </w:r>
    </w:p>
    <w:p w:rsidR="004B20E5" w:rsidRPr="006256D0" w:rsidRDefault="004B20E5" w:rsidP="00D00411">
      <w:pPr>
        <w:pStyle w:val="TableStrategiesunderHealthFunctions"/>
      </w:pPr>
      <w:r>
        <w:t>6.5.2</w:t>
      </w:r>
      <w:r>
        <w:tab/>
      </w:r>
      <w:r w:rsidRPr="004B77CE">
        <w:t>Utilize existing relationships with CBOs to raise awareness and share information about the value of the medical home approach to care</w:t>
      </w:r>
      <w:r>
        <w:t>.</w:t>
      </w:r>
    </w:p>
    <w:p w:rsidR="004B20E5" w:rsidRDefault="004B20E5" w:rsidP="007C27A3">
      <w:pPr>
        <w:pStyle w:val="TableTenEssenHlthFunct"/>
      </w:pPr>
      <w:r>
        <w:t xml:space="preserve">Develop Policies and Plans That Support Individual and Community Health Efforts </w:t>
      </w:r>
    </w:p>
    <w:p w:rsidR="004B20E5" w:rsidRPr="00986625" w:rsidRDefault="004B20E5" w:rsidP="00D00411">
      <w:pPr>
        <w:pStyle w:val="TableStrategiesunderHealthFunctions"/>
      </w:pPr>
      <w:r>
        <w:t>6.5.3</w:t>
      </w:r>
      <w:r w:rsidRPr="00986625">
        <w:tab/>
        <w:t>Develop comprehensive data sources</w:t>
      </w:r>
      <w:r>
        <w:t xml:space="preserve"> and protocols to measure linkage to medical homes</w:t>
      </w:r>
      <w:r w:rsidRPr="00986625">
        <w:t>.</w:t>
      </w:r>
    </w:p>
    <w:p w:rsidR="004B20E5" w:rsidRPr="006256D0" w:rsidRDefault="004B20E5" w:rsidP="00D00411">
      <w:pPr>
        <w:pStyle w:val="TableStrategiesunderHealthFunctions"/>
      </w:pPr>
      <w:r>
        <w:t>6.5.4</w:t>
      </w:r>
      <w:r>
        <w:tab/>
      </w:r>
      <w:r w:rsidRPr="00875FC0">
        <w:t>Promote the medical home as the best setting in which to provide continuous, high quality preventive health care</w:t>
      </w:r>
      <w:r>
        <w:t>, including for children and youth with special health care needs</w:t>
      </w:r>
      <w:r w:rsidRPr="00875FC0">
        <w:t>.</w:t>
      </w:r>
    </w:p>
    <w:p w:rsidR="004B20E5" w:rsidRDefault="004B20E5" w:rsidP="007C27A3">
      <w:pPr>
        <w:pStyle w:val="TableTenEssenHlthFunct"/>
      </w:pPr>
      <w:r>
        <w:t>Link People to Needed Personal Health Services and Health Care</w:t>
      </w:r>
    </w:p>
    <w:p w:rsidR="004B20E5" w:rsidRPr="00875FC0" w:rsidRDefault="004B20E5" w:rsidP="00D00411">
      <w:pPr>
        <w:pStyle w:val="TableStrategiesunderHealthFunctions"/>
      </w:pPr>
      <w:r>
        <w:t>6.5.5</w:t>
      </w:r>
      <w:r>
        <w:tab/>
      </w:r>
      <w:r w:rsidRPr="00875FC0">
        <w:t>Support community health centers in their efforts to build medical homes</w:t>
      </w:r>
      <w:r>
        <w:t>.</w:t>
      </w:r>
    </w:p>
    <w:p w:rsidR="004B20E5" w:rsidRPr="006256D0" w:rsidRDefault="004B20E5" w:rsidP="00D00411">
      <w:pPr>
        <w:pStyle w:val="TableStrategiesunderHealthFunctions"/>
      </w:pPr>
      <w:r>
        <w:t>6.5.6</w:t>
      </w:r>
      <w:r>
        <w:tab/>
      </w:r>
      <w:r w:rsidRPr="00875FC0">
        <w:t>Assess linkage to medical homes among participants in family support programs (</w:t>
      </w:r>
      <w:r w:rsidRPr="00FD219E">
        <w:t>Massachusetts Ho</w:t>
      </w:r>
      <w:r>
        <w:t>me Visiting Initiative (MHVI)</w:t>
      </w:r>
      <w:r w:rsidRPr="00875FC0">
        <w:t>, EIPP, etc.) and facilitate connections to medical homes as needed</w:t>
      </w:r>
      <w:r>
        <w:t>.</w:t>
      </w:r>
    </w:p>
    <w:p w:rsidR="004B20E5" w:rsidRDefault="004B20E5" w:rsidP="007C27A3">
      <w:pPr>
        <w:pStyle w:val="TableTenEssenHlthFunct"/>
      </w:pPr>
      <w:r>
        <w:t>Assure a Competent Public and Personal Healthcare Workforce</w:t>
      </w:r>
    </w:p>
    <w:p w:rsidR="004B20E5" w:rsidRPr="004B77CE" w:rsidRDefault="004B20E5" w:rsidP="00D00411">
      <w:pPr>
        <w:pStyle w:val="TableStrategiesunderHealthFunctions"/>
      </w:pPr>
      <w:r>
        <w:t>6.5.7</w:t>
      </w:r>
      <w:r>
        <w:tab/>
      </w:r>
      <w:r w:rsidRPr="004B77CE">
        <w:t>Increase access and retention rates in identified target areas for primary health care providers (including medical, dental, and mental health) using t</w:t>
      </w:r>
      <w:r w:rsidRPr="002C740F">
        <w:t>he Health Professions Data Series</w:t>
      </w:r>
      <w:r w:rsidRPr="004B77CE">
        <w:t xml:space="preserve"> (HPDS) (including health workforce distribution, roles, settings, language ability, and future plans) to identify communities with barriers.</w:t>
      </w:r>
    </w:p>
    <w:p w:rsidR="004B20E5" w:rsidRPr="006256D0" w:rsidRDefault="004B20E5" w:rsidP="00D00411">
      <w:pPr>
        <w:pStyle w:val="TableStrategiesunderHealthFunctions"/>
      </w:pPr>
      <w:r>
        <w:t>6.5.8</w:t>
      </w:r>
      <w:r>
        <w:tab/>
      </w:r>
      <w:r w:rsidRPr="004B77CE">
        <w:t xml:space="preserve">Work in collaboration with </w:t>
      </w:r>
      <w:r w:rsidR="00C03198">
        <w:t xml:space="preserve">the </w:t>
      </w:r>
      <w:r w:rsidRPr="004B77CE">
        <w:t>Mass</w:t>
      </w:r>
      <w:r w:rsidR="00C03198">
        <w:t>achusetts</w:t>
      </w:r>
      <w:r w:rsidRPr="004B77CE">
        <w:t xml:space="preserve"> Chapter of </w:t>
      </w:r>
      <w:r w:rsidR="00C03198">
        <w:t xml:space="preserve">the </w:t>
      </w:r>
      <w:r w:rsidRPr="004B77CE">
        <w:t>AAP to develop training and support for providers to enhance understanding and delivery of medical home approach to care.</w:t>
      </w:r>
    </w:p>
    <w:p w:rsidR="004B20E5" w:rsidRPr="00986625" w:rsidRDefault="004B20E5" w:rsidP="00D00411">
      <w:pPr>
        <w:pStyle w:val="TableStrategiesunderHealthFunctions"/>
      </w:pPr>
    </w:p>
    <w:p w:rsidR="004B20E5" w:rsidRDefault="00F03799" w:rsidP="00CB2B0E">
      <w:pPr>
        <w:pStyle w:val="ObjectiveStatement"/>
      </w:pPr>
      <w:r>
        <w:rPr>
          <w:noProof/>
        </w:rPr>
        <w:drawing>
          <wp:anchor distT="0" distB="0" distL="114300" distR="114300" simplePos="0" relativeHeight="251639808" behindDoc="0" locked="0" layoutInCell="1" allowOverlap="1" wp14:anchorId="4EA9E365" wp14:editId="668568E3">
            <wp:simplePos x="0" y="0"/>
            <wp:positionH relativeFrom="column">
              <wp:posOffset>0</wp:posOffset>
            </wp:positionH>
            <wp:positionV relativeFrom="paragraph">
              <wp:posOffset>355600</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71"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t xml:space="preserve">Measure </w:t>
      </w:r>
      <w:r w:rsidR="004B20E5" w:rsidRPr="00986625">
        <w:t>6.</w:t>
      </w:r>
      <w:r w:rsidR="004B20E5">
        <w:t>6:</w:t>
      </w:r>
      <w:r w:rsidR="004B20E5">
        <w:tab/>
      </w:r>
      <w:r w:rsidR="004B20E5" w:rsidRPr="00986625">
        <w:t>Dev</w:t>
      </w:r>
      <w:r w:rsidR="004B20E5">
        <w:t>elop consensus definitions</w:t>
      </w:r>
      <w:r w:rsidR="004B20E5" w:rsidRPr="00986625">
        <w:t xml:space="preserve"> and comprehensive data sources</w:t>
      </w:r>
      <w:r w:rsidR="004B20E5">
        <w:t xml:space="preserve"> to identify and measure positive early childhood health and development</w:t>
      </w:r>
      <w:r w:rsidR="004B20E5" w:rsidRPr="00986625">
        <w:t>.</w:t>
      </w:r>
    </w:p>
    <w:p w:rsidR="004B20E5" w:rsidRDefault="004B20E5" w:rsidP="00554FCB">
      <w:pPr>
        <w:pStyle w:val="BodyText"/>
      </w:pPr>
    </w:p>
    <w:tbl>
      <w:tblPr>
        <w:tblW w:w="4095" w:type="pct"/>
        <w:tblInd w:w="1755" w:type="dxa"/>
        <w:tblLayout w:type="fixed"/>
        <w:tblLook w:val="00A0" w:firstRow="1" w:lastRow="0" w:firstColumn="1" w:lastColumn="0" w:noHBand="0" w:noVBand="0"/>
      </w:tblPr>
      <w:tblGrid>
        <w:gridCol w:w="2250"/>
        <w:gridCol w:w="1531"/>
        <w:gridCol w:w="1531"/>
        <w:gridCol w:w="3120"/>
      </w:tblGrid>
      <w:tr w:rsidR="004B20E5" w:rsidRPr="00666093" w:rsidTr="00554FCB">
        <w:trPr>
          <w:cantSplit/>
        </w:trPr>
        <w:tc>
          <w:tcPr>
            <w:tcW w:w="1334"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8" w:type="pct"/>
            <w:tcBorders>
              <w:top w:val="single" w:sz="4" w:space="0" w:color="auto"/>
              <w:bottom w:val="single" w:sz="4" w:space="0" w:color="auto"/>
            </w:tcBorders>
            <w:vAlign w:val="center"/>
          </w:tcPr>
          <w:p w:rsidR="004B20E5" w:rsidRPr="00666093" w:rsidRDefault="004B20E5" w:rsidP="00773D22">
            <w:pPr>
              <w:pStyle w:val="TableTitleBaseline2020Target"/>
            </w:pPr>
            <w:r w:rsidRPr="00666093">
              <w:t>Baseline</w:t>
            </w:r>
          </w:p>
        </w:tc>
        <w:tc>
          <w:tcPr>
            <w:tcW w:w="908" w:type="pct"/>
            <w:tcBorders>
              <w:top w:val="single" w:sz="4" w:space="0" w:color="auto"/>
              <w:bottom w:val="single" w:sz="4" w:space="0" w:color="auto"/>
            </w:tcBorders>
            <w:vAlign w:val="center"/>
          </w:tcPr>
          <w:p w:rsidR="004B20E5" w:rsidRPr="00666093" w:rsidRDefault="004B20E5" w:rsidP="00773D22">
            <w:pPr>
              <w:pStyle w:val="TableTitleBaseline2020Target"/>
            </w:pPr>
            <w:r w:rsidRPr="00666093">
              <w:t>2020 Target</w:t>
            </w:r>
          </w:p>
        </w:tc>
        <w:tc>
          <w:tcPr>
            <w:tcW w:w="1850" w:type="pct"/>
            <w:tcBorders>
              <w:top w:val="single" w:sz="4" w:space="0" w:color="auto"/>
              <w:bottom w:val="single" w:sz="4" w:space="0" w:color="auto"/>
            </w:tcBorders>
            <w:vAlign w:val="center"/>
          </w:tcPr>
          <w:p w:rsidR="004B20E5" w:rsidRPr="00666093" w:rsidRDefault="004B20E5" w:rsidP="00773D22">
            <w:pPr>
              <w:pStyle w:val="TableTitleTargetDataSource"/>
            </w:pPr>
            <w:r w:rsidRPr="00666093">
              <w:t>Data Source</w:t>
            </w:r>
          </w:p>
        </w:tc>
      </w:tr>
      <w:tr w:rsidR="004B20E5" w:rsidRPr="00666093" w:rsidTr="00554FCB">
        <w:trPr>
          <w:cantSplit/>
        </w:trPr>
        <w:tc>
          <w:tcPr>
            <w:tcW w:w="1334" w:type="pct"/>
            <w:tcBorders>
              <w:top w:val="single" w:sz="4" w:space="0" w:color="auto"/>
              <w:bottom w:val="single" w:sz="4" w:space="0" w:color="auto"/>
            </w:tcBorders>
            <w:vAlign w:val="center"/>
          </w:tcPr>
          <w:p w:rsidR="004B20E5" w:rsidRPr="00666093" w:rsidRDefault="004B20E5" w:rsidP="00773D22">
            <w:pPr>
              <w:pStyle w:val="TableOutcomeMeasure"/>
            </w:pPr>
            <w:r>
              <w:t>Robust measure or measures</w:t>
            </w:r>
          </w:p>
        </w:tc>
        <w:tc>
          <w:tcPr>
            <w:tcW w:w="908" w:type="pct"/>
            <w:tcBorders>
              <w:top w:val="single" w:sz="4" w:space="0" w:color="auto"/>
              <w:bottom w:val="single" w:sz="4" w:space="0" w:color="auto"/>
            </w:tcBorders>
            <w:vAlign w:val="center"/>
          </w:tcPr>
          <w:p w:rsidR="004B20E5" w:rsidRPr="00666093" w:rsidRDefault="004B20E5" w:rsidP="00773D22">
            <w:pPr>
              <w:pStyle w:val="TableBaseline2020Target"/>
            </w:pPr>
            <w:r>
              <w:t>NO</w:t>
            </w:r>
          </w:p>
        </w:tc>
        <w:tc>
          <w:tcPr>
            <w:tcW w:w="908" w:type="pct"/>
            <w:tcBorders>
              <w:top w:val="single" w:sz="4" w:space="0" w:color="auto"/>
              <w:bottom w:val="single" w:sz="4" w:space="0" w:color="auto"/>
            </w:tcBorders>
            <w:vAlign w:val="center"/>
          </w:tcPr>
          <w:p w:rsidR="004B20E5" w:rsidRPr="00666093" w:rsidRDefault="004B20E5" w:rsidP="00773D22">
            <w:pPr>
              <w:pStyle w:val="TableBaseline2020Target"/>
            </w:pPr>
            <w:r>
              <w:t>YES</w:t>
            </w:r>
          </w:p>
        </w:tc>
        <w:tc>
          <w:tcPr>
            <w:tcW w:w="1850" w:type="pct"/>
            <w:tcBorders>
              <w:top w:val="single" w:sz="4" w:space="0" w:color="auto"/>
              <w:bottom w:val="single" w:sz="4" w:space="0" w:color="auto"/>
            </w:tcBorders>
            <w:vAlign w:val="center"/>
          </w:tcPr>
          <w:p w:rsidR="004B20E5" w:rsidRPr="00666093" w:rsidRDefault="004B20E5" w:rsidP="00773D22">
            <w:pPr>
              <w:pStyle w:val="TableDataSource"/>
            </w:pPr>
            <w:r>
              <w:t>To be Identified and / or developed</w:t>
            </w: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7"/>
        <w:gridCol w:w="6212"/>
      </w:tblGrid>
      <w:tr w:rsidR="004B20E5" w:rsidRPr="00666093" w:rsidDel="00F67FD0" w:rsidTr="00185253">
        <w:trPr>
          <w:cantSplit/>
        </w:trPr>
        <w:tc>
          <w:tcPr>
            <w:tcW w:w="1328" w:type="pct"/>
            <w:tcBorders>
              <w:top w:val="single" w:sz="4" w:space="0" w:color="auto"/>
            </w:tcBorders>
          </w:tcPr>
          <w:p w:rsidR="004B20E5" w:rsidRPr="009171C7" w:rsidDel="00F67FD0" w:rsidRDefault="004B20E5" w:rsidP="0061361A">
            <w:pPr>
              <w:pStyle w:val="TableTitleNumeratoretc"/>
            </w:pPr>
            <w:r w:rsidRPr="00A367E5">
              <w:t>Numerator</w:t>
            </w:r>
            <w:r>
              <w:t>:</w:t>
            </w:r>
          </w:p>
        </w:tc>
        <w:tc>
          <w:tcPr>
            <w:tcW w:w="3672" w:type="pct"/>
            <w:tcBorders>
              <w:top w:val="single" w:sz="4" w:space="0" w:color="auto"/>
            </w:tcBorders>
            <w:vAlign w:val="center"/>
          </w:tcPr>
          <w:p w:rsidR="004B20E5" w:rsidRPr="0061361A" w:rsidDel="00F67FD0" w:rsidRDefault="004B20E5" w:rsidP="0061361A">
            <w:pPr>
              <w:pStyle w:val="TableOutcomeMeasure"/>
            </w:pPr>
            <w:r w:rsidRPr="0061361A">
              <w:t>NA</w:t>
            </w:r>
          </w:p>
        </w:tc>
      </w:tr>
      <w:tr w:rsidR="004B20E5" w:rsidRPr="00666093" w:rsidDel="00F67FD0" w:rsidTr="00185253">
        <w:trPr>
          <w:cantSplit/>
        </w:trPr>
        <w:tc>
          <w:tcPr>
            <w:tcW w:w="1328" w:type="pct"/>
          </w:tcPr>
          <w:p w:rsidR="004B20E5" w:rsidRPr="009171C7" w:rsidDel="00F67FD0" w:rsidRDefault="004B20E5" w:rsidP="0061361A">
            <w:pPr>
              <w:pStyle w:val="TableTitleNumeratoretc"/>
            </w:pPr>
            <w:r w:rsidRPr="00A367E5">
              <w:t>Denominator</w:t>
            </w:r>
            <w:r>
              <w:t>:</w:t>
            </w:r>
          </w:p>
        </w:tc>
        <w:tc>
          <w:tcPr>
            <w:tcW w:w="3672" w:type="pct"/>
            <w:vAlign w:val="center"/>
          </w:tcPr>
          <w:p w:rsidR="004B20E5" w:rsidRPr="0061361A" w:rsidDel="00F67FD0" w:rsidRDefault="004B20E5" w:rsidP="0061361A">
            <w:pPr>
              <w:pStyle w:val="TableOutcomeMeasure"/>
            </w:pPr>
            <w:r w:rsidRPr="0061361A">
              <w:t>NA</w:t>
            </w:r>
          </w:p>
        </w:tc>
      </w:tr>
      <w:tr w:rsidR="004B20E5" w:rsidRPr="00666093" w:rsidDel="00F67FD0" w:rsidTr="00185253">
        <w:trPr>
          <w:cantSplit/>
        </w:trPr>
        <w:tc>
          <w:tcPr>
            <w:tcW w:w="1328" w:type="pct"/>
          </w:tcPr>
          <w:p w:rsidR="004B20E5" w:rsidRPr="009171C7" w:rsidDel="00F67FD0" w:rsidRDefault="004B20E5" w:rsidP="0061361A">
            <w:pPr>
              <w:pStyle w:val="TableTitleNumeratoretc"/>
            </w:pPr>
            <w:r w:rsidRPr="00A367E5">
              <w:t>Exclusions</w:t>
            </w:r>
            <w:r>
              <w:t>:</w:t>
            </w:r>
          </w:p>
        </w:tc>
        <w:tc>
          <w:tcPr>
            <w:tcW w:w="3672" w:type="pct"/>
            <w:vAlign w:val="center"/>
          </w:tcPr>
          <w:p w:rsidR="004B20E5" w:rsidRPr="0061361A" w:rsidDel="00F67FD0" w:rsidRDefault="004B20E5" w:rsidP="0061361A">
            <w:pPr>
              <w:pStyle w:val="TableOutcomeMeasure"/>
            </w:pPr>
            <w:r>
              <w:t>NA</w:t>
            </w:r>
          </w:p>
        </w:tc>
      </w:tr>
      <w:tr w:rsidR="004B20E5" w:rsidRPr="00666093" w:rsidDel="00F67FD0" w:rsidTr="00185253">
        <w:trPr>
          <w:cantSplit/>
        </w:trPr>
        <w:tc>
          <w:tcPr>
            <w:tcW w:w="1328" w:type="pct"/>
            <w:vAlign w:val="center"/>
          </w:tcPr>
          <w:p w:rsidR="004B20E5" w:rsidRPr="009171C7" w:rsidDel="00F67FD0" w:rsidRDefault="004B20E5" w:rsidP="0061361A">
            <w:pPr>
              <w:pStyle w:val="TableTitleNumeratoretc"/>
            </w:pPr>
            <w:r w:rsidRPr="00F67FD0">
              <w:t>Timeframe</w:t>
            </w:r>
            <w:r>
              <w:t>:</w:t>
            </w:r>
          </w:p>
        </w:tc>
        <w:tc>
          <w:tcPr>
            <w:tcW w:w="3672" w:type="pct"/>
            <w:vAlign w:val="center"/>
          </w:tcPr>
          <w:p w:rsidR="004B20E5" w:rsidRPr="0061361A" w:rsidDel="00F67FD0" w:rsidRDefault="004B20E5" w:rsidP="0061361A">
            <w:pPr>
              <w:pStyle w:val="TableOutcomeMeasure"/>
            </w:pPr>
            <w:r w:rsidRPr="0061361A">
              <w:t>NA</w:t>
            </w:r>
          </w:p>
        </w:tc>
      </w:tr>
      <w:tr w:rsidR="004B20E5" w:rsidRPr="00666093" w:rsidDel="00F67FD0" w:rsidTr="00185253">
        <w:trPr>
          <w:cantSplit/>
        </w:trPr>
        <w:tc>
          <w:tcPr>
            <w:tcW w:w="1328" w:type="pct"/>
            <w:tcBorders>
              <w:bottom w:val="single" w:sz="4" w:space="0" w:color="auto"/>
            </w:tcBorders>
            <w:vAlign w:val="center"/>
          </w:tcPr>
          <w:p w:rsidR="004B20E5" w:rsidRPr="009171C7" w:rsidDel="00F67FD0" w:rsidRDefault="004B20E5" w:rsidP="0061361A">
            <w:pPr>
              <w:pStyle w:val="TableTitleNumeratoretc"/>
            </w:pPr>
            <w:r w:rsidRPr="00F67FD0">
              <w:t>How will this be measured?</w:t>
            </w:r>
          </w:p>
        </w:tc>
        <w:tc>
          <w:tcPr>
            <w:tcW w:w="3672" w:type="pct"/>
            <w:tcBorders>
              <w:bottom w:val="single" w:sz="4" w:space="0" w:color="auto"/>
            </w:tcBorders>
            <w:vAlign w:val="center"/>
          </w:tcPr>
          <w:p w:rsidR="004B20E5" w:rsidRPr="0061361A" w:rsidDel="00F67FD0" w:rsidRDefault="004B20E5" w:rsidP="0061361A">
            <w:pPr>
              <w:pStyle w:val="TableOutcomeMeasure"/>
            </w:pPr>
            <w:r w:rsidRPr="0061361A">
              <w:t>Documentation of consensus definitions, data sources, baseline values, and 2020 targets</w:t>
            </w:r>
          </w:p>
        </w:tc>
      </w:tr>
    </w:tbl>
    <w:p w:rsidR="004B20E5" w:rsidRDefault="004B20E5" w:rsidP="007348F7">
      <w:pPr>
        <w:pStyle w:val="StrategiesCategoryTitles"/>
      </w:pPr>
    </w:p>
    <w:p w:rsidR="004B20E5" w:rsidRDefault="004B20E5" w:rsidP="007C27A3">
      <w:pPr>
        <w:pStyle w:val="TableTenEssenHlthFunct"/>
      </w:pPr>
      <w:r>
        <w:t>Monitor Health to Identify and Solve Community Health Problems</w:t>
      </w:r>
    </w:p>
    <w:p w:rsidR="004B20E5" w:rsidRPr="00986625" w:rsidRDefault="004B20E5" w:rsidP="00D00411">
      <w:pPr>
        <w:pStyle w:val="TableStrategiesunderHealthFunctions"/>
      </w:pPr>
      <w:r>
        <w:t>6.6.1</w:t>
      </w:r>
      <w:r w:rsidRPr="00986625">
        <w:tab/>
        <w:t>Dev</w:t>
      </w:r>
      <w:r>
        <w:t>elop consensus definitions</w:t>
      </w:r>
      <w:r w:rsidRPr="00986625">
        <w:t xml:space="preserve"> and comprehensive data sources</w:t>
      </w:r>
      <w:r>
        <w:t xml:space="preserve"> to identify and measure early childhood development</w:t>
      </w:r>
      <w:r w:rsidRPr="00986625">
        <w:t>.</w:t>
      </w:r>
    </w:p>
    <w:p w:rsidR="004B20E5" w:rsidRPr="006256D0" w:rsidRDefault="004B20E5" w:rsidP="00D00411">
      <w:pPr>
        <w:pStyle w:val="TableStrategiesunderHealthFunctions"/>
      </w:pPr>
      <w:r>
        <w:t>6.6.2</w:t>
      </w:r>
      <w:r>
        <w:tab/>
        <w:t xml:space="preserve">Continue to support MassHealth and eventually private insurers in assuring behavioral health screening in all well child visits using valid tools.  </w:t>
      </w:r>
    </w:p>
    <w:p w:rsidR="004B20E5" w:rsidRDefault="004B20E5" w:rsidP="007C27A3">
      <w:pPr>
        <w:pStyle w:val="TableTenEssenHlthFunct"/>
      </w:pPr>
      <w:r>
        <w:t xml:space="preserve">Inform, Educate, and Empower People About Health Issues </w:t>
      </w:r>
    </w:p>
    <w:p w:rsidR="004B20E5" w:rsidRPr="006256D0" w:rsidRDefault="004B20E5" w:rsidP="00D00411">
      <w:pPr>
        <w:pStyle w:val="TableStrategiesunderHealthFunctions"/>
      </w:pPr>
      <w:r>
        <w:t>6.6.3</w:t>
      </w:r>
      <w:r>
        <w:tab/>
        <w:t>Incorporate essentials for childhood and sexual assault prevention and survivor services (SAPSS) into work with child care and fatherhood programs.</w:t>
      </w:r>
    </w:p>
    <w:p w:rsidR="004B20E5" w:rsidRDefault="004B20E5" w:rsidP="007C27A3">
      <w:pPr>
        <w:pStyle w:val="TableTenEssenHlthFunct"/>
      </w:pPr>
      <w:r>
        <w:t>Mobilize Community Partnerships to Identify and Solve Health Problems</w:t>
      </w:r>
    </w:p>
    <w:p w:rsidR="004B20E5" w:rsidRPr="00B85223" w:rsidRDefault="004B20E5" w:rsidP="00D00411">
      <w:pPr>
        <w:pStyle w:val="TableStrategiesunderHealthFunctions"/>
      </w:pPr>
      <w:r>
        <w:t>6.6.4</w:t>
      </w:r>
      <w:r w:rsidRPr="00B85223">
        <w:tab/>
        <w:t>Strengthen programs and collaborations that provide structure and enhance communication between pediatric primary care providers, families and early childhood educators.</w:t>
      </w:r>
    </w:p>
    <w:p w:rsidR="004B20E5" w:rsidRDefault="004B20E5" w:rsidP="00D00411">
      <w:pPr>
        <w:pStyle w:val="TableStrategiesunderHealthFunctions"/>
      </w:pPr>
      <w:r>
        <w:t>6.6.5</w:t>
      </w:r>
      <w:r>
        <w:tab/>
      </w:r>
      <w:r w:rsidRPr="00450C2B">
        <w:t xml:space="preserve">Partner with key stakeholders to enhance and sustain the role of </w:t>
      </w:r>
      <w:r>
        <w:t>“</w:t>
      </w:r>
      <w:r w:rsidRPr="00450C2B">
        <w:t>Child Care Health Consultant</w:t>
      </w:r>
      <w:r>
        <w:t>”</w:t>
      </w:r>
      <w:r w:rsidRPr="00450C2B">
        <w:t xml:space="preserve"> as a way to provide early child care educators with health and safety education, connection to vital pediatric health resources and advocacy to continue providing a safe and healthy environment for children with special health needs in particular and all children in general.</w:t>
      </w:r>
    </w:p>
    <w:p w:rsidR="004B20E5" w:rsidRDefault="004B20E5" w:rsidP="007C27A3">
      <w:pPr>
        <w:pStyle w:val="TableTenEssenHlthFunct"/>
      </w:pPr>
      <w:r>
        <w:t xml:space="preserve">Develop Policies and Plans That Support Individual and Community Health Efforts </w:t>
      </w:r>
    </w:p>
    <w:p w:rsidR="004B20E5" w:rsidRDefault="004B20E5" w:rsidP="00D00411">
      <w:pPr>
        <w:pStyle w:val="TableStrategiesunderHealthFunctions"/>
      </w:pPr>
      <w:r>
        <w:t>6.6.6</w:t>
      </w:r>
      <w:r>
        <w:tab/>
        <w:t>Develop strategic plans that address home visiting, child care, assessment, referral, adverse childhood experiences, toxic environmental factors, parent education, role of fathers, and resiliency.</w:t>
      </w:r>
    </w:p>
    <w:p w:rsidR="004B20E5" w:rsidRDefault="004B20E5" w:rsidP="00D00411">
      <w:pPr>
        <w:pStyle w:val="TableStrategiesunderHealthFunctions"/>
      </w:pPr>
      <w:r>
        <w:t>6.6.7</w:t>
      </w:r>
      <w:r>
        <w:tab/>
        <w:t>Support programs with targeted interventions for at risk families experiencing challenges to providing safe, stable, nurturing relationships such as families with an infant with high and/or complex needs, impacted by Substance Use Disorders (SUDs), cognitively challenged or mentally ill, and/or experiencing domestic violence.</w:t>
      </w:r>
    </w:p>
    <w:p w:rsidR="004B20E5" w:rsidRDefault="004B20E5" w:rsidP="00D00411">
      <w:pPr>
        <w:pStyle w:val="TableStrategiesunderHealthFunctions"/>
      </w:pPr>
      <w:r>
        <w:t>6.6.8</w:t>
      </w:r>
      <w:r>
        <w:tab/>
        <w:t>Support programs that encourage positive father engagement with parenting.</w:t>
      </w:r>
    </w:p>
    <w:p w:rsidR="004B20E5" w:rsidRDefault="004B20E5" w:rsidP="00D00411">
      <w:pPr>
        <w:pStyle w:val="TableStrategiesunderHealthFunctions"/>
      </w:pPr>
      <w:r>
        <w:t>6.6.9</w:t>
      </w:r>
      <w:r>
        <w:tab/>
        <w:t xml:space="preserve">Determine funding strategies to sustain key activities funded by the Race To The Top Early Learning Challenge Grant Interagency Service Agreement between </w:t>
      </w:r>
      <w:r w:rsidR="009F3D12">
        <w:t>M</w:t>
      </w:r>
      <w:r>
        <w:t xml:space="preserve">DPH and </w:t>
      </w:r>
      <w:r w:rsidR="00595212">
        <w:t xml:space="preserve">the Department of </w:t>
      </w:r>
      <w:r>
        <w:t>Early Education and Care (EEC) (including technical assistance on health, mental health and safety policy and quality improvement; support on medication administration and nutrition and physical activity in early education and care).</w:t>
      </w:r>
    </w:p>
    <w:p w:rsidR="004B20E5" w:rsidRDefault="004B20E5" w:rsidP="007C27A3">
      <w:pPr>
        <w:pStyle w:val="TableTenEssenHlthFunct"/>
      </w:pPr>
      <w:r>
        <w:t>Enforce Laws and Regulations That Protect Health and Ensure Safety</w:t>
      </w:r>
    </w:p>
    <w:p w:rsidR="004B20E5" w:rsidRPr="006256D0" w:rsidRDefault="004B20E5" w:rsidP="00D00411">
      <w:pPr>
        <w:pStyle w:val="TableStrategiesunderHealthFunctions"/>
      </w:pPr>
      <w:r>
        <w:t>6.6.10</w:t>
      </w:r>
      <w:r>
        <w:tab/>
        <w:t>Continue to provide technical assistance to the Department of Early Education and Care in its licensing regulations development and enforcement.</w:t>
      </w:r>
    </w:p>
    <w:p w:rsidR="004B20E5" w:rsidRDefault="004B20E5" w:rsidP="007C27A3">
      <w:pPr>
        <w:pStyle w:val="TableTenEssenHlthFunct"/>
      </w:pPr>
      <w:r>
        <w:t>Link People to Needed Personal Health Services and Health Care</w:t>
      </w:r>
    </w:p>
    <w:p w:rsidR="004B20E5" w:rsidRDefault="004B20E5" w:rsidP="00D00411">
      <w:pPr>
        <w:pStyle w:val="TableStrategiesunderHealthFunctions"/>
      </w:pPr>
      <w:r>
        <w:t>6.6.11</w:t>
      </w:r>
      <w:r>
        <w:tab/>
        <w:t xml:space="preserve">Continue to work with EEC and others to replicate </w:t>
      </w:r>
      <w:r w:rsidR="00595212">
        <w:t xml:space="preserve">the </w:t>
      </w:r>
      <w:r>
        <w:t>Help Me Grow model of referral linkages between primary care pediatrics, Mass211 and families.</w:t>
      </w:r>
    </w:p>
    <w:p w:rsidR="004B20E5" w:rsidRPr="006256D0" w:rsidRDefault="004B20E5" w:rsidP="00D00411">
      <w:pPr>
        <w:pStyle w:val="TableStrategiesunderHealthFunctions"/>
      </w:pPr>
      <w:r>
        <w:t>6.6.12</w:t>
      </w:r>
      <w:r>
        <w:tab/>
        <w:t xml:space="preserve">Continue to support MassHealth and eventually private insurers in assuring behavioral health screening in all well child visits using valid tools.  </w:t>
      </w:r>
    </w:p>
    <w:p w:rsidR="004B20E5" w:rsidRDefault="004B20E5" w:rsidP="007C27A3">
      <w:pPr>
        <w:pStyle w:val="TableTenEssenHlthFunct"/>
      </w:pPr>
      <w:r>
        <w:t>Assure a Competent Public and Personal Healthcare Workforce</w:t>
      </w:r>
    </w:p>
    <w:p w:rsidR="004B20E5" w:rsidRDefault="004B20E5" w:rsidP="00D00411">
      <w:pPr>
        <w:pStyle w:val="TableStrategiesunderHealthFunctions"/>
      </w:pPr>
      <w:r>
        <w:t>6.6.13</w:t>
      </w:r>
      <w:r w:rsidRPr="00B85223">
        <w:tab/>
        <w:t>Identify and address early childhood work force standards, training needs and capacity.</w:t>
      </w:r>
    </w:p>
    <w:p w:rsidR="004B20E5" w:rsidRDefault="004B20E5" w:rsidP="007C27A3">
      <w:pPr>
        <w:pStyle w:val="TableTenEssenHlthFunct"/>
      </w:pPr>
      <w:r w:rsidRPr="001B5074">
        <w:t>Research for New Insights and Innovative Solutions to Health Problems</w:t>
      </w:r>
    </w:p>
    <w:p w:rsidR="004B20E5" w:rsidRPr="006256D0" w:rsidRDefault="004B20E5" w:rsidP="00D00411">
      <w:pPr>
        <w:pStyle w:val="TableStrategiesunderHealthFunctions"/>
      </w:pPr>
      <w:r>
        <w:t>6.6.14</w:t>
      </w:r>
      <w:r w:rsidRPr="00986625">
        <w:tab/>
        <w:t>Promote and support research that evaluates and establishes the effectiveness of various approaches and interventions for comprehensive positive early development.</w:t>
      </w:r>
    </w:p>
    <w:p w:rsidR="004B20E5" w:rsidRDefault="004B20E5" w:rsidP="007C27A3">
      <w:pPr>
        <w:pStyle w:val="TableTenEssenHlthFunct"/>
      </w:pPr>
      <w:r>
        <w:t>Engagement with Governing Entities</w:t>
      </w:r>
    </w:p>
    <w:p w:rsidR="004B20E5" w:rsidRPr="004B78D3" w:rsidRDefault="004B20E5" w:rsidP="00D00411">
      <w:pPr>
        <w:pStyle w:val="TableStrategiesunderHealthFunctions"/>
      </w:pPr>
      <w:r>
        <w:t>6.6.15</w:t>
      </w:r>
      <w:r>
        <w:tab/>
        <w:t>Continue to work with partner state agencies on developing an intersecretariat Early Childhood System of Care.</w:t>
      </w:r>
    </w:p>
    <w:p w:rsidR="004B20E5" w:rsidRPr="006256D0" w:rsidRDefault="004B20E5" w:rsidP="00D00411">
      <w:pPr>
        <w:pStyle w:val="TableStrategiesunderHealthFunctions"/>
      </w:pPr>
    </w:p>
    <w:p w:rsidR="004B20E5" w:rsidRDefault="004B20E5" w:rsidP="00D00411">
      <w:pPr>
        <w:pStyle w:val="TableStrategiesunderHealthFunctions"/>
      </w:pPr>
    </w:p>
    <w:p w:rsidR="004B20E5" w:rsidRDefault="004B20E5" w:rsidP="00571897">
      <w:pPr>
        <w:pStyle w:val="PartnersTitle"/>
      </w:pPr>
      <w:r>
        <w:br w:type="page"/>
      </w:r>
    </w:p>
    <w:p w:rsidR="004B20E5" w:rsidRPr="00571897" w:rsidRDefault="004B20E5" w:rsidP="00571897">
      <w:pPr>
        <w:pStyle w:val="PartnersTitle"/>
      </w:pPr>
      <w:r w:rsidRPr="00571897">
        <w:t>Partners/Resources for Maternal, Child, and Family Health Promotion</w:t>
      </w:r>
    </w:p>
    <w:p w:rsidR="004B20E5" w:rsidRPr="00AF0910" w:rsidRDefault="004B20E5" w:rsidP="00533BB5">
      <w:pPr>
        <w:pStyle w:val="Partners"/>
      </w:pPr>
      <w:r w:rsidRPr="00AF0910">
        <w:t>Academic institutions</w:t>
      </w:r>
    </w:p>
    <w:p w:rsidR="006C4B4E" w:rsidRDefault="006C4B4E" w:rsidP="006C4B4E">
      <w:pPr>
        <w:pStyle w:val="Partners"/>
      </w:pPr>
      <w:r w:rsidRPr="006C4B4E">
        <w:t>The Association of Women's Health, Obstetric and Neonatal Nurses</w:t>
      </w:r>
    </w:p>
    <w:p w:rsidR="004B20E5" w:rsidRPr="00AF0910" w:rsidRDefault="004B20E5" w:rsidP="006C4B4E">
      <w:pPr>
        <w:pStyle w:val="Partners"/>
      </w:pPr>
      <w:r w:rsidRPr="00AF0910">
        <w:t>Better Oral Health for MA Coalition (BOHMAC)</w:t>
      </w:r>
    </w:p>
    <w:p w:rsidR="004B20E5" w:rsidRPr="00AF0910" w:rsidRDefault="004B20E5" w:rsidP="00533BB5">
      <w:pPr>
        <w:pStyle w:val="Partners"/>
      </w:pPr>
      <w:r w:rsidRPr="00AF0910">
        <w:t>Boston Association for Childbirth Education</w:t>
      </w:r>
    </w:p>
    <w:p w:rsidR="004B20E5" w:rsidRPr="00AF0910" w:rsidRDefault="004B20E5" w:rsidP="00533BB5">
      <w:pPr>
        <w:pStyle w:val="Partners"/>
      </w:pPr>
      <w:r w:rsidRPr="00AF0910">
        <w:t>Boston Public Health Commission</w:t>
      </w:r>
    </w:p>
    <w:p w:rsidR="004B20E5" w:rsidRPr="00AF0910" w:rsidRDefault="004B20E5" w:rsidP="00533BB5">
      <w:pPr>
        <w:pStyle w:val="Partners"/>
      </w:pPr>
      <w:r w:rsidRPr="00AF0910">
        <w:t>C</w:t>
      </w:r>
      <w:r w:rsidR="00645690">
        <w:t xml:space="preserve">ommunity based organizations </w:t>
      </w:r>
      <w:r w:rsidRPr="00AF0910">
        <w:t>and cultural organizations</w:t>
      </w:r>
    </w:p>
    <w:p w:rsidR="004B20E5" w:rsidRPr="00AF0910" w:rsidRDefault="004B20E5" w:rsidP="00533BB5">
      <w:pPr>
        <w:pStyle w:val="Partners"/>
      </w:pPr>
      <w:r w:rsidRPr="00AF0910">
        <w:t>Child care and early education providers</w:t>
      </w:r>
    </w:p>
    <w:p w:rsidR="004B20E5" w:rsidRPr="00AF0910" w:rsidRDefault="004B20E5" w:rsidP="00533BB5">
      <w:pPr>
        <w:pStyle w:val="Partners"/>
      </w:pPr>
      <w:r w:rsidRPr="00AF0910">
        <w:t>Community Health Centers</w:t>
      </w:r>
    </w:p>
    <w:p w:rsidR="004B20E5" w:rsidRPr="00AF0910" w:rsidRDefault="004B20E5" w:rsidP="00533BB5">
      <w:pPr>
        <w:pStyle w:val="Partners"/>
      </w:pPr>
      <w:r w:rsidRPr="00AF0910">
        <w:t>Early Intervention programs</w:t>
      </w:r>
    </w:p>
    <w:p w:rsidR="004B20E5" w:rsidRPr="00AF0910" w:rsidRDefault="004B20E5" w:rsidP="00533BB5">
      <w:pPr>
        <w:pStyle w:val="Partners"/>
      </w:pPr>
      <w:r w:rsidRPr="00AF0910">
        <w:t>Family Planning Providers and Clinics</w:t>
      </w:r>
    </w:p>
    <w:p w:rsidR="004B20E5" w:rsidRDefault="004B20E5" w:rsidP="00533BB5">
      <w:pPr>
        <w:pStyle w:val="Partners"/>
      </w:pPr>
      <w:r w:rsidRPr="00AF0910">
        <w:t xml:space="preserve">Foundations Head Start &amp; </w:t>
      </w:r>
      <w:r w:rsidR="00595212">
        <w:t>e</w:t>
      </w:r>
      <w:r w:rsidRPr="00AF0910">
        <w:t>arly childhood education</w:t>
      </w:r>
    </w:p>
    <w:p w:rsidR="004B20E5" w:rsidRPr="00AF0910" w:rsidRDefault="004B20E5" w:rsidP="00533BB5">
      <w:pPr>
        <w:pStyle w:val="Partners"/>
      </w:pPr>
      <w:r w:rsidRPr="00AF0910">
        <w:t>Health and early childhood workforce educational programs</w:t>
      </w:r>
    </w:p>
    <w:p w:rsidR="007509D9" w:rsidRDefault="007509D9" w:rsidP="00533BB5">
      <w:pPr>
        <w:pStyle w:val="Partners"/>
      </w:pPr>
      <w:r>
        <w:t>Healthcare Providers</w:t>
      </w:r>
    </w:p>
    <w:p w:rsidR="004B20E5" w:rsidRPr="00AF0910" w:rsidRDefault="004B20E5" w:rsidP="00533BB5">
      <w:pPr>
        <w:pStyle w:val="Partners"/>
      </w:pPr>
      <w:r w:rsidRPr="00AF0910">
        <w:t>Healthy Start Coalition</w:t>
      </w:r>
    </w:p>
    <w:p w:rsidR="004B20E5" w:rsidRDefault="006C4B4E" w:rsidP="00533BB5">
      <w:pPr>
        <w:pStyle w:val="Partners"/>
      </w:pPr>
      <w:r>
        <w:t xml:space="preserve">Local </w:t>
      </w:r>
      <w:r w:rsidR="004B20E5" w:rsidRPr="00AF0910">
        <w:t>Home-visiting programs</w:t>
      </w:r>
    </w:p>
    <w:p w:rsidR="006C4B4E" w:rsidRDefault="006C4B4E" w:rsidP="00533BB5">
      <w:pPr>
        <w:pStyle w:val="Partners"/>
      </w:pPr>
      <w:r>
        <w:t>Local WIC programs</w:t>
      </w:r>
    </w:p>
    <w:p w:rsidR="004B20E5" w:rsidRPr="00AF0910" w:rsidRDefault="004B20E5" w:rsidP="00533BB5">
      <w:pPr>
        <w:pStyle w:val="Partners"/>
      </w:pPr>
      <w:r>
        <w:t>Massachusetts Alliance on Teen Pregnancy Prevention</w:t>
      </w:r>
    </w:p>
    <w:p w:rsidR="004B20E5" w:rsidRPr="00AF0910" w:rsidRDefault="004B20E5" w:rsidP="00533BB5">
      <w:pPr>
        <w:pStyle w:val="Partners"/>
      </w:pPr>
      <w:r w:rsidRPr="00AF0910">
        <w:t>MA Family Planning Association</w:t>
      </w:r>
    </w:p>
    <w:p w:rsidR="004B20E5" w:rsidRPr="00AF0910" w:rsidRDefault="004B20E5" w:rsidP="00533BB5">
      <w:pPr>
        <w:pStyle w:val="Partners"/>
      </w:pPr>
      <w:r w:rsidRPr="00AF0910">
        <w:t>MA Perinatal Quality Collaborative</w:t>
      </w:r>
    </w:p>
    <w:p w:rsidR="004B20E5" w:rsidRPr="00AF0910" w:rsidRDefault="004B20E5" w:rsidP="00533BB5">
      <w:pPr>
        <w:pStyle w:val="Partners"/>
      </w:pPr>
      <w:r w:rsidRPr="00AF0910">
        <w:t>March of Dimes</w:t>
      </w:r>
    </w:p>
    <w:p w:rsidR="004B20E5" w:rsidRPr="00AF0910" w:rsidRDefault="00C36277" w:rsidP="00533BB5">
      <w:pPr>
        <w:pStyle w:val="Partners"/>
      </w:pPr>
      <w:r w:rsidRPr="00AF0910">
        <w:t>M</w:t>
      </w:r>
      <w:r>
        <w:t>A</w:t>
      </w:r>
      <w:r w:rsidRPr="00AF0910">
        <w:t xml:space="preserve"> </w:t>
      </w:r>
      <w:r w:rsidR="004B20E5" w:rsidRPr="00AF0910">
        <w:t>Behavioral Health Partnership</w:t>
      </w:r>
    </w:p>
    <w:p w:rsidR="004B20E5" w:rsidRPr="00AF0910" w:rsidRDefault="00C36277" w:rsidP="00533BB5">
      <w:pPr>
        <w:pStyle w:val="Partners"/>
      </w:pPr>
      <w:r w:rsidRPr="00AF0910">
        <w:t>M</w:t>
      </w:r>
      <w:r>
        <w:t>A</w:t>
      </w:r>
      <w:r w:rsidRPr="00AF0910">
        <w:t xml:space="preserve"> </w:t>
      </w:r>
      <w:r w:rsidR="004B20E5" w:rsidRPr="00AF0910">
        <w:t>Chapter of the AAP</w:t>
      </w:r>
    </w:p>
    <w:p w:rsidR="004B20E5" w:rsidRDefault="00C36277" w:rsidP="00533BB5">
      <w:pPr>
        <w:pStyle w:val="Partners"/>
      </w:pPr>
      <w:r w:rsidRPr="00AF0910">
        <w:t>M</w:t>
      </w:r>
      <w:r>
        <w:t>A</w:t>
      </w:r>
      <w:r w:rsidRPr="00AF0910">
        <w:t xml:space="preserve"> </w:t>
      </w:r>
      <w:r w:rsidR="004B20E5" w:rsidRPr="00AF0910">
        <w:t>Child Psychiatric Access Project</w:t>
      </w:r>
    </w:p>
    <w:p w:rsidR="006C4B4E" w:rsidRDefault="006C4B4E" w:rsidP="00533BB5">
      <w:pPr>
        <w:pStyle w:val="Partners"/>
      </w:pPr>
      <w:r>
        <w:t>MA Children’s Behavioral Health Initiative</w:t>
      </w:r>
    </w:p>
    <w:p w:rsidR="006C4B4E" w:rsidRPr="00AF0910" w:rsidRDefault="006C4B4E" w:rsidP="00533BB5">
      <w:pPr>
        <w:pStyle w:val="Partners"/>
      </w:pPr>
      <w:r>
        <w:t>MA Children’s Trust Fund</w:t>
      </w:r>
    </w:p>
    <w:p w:rsidR="004B20E5" w:rsidRDefault="00C36277" w:rsidP="00533BB5">
      <w:pPr>
        <w:pStyle w:val="Partners"/>
      </w:pPr>
      <w:r w:rsidRPr="00AF0910">
        <w:t>M</w:t>
      </w:r>
      <w:r>
        <w:t>A</w:t>
      </w:r>
      <w:r w:rsidRPr="00AF0910">
        <w:t xml:space="preserve"> </w:t>
      </w:r>
      <w:r w:rsidR="004B20E5" w:rsidRPr="00AF0910">
        <w:t>Dental Schools</w:t>
      </w:r>
    </w:p>
    <w:p w:rsidR="006C4B4E" w:rsidRDefault="006C4B4E" w:rsidP="00533BB5">
      <w:pPr>
        <w:pStyle w:val="Partners"/>
      </w:pPr>
      <w:r>
        <w:t>MA Department of Children and Families</w:t>
      </w:r>
    </w:p>
    <w:p w:rsidR="006C4B4E" w:rsidRDefault="006C4B4E" w:rsidP="00533BB5">
      <w:pPr>
        <w:pStyle w:val="Partners"/>
      </w:pPr>
      <w:r>
        <w:t>MA Department of Early Education and Care</w:t>
      </w:r>
    </w:p>
    <w:p w:rsidR="006C4B4E" w:rsidRDefault="006C4B4E" w:rsidP="00533BB5">
      <w:pPr>
        <w:pStyle w:val="Partners"/>
      </w:pPr>
      <w:r>
        <w:t>MA Department of Elementary and Secondary Education</w:t>
      </w:r>
    </w:p>
    <w:p w:rsidR="006C4B4E" w:rsidRDefault="006C4B4E" w:rsidP="00533BB5">
      <w:pPr>
        <w:pStyle w:val="Partners"/>
      </w:pPr>
      <w:r>
        <w:t>MA Department of Housing and Community Development</w:t>
      </w:r>
    </w:p>
    <w:p w:rsidR="006C4B4E" w:rsidRDefault="006C4B4E" w:rsidP="00533BB5">
      <w:pPr>
        <w:pStyle w:val="Partners"/>
      </w:pPr>
      <w:r>
        <w:t>MA Department of Mental Health</w:t>
      </w:r>
    </w:p>
    <w:p w:rsidR="006C4B4E" w:rsidRPr="00AF0910" w:rsidRDefault="006C4B4E" w:rsidP="00533BB5">
      <w:pPr>
        <w:pStyle w:val="Partners"/>
      </w:pPr>
      <w:r>
        <w:t>MA Department of Transitional Assistance</w:t>
      </w:r>
    </w:p>
    <w:p w:rsidR="004B20E5" w:rsidRDefault="00C36277" w:rsidP="00533BB5">
      <w:pPr>
        <w:pStyle w:val="Partners"/>
      </w:pPr>
      <w:r w:rsidRPr="00AF0910">
        <w:t>M</w:t>
      </w:r>
      <w:r>
        <w:t>A</w:t>
      </w:r>
      <w:r w:rsidRPr="00AF0910">
        <w:t xml:space="preserve"> </w:t>
      </w:r>
      <w:r w:rsidR="004B20E5" w:rsidRPr="00AF0910">
        <w:t>Hospital Association / Hospitals</w:t>
      </w:r>
    </w:p>
    <w:p w:rsidR="006C4B4E" w:rsidRPr="00AF0910" w:rsidRDefault="003120E8" w:rsidP="00533BB5">
      <w:pPr>
        <w:pStyle w:val="Partners"/>
      </w:pPr>
      <w:r>
        <w:t>Mass</w:t>
      </w:r>
      <w:r w:rsidR="006C4B4E">
        <w:t>Health</w:t>
      </w:r>
    </w:p>
    <w:p w:rsidR="004B20E5" w:rsidRPr="00AF0910" w:rsidRDefault="004B20E5" w:rsidP="00533BB5">
      <w:pPr>
        <w:pStyle w:val="Partners"/>
      </w:pPr>
      <w:r w:rsidRPr="00AF0910">
        <w:t>Mass Medical Society</w:t>
      </w:r>
    </w:p>
    <w:p w:rsidR="004B20E5" w:rsidRPr="00AF0910" w:rsidRDefault="00C36277" w:rsidP="00533BB5">
      <w:pPr>
        <w:pStyle w:val="Partners"/>
      </w:pPr>
      <w:r w:rsidRPr="00AF0910">
        <w:t>M</w:t>
      </w:r>
      <w:r>
        <w:t>A</w:t>
      </w:r>
      <w:r w:rsidRPr="00AF0910">
        <w:t xml:space="preserve"> </w:t>
      </w:r>
      <w:r w:rsidR="004B20E5" w:rsidRPr="00AF0910">
        <w:t>Breastfeeding Coalition</w:t>
      </w:r>
    </w:p>
    <w:p w:rsidR="004B20E5" w:rsidRPr="00AF0910" w:rsidRDefault="00C36277" w:rsidP="00533BB5">
      <w:pPr>
        <w:pStyle w:val="Partners"/>
      </w:pPr>
      <w:r w:rsidRPr="00AF0910">
        <w:t>M</w:t>
      </w:r>
      <w:r>
        <w:t>A</w:t>
      </w:r>
      <w:r w:rsidRPr="00AF0910">
        <w:t xml:space="preserve"> </w:t>
      </w:r>
      <w:r w:rsidR="004B20E5" w:rsidRPr="00AF0910">
        <w:t>Dental Society</w:t>
      </w:r>
    </w:p>
    <w:p w:rsidR="004B20E5" w:rsidRPr="00AF0910" w:rsidRDefault="004B20E5" w:rsidP="00533BB5">
      <w:pPr>
        <w:pStyle w:val="Partners"/>
      </w:pPr>
      <w:r w:rsidRPr="00AF0910">
        <w:t>MassHealth</w:t>
      </w:r>
    </w:p>
    <w:p w:rsidR="004B20E5" w:rsidRPr="00AF0910" w:rsidRDefault="004B20E5" w:rsidP="00533BB5">
      <w:pPr>
        <w:pStyle w:val="Partners"/>
      </w:pPr>
      <w:r w:rsidRPr="00AF0910">
        <w:t>Neonatal Quality Improvement Collaborative</w:t>
      </w:r>
    </w:p>
    <w:p w:rsidR="004B20E5" w:rsidRPr="00AF0910" w:rsidRDefault="004B20E5" w:rsidP="00533BB5">
      <w:pPr>
        <w:pStyle w:val="Partners"/>
      </w:pPr>
      <w:r w:rsidRPr="00AF0910">
        <w:t>North</w:t>
      </w:r>
      <w:r>
        <w:t>e</w:t>
      </w:r>
      <w:r w:rsidRPr="00AF0910">
        <w:t>astern University – BBUSOM program</w:t>
      </w:r>
    </w:p>
    <w:p w:rsidR="004B20E5" w:rsidRPr="00AF0910" w:rsidRDefault="004B20E5" w:rsidP="00533BB5">
      <w:pPr>
        <w:pStyle w:val="Partners"/>
      </w:pPr>
      <w:r w:rsidRPr="00AF0910">
        <w:t>North</w:t>
      </w:r>
      <w:r>
        <w:t>e</w:t>
      </w:r>
      <w:r w:rsidRPr="00AF0910">
        <w:t>astern University – Gabby System</w:t>
      </w:r>
    </w:p>
    <w:p w:rsidR="009170FB" w:rsidRDefault="009170FB" w:rsidP="00533BB5">
      <w:pPr>
        <w:pStyle w:val="Partners"/>
      </w:pPr>
      <w:r>
        <w:t>Nurse Midwives</w:t>
      </w:r>
    </w:p>
    <w:p w:rsidR="004B20E5" w:rsidRPr="00AF0910" w:rsidRDefault="004B20E5" w:rsidP="00533BB5">
      <w:pPr>
        <w:pStyle w:val="Partners"/>
      </w:pPr>
      <w:r w:rsidRPr="00AF0910">
        <w:t>Pharmacies</w:t>
      </w:r>
    </w:p>
    <w:p w:rsidR="004B20E5" w:rsidRPr="00AF0910" w:rsidRDefault="004B20E5" w:rsidP="00533BB5">
      <w:pPr>
        <w:pStyle w:val="Partners"/>
      </w:pPr>
      <w:r w:rsidRPr="00AF0910">
        <w:t>Post-Partum Depression Commission</w:t>
      </w:r>
    </w:p>
    <w:p w:rsidR="004B20E5" w:rsidRPr="00AF0910" w:rsidRDefault="004B20E5" w:rsidP="00533BB5">
      <w:pPr>
        <w:pStyle w:val="Partners"/>
      </w:pPr>
      <w:r w:rsidRPr="00AF0910">
        <w:t>Private Health Insurers</w:t>
      </w:r>
    </w:p>
    <w:p w:rsidR="004B20E5" w:rsidRPr="00AF0910" w:rsidRDefault="004B20E5" w:rsidP="00533BB5">
      <w:pPr>
        <w:pStyle w:val="Partners"/>
      </w:pPr>
      <w:r w:rsidRPr="00AF0910">
        <w:t>School Health Services/School Nurses</w:t>
      </w:r>
    </w:p>
    <w:p w:rsidR="004B20E5" w:rsidRPr="00AF0910" w:rsidRDefault="004B20E5" w:rsidP="00533BB5">
      <w:pPr>
        <w:pStyle w:val="Partners"/>
      </w:pPr>
      <w:r w:rsidRPr="00AF0910">
        <w:t>School-Based Health Centers</w:t>
      </w:r>
    </w:p>
    <w:p w:rsidR="004B20E5" w:rsidRPr="00AF0910" w:rsidRDefault="004B20E5" w:rsidP="00533BB5">
      <w:pPr>
        <w:pStyle w:val="Partners"/>
      </w:pPr>
      <w:r w:rsidRPr="00AF0910">
        <w:t>Schools</w:t>
      </w:r>
    </w:p>
    <w:p w:rsidR="004B20E5" w:rsidRPr="00AF0910" w:rsidRDefault="004B20E5" w:rsidP="00533BB5">
      <w:pPr>
        <w:pStyle w:val="Partners"/>
      </w:pPr>
      <w:r w:rsidRPr="00AF0910">
        <w:t>Strategies for Children</w:t>
      </w:r>
    </w:p>
    <w:p w:rsidR="004B20E5" w:rsidRPr="00AF0910" w:rsidRDefault="004B20E5" w:rsidP="00533BB5">
      <w:pPr>
        <w:pStyle w:val="Partners"/>
      </w:pPr>
      <w:r w:rsidRPr="00AF0910">
        <w:t>Teen Pregnancy Prevention Community based providers</w:t>
      </w:r>
    </w:p>
    <w:p w:rsidR="006C4B4E" w:rsidRDefault="006C4B4E" w:rsidP="00533BB5">
      <w:pPr>
        <w:pStyle w:val="Partners"/>
      </w:pPr>
      <w:r>
        <w:t>United Way</w:t>
      </w:r>
    </w:p>
    <w:p w:rsidR="004B20E5" w:rsidRPr="00AF0910" w:rsidRDefault="004B20E5" w:rsidP="00533BB5">
      <w:pPr>
        <w:pStyle w:val="Partners"/>
      </w:pPr>
      <w:r w:rsidRPr="00AF0910">
        <w:t>Women’s &amp; Men’s Service Organizations and support groups</w:t>
      </w:r>
    </w:p>
    <w:p w:rsidR="004B20E5" w:rsidRPr="00AF0910" w:rsidRDefault="004B20E5" w:rsidP="00533BB5">
      <w:pPr>
        <w:pStyle w:val="Partners"/>
      </w:pPr>
      <w:r w:rsidRPr="00AF0910">
        <w:t>Youth Serving Organizations</w:t>
      </w:r>
    </w:p>
    <w:p w:rsidR="004B20E5" w:rsidRDefault="004B20E5" w:rsidP="003B032A">
      <w:pPr>
        <w:rPr>
          <w:rFonts w:cs="Arial"/>
          <w:b/>
          <w:smallCaps/>
        </w:rPr>
      </w:pPr>
    </w:p>
    <w:p w:rsidR="004B20E5" w:rsidRDefault="004B20E5">
      <w:pPr>
        <w:spacing w:after="200" w:line="276" w:lineRule="auto"/>
        <w:rPr>
          <w:rFonts w:cs="Arial"/>
        </w:rPr>
        <w:sectPr w:rsidR="004B20E5" w:rsidSect="000D3A34">
          <w:headerReference w:type="even" r:id="rId38"/>
          <w:headerReference w:type="default" r:id="rId39"/>
          <w:footerReference w:type="default" r:id="rId40"/>
          <w:headerReference w:type="first" r:id="rId41"/>
          <w:endnotePr>
            <w:numFmt w:val="decimal"/>
          </w:endnotePr>
          <w:pgSz w:w="12240" w:h="15840" w:code="1"/>
          <w:pgMar w:top="1080" w:right="1080" w:bottom="1080" w:left="1080" w:header="648" w:footer="504" w:gutter="0"/>
          <w:cols w:space="720"/>
          <w:docGrid w:linePitch="360"/>
        </w:sectPr>
      </w:pPr>
    </w:p>
    <w:p w:rsidR="004B20E5" w:rsidRPr="0046149F" w:rsidRDefault="004B20E5">
      <w:pPr>
        <w:spacing w:after="200" w:line="276" w:lineRule="auto"/>
        <w:rPr>
          <w:rFonts w:cs="Arial"/>
        </w:rPr>
      </w:pPr>
    </w:p>
    <w:p w:rsidR="004B20E5" w:rsidRPr="0046149F" w:rsidRDefault="004B20E5" w:rsidP="00107245">
      <w:pPr>
        <w:pStyle w:val="Heading2"/>
      </w:pPr>
      <w:bookmarkStart w:id="54" w:name="_Toc398819280"/>
      <w:r>
        <w:t>Domain</w:t>
      </w:r>
      <w:r w:rsidRPr="0046149F">
        <w:t xml:space="preserve"> 7:  </w:t>
      </w:r>
      <w:bookmarkEnd w:id="54"/>
      <w:r w:rsidR="00CC4FA8">
        <w:t>Environmental Risk Factors and Health</w:t>
      </w:r>
    </w:p>
    <w:p w:rsidR="004B20E5" w:rsidRDefault="004B20E5" w:rsidP="00CB2B0E">
      <w:pPr>
        <w:pStyle w:val="GoalStatement"/>
      </w:pPr>
    </w:p>
    <w:p w:rsidR="004B20E5" w:rsidRDefault="004B20E5" w:rsidP="00CB2B0E">
      <w:pPr>
        <w:pStyle w:val="GoalStatement"/>
      </w:pPr>
      <w:r w:rsidRPr="0046149F">
        <w:t>Prevent and reduce environmental risk factors (or hazards) in home, school, work and community environments to achieve optimal health and wellbeing.</w:t>
      </w:r>
    </w:p>
    <w:p w:rsidR="004B20E5" w:rsidRDefault="004B20E5" w:rsidP="00CB2B0E">
      <w:pPr>
        <w:pStyle w:val="GoalStatement"/>
      </w:pPr>
    </w:p>
    <w:p w:rsidR="004B20E5" w:rsidRDefault="004B20E5" w:rsidP="00CB2B0E">
      <w:pPr>
        <w:pStyle w:val="GoalStatement"/>
      </w:pPr>
      <w:r>
        <w:t>Why This Domain Is Important for Massachusetts:</w:t>
      </w:r>
    </w:p>
    <w:p w:rsidR="004B20E5" w:rsidRDefault="004B20E5" w:rsidP="004846D5">
      <w:pPr>
        <w:pStyle w:val="BodyText"/>
      </w:pPr>
      <w:r w:rsidRPr="002269B5">
        <w:rPr>
          <w:b/>
        </w:rPr>
        <w:t xml:space="preserve">Burden (Where We Are):  </w:t>
      </w:r>
      <w:r>
        <w:t>Massachusetts residents have long been concerned about potential health effects from multi-media environmental exposure</w:t>
      </w:r>
      <w:r w:rsidR="00121531">
        <w:t>s</w:t>
      </w:r>
      <w:r>
        <w:t xml:space="preserve">. Today, the </w:t>
      </w:r>
      <w:r w:rsidR="009F3D12">
        <w:t>M</w:t>
      </w:r>
      <w:r>
        <w:t>DPH’s Bureau of Environmental Health has jurisdiction for about 40 percent of the Department’s statutory and regulatory responsibilities, including food safety, enforcement of the Massachusetts Lead Law, minimum standards for housing, the control of radioactive materials, and a range of recreational activities associated with pools, camps, beaches, and more. The Department’s Bureau of Community Health and Prevention also tracks some occupational health outcomes. Massachusetts ranks second nationwide for old housing stock, a major source of childhood lead poisoning. In calendar year 2013, nearly 7,000 Massachusetts children had blood lead levels above the Center</w:t>
      </w:r>
      <w:r w:rsidR="00121531">
        <w:t>s</w:t>
      </w:r>
      <w:r>
        <w:t xml:space="preserve"> for Disease Control</w:t>
      </w:r>
      <w:r w:rsidR="00121531">
        <w:t xml:space="preserve"> and Prevention</w:t>
      </w:r>
      <w:r>
        <w:t>’s reference value of 5 μg/dL. Adults are also at risk of lead exposure</w:t>
      </w:r>
      <w:r w:rsidR="00121531">
        <w:t>,</w:t>
      </w:r>
      <w:r>
        <w:t xml:space="preserve"> predominantly at work.  In addition, asthma among Massachusetts residents is among the highest in the country, with about 1 in 10 Massachusetts children having a diagnosis of asthma. Certain cancer types are higher in Massachusetts than nationally (e.g., breast cancer among women; bladder cancer among men). Climate change effects, such as increasing air and water temperatures, are resulting in greater numbers of foodborne illness outbreaks, including </w:t>
      </w:r>
      <w:r w:rsidR="00121531">
        <w:t xml:space="preserve">due </w:t>
      </w:r>
      <w:r>
        <w:t xml:space="preserve">to the </w:t>
      </w:r>
      <w:r>
        <w:rPr>
          <w:i/>
          <w:iCs/>
        </w:rPr>
        <w:t>Vibrio parah</w:t>
      </w:r>
      <w:r w:rsidR="00121531">
        <w:rPr>
          <w:i/>
          <w:iCs/>
        </w:rPr>
        <w:t>a</w:t>
      </w:r>
      <w:r>
        <w:rPr>
          <w:i/>
          <w:iCs/>
        </w:rPr>
        <w:t>emolyticus</w:t>
      </w:r>
      <w:r>
        <w:t xml:space="preserve"> bacteria. Climate effects are also resulting in more extreme weather events, causing mold/moisture issues in residences and buildings due to flooding, and increased ambient air quality issues, affecting respiratory and cardiovascular outcomes.</w:t>
      </w:r>
    </w:p>
    <w:p w:rsidR="004B20E5" w:rsidRPr="002269B5" w:rsidRDefault="004B20E5" w:rsidP="004846D5">
      <w:pPr>
        <w:pStyle w:val="BodyText"/>
      </w:pPr>
      <w:r w:rsidRPr="005B7F01">
        <w:rPr>
          <w:b/>
        </w:rPr>
        <w:t xml:space="preserve">Result (How This Affects Us): </w:t>
      </w:r>
      <w:r>
        <w:t xml:space="preserve">Elevated blood lead levels among children can result in permanent neurodevelopmental effects. Lead can also impact the health of adults occupationally exposed.  Poor indoor or outdoor air quality can result in exacerbation of respiratory outcomes, such as asthma, and other effects. Changing climate conditions will most strongly be felt on the local level, where more training and planning for adaptation strategies will be required, particularly in addressing issues related to populations and communities most at risk.  Foodborne illness outbreaks can result in hospitalizations or even death, as well as have a severe effect on the local food establishment industry. Tracking of diseases potentially related to environmental exposures becomes even more critical to identify potential causes to eliminate or mitigate them. </w:t>
      </w:r>
    </w:p>
    <w:p w:rsidR="004B20E5" w:rsidRPr="002269B5" w:rsidRDefault="004B20E5" w:rsidP="004846D5">
      <w:pPr>
        <w:pStyle w:val="BodyText"/>
      </w:pPr>
      <w:r w:rsidRPr="002269B5">
        <w:rPr>
          <w:b/>
        </w:rPr>
        <w:t xml:space="preserve">Action (What We Can Do): </w:t>
      </w:r>
      <w:r w:rsidRPr="002269B5">
        <w:t xml:space="preserve"> Whether it is enforcing regulations, evaluating contamination in our environment, or conducting community health assessments, preventing or mitigating environmental exposure</w:t>
      </w:r>
      <w:r w:rsidR="00B46E6F">
        <w:t>s</w:t>
      </w:r>
      <w:r w:rsidRPr="002269B5">
        <w:t xml:space="preserve"> is an important component of maintaining and improving the public’s health.</w:t>
      </w:r>
      <w:r w:rsidR="00B46E6F">
        <w:t xml:space="preserve"> </w:t>
      </w:r>
      <w:r>
        <w:t xml:space="preserve">Increasing the capacity of local health departments to enforce local health regulations pertaining to food safety and housing, and increasing their awareness and resources to address climate change are critical strategies.  Local community partners can play an important role in reducing child lead exposure, and improving indoor air quality, housing conditions, food safety, and vector-borne illness due to climate change.  </w:t>
      </w:r>
    </w:p>
    <w:p w:rsidR="004B20E5" w:rsidRDefault="004B20E5" w:rsidP="005C61F7">
      <w:r>
        <w:br w:type="page"/>
      </w:r>
    </w:p>
    <w:p w:rsidR="004B20E5" w:rsidRPr="0046149F" w:rsidRDefault="004B20E5" w:rsidP="005C61F7"/>
    <w:p w:rsidR="004B20E5" w:rsidRDefault="004B20E5" w:rsidP="00CB2B0E">
      <w:pPr>
        <w:pStyle w:val="StandardStatement"/>
      </w:pPr>
      <w:r>
        <w:t>Standard 7A:</w:t>
      </w:r>
      <w:r>
        <w:tab/>
        <w:t>Reduce exposure to lead in children and adults to prevent deleterious health impacts.</w:t>
      </w:r>
    </w:p>
    <w:p w:rsidR="004B20E5" w:rsidRDefault="004B20E5" w:rsidP="00CF417D">
      <w:pPr>
        <w:pStyle w:val="BodyText"/>
      </w:pPr>
    </w:p>
    <w:p w:rsidR="004B20E5" w:rsidRDefault="00F03799" w:rsidP="00CB2B0E">
      <w:pPr>
        <w:pStyle w:val="ObjectiveStatement"/>
      </w:pPr>
      <w:r>
        <w:rPr>
          <w:noProof/>
        </w:rPr>
        <w:drawing>
          <wp:anchor distT="0" distB="0" distL="114300" distR="114300" simplePos="0" relativeHeight="251648000" behindDoc="0" locked="0" layoutInCell="1" allowOverlap="1" wp14:anchorId="2715CC72" wp14:editId="0A50EE2F">
            <wp:simplePos x="0" y="0"/>
            <wp:positionH relativeFrom="column">
              <wp:posOffset>0</wp:posOffset>
            </wp:positionH>
            <wp:positionV relativeFrom="paragraph">
              <wp:posOffset>594360</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t>Measure 7.1:</w:t>
      </w:r>
      <w:r w:rsidR="004B20E5">
        <w:tab/>
        <w:t xml:space="preserve">Increase blood level screening rates in high-risk communities (as defined by low socioeconomic status, percent of old housing stock, and other factors) by 10% (relative). </w:t>
      </w:r>
    </w:p>
    <w:p w:rsidR="004B20E5" w:rsidRDefault="004B20E5" w:rsidP="0093661D">
      <w:pPr>
        <w:pStyle w:val="StrategiesCategoryTitles"/>
      </w:pP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773D22">
        <w:trPr>
          <w:cantSplit/>
        </w:trPr>
        <w:tc>
          <w:tcPr>
            <w:tcW w:w="1329" w:type="pct"/>
            <w:tcBorders>
              <w:top w:val="single" w:sz="4" w:space="0" w:color="auto"/>
              <w:bottom w:val="single" w:sz="4" w:space="0" w:color="auto"/>
            </w:tcBorders>
            <w:vAlign w:val="center"/>
          </w:tcPr>
          <w:p w:rsidR="004B20E5" w:rsidRPr="00666093" w:rsidRDefault="004B20E5" w:rsidP="00B6039F">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773D22">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773D22">
            <w:pPr>
              <w:pStyle w:val="TableTitleBaseline2020Target"/>
            </w:pPr>
            <w:r w:rsidRPr="00666093">
              <w:t>2020 Target</w:t>
            </w:r>
          </w:p>
        </w:tc>
        <w:tc>
          <w:tcPr>
            <w:tcW w:w="1861" w:type="pct"/>
            <w:tcBorders>
              <w:top w:val="single" w:sz="4" w:space="0" w:color="auto"/>
              <w:bottom w:val="single" w:sz="4" w:space="0" w:color="auto"/>
            </w:tcBorders>
            <w:vAlign w:val="center"/>
          </w:tcPr>
          <w:p w:rsidR="004B20E5" w:rsidRPr="00666093" w:rsidRDefault="004B20E5" w:rsidP="00773D22">
            <w:pPr>
              <w:pStyle w:val="TableTitleTargetDataSource"/>
            </w:pPr>
            <w:r w:rsidRPr="00666093">
              <w:t>Data Source</w:t>
            </w:r>
          </w:p>
        </w:tc>
      </w:tr>
      <w:tr w:rsidR="004B20E5" w:rsidRPr="00666093" w:rsidTr="00773D22">
        <w:trPr>
          <w:cantSplit/>
        </w:trPr>
        <w:tc>
          <w:tcPr>
            <w:tcW w:w="1329" w:type="pct"/>
            <w:tcBorders>
              <w:top w:val="single" w:sz="4" w:space="0" w:color="auto"/>
              <w:bottom w:val="single" w:sz="4" w:space="0" w:color="auto"/>
            </w:tcBorders>
            <w:vAlign w:val="center"/>
          </w:tcPr>
          <w:p w:rsidR="004B20E5" w:rsidRDefault="004B20E5" w:rsidP="00773D22">
            <w:pPr>
              <w:pStyle w:val="TableOutcomeMeasure"/>
            </w:pPr>
            <w:r>
              <w:t>Children 9-48 months</w:t>
            </w:r>
          </w:p>
        </w:tc>
        <w:tc>
          <w:tcPr>
            <w:tcW w:w="905" w:type="pct"/>
            <w:tcBorders>
              <w:top w:val="single" w:sz="4" w:space="0" w:color="auto"/>
              <w:bottom w:val="single" w:sz="4" w:space="0" w:color="auto"/>
            </w:tcBorders>
            <w:vAlign w:val="center"/>
          </w:tcPr>
          <w:p w:rsidR="004B20E5" w:rsidRDefault="004B20E5" w:rsidP="00773D22">
            <w:pPr>
              <w:pStyle w:val="TableBaseline2020Target"/>
            </w:pPr>
            <w:r>
              <w:t>80%</w:t>
            </w:r>
          </w:p>
        </w:tc>
        <w:tc>
          <w:tcPr>
            <w:tcW w:w="905" w:type="pct"/>
            <w:tcBorders>
              <w:top w:val="single" w:sz="4" w:space="0" w:color="auto"/>
              <w:bottom w:val="single" w:sz="4" w:space="0" w:color="auto"/>
            </w:tcBorders>
            <w:vAlign w:val="center"/>
          </w:tcPr>
          <w:p w:rsidR="004B20E5" w:rsidRDefault="004B20E5" w:rsidP="00773D22">
            <w:pPr>
              <w:pStyle w:val="TableBaseline2020Target"/>
            </w:pPr>
            <w:r>
              <w:t>88%</w:t>
            </w:r>
          </w:p>
        </w:tc>
        <w:tc>
          <w:tcPr>
            <w:tcW w:w="1861" w:type="pct"/>
            <w:tcBorders>
              <w:top w:val="single" w:sz="4" w:space="0" w:color="auto"/>
              <w:bottom w:val="single" w:sz="4" w:space="0" w:color="auto"/>
            </w:tcBorders>
            <w:vAlign w:val="center"/>
          </w:tcPr>
          <w:p w:rsidR="004B20E5" w:rsidRDefault="004B20E5" w:rsidP="00773D22">
            <w:pPr>
              <w:pStyle w:val="TableDataSource"/>
            </w:pPr>
            <w:r>
              <w:t>Childhood Lead Poisoning Prevention database</w:t>
            </w:r>
            <w:r w:rsidR="00B46E6F">
              <w:t xml:space="preserve"> </w:t>
            </w:r>
            <w:r>
              <w:t>(2013)</w:t>
            </w:r>
          </w:p>
        </w:tc>
      </w:tr>
    </w:tbl>
    <w:p w:rsidR="004B20E5" w:rsidRPr="009E570C" w:rsidRDefault="004B20E5" w:rsidP="00554FCB">
      <w:pPr>
        <w:pStyle w:val="Strategi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7"/>
        <w:gridCol w:w="6212"/>
      </w:tblGrid>
      <w:tr w:rsidR="004B20E5" w:rsidRPr="00666093" w:rsidDel="00F67FD0" w:rsidTr="00CF417D">
        <w:trPr>
          <w:cantSplit/>
        </w:trPr>
        <w:tc>
          <w:tcPr>
            <w:tcW w:w="1328" w:type="pct"/>
            <w:tcBorders>
              <w:top w:val="single" w:sz="4" w:space="0" w:color="auto"/>
            </w:tcBorders>
          </w:tcPr>
          <w:p w:rsidR="004B20E5" w:rsidRPr="009171C7" w:rsidDel="00F67FD0" w:rsidRDefault="004B20E5" w:rsidP="00CF417D">
            <w:pPr>
              <w:pStyle w:val="TableTitleNumeratoretc"/>
            </w:pPr>
            <w:r w:rsidRPr="00A367E5">
              <w:t>Numerator</w:t>
            </w:r>
            <w:r>
              <w:t>:</w:t>
            </w:r>
          </w:p>
        </w:tc>
        <w:tc>
          <w:tcPr>
            <w:tcW w:w="3672" w:type="pct"/>
            <w:tcBorders>
              <w:top w:val="single" w:sz="4" w:space="0" w:color="auto"/>
            </w:tcBorders>
            <w:vAlign w:val="center"/>
          </w:tcPr>
          <w:p w:rsidR="004B20E5" w:rsidRDefault="004B20E5" w:rsidP="00CF417D">
            <w:pPr>
              <w:pStyle w:val="TableOutcomeMeasure"/>
            </w:pPr>
            <w:r>
              <w:t xml:space="preserve">Number of children 9-48 months </w:t>
            </w:r>
            <w:r w:rsidR="00B46E6F">
              <w:t xml:space="preserve">of age </w:t>
            </w:r>
            <w:r>
              <w:t>screened for lead in Massachusetts high-risk communities</w:t>
            </w:r>
          </w:p>
        </w:tc>
      </w:tr>
      <w:tr w:rsidR="004B20E5" w:rsidRPr="00666093" w:rsidDel="00F67FD0" w:rsidTr="00CF417D">
        <w:trPr>
          <w:cantSplit/>
        </w:trPr>
        <w:tc>
          <w:tcPr>
            <w:tcW w:w="1328" w:type="pct"/>
          </w:tcPr>
          <w:p w:rsidR="004B20E5" w:rsidRPr="009171C7" w:rsidDel="00F67FD0" w:rsidRDefault="004B20E5" w:rsidP="00CF417D">
            <w:pPr>
              <w:pStyle w:val="TableTitleNumeratoretc"/>
            </w:pPr>
            <w:r w:rsidRPr="00A367E5">
              <w:t>Denominator</w:t>
            </w:r>
            <w:r>
              <w:t>:</w:t>
            </w:r>
          </w:p>
        </w:tc>
        <w:tc>
          <w:tcPr>
            <w:tcW w:w="3672" w:type="pct"/>
            <w:vAlign w:val="center"/>
          </w:tcPr>
          <w:p w:rsidR="004B20E5" w:rsidRDefault="004B20E5" w:rsidP="00CF417D">
            <w:pPr>
              <w:pStyle w:val="TableOutcomeMeasure"/>
            </w:pPr>
            <w:r>
              <w:t xml:space="preserve">Population of children 9-48 months </w:t>
            </w:r>
            <w:r w:rsidR="00B46E6F">
              <w:t xml:space="preserve">of age </w:t>
            </w:r>
            <w:r>
              <w:t>in Massachusetts high-risk communities</w:t>
            </w:r>
          </w:p>
        </w:tc>
      </w:tr>
      <w:tr w:rsidR="004B20E5" w:rsidRPr="00666093" w:rsidDel="00F67FD0" w:rsidTr="00CF417D">
        <w:trPr>
          <w:cantSplit/>
        </w:trPr>
        <w:tc>
          <w:tcPr>
            <w:tcW w:w="1328" w:type="pct"/>
          </w:tcPr>
          <w:p w:rsidR="004B20E5" w:rsidRPr="009171C7" w:rsidDel="00F67FD0" w:rsidRDefault="004B20E5" w:rsidP="00CF417D">
            <w:pPr>
              <w:pStyle w:val="TableTitleNumeratoretc"/>
            </w:pPr>
            <w:r w:rsidRPr="00A367E5">
              <w:t>Exclusions</w:t>
            </w:r>
            <w:r>
              <w:t>:</w:t>
            </w:r>
          </w:p>
        </w:tc>
        <w:tc>
          <w:tcPr>
            <w:tcW w:w="3672" w:type="pct"/>
            <w:vAlign w:val="center"/>
          </w:tcPr>
          <w:p w:rsidR="004B20E5" w:rsidRDefault="004B20E5" w:rsidP="00CF417D">
            <w:pPr>
              <w:pStyle w:val="TableOutcomeMeasure"/>
            </w:pPr>
            <w:r>
              <w:t>Children under 9 months and over 48 months of age</w:t>
            </w:r>
          </w:p>
        </w:tc>
      </w:tr>
      <w:tr w:rsidR="004B20E5" w:rsidRPr="00666093" w:rsidDel="00F67FD0" w:rsidTr="00CF417D">
        <w:trPr>
          <w:cantSplit/>
        </w:trPr>
        <w:tc>
          <w:tcPr>
            <w:tcW w:w="1328" w:type="pct"/>
            <w:vAlign w:val="center"/>
          </w:tcPr>
          <w:p w:rsidR="004B20E5" w:rsidRPr="009171C7" w:rsidDel="00F67FD0" w:rsidRDefault="004B20E5" w:rsidP="00CF417D">
            <w:pPr>
              <w:pStyle w:val="TableTitleNumeratoretc"/>
            </w:pPr>
            <w:r w:rsidRPr="00F67FD0">
              <w:t>Timeframe</w:t>
            </w:r>
            <w:r>
              <w:t>:</w:t>
            </w:r>
          </w:p>
        </w:tc>
        <w:tc>
          <w:tcPr>
            <w:tcW w:w="3672" w:type="pct"/>
            <w:vAlign w:val="center"/>
          </w:tcPr>
          <w:p w:rsidR="004B20E5" w:rsidRDefault="004B20E5" w:rsidP="00CF417D">
            <w:pPr>
              <w:pStyle w:val="TableOutcomeMeasure"/>
            </w:pPr>
            <w:r>
              <w:t xml:space="preserve">Annual </w:t>
            </w:r>
          </w:p>
        </w:tc>
      </w:tr>
      <w:tr w:rsidR="004B20E5" w:rsidRPr="00666093" w:rsidDel="00F67FD0" w:rsidTr="00CF417D">
        <w:trPr>
          <w:cantSplit/>
        </w:trPr>
        <w:tc>
          <w:tcPr>
            <w:tcW w:w="1328" w:type="pct"/>
            <w:tcBorders>
              <w:bottom w:val="single" w:sz="4" w:space="0" w:color="auto"/>
            </w:tcBorders>
            <w:vAlign w:val="center"/>
          </w:tcPr>
          <w:p w:rsidR="004B20E5" w:rsidRPr="009171C7" w:rsidDel="00F67FD0" w:rsidRDefault="004B20E5" w:rsidP="00CF417D">
            <w:pPr>
              <w:pStyle w:val="TableTitleNumeratoretc"/>
            </w:pPr>
            <w:r w:rsidRPr="00F67FD0">
              <w:t>How will this be measured?</w:t>
            </w:r>
          </w:p>
        </w:tc>
        <w:tc>
          <w:tcPr>
            <w:tcW w:w="3672" w:type="pct"/>
            <w:tcBorders>
              <w:bottom w:val="single" w:sz="4" w:space="0" w:color="auto"/>
            </w:tcBorders>
            <w:vAlign w:val="center"/>
          </w:tcPr>
          <w:p w:rsidR="004B20E5" w:rsidRDefault="004B20E5" w:rsidP="00CF417D">
            <w:pPr>
              <w:pStyle w:val="TableOutcomeMeasure"/>
            </w:pPr>
            <w:r>
              <w:t>Track 5-year average annual screening rate (2015-2020)</w:t>
            </w:r>
          </w:p>
          <w:p w:rsidR="004B20E5" w:rsidRDefault="004B20E5" w:rsidP="00CF417D">
            <w:pPr>
              <w:pStyle w:val="TableOutcomeMeasure"/>
            </w:pPr>
          </w:p>
        </w:tc>
      </w:tr>
    </w:tbl>
    <w:p w:rsidR="004B20E5" w:rsidRDefault="004B20E5" w:rsidP="007348F7">
      <w:pPr>
        <w:pStyle w:val="StrategiesCategoryTitles"/>
      </w:pPr>
    </w:p>
    <w:p w:rsidR="004B20E5" w:rsidRDefault="004B20E5" w:rsidP="007C27A3">
      <w:pPr>
        <w:pStyle w:val="TableTenEssenHlthFunct"/>
      </w:pPr>
      <w:r>
        <w:t xml:space="preserve">Inform, Educate, and Empower People About Health Issues </w:t>
      </w:r>
    </w:p>
    <w:p w:rsidR="004B20E5" w:rsidRDefault="004B20E5" w:rsidP="00D00411">
      <w:pPr>
        <w:pStyle w:val="TableStrategiesunderHealthFunctions"/>
      </w:pPr>
      <w:r>
        <w:t>7.1.1</w:t>
      </w:r>
      <w:r>
        <w:tab/>
      </w:r>
      <w:r w:rsidRPr="00C662D9">
        <w:t>Use existing coalitions and collaborations to develop programs to target all children under six years of age</w:t>
      </w:r>
      <w:r>
        <w:t>.</w:t>
      </w:r>
    </w:p>
    <w:p w:rsidR="004B20E5" w:rsidRPr="006256D0" w:rsidRDefault="004B20E5" w:rsidP="007348F7">
      <w:pPr>
        <w:pStyle w:val="Strategiessubbullets"/>
      </w:pPr>
      <w:r>
        <w:t>Use blood lead poisoning surveillance data to identify the</w:t>
      </w:r>
      <w:r w:rsidRPr="00C662D9">
        <w:t xml:space="preserve"> highest risk populations in urban areas, such as minority</w:t>
      </w:r>
      <w:r>
        <w:t xml:space="preserve"> populations in larger cities, in schools, and in out-of-school time programs to promote environmental justice.</w:t>
      </w:r>
    </w:p>
    <w:p w:rsidR="004B20E5" w:rsidRDefault="004B20E5" w:rsidP="007C27A3">
      <w:pPr>
        <w:pStyle w:val="TableTenEssenHlthFunct"/>
      </w:pPr>
      <w:r>
        <w:t>Mobilize Community Partnerships to Identify and Solve Health Problems</w:t>
      </w:r>
    </w:p>
    <w:p w:rsidR="004B20E5" w:rsidRDefault="004B20E5" w:rsidP="00D00411">
      <w:pPr>
        <w:pStyle w:val="TableStrategiesunderHealthFunctions"/>
      </w:pPr>
      <w:r>
        <w:t>7.1.2</w:t>
      </w:r>
      <w:r>
        <w:tab/>
      </w:r>
      <w:r w:rsidRPr="00C662D9">
        <w:t xml:space="preserve">Reach out to Head Start program and others using new CDC </w:t>
      </w:r>
      <w:r>
        <w:t xml:space="preserve">guidance on </w:t>
      </w:r>
      <w:r w:rsidRPr="00C662D9">
        <w:t>reference value</w:t>
      </w:r>
      <w:r>
        <w:t>s</w:t>
      </w:r>
      <w:r w:rsidRPr="00C662D9">
        <w:t xml:space="preserve"> to convey renewed interest in education and screening.</w:t>
      </w:r>
      <w:r w:rsidRPr="00492B45">
        <w:tab/>
      </w:r>
    </w:p>
    <w:p w:rsidR="004B20E5" w:rsidRPr="006256D0" w:rsidRDefault="004B20E5" w:rsidP="00D00411">
      <w:pPr>
        <w:pStyle w:val="TableStrategiesunderHealthFunctions"/>
      </w:pPr>
      <w:r>
        <w:t xml:space="preserve">7.1.3 </w:t>
      </w:r>
      <w:r>
        <w:tab/>
        <w:t>Explore partnerships (e.g., Healthy Homes, Fair Housing, Get the Lead Out) to expand the number of properties inspected and revise the protocols to include integration of lead and asthma.</w:t>
      </w:r>
    </w:p>
    <w:p w:rsidR="004B20E5" w:rsidRDefault="004B20E5" w:rsidP="007C27A3">
      <w:pPr>
        <w:pStyle w:val="TableTenEssenHlthFunct"/>
      </w:pPr>
      <w:r>
        <w:t xml:space="preserve">Develop Policies and Plans That Support Individual and Community Health Efforts </w:t>
      </w:r>
    </w:p>
    <w:p w:rsidR="004B20E5" w:rsidRPr="006256D0" w:rsidRDefault="004B20E5" w:rsidP="00D00411">
      <w:pPr>
        <w:pStyle w:val="TableStrategiesunderHealthFunctions"/>
      </w:pPr>
      <w:r>
        <w:t xml:space="preserve">7.1.4 </w:t>
      </w:r>
      <w:r w:rsidRPr="00C662D9">
        <w:tab/>
      </w:r>
      <w:r>
        <w:t>R</w:t>
      </w:r>
      <w:r w:rsidRPr="00C662D9">
        <w:t>evise MDPH regulat</w:t>
      </w:r>
      <w:r>
        <w:t>ions</w:t>
      </w:r>
      <w:r w:rsidR="00B46E6F">
        <w:t xml:space="preserve"> </w:t>
      </w:r>
      <w:r>
        <w:t>to address</w:t>
      </w:r>
      <w:r w:rsidRPr="00C662D9">
        <w:t xml:space="preserve"> blood lead poisoning </w:t>
      </w:r>
      <w:r>
        <w:t xml:space="preserve">reference values in alignment </w:t>
      </w:r>
      <w:r w:rsidRPr="00C662D9">
        <w:t xml:space="preserve">with </w:t>
      </w:r>
      <w:r>
        <w:t>CDC</w:t>
      </w:r>
      <w:r w:rsidR="00B46E6F">
        <w:t xml:space="preserve"> </w:t>
      </w:r>
      <w:r>
        <w:t>recommendations.</w:t>
      </w:r>
    </w:p>
    <w:p w:rsidR="004B20E5" w:rsidRDefault="004B20E5" w:rsidP="007C27A3">
      <w:pPr>
        <w:pStyle w:val="TableTenEssenHlthFunct"/>
      </w:pPr>
      <w:r>
        <w:t>Link People to Needed Personal Health Services and Health Care</w:t>
      </w:r>
    </w:p>
    <w:p w:rsidR="004B20E5" w:rsidRPr="006256D0" w:rsidRDefault="004B20E5" w:rsidP="00D00411">
      <w:pPr>
        <w:pStyle w:val="TableStrategiesunderHealthFunctions"/>
      </w:pPr>
      <w:r>
        <w:t>7.1.5</w:t>
      </w:r>
      <w:r>
        <w:tab/>
      </w:r>
      <w:r w:rsidRPr="00C662D9">
        <w:t xml:space="preserve">Work with clinicians or other health care providers to improve screening and </w:t>
      </w:r>
      <w:r w:rsidRPr="00554FCB">
        <w:t xml:space="preserve">provide culturally appropriate </w:t>
      </w:r>
      <w:r w:rsidRPr="00C662D9">
        <w:t>education about lead hazards to children, notably in high risk communities.</w:t>
      </w:r>
    </w:p>
    <w:p w:rsidR="004B20E5" w:rsidRDefault="004B20E5" w:rsidP="007C27A3">
      <w:pPr>
        <w:pStyle w:val="TableTenEssenHlthFunct"/>
      </w:pPr>
      <w:r>
        <w:t>Assure a Competent Public and Personal Healthcare Workforce</w:t>
      </w:r>
    </w:p>
    <w:p w:rsidR="004B20E5" w:rsidRPr="006256D0" w:rsidRDefault="004B20E5" w:rsidP="00D00411">
      <w:pPr>
        <w:pStyle w:val="TableStrategiesunderHealthFunctions"/>
      </w:pPr>
      <w:r>
        <w:t xml:space="preserve">7.1.6 </w:t>
      </w:r>
      <w:r>
        <w:tab/>
      </w:r>
      <w:r w:rsidRPr="00C662D9">
        <w:t>Work with clinicians or other health care providers to improve screening and education about lead hazards to children, notably in high risk communities.</w:t>
      </w:r>
    </w:p>
    <w:p w:rsidR="004B20E5" w:rsidRDefault="004B20E5" w:rsidP="007C27A3">
      <w:pPr>
        <w:pStyle w:val="TableTenEssenHlthFunct"/>
      </w:pPr>
      <w:r>
        <w:t>Engagement with Governing Entities</w:t>
      </w:r>
    </w:p>
    <w:p w:rsidR="004B20E5" w:rsidRPr="00CE56E7" w:rsidRDefault="004B20E5" w:rsidP="00D00411">
      <w:pPr>
        <w:pStyle w:val="TableStrategiesunderHealthFunctions"/>
      </w:pPr>
      <w:r>
        <w:t xml:space="preserve">7.1.7 </w:t>
      </w:r>
      <w:r>
        <w:tab/>
        <w:t>Work with the Department of Labor Standards to ensure renovation work on all older building stock is conducted in a lead-safe fashion consistent with the Renovation, Repair and Painting (RRP) Rule through education of contractors, property owners, and tenants and through regulatory enforcement/permit process.</w:t>
      </w:r>
    </w:p>
    <w:p w:rsidR="004B20E5" w:rsidRDefault="004B20E5" w:rsidP="00D00411">
      <w:pPr>
        <w:pStyle w:val="TableStrategiesunderHealthFunctions"/>
      </w:pPr>
    </w:p>
    <w:p w:rsidR="004B20E5" w:rsidRDefault="00F03799" w:rsidP="00CB2B0E">
      <w:pPr>
        <w:pStyle w:val="ObjectiveStatement"/>
      </w:pPr>
      <w:r>
        <w:rPr>
          <w:noProof/>
        </w:rPr>
        <w:drawing>
          <wp:anchor distT="0" distB="0" distL="114300" distR="114300" simplePos="0" relativeHeight="251649024" behindDoc="0" locked="0" layoutInCell="1" allowOverlap="1" wp14:anchorId="5DCE4076" wp14:editId="4C8BE255">
            <wp:simplePos x="0" y="0"/>
            <wp:positionH relativeFrom="column">
              <wp:posOffset>0</wp:posOffset>
            </wp:positionH>
            <wp:positionV relativeFrom="paragraph">
              <wp:posOffset>377825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7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t>Measure: 7.2:</w:t>
      </w:r>
      <w:r w:rsidR="004B20E5">
        <w:tab/>
        <w:t>Reduce the prevalence rate of blood lead levels of &gt; 25 µg/dL in persons 16 years or older</w:t>
      </w:r>
      <w:r w:rsidR="000E3D25">
        <w:t xml:space="preserve"> </w:t>
      </w:r>
      <w:r w:rsidR="004B20E5">
        <w:t xml:space="preserve">by 5% (relative).   (Consistent with HP 2020 objective OSH-7) </w:t>
      </w:r>
    </w:p>
    <w:p w:rsidR="004B20E5" w:rsidRPr="00420B22" w:rsidRDefault="004B20E5" w:rsidP="00420B22">
      <w:pPr>
        <w:pStyle w:val="BodyText"/>
      </w:pPr>
    </w:p>
    <w:tbl>
      <w:tblPr>
        <w:tblW w:w="4107" w:type="pct"/>
        <w:tblInd w:w="1755" w:type="dxa"/>
        <w:tblLayout w:type="fixed"/>
        <w:tblLook w:val="00A0" w:firstRow="1" w:lastRow="0" w:firstColumn="1" w:lastColumn="0" w:noHBand="0" w:noVBand="0"/>
      </w:tblPr>
      <w:tblGrid>
        <w:gridCol w:w="2246"/>
        <w:gridCol w:w="1531"/>
        <w:gridCol w:w="1531"/>
        <w:gridCol w:w="3149"/>
      </w:tblGrid>
      <w:tr w:rsidR="004B20E5" w:rsidRPr="00666093" w:rsidTr="0025368A">
        <w:trPr>
          <w:cantSplit/>
        </w:trPr>
        <w:tc>
          <w:tcPr>
            <w:tcW w:w="1328" w:type="pct"/>
            <w:tcBorders>
              <w:top w:val="single" w:sz="4" w:space="0" w:color="auto"/>
              <w:bottom w:val="single" w:sz="4" w:space="0" w:color="auto"/>
            </w:tcBorders>
            <w:vAlign w:val="center"/>
          </w:tcPr>
          <w:p w:rsidR="004B20E5" w:rsidRPr="00666093" w:rsidRDefault="004B20E5" w:rsidP="0012696F">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6F1C1E">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6F1C1E">
            <w:pPr>
              <w:pStyle w:val="TableTitleBaseline2020Target"/>
            </w:pPr>
            <w:r w:rsidRPr="00666093">
              <w:t>2020 Target</w:t>
            </w:r>
          </w:p>
        </w:tc>
        <w:tc>
          <w:tcPr>
            <w:tcW w:w="1862" w:type="pct"/>
            <w:tcBorders>
              <w:top w:val="single" w:sz="4" w:space="0" w:color="auto"/>
              <w:bottom w:val="single" w:sz="4" w:space="0" w:color="auto"/>
            </w:tcBorders>
            <w:vAlign w:val="center"/>
          </w:tcPr>
          <w:p w:rsidR="004B20E5" w:rsidRPr="00666093" w:rsidRDefault="004B20E5" w:rsidP="006F1C1E">
            <w:pPr>
              <w:pStyle w:val="TableTitleTargetDataSource"/>
            </w:pPr>
            <w:r w:rsidRPr="00666093">
              <w:t>Data Source</w:t>
            </w:r>
          </w:p>
        </w:tc>
      </w:tr>
      <w:tr w:rsidR="004B20E5" w:rsidRPr="00666093" w:rsidTr="005A56B7">
        <w:trPr>
          <w:cantSplit/>
        </w:trPr>
        <w:tc>
          <w:tcPr>
            <w:tcW w:w="1328" w:type="pct"/>
            <w:tcBorders>
              <w:top w:val="single" w:sz="4" w:space="0" w:color="auto"/>
              <w:bottom w:val="single" w:sz="4" w:space="0" w:color="auto"/>
            </w:tcBorders>
            <w:vAlign w:val="center"/>
          </w:tcPr>
          <w:p w:rsidR="004B20E5" w:rsidRDefault="004B20E5" w:rsidP="005C7538">
            <w:pPr>
              <w:pStyle w:val="TableOutcomeIndicator"/>
            </w:pPr>
            <w:r>
              <w:t>Persons 16 + with blood lead levels of &gt; 25 ug/dL</w:t>
            </w:r>
          </w:p>
        </w:tc>
        <w:tc>
          <w:tcPr>
            <w:tcW w:w="905" w:type="pct"/>
            <w:tcBorders>
              <w:top w:val="single" w:sz="4" w:space="0" w:color="auto"/>
              <w:bottom w:val="single" w:sz="4" w:space="0" w:color="auto"/>
            </w:tcBorders>
            <w:vAlign w:val="center"/>
          </w:tcPr>
          <w:p w:rsidR="004B20E5" w:rsidRDefault="004B20E5" w:rsidP="006F1C1E">
            <w:pPr>
              <w:pStyle w:val="TableBaseline2020Target"/>
            </w:pPr>
            <w:r>
              <w:t xml:space="preserve">6.1/100,000 employed persons  </w:t>
            </w:r>
          </w:p>
        </w:tc>
        <w:tc>
          <w:tcPr>
            <w:tcW w:w="905" w:type="pct"/>
            <w:tcBorders>
              <w:top w:val="single" w:sz="4" w:space="0" w:color="auto"/>
              <w:bottom w:val="single" w:sz="4" w:space="0" w:color="auto"/>
            </w:tcBorders>
            <w:vAlign w:val="center"/>
          </w:tcPr>
          <w:p w:rsidR="004B20E5" w:rsidRDefault="004B20E5" w:rsidP="006F1C1E">
            <w:pPr>
              <w:pStyle w:val="TableBaseline2020Target"/>
            </w:pPr>
            <w:r>
              <w:t>5.8/100,000 employed persons</w:t>
            </w:r>
          </w:p>
        </w:tc>
        <w:tc>
          <w:tcPr>
            <w:tcW w:w="1862" w:type="pct"/>
            <w:tcBorders>
              <w:top w:val="single" w:sz="4" w:space="0" w:color="auto"/>
              <w:bottom w:val="single" w:sz="4" w:space="0" w:color="auto"/>
            </w:tcBorders>
            <w:vAlign w:val="center"/>
          </w:tcPr>
          <w:p w:rsidR="004B20E5" w:rsidRDefault="004B20E5" w:rsidP="006F1C1E">
            <w:pPr>
              <w:pStyle w:val="TableDataSource"/>
            </w:pPr>
            <w:r>
              <w:t>Numerator Source: Massachusetts Occupational Lead Poisoning Registry</w:t>
            </w:r>
          </w:p>
          <w:p w:rsidR="004B20E5" w:rsidRDefault="004B20E5" w:rsidP="006F1C1E">
            <w:pPr>
              <w:pStyle w:val="TableDataSource"/>
            </w:pPr>
            <w:r>
              <w:t>Denominator Source: BLS Current Population Survey</w:t>
            </w: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25368A">
        <w:trPr>
          <w:cantSplit/>
        </w:trPr>
        <w:tc>
          <w:tcPr>
            <w:tcW w:w="1329" w:type="pct"/>
            <w:tcBorders>
              <w:top w:val="single" w:sz="4" w:space="0" w:color="auto"/>
            </w:tcBorders>
          </w:tcPr>
          <w:p w:rsidR="004B20E5" w:rsidRPr="009171C7" w:rsidDel="00F67FD0" w:rsidRDefault="004B20E5" w:rsidP="004C0088">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7348F7">
            <w:pPr>
              <w:pStyle w:val="TableOutcomeMeasure"/>
            </w:pPr>
            <w:r>
              <w:t>Number of state residents age 16 years or older with a reported blood lead level of  &gt; 25 µg/dL</w:t>
            </w:r>
          </w:p>
        </w:tc>
      </w:tr>
      <w:tr w:rsidR="004B20E5" w:rsidRPr="00666093" w:rsidDel="00F67FD0" w:rsidTr="0025368A">
        <w:trPr>
          <w:cantSplit/>
        </w:trPr>
        <w:tc>
          <w:tcPr>
            <w:tcW w:w="1329" w:type="pct"/>
          </w:tcPr>
          <w:p w:rsidR="004B20E5" w:rsidRPr="009171C7" w:rsidDel="00F67FD0" w:rsidRDefault="004B20E5" w:rsidP="004C0088">
            <w:pPr>
              <w:pStyle w:val="TableTitleNumeratoretc"/>
            </w:pPr>
            <w:r w:rsidRPr="00A367E5">
              <w:t>Denominator</w:t>
            </w:r>
            <w:r>
              <w:t>:</w:t>
            </w:r>
          </w:p>
        </w:tc>
        <w:tc>
          <w:tcPr>
            <w:tcW w:w="3671" w:type="pct"/>
            <w:vAlign w:val="center"/>
          </w:tcPr>
          <w:p w:rsidR="004B20E5" w:rsidRPr="00391134" w:rsidDel="00F67FD0" w:rsidRDefault="004B20E5" w:rsidP="007348F7">
            <w:pPr>
              <w:pStyle w:val="TableOutcomeMeasure"/>
            </w:pPr>
            <w:r>
              <w:t>Employed MA population age 16 years of older for the same calendar year</w:t>
            </w:r>
          </w:p>
        </w:tc>
      </w:tr>
      <w:tr w:rsidR="004B20E5" w:rsidRPr="00666093" w:rsidDel="00F67FD0" w:rsidTr="005A56B7">
        <w:trPr>
          <w:cantSplit/>
        </w:trPr>
        <w:tc>
          <w:tcPr>
            <w:tcW w:w="1329" w:type="pct"/>
          </w:tcPr>
          <w:p w:rsidR="004B20E5" w:rsidRPr="009171C7" w:rsidDel="00F67FD0" w:rsidRDefault="004B20E5" w:rsidP="00CF417D">
            <w:pPr>
              <w:pStyle w:val="TableTitleNumeratoretc"/>
            </w:pPr>
            <w:r w:rsidRPr="00A367E5">
              <w:t>Exclusions</w:t>
            </w:r>
            <w:r>
              <w:t>:</w:t>
            </w:r>
          </w:p>
        </w:tc>
        <w:tc>
          <w:tcPr>
            <w:tcW w:w="3671" w:type="pct"/>
            <w:vAlign w:val="center"/>
          </w:tcPr>
          <w:p w:rsidR="004B20E5" w:rsidRPr="00391134" w:rsidDel="00F67FD0" w:rsidRDefault="004B20E5" w:rsidP="00CF417D">
            <w:pPr>
              <w:pStyle w:val="TableOutcomeMeasure"/>
            </w:pPr>
            <w:r>
              <w:t>None</w:t>
            </w:r>
          </w:p>
        </w:tc>
      </w:tr>
      <w:tr w:rsidR="004B20E5" w:rsidRPr="00666093" w:rsidDel="00F67FD0" w:rsidTr="0025368A">
        <w:trPr>
          <w:cantSplit/>
        </w:trPr>
        <w:tc>
          <w:tcPr>
            <w:tcW w:w="1329" w:type="pct"/>
          </w:tcPr>
          <w:p w:rsidR="004B20E5" w:rsidRPr="009171C7" w:rsidDel="00F67FD0" w:rsidRDefault="004B20E5" w:rsidP="00CF417D">
            <w:pPr>
              <w:pStyle w:val="TableTitleNumeratoretc"/>
            </w:pPr>
            <w:r w:rsidRPr="00F67FD0">
              <w:t>Timeframe</w:t>
            </w:r>
            <w:r>
              <w:t>:</w:t>
            </w:r>
          </w:p>
        </w:tc>
        <w:tc>
          <w:tcPr>
            <w:tcW w:w="3671" w:type="pct"/>
            <w:vAlign w:val="center"/>
          </w:tcPr>
          <w:p w:rsidR="004B20E5" w:rsidRPr="00391134" w:rsidDel="00F67FD0" w:rsidRDefault="004B20E5" w:rsidP="00CF417D">
            <w:pPr>
              <w:pStyle w:val="TableOutcomeMeasure"/>
            </w:pPr>
            <w:r>
              <w:t>Annual</w:t>
            </w:r>
          </w:p>
        </w:tc>
      </w:tr>
      <w:tr w:rsidR="004B20E5" w:rsidRPr="00666093" w:rsidDel="00F67FD0" w:rsidTr="0025368A">
        <w:trPr>
          <w:cantSplit/>
        </w:trPr>
        <w:tc>
          <w:tcPr>
            <w:tcW w:w="1329" w:type="pct"/>
            <w:tcBorders>
              <w:bottom w:val="single" w:sz="4" w:space="0" w:color="auto"/>
            </w:tcBorders>
          </w:tcPr>
          <w:p w:rsidR="004B20E5" w:rsidRPr="009171C7" w:rsidDel="00F67FD0" w:rsidRDefault="004B20E5" w:rsidP="00CF417D">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CF417D">
            <w:pPr>
              <w:pStyle w:val="TableOutcomeMeasure"/>
            </w:pPr>
            <w:r>
              <w:t>Massachusetts Occupational Health Indicator report produced including annual count and prevalence rate of elevated blood lead levels in adults, including 5 year time trend.</w:t>
            </w:r>
          </w:p>
        </w:tc>
      </w:tr>
    </w:tbl>
    <w:p w:rsidR="004B20E5" w:rsidRDefault="004B20E5" w:rsidP="007348F7">
      <w:pPr>
        <w:pStyle w:val="StrategiesCategoryTitles"/>
      </w:pPr>
    </w:p>
    <w:p w:rsidR="004B20E5" w:rsidRDefault="004B20E5" w:rsidP="007C27A3">
      <w:pPr>
        <w:pStyle w:val="TableTenEssenHlthFunct"/>
      </w:pPr>
      <w:r>
        <w:t>Monitor Health to Identify and Solve Community Health Problems</w:t>
      </w:r>
    </w:p>
    <w:p w:rsidR="004B20E5" w:rsidRPr="006256D0" w:rsidRDefault="004B20E5" w:rsidP="00D00411">
      <w:pPr>
        <w:pStyle w:val="TableStrategiesunderHealthFunctions"/>
      </w:pPr>
      <w:r>
        <w:t>7.2.1</w:t>
      </w:r>
      <w:r>
        <w:tab/>
        <w:t>Determine the feasibility of implementing secure standardized electronic reporting of elevated blood lead levels in adults by laboratories.</w:t>
      </w:r>
    </w:p>
    <w:p w:rsidR="004B20E5" w:rsidRDefault="004B20E5" w:rsidP="007C27A3">
      <w:pPr>
        <w:pStyle w:val="TableTenEssenHlthFunct"/>
      </w:pPr>
      <w:r>
        <w:t xml:space="preserve">Inform, Educate, and Empower People About Health Issues </w:t>
      </w:r>
    </w:p>
    <w:p w:rsidR="004B20E5" w:rsidRPr="006256D0" w:rsidRDefault="004B20E5" w:rsidP="00D00411">
      <w:pPr>
        <w:pStyle w:val="TableStrategiesunderHealthFunctions"/>
      </w:pPr>
      <w:r>
        <w:t>7.2.2</w:t>
      </w:r>
      <w:r>
        <w:tab/>
        <w:t>Provide technical assistance to employers to reduce lead exposures in high risk industries including bridge painting and house painting.</w:t>
      </w:r>
    </w:p>
    <w:p w:rsidR="004B20E5" w:rsidRDefault="004B20E5" w:rsidP="007C27A3">
      <w:pPr>
        <w:pStyle w:val="TableTenEssenHlthFunct"/>
      </w:pPr>
      <w:r>
        <w:t>Mobilize Community Partnerships to Identify and Solve Health Problems</w:t>
      </w:r>
    </w:p>
    <w:p w:rsidR="004B20E5" w:rsidRPr="006256D0" w:rsidRDefault="004B20E5" w:rsidP="00D00411">
      <w:pPr>
        <w:pStyle w:val="TableStrategiesunderHealthFunctions"/>
      </w:pPr>
      <w:r>
        <w:t>7.2.3</w:t>
      </w:r>
      <w:r>
        <w:tab/>
        <w:t>Work with community advocates to conduct outreach to targeted minority worker groups, such as Hispanic and Brazilian house painters, who are at high risk of occupational lead poisoning.</w:t>
      </w:r>
    </w:p>
    <w:p w:rsidR="004B20E5" w:rsidRDefault="004B20E5" w:rsidP="007C27A3">
      <w:pPr>
        <w:pStyle w:val="TableTenEssenHlthFunct"/>
      </w:pPr>
      <w:r>
        <w:t xml:space="preserve">Develop Policies and Plans That Support Individual and Community Health Efforts </w:t>
      </w:r>
    </w:p>
    <w:p w:rsidR="004B20E5" w:rsidRPr="006256D0" w:rsidRDefault="004B20E5" w:rsidP="00D00411">
      <w:pPr>
        <w:pStyle w:val="TableStrategiesunderHealthFunctions"/>
      </w:pPr>
      <w:r>
        <w:t xml:space="preserve">7.2.4 </w:t>
      </w:r>
      <w:r>
        <w:tab/>
        <w:t>Expand mandatory reporting of blood lead levels in adults to include all blood lead test results.</w:t>
      </w:r>
    </w:p>
    <w:p w:rsidR="004B20E5" w:rsidRDefault="004B20E5" w:rsidP="007C27A3">
      <w:pPr>
        <w:pStyle w:val="TableTenEssenHlthFunct"/>
      </w:pPr>
      <w:r>
        <w:t>Enforce Laws and Regulations That Protect Health and Ensure Safety</w:t>
      </w:r>
    </w:p>
    <w:p w:rsidR="004B20E5" w:rsidRPr="006256D0" w:rsidRDefault="004B20E5" w:rsidP="00D00411">
      <w:pPr>
        <w:pStyle w:val="TableStrategiesunderHealthFunctions"/>
      </w:pPr>
      <w:r>
        <w:t>7.2.5</w:t>
      </w:r>
      <w:r>
        <w:tab/>
        <w:t>Continue interagency collaboration to promote compliance with the lead poisoning prevention laws and regulations.</w:t>
      </w:r>
    </w:p>
    <w:p w:rsidR="004B20E5" w:rsidRDefault="004B20E5" w:rsidP="007C27A3">
      <w:pPr>
        <w:pStyle w:val="TableTenEssenHlthFunct"/>
      </w:pPr>
      <w:r>
        <w:t>Assure a Competent Public and Personal Healthcare Workforce</w:t>
      </w:r>
    </w:p>
    <w:p w:rsidR="004B20E5" w:rsidRDefault="004B20E5" w:rsidP="00D00411">
      <w:pPr>
        <w:pStyle w:val="TableStrategiesunderHealthFunctions"/>
      </w:pPr>
      <w:r>
        <w:t>7.2.6</w:t>
      </w:r>
      <w:r>
        <w:tab/>
        <w:t>Conduct outreach to healthcare providers to promote lead screening for house painters.</w:t>
      </w:r>
    </w:p>
    <w:p w:rsidR="004B20E5" w:rsidRDefault="004B20E5" w:rsidP="00D00411">
      <w:pPr>
        <w:pStyle w:val="TableStrategiesunderHealthFunctions"/>
      </w:pPr>
      <w:r>
        <w:br w:type="page"/>
      </w:r>
    </w:p>
    <w:p w:rsidR="004B20E5" w:rsidRPr="006256D0" w:rsidRDefault="004B20E5" w:rsidP="00D00411">
      <w:pPr>
        <w:pStyle w:val="TableStrategiesunderHealthFunctions"/>
      </w:pPr>
    </w:p>
    <w:p w:rsidR="004B20E5" w:rsidRDefault="004B20E5" w:rsidP="00CB2B0E">
      <w:pPr>
        <w:pStyle w:val="StandardStatement"/>
      </w:pPr>
      <w:r>
        <w:t>Standard 7B:</w:t>
      </w:r>
      <w:r>
        <w:tab/>
        <w:t>Improve indoor environmental quality in homes and public buildings to reduce respiratory symptoms and diseases.</w:t>
      </w:r>
    </w:p>
    <w:p w:rsidR="004B20E5" w:rsidRDefault="004B20E5" w:rsidP="00CF417D">
      <w:pPr>
        <w:pStyle w:val="BodyText"/>
      </w:pPr>
    </w:p>
    <w:p w:rsidR="004B20E5" w:rsidRDefault="004B20E5" w:rsidP="00CB2B0E">
      <w:pPr>
        <w:pStyle w:val="ObjectiveStatement"/>
      </w:pPr>
      <w:r>
        <w:t>Measure 7.3:</w:t>
      </w:r>
      <w:r>
        <w:tab/>
        <w:t xml:space="preserve">Implement steps to improve indoor environmental quality by providing Division of Capital Asset Management and Maintenance (DCAMM) pre-occupancy assessments within an average of two weeks of inspection. </w:t>
      </w:r>
    </w:p>
    <w:p w:rsidR="004B20E5" w:rsidRPr="00CF5F67" w:rsidRDefault="004B20E5" w:rsidP="0093661D">
      <w:pPr>
        <w:pStyle w:val="StrategiesCategoryTitles"/>
      </w:pPr>
    </w:p>
    <w:tbl>
      <w:tblPr>
        <w:tblW w:w="4107" w:type="pct"/>
        <w:tblInd w:w="1755" w:type="dxa"/>
        <w:tblLayout w:type="fixed"/>
        <w:tblLook w:val="00A0" w:firstRow="1" w:lastRow="0" w:firstColumn="1" w:lastColumn="0" w:noHBand="0" w:noVBand="0"/>
      </w:tblPr>
      <w:tblGrid>
        <w:gridCol w:w="2247"/>
        <w:gridCol w:w="1531"/>
        <w:gridCol w:w="1531"/>
        <w:gridCol w:w="3148"/>
      </w:tblGrid>
      <w:tr w:rsidR="004B20E5" w:rsidRPr="00666093" w:rsidTr="0025368A">
        <w:trPr>
          <w:cantSplit/>
        </w:trPr>
        <w:tc>
          <w:tcPr>
            <w:tcW w:w="1329" w:type="pct"/>
            <w:tcBorders>
              <w:top w:val="single" w:sz="4" w:space="0" w:color="auto"/>
              <w:bottom w:val="single" w:sz="4" w:space="0" w:color="auto"/>
            </w:tcBorders>
            <w:vAlign w:val="center"/>
          </w:tcPr>
          <w:p w:rsidR="004B20E5" w:rsidRPr="00666093" w:rsidRDefault="004B20E5" w:rsidP="0012696F">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6F1C1E">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6F1C1E">
            <w:pPr>
              <w:pStyle w:val="TableTitleBaseline2020Target"/>
            </w:pPr>
            <w:r w:rsidRPr="00666093">
              <w:t>2020 Target</w:t>
            </w:r>
          </w:p>
        </w:tc>
        <w:tc>
          <w:tcPr>
            <w:tcW w:w="1862" w:type="pct"/>
            <w:tcBorders>
              <w:top w:val="single" w:sz="4" w:space="0" w:color="auto"/>
              <w:bottom w:val="single" w:sz="4" w:space="0" w:color="auto"/>
            </w:tcBorders>
            <w:vAlign w:val="center"/>
          </w:tcPr>
          <w:p w:rsidR="004B20E5" w:rsidRPr="00666093" w:rsidRDefault="004B20E5" w:rsidP="006F1C1E">
            <w:pPr>
              <w:pStyle w:val="TableTitleTargetDataSource"/>
            </w:pPr>
            <w:r w:rsidRPr="00666093">
              <w:t>Data Source</w:t>
            </w:r>
          </w:p>
        </w:tc>
      </w:tr>
      <w:tr w:rsidR="004B20E5" w:rsidRPr="00666093" w:rsidTr="0025368A">
        <w:trPr>
          <w:cantSplit/>
        </w:trPr>
        <w:tc>
          <w:tcPr>
            <w:tcW w:w="1329" w:type="pct"/>
            <w:tcBorders>
              <w:top w:val="single" w:sz="4" w:space="0" w:color="auto"/>
              <w:bottom w:val="single" w:sz="4" w:space="0" w:color="auto"/>
            </w:tcBorders>
            <w:vAlign w:val="center"/>
          </w:tcPr>
          <w:p w:rsidR="004B20E5" w:rsidRDefault="004B20E5" w:rsidP="006F1C1E">
            <w:pPr>
              <w:pStyle w:val="TableOutcomeMeasure"/>
            </w:pPr>
            <w:r>
              <w:t>Average time between assessment and inspection</w:t>
            </w:r>
          </w:p>
        </w:tc>
        <w:tc>
          <w:tcPr>
            <w:tcW w:w="905" w:type="pct"/>
            <w:tcBorders>
              <w:top w:val="single" w:sz="4" w:space="0" w:color="auto"/>
              <w:bottom w:val="single" w:sz="4" w:space="0" w:color="auto"/>
            </w:tcBorders>
            <w:vAlign w:val="center"/>
          </w:tcPr>
          <w:p w:rsidR="004B20E5" w:rsidRDefault="004B20E5" w:rsidP="006F1C1E">
            <w:pPr>
              <w:pStyle w:val="TableBaseline2020Target"/>
            </w:pPr>
            <w:r>
              <w:t>27 days</w:t>
            </w:r>
          </w:p>
          <w:p w:rsidR="004B20E5" w:rsidRDefault="004B20E5" w:rsidP="006F1C1E">
            <w:pPr>
              <w:pStyle w:val="TableBaseline2020Target"/>
            </w:pPr>
            <w:r>
              <w:t>(CY 2013)</w:t>
            </w:r>
          </w:p>
        </w:tc>
        <w:tc>
          <w:tcPr>
            <w:tcW w:w="905" w:type="pct"/>
            <w:tcBorders>
              <w:top w:val="single" w:sz="4" w:space="0" w:color="auto"/>
              <w:bottom w:val="single" w:sz="4" w:space="0" w:color="auto"/>
            </w:tcBorders>
            <w:vAlign w:val="center"/>
          </w:tcPr>
          <w:p w:rsidR="004B20E5" w:rsidRDefault="004B20E5" w:rsidP="006F1C1E">
            <w:pPr>
              <w:pStyle w:val="TableBaseline2020Target"/>
            </w:pPr>
            <w:r>
              <w:t>5-year average time of 14 days</w:t>
            </w:r>
          </w:p>
        </w:tc>
        <w:tc>
          <w:tcPr>
            <w:tcW w:w="1862" w:type="pct"/>
            <w:tcBorders>
              <w:top w:val="single" w:sz="4" w:space="0" w:color="auto"/>
              <w:bottom w:val="single" w:sz="4" w:space="0" w:color="auto"/>
            </w:tcBorders>
            <w:vAlign w:val="center"/>
          </w:tcPr>
          <w:p w:rsidR="004B20E5" w:rsidRDefault="004B20E5" w:rsidP="006F1C1E">
            <w:pPr>
              <w:pStyle w:val="TableDataSource"/>
            </w:pPr>
            <w:r>
              <w:t>BEH IAQ database</w:t>
            </w: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7348F7">
        <w:trPr>
          <w:cantSplit/>
        </w:trPr>
        <w:tc>
          <w:tcPr>
            <w:tcW w:w="1329" w:type="pct"/>
            <w:tcBorders>
              <w:top w:val="single" w:sz="4" w:space="0" w:color="auto"/>
            </w:tcBorders>
          </w:tcPr>
          <w:p w:rsidR="004B20E5" w:rsidRPr="009171C7" w:rsidDel="00F67FD0" w:rsidRDefault="004B20E5" w:rsidP="004C0088">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7348F7">
            <w:pPr>
              <w:pStyle w:val="TableOutcomeMeasure"/>
            </w:pPr>
            <w:r>
              <w:t>Number of days between pre-occupancy assessment and inspection</w:t>
            </w:r>
          </w:p>
        </w:tc>
      </w:tr>
      <w:tr w:rsidR="004B20E5" w:rsidRPr="00666093" w:rsidDel="00F67FD0" w:rsidTr="007348F7">
        <w:trPr>
          <w:cantSplit/>
        </w:trPr>
        <w:tc>
          <w:tcPr>
            <w:tcW w:w="1329" w:type="pct"/>
          </w:tcPr>
          <w:p w:rsidR="004B20E5" w:rsidRPr="009171C7" w:rsidDel="00F67FD0" w:rsidRDefault="004B20E5" w:rsidP="004C0088">
            <w:pPr>
              <w:pStyle w:val="TableTitleNumeratoretc"/>
            </w:pPr>
            <w:r w:rsidRPr="00A367E5">
              <w:t>Denominator</w:t>
            </w:r>
            <w:r>
              <w:t>:</w:t>
            </w:r>
          </w:p>
        </w:tc>
        <w:tc>
          <w:tcPr>
            <w:tcW w:w="3671" w:type="pct"/>
            <w:vAlign w:val="center"/>
          </w:tcPr>
          <w:p w:rsidR="004B20E5" w:rsidRPr="00391134" w:rsidDel="00F67FD0" w:rsidRDefault="004B20E5" w:rsidP="007348F7">
            <w:pPr>
              <w:pStyle w:val="TableOutcomeMeasure"/>
            </w:pPr>
            <w:r>
              <w:t>Number of inspections</w:t>
            </w:r>
          </w:p>
        </w:tc>
      </w:tr>
      <w:tr w:rsidR="004B20E5" w:rsidRPr="00666093" w:rsidDel="00F67FD0" w:rsidTr="007348F7">
        <w:trPr>
          <w:cantSplit/>
        </w:trPr>
        <w:tc>
          <w:tcPr>
            <w:tcW w:w="1329" w:type="pct"/>
          </w:tcPr>
          <w:p w:rsidR="004B20E5" w:rsidRPr="009171C7" w:rsidDel="00F67FD0" w:rsidRDefault="004B20E5" w:rsidP="004C0088">
            <w:pPr>
              <w:pStyle w:val="TableTitleNumeratoretc"/>
            </w:pPr>
            <w:r w:rsidRPr="00A367E5">
              <w:t>Exclusions</w:t>
            </w:r>
            <w:r>
              <w:t>:</w:t>
            </w:r>
          </w:p>
        </w:tc>
        <w:tc>
          <w:tcPr>
            <w:tcW w:w="3671" w:type="pct"/>
            <w:vAlign w:val="center"/>
          </w:tcPr>
          <w:p w:rsidR="004B20E5" w:rsidRPr="00391134" w:rsidDel="00F67FD0" w:rsidRDefault="004B20E5" w:rsidP="007348F7">
            <w:pPr>
              <w:pStyle w:val="TableOutcomeMeasure"/>
            </w:pPr>
            <w:r>
              <w:t>N/A</w:t>
            </w:r>
          </w:p>
        </w:tc>
      </w:tr>
      <w:tr w:rsidR="004B20E5" w:rsidRPr="00666093" w:rsidDel="00F67FD0" w:rsidTr="007348F7">
        <w:trPr>
          <w:cantSplit/>
        </w:trPr>
        <w:tc>
          <w:tcPr>
            <w:tcW w:w="1329" w:type="pct"/>
            <w:vAlign w:val="center"/>
          </w:tcPr>
          <w:p w:rsidR="004B20E5" w:rsidRPr="009171C7" w:rsidDel="00F67FD0" w:rsidRDefault="004B20E5" w:rsidP="004C0088">
            <w:pPr>
              <w:pStyle w:val="TableTitleNumeratoretc"/>
            </w:pPr>
            <w:r w:rsidRPr="00F67FD0">
              <w:t>Timeframe</w:t>
            </w:r>
            <w:r>
              <w:t>:</w:t>
            </w:r>
          </w:p>
        </w:tc>
        <w:tc>
          <w:tcPr>
            <w:tcW w:w="3671" w:type="pct"/>
            <w:vAlign w:val="center"/>
          </w:tcPr>
          <w:p w:rsidR="004B20E5" w:rsidRPr="00391134" w:rsidDel="00F67FD0" w:rsidRDefault="004B20E5" w:rsidP="007348F7">
            <w:pPr>
              <w:pStyle w:val="TableOutcomeMeasure"/>
            </w:pPr>
            <w:r>
              <w:t>Annual measurement of average time</w:t>
            </w:r>
          </w:p>
        </w:tc>
      </w:tr>
      <w:tr w:rsidR="004B20E5" w:rsidRPr="00666093" w:rsidDel="00F67FD0" w:rsidTr="007348F7">
        <w:trPr>
          <w:cantSplit/>
        </w:trPr>
        <w:tc>
          <w:tcPr>
            <w:tcW w:w="1329" w:type="pct"/>
            <w:tcBorders>
              <w:bottom w:val="single" w:sz="4" w:space="0" w:color="auto"/>
            </w:tcBorders>
            <w:vAlign w:val="center"/>
          </w:tcPr>
          <w:p w:rsidR="004B20E5" w:rsidRPr="009171C7" w:rsidDel="00F67FD0" w:rsidRDefault="004B20E5" w:rsidP="004C0088">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7348F7">
            <w:pPr>
              <w:pStyle w:val="TableOutcomeMeasure"/>
            </w:pPr>
            <w:r>
              <w:t>Show 5-year average annual time between assessment and inspections is 14 days or less.</w:t>
            </w:r>
          </w:p>
        </w:tc>
      </w:tr>
    </w:tbl>
    <w:p w:rsidR="004B20E5" w:rsidRDefault="004B20E5" w:rsidP="007348F7">
      <w:pPr>
        <w:pStyle w:val="StrategiesCategoryTitles"/>
      </w:pPr>
    </w:p>
    <w:p w:rsidR="004B20E5" w:rsidRDefault="004B20E5" w:rsidP="007C27A3">
      <w:pPr>
        <w:pStyle w:val="TableTenEssenHlthFunct"/>
      </w:pPr>
      <w:r>
        <w:t xml:space="preserve">Inform, Educate, and Empower People About Health Issues </w:t>
      </w:r>
    </w:p>
    <w:p w:rsidR="004B20E5" w:rsidRPr="00CF417D" w:rsidRDefault="004B20E5" w:rsidP="00CF417D">
      <w:pPr>
        <w:pStyle w:val="TableStrategiesunderHealthFunctions"/>
      </w:pPr>
      <w:r w:rsidRPr="00CF417D">
        <w:t>7.3.1</w:t>
      </w:r>
      <w:r w:rsidRPr="00CF417D">
        <w:tab/>
        <w:t>Increase education about the benefits of implementing Integrated Pest Management (IPM) practices and appropriate use of IPM in buildings that the public may enter.</w:t>
      </w:r>
    </w:p>
    <w:p w:rsidR="004B20E5" w:rsidRPr="00CF417D" w:rsidRDefault="004B20E5" w:rsidP="00CF417D">
      <w:pPr>
        <w:pStyle w:val="TableStrategiesunderHealthFunctions"/>
      </w:pPr>
      <w:r w:rsidRPr="00CF417D">
        <w:t>7.3.2</w:t>
      </w:r>
      <w:r w:rsidRPr="00CF417D">
        <w:tab/>
        <w:t>Educate staff in buildings that the public may enter on MDPH guidance for optimal indoor air quality.</w:t>
      </w:r>
    </w:p>
    <w:p w:rsidR="004B20E5" w:rsidRPr="00CF417D" w:rsidRDefault="004B20E5" w:rsidP="00CF417D">
      <w:pPr>
        <w:pStyle w:val="TableStrategiesunderHealthFunctions"/>
      </w:pPr>
      <w:r w:rsidRPr="00CF417D">
        <w:t>7.3.3</w:t>
      </w:r>
      <w:r w:rsidRPr="00CF417D">
        <w:tab/>
        <w:t>Provide training and certification for public maintenance workers and building maintenance managers on indoor environmental conditions that can adversely impact health.</w:t>
      </w:r>
    </w:p>
    <w:p w:rsidR="004B20E5" w:rsidRPr="00CF417D" w:rsidRDefault="004B20E5" w:rsidP="007C27A3">
      <w:pPr>
        <w:pStyle w:val="TableTenEssenHlthFunct"/>
      </w:pPr>
      <w:r>
        <w:t xml:space="preserve">Develop Policies and Plans That Support Individual and Community Health Efforts </w:t>
      </w:r>
    </w:p>
    <w:p w:rsidR="004B20E5" w:rsidRPr="00CF417D" w:rsidRDefault="004B20E5" w:rsidP="00CF417D">
      <w:pPr>
        <w:pStyle w:val="TableStrategiesunderHealthFunctions"/>
      </w:pPr>
      <w:r w:rsidRPr="00CF417D">
        <w:t>7.3.4</w:t>
      </w:r>
      <w:r w:rsidRPr="00CF417D">
        <w:tab/>
        <w:t>Reduce use of products in the indoor environment that may release volatile organic compounds into the indoor air.</w:t>
      </w:r>
    </w:p>
    <w:p w:rsidR="004B20E5" w:rsidRPr="00CF417D" w:rsidRDefault="004B20E5" w:rsidP="007C27A3">
      <w:pPr>
        <w:pStyle w:val="TableTenEssenHlthFunct"/>
      </w:pPr>
      <w:r>
        <w:t>Maintain Administrative Management Capacity</w:t>
      </w:r>
    </w:p>
    <w:p w:rsidR="004B20E5" w:rsidRPr="00CF417D" w:rsidRDefault="004B20E5" w:rsidP="00CF417D">
      <w:pPr>
        <w:pStyle w:val="TableStrategiesunderHealthFunctions"/>
      </w:pPr>
      <w:r w:rsidRPr="00CF417D">
        <w:t>7.3.5</w:t>
      </w:r>
      <w:r w:rsidRPr="00CF417D">
        <w:tab/>
        <w:t>Collaborate with others to address indoor environmental conditions that can adversely impact health.</w:t>
      </w:r>
    </w:p>
    <w:p w:rsidR="004B20E5" w:rsidRPr="00CF417D" w:rsidRDefault="004B20E5" w:rsidP="007C27A3">
      <w:pPr>
        <w:pStyle w:val="TableTenEssenHlthFunct"/>
      </w:pPr>
      <w:r>
        <w:t>Engagement with Governing Entities</w:t>
      </w:r>
    </w:p>
    <w:p w:rsidR="004B20E5" w:rsidRPr="00CF417D" w:rsidRDefault="004B20E5" w:rsidP="00CF417D">
      <w:pPr>
        <w:pStyle w:val="TableStrategiesunderHealthFunctions"/>
      </w:pPr>
      <w:r w:rsidRPr="00CF417D">
        <w:t>7.3.6</w:t>
      </w:r>
      <w:r w:rsidRPr="00CF417D">
        <w:tab/>
        <w:t>Increase education and training on the importance of basic maintenance of all components of building heating, ventilation, and air conditioning (HVAC) systems.</w:t>
      </w:r>
    </w:p>
    <w:p w:rsidR="004B20E5" w:rsidRPr="00CF417D" w:rsidRDefault="004B20E5" w:rsidP="00CF417D">
      <w:pPr>
        <w:pStyle w:val="TableStrategiesunderHealthFunctions"/>
      </w:pPr>
      <w:r w:rsidRPr="00CF417D">
        <w:t>7.3.7</w:t>
      </w:r>
      <w:r w:rsidRPr="00CF417D">
        <w:tab/>
        <w:t xml:space="preserve">Collaborate with others to address indoor environmental conditions that can adversely impact health. </w:t>
      </w:r>
    </w:p>
    <w:p w:rsidR="004B20E5" w:rsidRPr="00CF417D" w:rsidRDefault="004B20E5" w:rsidP="00CF417D">
      <w:pPr>
        <w:pStyle w:val="TableStrategiesunderHealthFunctions"/>
      </w:pPr>
      <w:r w:rsidRPr="00CF417D">
        <w:t>7.3.8</w:t>
      </w:r>
      <w:r w:rsidRPr="00CF417D">
        <w:tab/>
        <w:t>Collaborate with other agencies to promote use of less toxic cleaning products.</w:t>
      </w:r>
    </w:p>
    <w:p w:rsidR="004B20E5" w:rsidRDefault="004B20E5" w:rsidP="00CF417D">
      <w:pPr>
        <w:pStyle w:val="TableStrategiesunderHealthFunctions"/>
      </w:pPr>
    </w:p>
    <w:p w:rsidR="004B20E5" w:rsidRPr="00492B45" w:rsidRDefault="004B20E5" w:rsidP="00D00411">
      <w:pPr>
        <w:pStyle w:val="TableStrategiesunderHealthFunctions"/>
      </w:pPr>
    </w:p>
    <w:p w:rsidR="004B20E5" w:rsidRDefault="004B20E5" w:rsidP="00D00411">
      <w:pPr>
        <w:pStyle w:val="TableStrategiesunderHealthFunctions"/>
      </w:pPr>
      <w:r>
        <w:br w:type="page"/>
      </w:r>
    </w:p>
    <w:p w:rsidR="004B20E5" w:rsidRDefault="004B20E5" w:rsidP="00D00411">
      <w:pPr>
        <w:pStyle w:val="TableStrategiesunderHealthFunctions"/>
      </w:pPr>
    </w:p>
    <w:p w:rsidR="004B20E5" w:rsidRDefault="004B20E5" w:rsidP="00CB2B0E">
      <w:pPr>
        <w:pStyle w:val="ObjectiveStatement"/>
      </w:pPr>
      <w:r>
        <w:t xml:space="preserve">Measure </w:t>
      </w:r>
      <w:r w:rsidRPr="001633F7">
        <w:t>7.</w:t>
      </w:r>
      <w:r>
        <w:t>4</w:t>
      </w:r>
      <w:r w:rsidRPr="001633F7">
        <w:t>:</w:t>
      </w:r>
      <w:r>
        <w:tab/>
        <w:t xml:space="preserve">Reduce the number of avoidable </w:t>
      </w:r>
      <w:r w:rsidRPr="001633F7">
        <w:t xml:space="preserve">complaints of poor housing conditions </w:t>
      </w:r>
      <w:r>
        <w:t>by increasing the number of local inspectors trained by 10%</w:t>
      </w:r>
      <w:r w:rsidR="000E3D25">
        <w:t xml:space="preserve"> per year</w:t>
      </w:r>
      <w:r>
        <w:t xml:space="preserve">.  </w:t>
      </w:r>
    </w:p>
    <w:p w:rsidR="004B20E5" w:rsidRPr="00CF5F67" w:rsidRDefault="004B20E5" w:rsidP="00CF417D">
      <w:pPr>
        <w:pStyle w:val="StrategiesCategoryTitles"/>
      </w:pPr>
    </w:p>
    <w:tbl>
      <w:tblPr>
        <w:tblW w:w="4108" w:type="pct"/>
        <w:tblInd w:w="1755" w:type="dxa"/>
        <w:tblLayout w:type="fixed"/>
        <w:tblLook w:val="00A0" w:firstRow="1" w:lastRow="0" w:firstColumn="1" w:lastColumn="0" w:noHBand="0" w:noVBand="0"/>
      </w:tblPr>
      <w:tblGrid>
        <w:gridCol w:w="2249"/>
        <w:gridCol w:w="1531"/>
        <w:gridCol w:w="1531"/>
        <w:gridCol w:w="3148"/>
      </w:tblGrid>
      <w:tr w:rsidR="004B20E5" w:rsidRPr="00666093" w:rsidTr="00571897">
        <w:trPr>
          <w:cantSplit/>
        </w:trPr>
        <w:tc>
          <w:tcPr>
            <w:tcW w:w="1329" w:type="pct"/>
            <w:tcBorders>
              <w:top w:val="single" w:sz="4" w:space="0" w:color="auto"/>
              <w:bottom w:val="single" w:sz="4" w:space="0" w:color="auto"/>
            </w:tcBorders>
            <w:vAlign w:val="center"/>
          </w:tcPr>
          <w:p w:rsidR="004B20E5" w:rsidRPr="00666093" w:rsidRDefault="004B20E5" w:rsidP="0012696F">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571897">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571897">
            <w:pPr>
              <w:pStyle w:val="TableTitleBaseline2020Target"/>
            </w:pPr>
            <w:r w:rsidRPr="00666093">
              <w:t>2020 Target</w:t>
            </w:r>
          </w:p>
        </w:tc>
        <w:tc>
          <w:tcPr>
            <w:tcW w:w="1861" w:type="pct"/>
            <w:tcBorders>
              <w:top w:val="single" w:sz="4" w:space="0" w:color="auto"/>
              <w:bottom w:val="single" w:sz="4" w:space="0" w:color="auto"/>
            </w:tcBorders>
            <w:vAlign w:val="center"/>
          </w:tcPr>
          <w:p w:rsidR="004B20E5" w:rsidRPr="00666093" w:rsidRDefault="004B20E5" w:rsidP="00571897">
            <w:pPr>
              <w:pStyle w:val="TableTitleTargetDataSource"/>
            </w:pPr>
            <w:r w:rsidRPr="00666093">
              <w:t>Data Source</w:t>
            </w:r>
          </w:p>
        </w:tc>
      </w:tr>
      <w:tr w:rsidR="004B20E5" w:rsidRPr="00666093" w:rsidTr="00571897">
        <w:trPr>
          <w:cantSplit/>
        </w:trPr>
        <w:tc>
          <w:tcPr>
            <w:tcW w:w="1329" w:type="pct"/>
            <w:tcBorders>
              <w:top w:val="single" w:sz="4" w:space="0" w:color="auto"/>
              <w:bottom w:val="single" w:sz="4" w:space="0" w:color="auto"/>
            </w:tcBorders>
            <w:vAlign w:val="center"/>
          </w:tcPr>
          <w:p w:rsidR="004B20E5" w:rsidRDefault="004B20E5" w:rsidP="00571897">
            <w:pPr>
              <w:pStyle w:val="TableOutcomeMeasure"/>
            </w:pPr>
            <w:r>
              <w:t>Trained inspectors</w:t>
            </w:r>
          </w:p>
        </w:tc>
        <w:tc>
          <w:tcPr>
            <w:tcW w:w="905" w:type="pct"/>
            <w:tcBorders>
              <w:top w:val="single" w:sz="4" w:space="0" w:color="auto"/>
              <w:bottom w:val="single" w:sz="4" w:space="0" w:color="auto"/>
            </w:tcBorders>
            <w:vAlign w:val="center"/>
          </w:tcPr>
          <w:p w:rsidR="004B20E5" w:rsidRDefault="004B20E5" w:rsidP="00571897">
            <w:pPr>
              <w:pStyle w:val="TableBaseline2020Target"/>
            </w:pPr>
            <w:r>
              <w:t>30</w:t>
            </w:r>
          </w:p>
        </w:tc>
        <w:tc>
          <w:tcPr>
            <w:tcW w:w="905" w:type="pct"/>
            <w:tcBorders>
              <w:top w:val="single" w:sz="4" w:space="0" w:color="auto"/>
              <w:bottom w:val="single" w:sz="4" w:space="0" w:color="auto"/>
            </w:tcBorders>
            <w:vAlign w:val="center"/>
          </w:tcPr>
          <w:p w:rsidR="004B20E5" w:rsidRDefault="004B20E5" w:rsidP="00571897">
            <w:pPr>
              <w:pStyle w:val="TableBaseline2020Target"/>
            </w:pPr>
            <w:r>
              <w:t>45</w:t>
            </w:r>
          </w:p>
        </w:tc>
        <w:tc>
          <w:tcPr>
            <w:tcW w:w="1861" w:type="pct"/>
            <w:tcBorders>
              <w:top w:val="single" w:sz="4" w:space="0" w:color="auto"/>
              <w:bottom w:val="single" w:sz="4" w:space="0" w:color="auto"/>
            </w:tcBorders>
            <w:vAlign w:val="center"/>
          </w:tcPr>
          <w:p w:rsidR="004B20E5" w:rsidRDefault="004B20E5" w:rsidP="00571897">
            <w:pPr>
              <w:pStyle w:val="TableDataSource"/>
            </w:pPr>
            <w:r>
              <w:t>Local Public Health Institute of Massachusetts (average number trained 2011-2013)</w:t>
            </w:r>
          </w:p>
        </w:tc>
      </w:tr>
    </w:tbl>
    <w:p w:rsidR="004B20E5" w:rsidRDefault="004B20E5" w:rsidP="00CF417D">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571897">
        <w:trPr>
          <w:cantSplit/>
        </w:trPr>
        <w:tc>
          <w:tcPr>
            <w:tcW w:w="1329" w:type="pct"/>
            <w:tcBorders>
              <w:top w:val="single" w:sz="4" w:space="0" w:color="auto"/>
            </w:tcBorders>
          </w:tcPr>
          <w:p w:rsidR="004B20E5" w:rsidRPr="009171C7" w:rsidDel="00F67FD0" w:rsidRDefault="004B20E5" w:rsidP="00571897">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571897">
            <w:pPr>
              <w:pStyle w:val="TableOutcomeMeasure"/>
            </w:pPr>
            <w:r>
              <w:t>Number of local inspectors trained at Local Public Health Institute who received Public Health Inspector Training Housing Certificate Program (PHIT HCP) certificate</w:t>
            </w:r>
          </w:p>
        </w:tc>
      </w:tr>
      <w:tr w:rsidR="004B20E5" w:rsidRPr="00666093" w:rsidDel="00F67FD0" w:rsidTr="00571897">
        <w:trPr>
          <w:cantSplit/>
        </w:trPr>
        <w:tc>
          <w:tcPr>
            <w:tcW w:w="1329" w:type="pct"/>
          </w:tcPr>
          <w:p w:rsidR="004B20E5" w:rsidRPr="009171C7" w:rsidDel="00F67FD0" w:rsidRDefault="004B20E5" w:rsidP="00571897">
            <w:pPr>
              <w:pStyle w:val="TableTitleNumeratoretc"/>
            </w:pPr>
            <w:r w:rsidRPr="00A367E5">
              <w:t>Denominator</w:t>
            </w:r>
            <w:r>
              <w:t>:</w:t>
            </w:r>
          </w:p>
        </w:tc>
        <w:tc>
          <w:tcPr>
            <w:tcW w:w="3671" w:type="pct"/>
            <w:vAlign w:val="center"/>
          </w:tcPr>
          <w:p w:rsidR="004B20E5" w:rsidRPr="00391134" w:rsidDel="00F67FD0" w:rsidRDefault="004B20E5" w:rsidP="00571897">
            <w:pPr>
              <w:pStyle w:val="TableOutcomeMeasure"/>
            </w:pPr>
            <w:r>
              <w:t>Total number of local health inspectors trained</w:t>
            </w:r>
          </w:p>
        </w:tc>
      </w:tr>
      <w:tr w:rsidR="004B20E5" w:rsidRPr="00666093" w:rsidDel="00F67FD0" w:rsidTr="00571897">
        <w:trPr>
          <w:cantSplit/>
        </w:trPr>
        <w:tc>
          <w:tcPr>
            <w:tcW w:w="1329" w:type="pct"/>
          </w:tcPr>
          <w:p w:rsidR="004B20E5" w:rsidRPr="009171C7" w:rsidDel="00F67FD0" w:rsidRDefault="004B20E5" w:rsidP="00571897">
            <w:pPr>
              <w:pStyle w:val="TableTitleNumeratoretc"/>
            </w:pPr>
            <w:r w:rsidRPr="00A367E5">
              <w:t>Exclusions</w:t>
            </w:r>
            <w:r>
              <w:t>:</w:t>
            </w:r>
          </w:p>
        </w:tc>
        <w:tc>
          <w:tcPr>
            <w:tcW w:w="3671" w:type="pct"/>
            <w:vAlign w:val="center"/>
          </w:tcPr>
          <w:p w:rsidR="004B20E5" w:rsidRPr="00391134" w:rsidDel="00F67FD0" w:rsidRDefault="004B20E5" w:rsidP="00571897">
            <w:pPr>
              <w:pStyle w:val="TableOutcomeMeasure"/>
            </w:pPr>
            <w:r>
              <w:t>N/A</w:t>
            </w:r>
          </w:p>
        </w:tc>
      </w:tr>
      <w:tr w:rsidR="004B20E5" w:rsidRPr="00666093" w:rsidDel="00F67FD0" w:rsidTr="00571897">
        <w:trPr>
          <w:cantSplit/>
        </w:trPr>
        <w:tc>
          <w:tcPr>
            <w:tcW w:w="1329" w:type="pct"/>
            <w:vAlign w:val="center"/>
          </w:tcPr>
          <w:p w:rsidR="004B20E5" w:rsidRPr="009171C7" w:rsidDel="00F67FD0" w:rsidRDefault="004B20E5" w:rsidP="00571897">
            <w:pPr>
              <w:pStyle w:val="TableTitleNumeratoretc"/>
            </w:pPr>
            <w:r w:rsidRPr="00F67FD0">
              <w:t>Timeframe</w:t>
            </w:r>
            <w:r>
              <w:t>:</w:t>
            </w:r>
          </w:p>
        </w:tc>
        <w:tc>
          <w:tcPr>
            <w:tcW w:w="3671" w:type="pct"/>
            <w:vAlign w:val="center"/>
          </w:tcPr>
          <w:p w:rsidR="004B20E5" w:rsidRPr="00391134" w:rsidDel="00F67FD0" w:rsidRDefault="004B20E5" w:rsidP="00FF45F6">
            <w:pPr>
              <w:pStyle w:val="TableOutcomeMeasure"/>
            </w:pPr>
            <w:r>
              <w:t xml:space="preserve">Annual </w:t>
            </w:r>
          </w:p>
        </w:tc>
      </w:tr>
      <w:tr w:rsidR="004B20E5" w:rsidRPr="00666093" w:rsidDel="00F67FD0" w:rsidTr="00571897">
        <w:trPr>
          <w:cantSplit/>
        </w:trPr>
        <w:tc>
          <w:tcPr>
            <w:tcW w:w="1329" w:type="pct"/>
            <w:tcBorders>
              <w:bottom w:val="single" w:sz="4" w:space="0" w:color="auto"/>
            </w:tcBorders>
            <w:vAlign w:val="center"/>
          </w:tcPr>
          <w:p w:rsidR="004B20E5" w:rsidRPr="009171C7" w:rsidDel="00F67FD0" w:rsidRDefault="004B20E5" w:rsidP="00571897">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571897">
            <w:pPr>
              <w:pStyle w:val="TableOutcomeMeasure"/>
            </w:pPr>
            <w:r>
              <w:t>Track the average number of local inspectors trained annually over 2015-2020</w:t>
            </w:r>
          </w:p>
        </w:tc>
      </w:tr>
    </w:tbl>
    <w:p w:rsidR="004B20E5" w:rsidRDefault="004B20E5" w:rsidP="00CF417D">
      <w:pPr>
        <w:pStyle w:val="StrategiesCategoryTitles"/>
      </w:pPr>
    </w:p>
    <w:p w:rsidR="004B20E5" w:rsidRDefault="004B20E5" w:rsidP="007C27A3">
      <w:pPr>
        <w:pStyle w:val="TableTenEssenHlthFunct"/>
      </w:pPr>
      <w:r>
        <w:t xml:space="preserve">Inform, Educate, and Empower People About Health Issues </w:t>
      </w:r>
    </w:p>
    <w:p w:rsidR="004B20E5" w:rsidRDefault="004B20E5" w:rsidP="00CF417D">
      <w:pPr>
        <w:pStyle w:val="TableStrategiesunderHealthFunctions"/>
      </w:pPr>
      <w:r>
        <w:t>7.4.1</w:t>
      </w:r>
      <w:r>
        <w:tab/>
        <w:t>Develop informational materials for the public on indoor environmental health risks.</w:t>
      </w:r>
    </w:p>
    <w:p w:rsidR="004B20E5" w:rsidRDefault="004B20E5" w:rsidP="00CF417D">
      <w:pPr>
        <w:pStyle w:val="TableStrategiesunderHealthFunctions"/>
      </w:pPr>
      <w:r>
        <w:t>7.4.2</w:t>
      </w:r>
      <w:r>
        <w:tab/>
      </w:r>
      <w:r w:rsidRPr="005814E6">
        <w:t>Expand training</w:t>
      </w:r>
      <w:r>
        <w:t xml:space="preserve"> opportunities</w:t>
      </w:r>
      <w:r w:rsidRPr="005814E6">
        <w:t xml:space="preserve"> to increase the number of local health officials who can conduct inspections.</w:t>
      </w:r>
    </w:p>
    <w:p w:rsidR="004B20E5" w:rsidRPr="00524874" w:rsidRDefault="004B20E5" w:rsidP="00524874">
      <w:pPr>
        <w:pStyle w:val="TableStrategiesunderHealthFunctions"/>
      </w:pPr>
      <w:r>
        <w:t>7.4.3</w:t>
      </w:r>
      <w:r>
        <w:tab/>
      </w:r>
      <w:r w:rsidRPr="00524874">
        <w:t>Establish a collaborative learning/mentoring model of best practices within the rest home industry in order to try to improve performance</w:t>
      </w:r>
      <w:r>
        <w:t>.</w:t>
      </w:r>
    </w:p>
    <w:p w:rsidR="004B20E5" w:rsidRDefault="004B20E5" w:rsidP="007C27A3">
      <w:pPr>
        <w:pStyle w:val="TableTenEssenHlthFunct"/>
      </w:pPr>
      <w:r>
        <w:t>Mobilize Community Partnerships to Identify and Solve Health Problems</w:t>
      </w:r>
    </w:p>
    <w:p w:rsidR="004B20E5" w:rsidRPr="005361F5" w:rsidRDefault="004B20E5" w:rsidP="00CF417D">
      <w:pPr>
        <w:pStyle w:val="TableStrategiesunderHealthFunctions"/>
      </w:pPr>
      <w:r>
        <w:t>7.4.4</w:t>
      </w:r>
      <w:r>
        <w:tab/>
        <w:t>Convene stakeholders to address rest home housing conditions.</w:t>
      </w:r>
    </w:p>
    <w:p w:rsidR="004B20E5" w:rsidRDefault="004B20E5" w:rsidP="007C27A3">
      <w:pPr>
        <w:pStyle w:val="TableTenEssenHlthFunct"/>
      </w:pPr>
      <w:r>
        <w:t xml:space="preserve">Develop Policies and Plans That Support Individual and Community Health Efforts </w:t>
      </w:r>
    </w:p>
    <w:p w:rsidR="004B20E5" w:rsidRDefault="004B20E5" w:rsidP="00CF417D">
      <w:pPr>
        <w:pStyle w:val="TableStrategiesunderHealthFunctions"/>
      </w:pPr>
      <w:r>
        <w:t>7.4.5</w:t>
      </w:r>
      <w:r>
        <w:tab/>
        <w:t>Revise housing regulations to provide clear and uniform direction to local housing inspectors.</w:t>
      </w:r>
    </w:p>
    <w:p w:rsidR="004B20E5" w:rsidRPr="006256D0" w:rsidRDefault="004B20E5" w:rsidP="00CF417D">
      <w:pPr>
        <w:pStyle w:val="TableStrategiesunderHealthFunctions"/>
      </w:pPr>
      <w:r w:rsidRPr="00524874">
        <w:t>7.</w:t>
      </w:r>
      <w:r>
        <w:t>4</w:t>
      </w:r>
      <w:r w:rsidRPr="00524874">
        <w:t>.</w:t>
      </w:r>
      <w:r>
        <w:t>6</w:t>
      </w:r>
      <w:r>
        <w:tab/>
      </w:r>
      <w:r w:rsidRPr="00524874">
        <w:t>Conduct annual rest home licensure surveys, noting and trending the nature of deficiencies routinely documented by the Bureau of Health Care Safety and Quality, to develop continuous quality improvement among the industry</w:t>
      </w:r>
      <w:r>
        <w:t>.</w:t>
      </w:r>
    </w:p>
    <w:p w:rsidR="004B20E5" w:rsidRDefault="004B20E5" w:rsidP="007C27A3">
      <w:pPr>
        <w:pStyle w:val="TableTenEssenHlthFunct"/>
      </w:pPr>
      <w:r>
        <w:t>Enforce Laws and Regulations That Protect Health and Ensure Safety</w:t>
      </w:r>
    </w:p>
    <w:p w:rsidR="004B20E5" w:rsidRPr="006256D0" w:rsidRDefault="004B20E5" w:rsidP="00CF417D">
      <w:pPr>
        <w:pStyle w:val="TableStrategiesunderHealthFunctions"/>
      </w:pPr>
      <w:r>
        <w:t>7.4.7</w:t>
      </w:r>
      <w:r>
        <w:tab/>
        <w:t>Revise housing regulations to provide clear and uniform direction to local housing inspectors.</w:t>
      </w:r>
    </w:p>
    <w:p w:rsidR="004B20E5" w:rsidRDefault="004B20E5" w:rsidP="007C27A3">
      <w:pPr>
        <w:pStyle w:val="TableTenEssenHlthFunct"/>
      </w:pPr>
      <w:r>
        <w:t>Assure a Competent Public and Personal Healthcare Workforce</w:t>
      </w:r>
    </w:p>
    <w:p w:rsidR="004B20E5" w:rsidRPr="006256D0" w:rsidRDefault="004B20E5" w:rsidP="00CF417D">
      <w:pPr>
        <w:pStyle w:val="TableStrategiesunderHealthFunctions"/>
      </w:pPr>
      <w:r>
        <w:t>7.4.8</w:t>
      </w:r>
      <w:r>
        <w:tab/>
      </w:r>
      <w:r w:rsidRPr="005814E6">
        <w:t>Strengthen the capacity of local health through trainings and outreach, to encourage local adoption of pre-occupancy housing inspections to establish baseline conditions.</w:t>
      </w:r>
    </w:p>
    <w:p w:rsidR="004B20E5" w:rsidRDefault="004B20E5" w:rsidP="007C27A3">
      <w:pPr>
        <w:pStyle w:val="TableTenEssenHlthFunct"/>
      </w:pPr>
      <w:r>
        <w:t>Maintain Administrative Management Capacity</w:t>
      </w:r>
    </w:p>
    <w:p w:rsidR="004B20E5" w:rsidRDefault="004B20E5" w:rsidP="00CF417D">
      <w:pPr>
        <w:pStyle w:val="TableStrategiesunderHealthFunctions"/>
      </w:pPr>
      <w:r>
        <w:t>7.4.9</w:t>
      </w:r>
      <w:r>
        <w:tab/>
        <w:t>Enhance capacity of facility managers in schools, day care centers, and other public buildings to conduct indoor environmental assessments.</w:t>
      </w:r>
    </w:p>
    <w:p w:rsidR="004B20E5" w:rsidRPr="006256D0" w:rsidRDefault="004B20E5" w:rsidP="00524874">
      <w:pPr>
        <w:pStyle w:val="TableStrategiesunderHealthFunctions"/>
      </w:pPr>
      <w:r>
        <w:t>7.4.10</w:t>
      </w:r>
      <w:r>
        <w:tab/>
        <w:t xml:space="preserve">Work with multiple state agencies to identify long-term funding sources for rest home facilities and work with stakeholders to identify solutions to limited bed availability. </w:t>
      </w:r>
    </w:p>
    <w:p w:rsidR="004B20E5" w:rsidRPr="006256D0" w:rsidRDefault="004B20E5" w:rsidP="00CF417D">
      <w:pPr>
        <w:pStyle w:val="TableStrategiesunderHealthFunctions"/>
      </w:pPr>
    </w:p>
    <w:p w:rsidR="004B20E5" w:rsidRDefault="004B20E5" w:rsidP="00D00411">
      <w:pPr>
        <w:pStyle w:val="TableStrategiesunderHealthFunctions"/>
      </w:pPr>
    </w:p>
    <w:p w:rsidR="004B20E5" w:rsidRDefault="004B20E5" w:rsidP="00D00411">
      <w:pPr>
        <w:pStyle w:val="TableStrategiesunderHealthFunctions"/>
      </w:pPr>
      <w:r>
        <w:br w:type="page"/>
      </w:r>
    </w:p>
    <w:p w:rsidR="004B20E5" w:rsidRDefault="004B20E5" w:rsidP="00D00411">
      <w:pPr>
        <w:pStyle w:val="TableStrategiesunderHealthFunctions"/>
      </w:pPr>
    </w:p>
    <w:p w:rsidR="004B20E5" w:rsidRDefault="004B20E5" w:rsidP="00876533">
      <w:pPr>
        <w:pStyle w:val="StandardStatement"/>
      </w:pPr>
      <w:r>
        <w:t>Standard 7C:  Reduce foodborne illness.</w:t>
      </w:r>
    </w:p>
    <w:p w:rsidR="004B20E5" w:rsidRDefault="004B20E5" w:rsidP="004337FD">
      <w:pPr>
        <w:pStyle w:val="BodyText"/>
      </w:pPr>
    </w:p>
    <w:p w:rsidR="004B20E5" w:rsidRDefault="004B20E5" w:rsidP="00CB2B0E">
      <w:pPr>
        <w:pStyle w:val="ObjectiveStatement"/>
      </w:pPr>
      <w:r>
        <w:t>Measure 7.5:</w:t>
      </w:r>
      <w:r>
        <w:tab/>
      </w:r>
      <w:r w:rsidRPr="00492B45">
        <w:t>Reduce the number of foodborne illness outbreaks</w:t>
      </w:r>
      <w:r>
        <w:t xml:space="preserve"> by increasing the number of mandatory local health inspections of retail food establishments.</w:t>
      </w:r>
    </w:p>
    <w:p w:rsidR="004B20E5" w:rsidRPr="00CF5F67" w:rsidRDefault="004B20E5" w:rsidP="0093661D">
      <w:pPr>
        <w:pStyle w:val="StrategiesCategoryTitles"/>
      </w:pPr>
    </w:p>
    <w:tbl>
      <w:tblPr>
        <w:tblW w:w="4095" w:type="pct"/>
        <w:tblInd w:w="1755" w:type="dxa"/>
        <w:tblLayout w:type="fixed"/>
        <w:tblLook w:val="00A0" w:firstRow="1" w:lastRow="0" w:firstColumn="1" w:lastColumn="0" w:noHBand="0" w:noVBand="0"/>
      </w:tblPr>
      <w:tblGrid>
        <w:gridCol w:w="2250"/>
        <w:gridCol w:w="1531"/>
        <w:gridCol w:w="1531"/>
        <w:gridCol w:w="3120"/>
      </w:tblGrid>
      <w:tr w:rsidR="004B20E5" w:rsidRPr="00666093" w:rsidTr="004337FD">
        <w:trPr>
          <w:cantSplit/>
        </w:trPr>
        <w:tc>
          <w:tcPr>
            <w:tcW w:w="1334" w:type="pct"/>
            <w:tcBorders>
              <w:top w:val="single" w:sz="4" w:space="0" w:color="auto"/>
              <w:bottom w:val="single" w:sz="4" w:space="0" w:color="auto"/>
            </w:tcBorders>
            <w:vAlign w:val="center"/>
          </w:tcPr>
          <w:p w:rsidR="004B20E5" w:rsidRPr="00666093" w:rsidRDefault="004B20E5" w:rsidP="0012696F">
            <w:pPr>
              <w:pStyle w:val="TableTitleTargetDataSource"/>
            </w:pPr>
            <w:r>
              <w:t>Outcome Indicator</w:t>
            </w:r>
          </w:p>
        </w:tc>
        <w:tc>
          <w:tcPr>
            <w:tcW w:w="908" w:type="pct"/>
            <w:tcBorders>
              <w:top w:val="single" w:sz="4" w:space="0" w:color="auto"/>
              <w:bottom w:val="single" w:sz="4" w:space="0" w:color="auto"/>
            </w:tcBorders>
            <w:vAlign w:val="center"/>
          </w:tcPr>
          <w:p w:rsidR="004B20E5" w:rsidRPr="00666093" w:rsidRDefault="004B20E5" w:rsidP="007A677C">
            <w:pPr>
              <w:pStyle w:val="TableTitleBaseline2020Target"/>
            </w:pPr>
            <w:r w:rsidRPr="00666093">
              <w:t>Baseline</w:t>
            </w:r>
          </w:p>
        </w:tc>
        <w:tc>
          <w:tcPr>
            <w:tcW w:w="908" w:type="pct"/>
            <w:tcBorders>
              <w:top w:val="single" w:sz="4" w:space="0" w:color="auto"/>
              <w:bottom w:val="single" w:sz="4" w:space="0" w:color="auto"/>
            </w:tcBorders>
            <w:vAlign w:val="center"/>
          </w:tcPr>
          <w:p w:rsidR="004B20E5" w:rsidRPr="00666093" w:rsidRDefault="004B20E5" w:rsidP="007A677C">
            <w:pPr>
              <w:pStyle w:val="TableTitleBaseline2020Target"/>
            </w:pPr>
            <w:r w:rsidRPr="00666093">
              <w:t>2020 Target</w:t>
            </w:r>
          </w:p>
        </w:tc>
        <w:tc>
          <w:tcPr>
            <w:tcW w:w="1851" w:type="pct"/>
            <w:tcBorders>
              <w:top w:val="single" w:sz="4" w:space="0" w:color="auto"/>
              <w:bottom w:val="single" w:sz="4" w:space="0" w:color="auto"/>
            </w:tcBorders>
            <w:vAlign w:val="center"/>
          </w:tcPr>
          <w:p w:rsidR="004B20E5" w:rsidRPr="00666093" w:rsidRDefault="004B20E5" w:rsidP="007A677C">
            <w:pPr>
              <w:pStyle w:val="TableTitleTargetDataSource"/>
            </w:pPr>
            <w:r w:rsidRPr="00666093">
              <w:t>Data Source</w:t>
            </w:r>
          </w:p>
        </w:tc>
      </w:tr>
      <w:tr w:rsidR="004B20E5" w:rsidRPr="00666093" w:rsidTr="00185253">
        <w:trPr>
          <w:cantSplit/>
        </w:trPr>
        <w:tc>
          <w:tcPr>
            <w:tcW w:w="1334" w:type="pct"/>
            <w:tcBorders>
              <w:top w:val="single" w:sz="4" w:space="0" w:color="auto"/>
              <w:bottom w:val="single" w:sz="4" w:space="0" w:color="auto"/>
            </w:tcBorders>
            <w:vAlign w:val="center"/>
          </w:tcPr>
          <w:p w:rsidR="004B20E5" w:rsidRDefault="004B20E5" w:rsidP="00FF45F6">
            <w:pPr>
              <w:pStyle w:val="TableOutcomeMeasure"/>
            </w:pPr>
            <w:r>
              <w:t>Local health authorities completing two inspections per food establishment annually according to federal performance standard</w:t>
            </w:r>
          </w:p>
        </w:tc>
        <w:tc>
          <w:tcPr>
            <w:tcW w:w="908" w:type="pct"/>
            <w:tcBorders>
              <w:top w:val="single" w:sz="4" w:space="0" w:color="auto"/>
              <w:bottom w:val="single" w:sz="4" w:space="0" w:color="auto"/>
            </w:tcBorders>
            <w:vAlign w:val="center"/>
          </w:tcPr>
          <w:p w:rsidR="004B20E5" w:rsidRPr="00666093" w:rsidRDefault="004B20E5" w:rsidP="004337FD">
            <w:pPr>
              <w:pStyle w:val="TableBaseline2020Target"/>
            </w:pPr>
            <w:r>
              <w:t xml:space="preserve">41.0% </w:t>
            </w:r>
          </w:p>
        </w:tc>
        <w:tc>
          <w:tcPr>
            <w:tcW w:w="908" w:type="pct"/>
            <w:tcBorders>
              <w:top w:val="single" w:sz="4" w:space="0" w:color="auto"/>
              <w:bottom w:val="single" w:sz="4" w:space="0" w:color="auto"/>
            </w:tcBorders>
            <w:vAlign w:val="center"/>
          </w:tcPr>
          <w:p w:rsidR="004B20E5" w:rsidRPr="00666093" w:rsidRDefault="004B20E5" w:rsidP="004337FD">
            <w:pPr>
              <w:pStyle w:val="TableBaseline2020Target"/>
            </w:pPr>
            <w:r>
              <w:t>45.1%</w:t>
            </w:r>
          </w:p>
        </w:tc>
        <w:tc>
          <w:tcPr>
            <w:tcW w:w="1851" w:type="pct"/>
            <w:tcBorders>
              <w:top w:val="single" w:sz="4" w:space="0" w:color="auto"/>
              <w:bottom w:val="single" w:sz="4" w:space="0" w:color="auto"/>
            </w:tcBorders>
            <w:vAlign w:val="center"/>
          </w:tcPr>
          <w:p w:rsidR="004B20E5" w:rsidRPr="00666093" w:rsidRDefault="004B20E5" w:rsidP="004337FD">
            <w:pPr>
              <w:pStyle w:val="TableDataSource"/>
            </w:pPr>
            <w:r>
              <w:t>Annual report to the legislator on status of local health inspections of food establishments(2012)</w:t>
            </w:r>
          </w:p>
        </w:tc>
      </w:tr>
    </w:tbl>
    <w:p w:rsidR="004B20E5" w:rsidRDefault="004B20E5" w:rsidP="007348F7">
      <w:pPr>
        <w:pStyle w:val="StrategiesCategoryTitles"/>
      </w:pPr>
    </w:p>
    <w:tbl>
      <w:tblPr>
        <w:tblW w:w="4108" w:type="pct"/>
        <w:tblInd w:w="1755"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7348F7">
        <w:trPr>
          <w:cantSplit/>
        </w:trPr>
        <w:tc>
          <w:tcPr>
            <w:tcW w:w="1329" w:type="pct"/>
            <w:tcBorders>
              <w:top w:val="single" w:sz="4" w:space="0" w:color="auto"/>
            </w:tcBorders>
          </w:tcPr>
          <w:p w:rsidR="004B20E5" w:rsidRPr="009171C7" w:rsidDel="00F67FD0" w:rsidRDefault="004B20E5" w:rsidP="004C0088">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7348F7">
            <w:pPr>
              <w:pStyle w:val="TableOutcomeMeasure"/>
            </w:pPr>
            <w:r>
              <w:t>Number of local health authorities reporting at least 2 inspections per permit per year</w:t>
            </w:r>
          </w:p>
        </w:tc>
      </w:tr>
      <w:tr w:rsidR="004B20E5" w:rsidRPr="00666093" w:rsidDel="00F67FD0" w:rsidTr="007348F7">
        <w:trPr>
          <w:cantSplit/>
        </w:trPr>
        <w:tc>
          <w:tcPr>
            <w:tcW w:w="1329" w:type="pct"/>
          </w:tcPr>
          <w:p w:rsidR="004B20E5" w:rsidRPr="009171C7" w:rsidDel="00F67FD0" w:rsidRDefault="004B20E5" w:rsidP="004C0088">
            <w:pPr>
              <w:pStyle w:val="TableTitleNumeratoretc"/>
            </w:pPr>
            <w:r w:rsidRPr="00A367E5">
              <w:t>Denominator</w:t>
            </w:r>
            <w:r>
              <w:t>:</w:t>
            </w:r>
          </w:p>
        </w:tc>
        <w:tc>
          <w:tcPr>
            <w:tcW w:w="3671" w:type="pct"/>
            <w:vAlign w:val="center"/>
          </w:tcPr>
          <w:p w:rsidR="004B20E5" w:rsidRPr="00391134" w:rsidDel="00F67FD0" w:rsidRDefault="004B20E5" w:rsidP="007348F7">
            <w:pPr>
              <w:pStyle w:val="TableOutcomeMeasure"/>
            </w:pPr>
            <w:r>
              <w:t>Number of local health authorities statewide</w:t>
            </w:r>
          </w:p>
        </w:tc>
      </w:tr>
      <w:tr w:rsidR="004B20E5" w:rsidRPr="00666093" w:rsidDel="00F67FD0" w:rsidTr="007348F7">
        <w:trPr>
          <w:cantSplit/>
        </w:trPr>
        <w:tc>
          <w:tcPr>
            <w:tcW w:w="1329" w:type="pct"/>
          </w:tcPr>
          <w:p w:rsidR="004B20E5" w:rsidRPr="009171C7" w:rsidDel="00F67FD0" w:rsidRDefault="004B20E5" w:rsidP="004C0088">
            <w:pPr>
              <w:pStyle w:val="TableTitleNumeratoretc"/>
            </w:pPr>
            <w:r w:rsidRPr="00A367E5">
              <w:t>Exclusions</w:t>
            </w:r>
            <w:r>
              <w:t>:</w:t>
            </w:r>
          </w:p>
        </w:tc>
        <w:tc>
          <w:tcPr>
            <w:tcW w:w="3671" w:type="pct"/>
            <w:vAlign w:val="center"/>
          </w:tcPr>
          <w:p w:rsidR="004B20E5" w:rsidRPr="00391134" w:rsidDel="00F67FD0" w:rsidRDefault="004B20E5" w:rsidP="007348F7">
            <w:pPr>
              <w:pStyle w:val="TableOutcomeMeasure"/>
            </w:pPr>
            <w:r>
              <w:t>N/A</w:t>
            </w:r>
          </w:p>
        </w:tc>
      </w:tr>
      <w:tr w:rsidR="004B20E5" w:rsidRPr="00666093" w:rsidDel="00F67FD0" w:rsidTr="007348F7">
        <w:trPr>
          <w:cantSplit/>
        </w:trPr>
        <w:tc>
          <w:tcPr>
            <w:tcW w:w="1329" w:type="pct"/>
            <w:vAlign w:val="center"/>
          </w:tcPr>
          <w:p w:rsidR="004B20E5" w:rsidRPr="009171C7" w:rsidDel="00F67FD0" w:rsidRDefault="004B20E5" w:rsidP="004C0088">
            <w:pPr>
              <w:pStyle w:val="TableTitleNumeratoretc"/>
            </w:pPr>
            <w:r w:rsidRPr="00F67FD0">
              <w:t>Timeframe</w:t>
            </w:r>
            <w:r>
              <w:t>:</w:t>
            </w:r>
          </w:p>
        </w:tc>
        <w:tc>
          <w:tcPr>
            <w:tcW w:w="3671" w:type="pct"/>
            <w:vAlign w:val="center"/>
          </w:tcPr>
          <w:p w:rsidR="004B20E5" w:rsidRPr="00391134" w:rsidDel="00F67FD0" w:rsidRDefault="004B20E5" w:rsidP="00FF45F6">
            <w:pPr>
              <w:pStyle w:val="TableOutcomeMeasure"/>
            </w:pPr>
            <w:r>
              <w:t xml:space="preserve">Annual </w:t>
            </w:r>
          </w:p>
        </w:tc>
      </w:tr>
      <w:tr w:rsidR="004B20E5" w:rsidRPr="00666093" w:rsidDel="00F67FD0" w:rsidTr="007348F7">
        <w:trPr>
          <w:cantSplit/>
        </w:trPr>
        <w:tc>
          <w:tcPr>
            <w:tcW w:w="1329" w:type="pct"/>
            <w:tcBorders>
              <w:bottom w:val="single" w:sz="4" w:space="0" w:color="auto"/>
            </w:tcBorders>
            <w:vAlign w:val="center"/>
          </w:tcPr>
          <w:p w:rsidR="004B20E5" w:rsidRPr="009171C7" w:rsidDel="00F67FD0" w:rsidRDefault="004B20E5" w:rsidP="004C0088">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0E3D25">
            <w:pPr>
              <w:pStyle w:val="TableOutcomeMeasure"/>
            </w:pPr>
            <w:r>
              <w:t xml:space="preserve">2020 Annual report to the legislature documents statewide percentage </w:t>
            </w:r>
            <w:r w:rsidR="000E3D25">
              <w:t>that meets or exceeds target</w:t>
            </w:r>
          </w:p>
        </w:tc>
      </w:tr>
    </w:tbl>
    <w:p w:rsidR="004B20E5" w:rsidRDefault="004B20E5" w:rsidP="007348F7">
      <w:pPr>
        <w:pStyle w:val="StrategiesCategoryTitles"/>
      </w:pPr>
    </w:p>
    <w:p w:rsidR="004B20E5" w:rsidRDefault="004B20E5" w:rsidP="007C27A3">
      <w:pPr>
        <w:pStyle w:val="TableTenEssenHlthFunct"/>
      </w:pPr>
      <w:r>
        <w:t xml:space="preserve">Inform, Educate, and Empower People About Health Issues </w:t>
      </w:r>
    </w:p>
    <w:p w:rsidR="004B20E5" w:rsidRDefault="004B20E5" w:rsidP="00D00411">
      <w:pPr>
        <w:pStyle w:val="TableStrategiesunderHealthFunctions"/>
      </w:pPr>
      <w:r>
        <w:t>7.5.1</w:t>
      </w:r>
      <w:r>
        <w:tab/>
      </w:r>
      <w:r w:rsidRPr="00554FCB">
        <w:t xml:space="preserve">Provide culturally appropriate education to </w:t>
      </w:r>
      <w:r w:rsidRPr="00E865C8">
        <w:t>consumers on food safety practices for home and work environments and how to report suspected foodborne illnesses.</w:t>
      </w:r>
    </w:p>
    <w:p w:rsidR="004B20E5" w:rsidRDefault="004B20E5" w:rsidP="00D00411">
      <w:pPr>
        <w:pStyle w:val="TableStrategiesunderHealthFunctions"/>
      </w:pPr>
      <w:r>
        <w:t>7.5.2</w:t>
      </w:r>
      <w:r>
        <w:tab/>
      </w:r>
      <w:r w:rsidRPr="00E865C8">
        <w:t>Provide education on importance of evaluating and reporting suspected foodborne illness by consumers and health care providers to enhance surveillance and effective abatement of real and potential outbreak situations.</w:t>
      </w:r>
    </w:p>
    <w:p w:rsidR="004B20E5" w:rsidRDefault="004B20E5" w:rsidP="00D00411">
      <w:pPr>
        <w:pStyle w:val="TableStrategiesunderHealthFunctions"/>
      </w:pPr>
      <w:r>
        <w:t>7.5.3</w:t>
      </w:r>
      <w:r>
        <w:tab/>
      </w:r>
      <w:r w:rsidRPr="00C662D9">
        <w:t>Work with local health officials and industry to ensure appropriate training of food service employees.</w:t>
      </w:r>
    </w:p>
    <w:p w:rsidR="004B20E5" w:rsidRDefault="004B20E5" w:rsidP="00D00411">
      <w:pPr>
        <w:pStyle w:val="TableStrategiesunderHealthFunctions"/>
      </w:pPr>
      <w:r>
        <w:t>7.5.4</w:t>
      </w:r>
      <w:r>
        <w:tab/>
      </w:r>
      <w:r w:rsidRPr="00492B45">
        <w:t>Promote engagement of food service establishments (FSE)</w:t>
      </w:r>
      <w:r>
        <w:t xml:space="preserve">, </w:t>
      </w:r>
      <w:r w:rsidRPr="00492B45">
        <w:t>food service workers</w:t>
      </w:r>
      <w:r>
        <w:t xml:space="preserve"> and managers</w:t>
      </w:r>
      <w:r w:rsidRPr="00492B45">
        <w:t xml:space="preserve"> in food safety education programs and application of food safety principles in practice.</w:t>
      </w:r>
    </w:p>
    <w:p w:rsidR="004B20E5" w:rsidRPr="006256D0" w:rsidRDefault="004B20E5" w:rsidP="00D00411">
      <w:pPr>
        <w:pStyle w:val="TableStrategiesunderHealthFunctions"/>
      </w:pPr>
      <w:r>
        <w:t>7.5.5</w:t>
      </w:r>
      <w:r>
        <w:tab/>
      </w:r>
      <w:r w:rsidRPr="00492B45">
        <w:t xml:space="preserve">Provide culturally </w:t>
      </w:r>
      <w:r>
        <w:t>and linguistically appropriate</w:t>
      </w:r>
      <w:r w:rsidRPr="00492B45">
        <w:t xml:space="preserve"> education on food safety for ethnic consumer groups and ethnic food service establishments.</w:t>
      </w:r>
    </w:p>
    <w:p w:rsidR="004B20E5" w:rsidRDefault="004B20E5" w:rsidP="007C27A3">
      <w:pPr>
        <w:pStyle w:val="TableTenEssenHlthFunct"/>
      </w:pPr>
      <w:r>
        <w:t>Mobilize Community Partnerships to Identify and Solve Health Problems</w:t>
      </w:r>
    </w:p>
    <w:p w:rsidR="004B20E5" w:rsidRPr="006256D0" w:rsidRDefault="004B20E5" w:rsidP="00D00411">
      <w:pPr>
        <w:pStyle w:val="TableStrategiesunderHealthFunctions"/>
      </w:pPr>
      <w:r>
        <w:t>7.5.6</w:t>
      </w:r>
      <w:r>
        <w:tab/>
        <w:t>Cultivate relationships between business owners and regulators to enhance reporting of suspected foodborne illness.</w:t>
      </w:r>
    </w:p>
    <w:p w:rsidR="004B20E5" w:rsidRDefault="004B20E5" w:rsidP="007C27A3">
      <w:pPr>
        <w:pStyle w:val="TableTenEssenHlthFunct"/>
      </w:pPr>
      <w:r>
        <w:t xml:space="preserve">Develop Policies and Plans That Support Individual and Community Health Efforts </w:t>
      </w:r>
    </w:p>
    <w:p w:rsidR="004B20E5" w:rsidRDefault="004B20E5" w:rsidP="00D00411">
      <w:pPr>
        <w:pStyle w:val="TableStrategiesunderHealthFunctions"/>
      </w:pPr>
      <w:r>
        <w:t>7.5.7</w:t>
      </w:r>
      <w:r>
        <w:tab/>
        <w:t xml:space="preserve">Promote use of </w:t>
      </w:r>
      <w:r w:rsidRPr="00492B45">
        <w:t>standard risk-based protocols for FSE inspections and code enforcement across local jurisdictions.</w:t>
      </w:r>
    </w:p>
    <w:p w:rsidR="004B20E5" w:rsidRDefault="004B20E5" w:rsidP="00D00411">
      <w:pPr>
        <w:pStyle w:val="TableStrategiesunderHealthFunctions"/>
      </w:pPr>
      <w:r>
        <w:t>7.5.8</w:t>
      </w:r>
      <w:r>
        <w:tab/>
      </w:r>
      <w:r w:rsidRPr="00E865C8">
        <w:t>Enhance integration and standardization of local and state protocols for food protection (e.g., via table top exercises) and responses to foodborne illness outbreaks</w:t>
      </w:r>
      <w:r>
        <w:t>.</w:t>
      </w:r>
    </w:p>
    <w:p w:rsidR="004B20E5" w:rsidRPr="006256D0" w:rsidRDefault="004B20E5" w:rsidP="00D00411">
      <w:pPr>
        <w:pStyle w:val="TableStrategiesunderHealthFunctions"/>
      </w:pPr>
      <w:r>
        <w:t>7.5.9</w:t>
      </w:r>
      <w:r>
        <w:tab/>
        <w:t>Cultivate relationships between business owners and regulators to enhance reporting of suspected foodborne illness.</w:t>
      </w:r>
    </w:p>
    <w:p w:rsidR="004B20E5" w:rsidRDefault="004B20E5" w:rsidP="007C27A3">
      <w:pPr>
        <w:pStyle w:val="TableTenEssenHlthFunct"/>
      </w:pPr>
      <w:r>
        <w:t>Enforce Laws and Regulations That Protect Health and Ensure Safety</w:t>
      </w:r>
    </w:p>
    <w:p w:rsidR="004B20E5" w:rsidRPr="006256D0" w:rsidRDefault="004B20E5" w:rsidP="00D00411">
      <w:pPr>
        <w:pStyle w:val="TableStrategiesunderHealthFunctions"/>
      </w:pPr>
      <w:r>
        <w:t>7.5.10</w:t>
      </w:r>
      <w:r>
        <w:tab/>
      </w:r>
      <w:r w:rsidRPr="00492B45">
        <w:t>Update food code/regulations and assure regulatory compliance within the food industry.</w:t>
      </w:r>
    </w:p>
    <w:p w:rsidR="004B20E5" w:rsidRDefault="004B20E5" w:rsidP="00365AE9">
      <w:pPr>
        <w:pStyle w:val="TableTenEssenHlthFunct"/>
        <w:keepNext/>
      </w:pPr>
      <w:r>
        <w:t>Assure Competent Public and Personal Healthcare Workforce</w:t>
      </w:r>
    </w:p>
    <w:p w:rsidR="004B20E5" w:rsidRDefault="004B20E5" w:rsidP="00D00411">
      <w:pPr>
        <w:pStyle w:val="TableStrategiesunderHealthFunctions"/>
      </w:pPr>
      <w:r>
        <w:t>7.5.11</w:t>
      </w:r>
      <w:r>
        <w:tab/>
      </w:r>
      <w:r w:rsidRPr="00492B45">
        <w:t>Enhance inspector/sanitarian and industry training</w:t>
      </w:r>
      <w:r>
        <w:t>, to include continuing education for regulatory staff</w:t>
      </w:r>
      <w:r w:rsidRPr="00492B45">
        <w:t>, and focus on risk-based inspections through training and field monitoring.</w:t>
      </w:r>
    </w:p>
    <w:p w:rsidR="004B20E5" w:rsidRDefault="004B20E5" w:rsidP="00D00411">
      <w:pPr>
        <w:pStyle w:val="TableStrategiesunderHealthFunctions"/>
      </w:pPr>
      <w:r>
        <w:t>7.5.12</w:t>
      </w:r>
      <w:r>
        <w:tab/>
        <w:t>Train local health officials in proper conduct of retail food establishment inspections.</w:t>
      </w:r>
    </w:p>
    <w:p w:rsidR="004B20E5" w:rsidRDefault="004B20E5" w:rsidP="00D00411">
      <w:pPr>
        <w:pStyle w:val="TableStrategiesunderHealthFunctions"/>
      </w:pPr>
      <w:r>
        <w:t>7.5.13</w:t>
      </w:r>
      <w:r>
        <w:tab/>
        <w:t>Explore additional resources to</w:t>
      </w:r>
      <w:r w:rsidRPr="00FB1B25">
        <w:t xml:space="preserve"> assist local boards of health with evaluation and review of </w:t>
      </w:r>
      <w:r w:rsidRPr="00F207A8">
        <w:t>Hazard Analy</w:t>
      </w:r>
      <w:r>
        <w:t>sis and Critical Control Points</w:t>
      </w:r>
      <w:r w:rsidR="000E3D25">
        <w:t xml:space="preserve"> </w:t>
      </w:r>
      <w:r>
        <w:t>(</w:t>
      </w:r>
      <w:r w:rsidRPr="00FB1B25">
        <w:t>HACCP</w:t>
      </w:r>
      <w:r>
        <w:t>)</w:t>
      </w:r>
      <w:r w:rsidRPr="00FB1B25">
        <w:t xml:space="preserve"> plans for potentially high-risk food operations required to have </w:t>
      </w:r>
      <w:r>
        <w:t>them.</w:t>
      </w:r>
    </w:p>
    <w:p w:rsidR="004B20E5" w:rsidRDefault="004B20E5" w:rsidP="00D00411">
      <w:pPr>
        <w:pStyle w:val="TableStrategiesunderHealthFunctions"/>
      </w:pPr>
      <w:r>
        <w:t>7.5.14</w:t>
      </w:r>
      <w:r>
        <w:tab/>
      </w:r>
      <w:r w:rsidRPr="00492B45">
        <w:t>Ensure that appropriate laboratory infrastructure and systems are in place for more rapid and timely identification and characterization of pathogens.</w:t>
      </w:r>
    </w:p>
    <w:p w:rsidR="004B20E5" w:rsidRDefault="004B20E5" w:rsidP="00D00411">
      <w:pPr>
        <w:pStyle w:val="TableStrategiesunderHealthFunctions"/>
      </w:pPr>
      <w:r>
        <w:t>7.5.15</w:t>
      </w:r>
      <w:r>
        <w:tab/>
      </w:r>
      <w:r w:rsidRPr="00492B45">
        <w:t xml:space="preserve">Continue state public health laboratory participation in the FDA ISO 17025 Laboratory Accreditation Cooperative Agreement Program to adapt standardized laboratory testing methods for food pathogens, and provide </w:t>
      </w:r>
      <w:r>
        <w:t>increased food testing capacity.</w:t>
      </w:r>
    </w:p>
    <w:p w:rsidR="004B20E5" w:rsidRPr="006256D0" w:rsidRDefault="004B20E5" w:rsidP="00D00411">
      <w:pPr>
        <w:pStyle w:val="TableStrategiesunderHealthFunctions"/>
      </w:pPr>
      <w:r>
        <w:t>7.5.16</w:t>
      </w:r>
      <w:r>
        <w:tab/>
        <w:t xml:space="preserve">Enhance efforts of the working group on Foodborne Illness Control composed of environmental health inspectors, epidemiologists and laboratorians </w:t>
      </w:r>
      <w:r w:rsidRPr="00541532">
        <w:t>to investigate foodborne illness.</w:t>
      </w:r>
    </w:p>
    <w:p w:rsidR="004B20E5" w:rsidRDefault="004B20E5" w:rsidP="007C27A3">
      <w:pPr>
        <w:pStyle w:val="TableTenEssenHlthFunct"/>
      </w:pPr>
      <w:r>
        <w:t>Engagement with Governing Entities</w:t>
      </w:r>
    </w:p>
    <w:p w:rsidR="004B20E5" w:rsidRDefault="004B20E5" w:rsidP="00D00411">
      <w:pPr>
        <w:pStyle w:val="TableStrategiesunderHealthFunctions"/>
      </w:pPr>
      <w:r>
        <w:t>7.5.17</w:t>
      </w:r>
      <w:r>
        <w:tab/>
      </w:r>
      <w:r w:rsidRPr="00E865C8">
        <w:t>Work with local health officials statewide to enhance training opportunities for food inspectors.</w:t>
      </w:r>
    </w:p>
    <w:p w:rsidR="004B20E5" w:rsidRDefault="004B20E5" w:rsidP="00D00411">
      <w:pPr>
        <w:pStyle w:val="TableStrategiesunderHealthFunctions"/>
      </w:pPr>
      <w:r>
        <w:t>7.5.18</w:t>
      </w:r>
      <w:r>
        <w:tab/>
        <w:t>Explore additional resources to</w:t>
      </w:r>
      <w:r w:rsidRPr="00FB1B25">
        <w:t xml:space="preserve"> assist local boards of health with evaluation and review of </w:t>
      </w:r>
      <w:r w:rsidRPr="00F207A8">
        <w:t>Hazard Analy</w:t>
      </w:r>
      <w:r>
        <w:t>sis and Critical Control Points(</w:t>
      </w:r>
      <w:r w:rsidRPr="00FB1B25">
        <w:t>HACCP</w:t>
      </w:r>
      <w:r>
        <w:t>)</w:t>
      </w:r>
      <w:r w:rsidRPr="00FB1B25">
        <w:t xml:space="preserve"> plans for potentially high-risk food operations required to have </w:t>
      </w:r>
      <w:r>
        <w:t>them.</w:t>
      </w:r>
    </w:p>
    <w:p w:rsidR="004B20E5" w:rsidRDefault="004B20E5" w:rsidP="00D00411">
      <w:pPr>
        <w:pStyle w:val="TableStrategiesunderHealthFunctions"/>
      </w:pPr>
      <w:r>
        <w:t>7.5.19</w:t>
      </w:r>
      <w:r>
        <w:tab/>
      </w:r>
      <w:r w:rsidRPr="00C662D9">
        <w:t>Work with local health officials and industry to ensure appropriate training of food service employees.</w:t>
      </w:r>
    </w:p>
    <w:p w:rsidR="004B20E5" w:rsidRDefault="004B20E5" w:rsidP="00D00411">
      <w:pPr>
        <w:pStyle w:val="TableStrategiesunderHealthFunctions"/>
      </w:pPr>
      <w:r>
        <w:t>7.5.20</w:t>
      </w:r>
      <w:r>
        <w:tab/>
      </w:r>
      <w:r w:rsidRPr="00492B45">
        <w:t>Enhance inspector/sanitarian and industry training</w:t>
      </w:r>
      <w:r>
        <w:t>, to include continuing education for regulatory staff</w:t>
      </w:r>
      <w:r w:rsidRPr="00492B45">
        <w:t>, and focus on risk-based inspections through training and field monitoring.</w:t>
      </w:r>
    </w:p>
    <w:p w:rsidR="004B20E5" w:rsidRDefault="004B20E5" w:rsidP="00D00411">
      <w:pPr>
        <w:pStyle w:val="TableStrategiesunderHealthFunctions"/>
      </w:pPr>
      <w:r>
        <w:br w:type="page"/>
      </w:r>
    </w:p>
    <w:p w:rsidR="004B20E5" w:rsidRPr="00CE56E7" w:rsidRDefault="004B20E5" w:rsidP="00D00411">
      <w:pPr>
        <w:pStyle w:val="TableStrategiesunderHealthFunctions"/>
      </w:pPr>
    </w:p>
    <w:p w:rsidR="004B20E5" w:rsidRDefault="004B20E5" w:rsidP="00606FCD">
      <w:pPr>
        <w:pStyle w:val="StandardStatement"/>
      </w:pPr>
      <w:r>
        <w:t>Standard 7D:</w:t>
      </w:r>
      <w:r>
        <w:tab/>
      </w:r>
      <w:r w:rsidRPr="00130D8A">
        <w:t>Increase the capacity of local and state health officials to address environmental health issues through enhanced training.</w:t>
      </w:r>
    </w:p>
    <w:p w:rsidR="004B20E5" w:rsidRPr="000B420D" w:rsidRDefault="004B20E5" w:rsidP="00606FCD">
      <w:pPr>
        <w:pStyle w:val="BodyText"/>
      </w:pPr>
    </w:p>
    <w:p w:rsidR="004B20E5" w:rsidRPr="00CF5F67" w:rsidRDefault="00F03799" w:rsidP="0012696F">
      <w:pPr>
        <w:pStyle w:val="ObjectiveStatement"/>
      </w:pPr>
      <w:r>
        <w:rPr>
          <w:noProof/>
        </w:rPr>
        <w:drawing>
          <wp:anchor distT="0" distB="0" distL="114300" distR="114300" simplePos="0" relativeHeight="251667456" behindDoc="0" locked="0" layoutInCell="1" allowOverlap="1" wp14:anchorId="2D76AD33" wp14:editId="3CDF3A98">
            <wp:simplePos x="0" y="0"/>
            <wp:positionH relativeFrom="column">
              <wp:posOffset>0</wp:posOffset>
            </wp:positionH>
            <wp:positionV relativeFrom="paragraph">
              <wp:posOffset>419100</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t>Measure 7.6:</w:t>
      </w:r>
      <w:r w:rsidR="004B20E5">
        <w:tab/>
        <w:t>Enhance local and state capacity for climate change/adaptation by increasing the number of local health officials trained by 10% annually.</w:t>
      </w:r>
    </w:p>
    <w:tbl>
      <w:tblPr>
        <w:tblW w:w="4095" w:type="pct"/>
        <w:tblInd w:w="1908" w:type="dxa"/>
        <w:tblLayout w:type="fixed"/>
        <w:tblLook w:val="00A0" w:firstRow="1" w:lastRow="0" w:firstColumn="1" w:lastColumn="0" w:noHBand="0" w:noVBand="0"/>
      </w:tblPr>
      <w:tblGrid>
        <w:gridCol w:w="2248"/>
        <w:gridCol w:w="1531"/>
        <w:gridCol w:w="1531"/>
        <w:gridCol w:w="3122"/>
      </w:tblGrid>
      <w:tr w:rsidR="004B20E5" w:rsidRPr="00666093" w:rsidTr="004846D5">
        <w:trPr>
          <w:cantSplit/>
        </w:trPr>
        <w:tc>
          <w:tcPr>
            <w:tcW w:w="1333" w:type="pct"/>
            <w:tcBorders>
              <w:top w:val="single" w:sz="4" w:space="0" w:color="auto"/>
              <w:bottom w:val="single" w:sz="4" w:space="0" w:color="auto"/>
            </w:tcBorders>
            <w:vAlign w:val="center"/>
          </w:tcPr>
          <w:p w:rsidR="004B20E5" w:rsidRPr="00666093" w:rsidRDefault="004B20E5" w:rsidP="0012696F">
            <w:pPr>
              <w:pStyle w:val="TableTitleTargetDataSource"/>
            </w:pPr>
            <w:r>
              <w:t>Outcome Indicator</w:t>
            </w:r>
          </w:p>
        </w:tc>
        <w:tc>
          <w:tcPr>
            <w:tcW w:w="908" w:type="pct"/>
            <w:tcBorders>
              <w:top w:val="single" w:sz="4" w:space="0" w:color="auto"/>
              <w:bottom w:val="single" w:sz="4" w:space="0" w:color="auto"/>
            </w:tcBorders>
            <w:vAlign w:val="center"/>
          </w:tcPr>
          <w:p w:rsidR="004B20E5" w:rsidRPr="00666093" w:rsidRDefault="004B20E5" w:rsidP="007A677C">
            <w:pPr>
              <w:pStyle w:val="TableTitleBaseline2020Target"/>
            </w:pPr>
            <w:r w:rsidRPr="00666093">
              <w:t>Baseline</w:t>
            </w:r>
          </w:p>
        </w:tc>
        <w:tc>
          <w:tcPr>
            <w:tcW w:w="908" w:type="pct"/>
            <w:tcBorders>
              <w:top w:val="single" w:sz="4" w:space="0" w:color="auto"/>
              <w:bottom w:val="single" w:sz="4" w:space="0" w:color="auto"/>
            </w:tcBorders>
            <w:vAlign w:val="center"/>
          </w:tcPr>
          <w:p w:rsidR="004B20E5" w:rsidRPr="00666093" w:rsidRDefault="004B20E5" w:rsidP="007A677C">
            <w:pPr>
              <w:pStyle w:val="TableTitleBaseline2020Target"/>
            </w:pPr>
            <w:r w:rsidRPr="00666093">
              <w:t>2020 Target</w:t>
            </w:r>
          </w:p>
        </w:tc>
        <w:tc>
          <w:tcPr>
            <w:tcW w:w="1851" w:type="pct"/>
            <w:tcBorders>
              <w:top w:val="single" w:sz="4" w:space="0" w:color="auto"/>
              <w:bottom w:val="single" w:sz="4" w:space="0" w:color="auto"/>
            </w:tcBorders>
            <w:vAlign w:val="center"/>
          </w:tcPr>
          <w:p w:rsidR="004B20E5" w:rsidRPr="00666093" w:rsidRDefault="004B20E5" w:rsidP="007A677C">
            <w:pPr>
              <w:pStyle w:val="TableTitleTargetDataSource"/>
            </w:pPr>
            <w:r w:rsidRPr="00666093">
              <w:t>Data Source</w:t>
            </w:r>
          </w:p>
        </w:tc>
      </w:tr>
      <w:tr w:rsidR="004B20E5" w:rsidRPr="00666093" w:rsidTr="004846D5">
        <w:trPr>
          <w:cantSplit/>
        </w:trPr>
        <w:tc>
          <w:tcPr>
            <w:tcW w:w="1333" w:type="pct"/>
            <w:tcBorders>
              <w:top w:val="single" w:sz="4" w:space="0" w:color="auto"/>
              <w:bottom w:val="single" w:sz="4" w:space="0" w:color="auto"/>
            </w:tcBorders>
            <w:vAlign w:val="center"/>
          </w:tcPr>
          <w:p w:rsidR="004B20E5" w:rsidRDefault="004B20E5" w:rsidP="007A677C">
            <w:pPr>
              <w:pStyle w:val="TableOutcomeMeasure"/>
            </w:pPr>
            <w:r>
              <w:t>Local health/municipal officials trained</w:t>
            </w:r>
          </w:p>
        </w:tc>
        <w:tc>
          <w:tcPr>
            <w:tcW w:w="908" w:type="pct"/>
            <w:tcBorders>
              <w:top w:val="single" w:sz="4" w:space="0" w:color="auto"/>
              <w:bottom w:val="single" w:sz="4" w:space="0" w:color="auto"/>
            </w:tcBorders>
            <w:vAlign w:val="center"/>
          </w:tcPr>
          <w:p w:rsidR="004B20E5" w:rsidRDefault="004B20E5" w:rsidP="007A677C">
            <w:pPr>
              <w:pStyle w:val="TableBaseline2020Target"/>
            </w:pPr>
            <w:r>
              <w:t>90</w:t>
            </w:r>
          </w:p>
        </w:tc>
        <w:tc>
          <w:tcPr>
            <w:tcW w:w="908" w:type="pct"/>
            <w:tcBorders>
              <w:top w:val="single" w:sz="4" w:space="0" w:color="auto"/>
              <w:bottom w:val="single" w:sz="4" w:space="0" w:color="auto"/>
            </w:tcBorders>
            <w:vAlign w:val="center"/>
          </w:tcPr>
          <w:p w:rsidR="004B20E5" w:rsidRPr="00666093" w:rsidRDefault="004B20E5" w:rsidP="007A677C">
            <w:pPr>
              <w:pStyle w:val="TableBaseline2020Target"/>
            </w:pPr>
            <w:r>
              <w:t>127</w:t>
            </w:r>
          </w:p>
        </w:tc>
        <w:tc>
          <w:tcPr>
            <w:tcW w:w="1851" w:type="pct"/>
            <w:tcBorders>
              <w:top w:val="single" w:sz="4" w:space="0" w:color="auto"/>
              <w:bottom w:val="single" w:sz="4" w:space="0" w:color="auto"/>
            </w:tcBorders>
            <w:vAlign w:val="center"/>
          </w:tcPr>
          <w:p w:rsidR="004B20E5" w:rsidRDefault="004B20E5" w:rsidP="007A677C">
            <w:pPr>
              <w:pStyle w:val="TableDataSource"/>
            </w:pPr>
            <w:r>
              <w:t>Attendance list of training sessions (April 30, 2013 Climate Variability and Health Impact Assessment Symposium)</w:t>
            </w:r>
          </w:p>
        </w:tc>
      </w:tr>
    </w:tbl>
    <w:p w:rsidR="004B20E5" w:rsidRDefault="004B20E5" w:rsidP="007348F7">
      <w:pPr>
        <w:pStyle w:val="StrategiesCategoryTitles"/>
      </w:pPr>
    </w:p>
    <w:tbl>
      <w:tblPr>
        <w:tblW w:w="4108" w:type="pct"/>
        <w:tblInd w:w="1908"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4846D5">
        <w:trPr>
          <w:cantSplit/>
        </w:trPr>
        <w:tc>
          <w:tcPr>
            <w:tcW w:w="1329" w:type="pct"/>
            <w:tcBorders>
              <w:top w:val="single" w:sz="4" w:space="0" w:color="auto"/>
            </w:tcBorders>
          </w:tcPr>
          <w:p w:rsidR="004B20E5" w:rsidRPr="009171C7" w:rsidDel="00F67FD0" w:rsidRDefault="004B20E5" w:rsidP="004C0088">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7348F7">
            <w:pPr>
              <w:pStyle w:val="TableOutcomeMeasure"/>
            </w:pPr>
            <w:r>
              <w:t>Number of attendees at climate change/adaptation training sessions</w:t>
            </w:r>
          </w:p>
        </w:tc>
      </w:tr>
      <w:tr w:rsidR="004B20E5" w:rsidRPr="00666093" w:rsidDel="00F67FD0" w:rsidTr="004846D5">
        <w:trPr>
          <w:cantSplit/>
        </w:trPr>
        <w:tc>
          <w:tcPr>
            <w:tcW w:w="1329" w:type="pct"/>
          </w:tcPr>
          <w:p w:rsidR="004B20E5" w:rsidRPr="009171C7" w:rsidDel="00F67FD0" w:rsidRDefault="004B20E5" w:rsidP="004C0088">
            <w:pPr>
              <w:pStyle w:val="TableTitleNumeratoretc"/>
            </w:pPr>
            <w:r w:rsidRPr="00A367E5">
              <w:t>Denominator</w:t>
            </w:r>
            <w:r>
              <w:t>:</w:t>
            </w:r>
          </w:p>
        </w:tc>
        <w:tc>
          <w:tcPr>
            <w:tcW w:w="3671" w:type="pct"/>
            <w:vAlign w:val="center"/>
          </w:tcPr>
          <w:p w:rsidR="004B20E5" w:rsidRPr="00391134" w:rsidDel="00F67FD0" w:rsidRDefault="004B20E5" w:rsidP="007348F7">
            <w:pPr>
              <w:pStyle w:val="TableOutcomeMeasure"/>
            </w:pPr>
            <w:r>
              <w:t>351 (number of municipalities in Massachusetts)</w:t>
            </w:r>
          </w:p>
        </w:tc>
      </w:tr>
      <w:tr w:rsidR="004B20E5" w:rsidRPr="00666093" w:rsidDel="00F67FD0" w:rsidTr="004846D5">
        <w:trPr>
          <w:cantSplit/>
        </w:trPr>
        <w:tc>
          <w:tcPr>
            <w:tcW w:w="1329" w:type="pct"/>
          </w:tcPr>
          <w:p w:rsidR="004B20E5" w:rsidRPr="009171C7" w:rsidDel="00F67FD0" w:rsidRDefault="004B20E5" w:rsidP="004C0088">
            <w:pPr>
              <w:pStyle w:val="TableTitleNumeratoretc"/>
            </w:pPr>
            <w:r w:rsidRPr="00A367E5">
              <w:t>Exclusions</w:t>
            </w:r>
            <w:r>
              <w:t>:</w:t>
            </w:r>
          </w:p>
        </w:tc>
        <w:tc>
          <w:tcPr>
            <w:tcW w:w="3671" w:type="pct"/>
            <w:vAlign w:val="center"/>
          </w:tcPr>
          <w:p w:rsidR="004B20E5" w:rsidRPr="00391134" w:rsidDel="00F67FD0" w:rsidRDefault="004B20E5" w:rsidP="007348F7">
            <w:pPr>
              <w:pStyle w:val="TableOutcomeMeasure"/>
            </w:pPr>
            <w:r>
              <w:t>N/A</w:t>
            </w:r>
          </w:p>
        </w:tc>
      </w:tr>
      <w:tr w:rsidR="004B20E5" w:rsidRPr="00666093" w:rsidDel="00F67FD0" w:rsidTr="004846D5">
        <w:trPr>
          <w:cantSplit/>
        </w:trPr>
        <w:tc>
          <w:tcPr>
            <w:tcW w:w="1329" w:type="pct"/>
            <w:vAlign w:val="center"/>
          </w:tcPr>
          <w:p w:rsidR="004B20E5" w:rsidRPr="009171C7" w:rsidDel="00F67FD0" w:rsidRDefault="004B20E5" w:rsidP="004C0088">
            <w:pPr>
              <w:pStyle w:val="TableTitleNumeratoretc"/>
            </w:pPr>
            <w:r w:rsidRPr="00F67FD0">
              <w:t>Timeframe</w:t>
            </w:r>
            <w:r>
              <w:t>:</w:t>
            </w:r>
          </w:p>
        </w:tc>
        <w:tc>
          <w:tcPr>
            <w:tcW w:w="3671" w:type="pct"/>
            <w:vAlign w:val="center"/>
          </w:tcPr>
          <w:p w:rsidR="004B20E5" w:rsidRPr="00391134" w:rsidDel="00F67FD0" w:rsidRDefault="004B20E5" w:rsidP="007348F7">
            <w:pPr>
              <w:pStyle w:val="TableOutcomeMeasure"/>
            </w:pPr>
            <w:r>
              <w:t>Annual Symposium</w:t>
            </w:r>
          </w:p>
        </w:tc>
      </w:tr>
      <w:tr w:rsidR="004B20E5" w:rsidRPr="00666093" w:rsidDel="00F67FD0" w:rsidTr="004846D5">
        <w:trPr>
          <w:cantSplit/>
        </w:trPr>
        <w:tc>
          <w:tcPr>
            <w:tcW w:w="1329" w:type="pct"/>
            <w:tcBorders>
              <w:bottom w:val="single" w:sz="4" w:space="0" w:color="auto"/>
            </w:tcBorders>
            <w:vAlign w:val="center"/>
          </w:tcPr>
          <w:p w:rsidR="004B20E5" w:rsidRPr="009171C7" w:rsidDel="00F67FD0" w:rsidRDefault="004B20E5" w:rsidP="004C0088">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7348F7">
            <w:pPr>
              <w:pStyle w:val="TableOutcomeMeasure"/>
            </w:pPr>
            <w:r>
              <w:t>Report number of participants who attend annual training between 2015 and 2020</w:t>
            </w:r>
          </w:p>
        </w:tc>
      </w:tr>
    </w:tbl>
    <w:p w:rsidR="004B20E5" w:rsidRDefault="004B20E5" w:rsidP="007348F7">
      <w:pPr>
        <w:pStyle w:val="StrategiesCategoryTitles"/>
      </w:pPr>
    </w:p>
    <w:p w:rsidR="004B20E5" w:rsidRDefault="004B20E5" w:rsidP="007C27A3">
      <w:pPr>
        <w:pStyle w:val="TableTenEssenHlthFunct"/>
      </w:pPr>
      <w:r>
        <w:t>Monitor Health to Identify and Solve Community Health Problems</w:t>
      </w:r>
    </w:p>
    <w:p w:rsidR="004B20E5" w:rsidRPr="006256D0" w:rsidRDefault="004B20E5" w:rsidP="00D00411">
      <w:pPr>
        <w:pStyle w:val="TableStrategiesunderHealthFunctions"/>
      </w:pPr>
      <w:r>
        <w:t>7.6.1</w:t>
      </w:r>
      <w:r>
        <w:tab/>
      </w:r>
      <w:r w:rsidRPr="007359C5">
        <w:t>Promote use of health surveillance data (e.g., through Environmental Public Health Tracking portal) to identify smaller geographic areas within communities especially vulnerable to climate effects</w:t>
      </w:r>
      <w:r>
        <w:t>.</w:t>
      </w:r>
    </w:p>
    <w:p w:rsidR="004B20E5" w:rsidRDefault="004B20E5" w:rsidP="007C27A3">
      <w:pPr>
        <w:pStyle w:val="TableTenEssenHlthFunct"/>
      </w:pPr>
      <w:r>
        <w:t>Diagnose and Investigate Health Problems and Hazards in the Community</w:t>
      </w:r>
    </w:p>
    <w:p w:rsidR="004B20E5" w:rsidRPr="006256D0" w:rsidRDefault="004B20E5" w:rsidP="00D00411">
      <w:pPr>
        <w:pStyle w:val="TableStrategiesunderHealthFunctions"/>
      </w:pPr>
      <w:r>
        <w:t>7.6.2</w:t>
      </w:r>
      <w:r>
        <w:tab/>
        <w:t>Enhance surveillance efforts for Vibrio illness.</w:t>
      </w:r>
    </w:p>
    <w:p w:rsidR="004B20E5" w:rsidRDefault="004B20E5" w:rsidP="007C27A3">
      <w:pPr>
        <w:pStyle w:val="TableTenEssenHlthFunct"/>
      </w:pPr>
      <w:r>
        <w:t>Mobilize Community Partnerships to Identify and Solve Health Problems</w:t>
      </w:r>
    </w:p>
    <w:p w:rsidR="004B20E5" w:rsidRPr="006256D0" w:rsidRDefault="004B20E5" w:rsidP="00D00411">
      <w:pPr>
        <w:pStyle w:val="TableStrategiesunderHealthFunctions"/>
      </w:pPr>
      <w:r>
        <w:t>7.6.3</w:t>
      </w:r>
      <w:r>
        <w:tab/>
      </w:r>
      <w:r w:rsidRPr="00196BC5">
        <w:t>Strengthen state and regional collaborations to address potential increases in vector-borne diseases due to climate change.</w:t>
      </w:r>
    </w:p>
    <w:p w:rsidR="004B20E5" w:rsidRDefault="004B20E5" w:rsidP="007C27A3">
      <w:pPr>
        <w:pStyle w:val="TableTenEssenHlthFunct"/>
      </w:pPr>
      <w:r>
        <w:t xml:space="preserve">Develop Policies and Plans That Support Individual and Community Health Efforts </w:t>
      </w:r>
    </w:p>
    <w:p w:rsidR="004B20E5" w:rsidRDefault="004B20E5" w:rsidP="00D00411">
      <w:pPr>
        <w:pStyle w:val="TableStrategiesunderHealthFunctions"/>
      </w:pPr>
      <w:r>
        <w:t>7.6.4</w:t>
      </w:r>
      <w:r>
        <w:tab/>
      </w:r>
      <w:r w:rsidRPr="009443F2">
        <w:t>Disseminate and enhance guidance and protocols for food protection during extreme events</w:t>
      </w:r>
      <w:r>
        <w:t xml:space="preserve"> and/or</w:t>
      </w:r>
      <w:r w:rsidRPr="009443F2">
        <w:t xml:space="preserve"> natural and other disasters.</w:t>
      </w:r>
    </w:p>
    <w:p w:rsidR="004B20E5" w:rsidRPr="006256D0" w:rsidRDefault="004B20E5" w:rsidP="00D00411">
      <w:pPr>
        <w:pStyle w:val="TableStrategiesunderHealthFunctions"/>
      </w:pPr>
      <w:r>
        <w:t>7.6.5</w:t>
      </w:r>
      <w:r>
        <w:tab/>
      </w:r>
      <w:r w:rsidRPr="007359C5">
        <w:t>Promote workplace policies to reduce the risk of occupational heat stress.</w:t>
      </w:r>
    </w:p>
    <w:p w:rsidR="004B20E5" w:rsidRDefault="004B20E5" w:rsidP="007C27A3">
      <w:pPr>
        <w:pStyle w:val="TableTenEssenHlthFunct"/>
      </w:pPr>
      <w:r>
        <w:t>Assure a Competent Public and Personal Healthcare Workforce</w:t>
      </w:r>
    </w:p>
    <w:p w:rsidR="004B20E5" w:rsidRPr="006256D0" w:rsidRDefault="004B20E5" w:rsidP="00D00411">
      <w:pPr>
        <w:pStyle w:val="TableStrategiesunderHealthFunctions"/>
      </w:pPr>
      <w:r>
        <w:t>7.6.6</w:t>
      </w:r>
      <w:r>
        <w:tab/>
      </w:r>
      <w:r w:rsidRPr="009443F2">
        <w:t>Develop tools for use by local officials in adaptation planning (e.g., population vulnerability maps specific to communities)</w:t>
      </w:r>
      <w:r>
        <w:t>, to promote environmental justice.</w:t>
      </w:r>
    </w:p>
    <w:p w:rsidR="004B20E5" w:rsidRDefault="004B20E5" w:rsidP="007C27A3">
      <w:pPr>
        <w:pStyle w:val="TableTenEssenHlthFunct"/>
      </w:pPr>
      <w:r>
        <w:t>Engagement with Governing Entities</w:t>
      </w:r>
    </w:p>
    <w:p w:rsidR="004B20E5" w:rsidRDefault="004B20E5" w:rsidP="00D00411">
      <w:pPr>
        <w:pStyle w:val="TableStrategiesunderHealthFunctions"/>
      </w:pPr>
      <w:r>
        <w:t>7.6.7</w:t>
      </w:r>
      <w:r>
        <w:tab/>
      </w:r>
      <w:r w:rsidRPr="00196BC5">
        <w:t xml:space="preserve">Work with other state agencies </w:t>
      </w:r>
      <w:r>
        <w:t xml:space="preserve">and local health officials </w:t>
      </w:r>
      <w:r w:rsidRPr="00196BC5">
        <w:t>to integrate climate change adaptations into existing and/or new policies and regulations.</w:t>
      </w:r>
    </w:p>
    <w:p w:rsidR="004B20E5" w:rsidRDefault="004B20E5" w:rsidP="00D00411">
      <w:pPr>
        <w:pStyle w:val="TableStrategiesunderHealthFunctions"/>
      </w:pPr>
      <w:r>
        <w:t>7.6.8</w:t>
      </w:r>
      <w:r>
        <w:tab/>
      </w:r>
      <w:r w:rsidRPr="00196BC5">
        <w:t>Enhance collaboration with federal, state, and local officials along with industry representatives to reduce the risk of Vibrio Parahaemolyticus (VP) resulting from increasing water</w:t>
      </w:r>
      <w:r>
        <w:t xml:space="preserve"> and air</w:t>
      </w:r>
      <w:r w:rsidRPr="00196BC5">
        <w:t xml:space="preserve"> temperatures due to climate change</w:t>
      </w:r>
      <w:r>
        <w:t>.</w:t>
      </w:r>
    </w:p>
    <w:p w:rsidR="004B20E5" w:rsidRPr="00CE56E7" w:rsidRDefault="004B20E5" w:rsidP="00D00411">
      <w:pPr>
        <w:pStyle w:val="TableStrategiesunderHealthFunctions"/>
      </w:pPr>
      <w:r>
        <w:t xml:space="preserve">7.6.9 </w:t>
      </w:r>
      <w:r>
        <w:tab/>
      </w:r>
      <w:r w:rsidRPr="009443F2">
        <w:t>Provide training of local health officials and other municipal officials on adaptation strategies for their community.</w:t>
      </w:r>
    </w:p>
    <w:p w:rsidR="004B20E5" w:rsidRDefault="004B20E5" w:rsidP="00D00411">
      <w:pPr>
        <w:pStyle w:val="TableStrategiesunderHealthFunctions"/>
      </w:pPr>
    </w:p>
    <w:p w:rsidR="004B20E5" w:rsidRPr="00CF5F67" w:rsidRDefault="00F03799" w:rsidP="0012696F">
      <w:pPr>
        <w:pStyle w:val="ObjectiveStatement"/>
      </w:pPr>
      <w:r>
        <w:rPr>
          <w:noProof/>
        </w:rPr>
        <w:drawing>
          <wp:anchor distT="0" distB="0" distL="114300" distR="114300" simplePos="0" relativeHeight="251668480" behindDoc="0" locked="0" layoutInCell="1" allowOverlap="1" wp14:anchorId="5AD7B47B" wp14:editId="2033B5AB">
            <wp:simplePos x="0" y="0"/>
            <wp:positionH relativeFrom="column">
              <wp:posOffset>0</wp:posOffset>
            </wp:positionH>
            <wp:positionV relativeFrom="paragraph">
              <wp:posOffset>456565</wp:posOffset>
            </wp:positionV>
            <wp:extent cx="180975" cy="180975"/>
            <wp:effectExtent l="0" t="0" r="9525" b="9525"/>
            <wp:wrapThrough wrapText="bothSides">
              <wp:wrapPolygon edited="0">
                <wp:start x="2274" y="0"/>
                <wp:lineTo x="0" y="2274"/>
                <wp:lineTo x="0" y="15916"/>
                <wp:lineTo x="2274" y="20463"/>
                <wp:lineTo x="20463" y="20463"/>
                <wp:lineTo x="20463" y="0"/>
                <wp:lineTo x="2274" y="0"/>
              </wp:wrapPolygon>
            </wp:wrapThrough>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a:extLst>
                        <a:ext uri="{28A0092B-C50C-407E-A947-70E740481C1C}">
                          <a14:useLocalDpi xmlns:a14="http://schemas.microsoft.com/office/drawing/2010/main" val="0"/>
                        </a:ext>
                      </a:extLst>
                    </a:blip>
                    <a:srcRect l="17638" t="18257" r="18593" b="29475"/>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4B20E5">
        <w:t xml:space="preserve">Measure </w:t>
      </w:r>
      <w:r w:rsidR="004B20E5" w:rsidRPr="001633F7">
        <w:t>7.</w:t>
      </w:r>
      <w:r w:rsidR="004B20E5">
        <w:t>7</w:t>
      </w:r>
      <w:r w:rsidR="004B20E5" w:rsidRPr="001633F7">
        <w:t>:</w:t>
      </w:r>
      <w:r w:rsidR="004B20E5">
        <w:tab/>
        <w:t>Enhance local capacity to respond to environmental health inquiries by use of the Environmental Public Health Tracking (EPHT) network</w:t>
      </w:r>
      <w:r w:rsidR="000E3D25">
        <w:t xml:space="preserve"> </w:t>
      </w:r>
      <w:r w:rsidR="004B20E5">
        <w:t xml:space="preserve">by 10%. </w:t>
      </w:r>
    </w:p>
    <w:tbl>
      <w:tblPr>
        <w:tblW w:w="4108" w:type="pct"/>
        <w:tblInd w:w="1800" w:type="dxa"/>
        <w:tblLayout w:type="fixed"/>
        <w:tblLook w:val="00A0" w:firstRow="1" w:lastRow="0" w:firstColumn="1" w:lastColumn="0" w:noHBand="0" w:noVBand="0"/>
      </w:tblPr>
      <w:tblGrid>
        <w:gridCol w:w="2249"/>
        <w:gridCol w:w="1531"/>
        <w:gridCol w:w="1531"/>
        <w:gridCol w:w="3148"/>
      </w:tblGrid>
      <w:tr w:rsidR="004B20E5" w:rsidRPr="00666093" w:rsidTr="0012696F">
        <w:trPr>
          <w:cantSplit/>
        </w:trPr>
        <w:tc>
          <w:tcPr>
            <w:tcW w:w="1329" w:type="pct"/>
            <w:tcBorders>
              <w:top w:val="single" w:sz="4" w:space="0" w:color="auto"/>
              <w:bottom w:val="single" w:sz="4" w:space="0" w:color="auto"/>
            </w:tcBorders>
            <w:vAlign w:val="center"/>
          </w:tcPr>
          <w:p w:rsidR="004B20E5" w:rsidRPr="00666093" w:rsidRDefault="004B20E5" w:rsidP="0012696F">
            <w:pPr>
              <w:pStyle w:val="TableTitleTargetDataSource"/>
            </w:pPr>
            <w:r>
              <w:t>Outcome Indicator</w:t>
            </w:r>
          </w:p>
        </w:tc>
        <w:tc>
          <w:tcPr>
            <w:tcW w:w="905" w:type="pct"/>
            <w:tcBorders>
              <w:top w:val="single" w:sz="4" w:space="0" w:color="auto"/>
              <w:bottom w:val="single" w:sz="4" w:space="0" w:color="auto"/>
            </w:tcBorders>
            <w:vAlign w:val="center"/>
          </w:tcPr>
          <w:p w:rsidR="004B20E5" w:rsidRPr="00666093" w:rsidRDefault="004B20E5" w:rsidP="007A677C">
            <w:pPr>
              <w:pStyle w:val="TableTitleBaseline2020Target"/>
            </w:pPr>
            <w:r w:rsidRPr="00666093">
              <w:t>Baseline</w:t>
            </w:r>
          </w:p>
        </w:tc>
        <w:tc>
          <w:tcPr>
            <w:tcW w:w="905" w:type="pct"/>
            <w:tcBorders>
              <w:top w:val="single" w:sz="4" w:space="0" w:color="auto"/>
              <w:bottom w:val="single" w:sz="4" w:space="0" w:color="auto"/>
            </w:tcBorders>
            <w:vAlign w:val="center"/>
          </w:tcPr>
          <w:p w:rsidR="004B20E5" w:rsidRPr="00666093" w:rsidRDefault="004B20E5" w:rsidP="007A677C">
            <w:pPr>
              <w:pStyle w:val="TableTitleBaseline2020Target"/>
            </w:pPr>
            <w:r w:rsidRPr="00666093">
              <w:t>2020 Target</w:t>
            </w:r>
          </w:p>
        </w:tc>
        <w:tc>
          <w:tcPr>
            <w:tcW w:w="1861" w:type="pct"/>
            <w:tcBorders>
              <w:top w:val="single" w:sz="4" w:space="0" w:color="auto"/>
              <w:bottom w:val="single" w:sz="4" w:space="0" w:color="auto"/>
            </w:tcBorders>
            <w:vAlign w:val="center"/>
          </w:tcPr>
          <w:p w:rsidR="004B20E5" w:rsidRPr="00666093" w:rsidRDefault="004B20E5" w:rsidP="007A677C">
            <w:pPr>
              <w:pStyle w:val="TableTitleTargetDataSource"/>
            </w:pPr>
            <w:r w:rsidRPr="00666093">
              <w:t>Data Source</w:t>
            </w:r>
          </w:p>
        </w:tc>
      </w:tr>
      <w:tr w:rsidR="004B20E5" w:rsidRPr="00666093" w:rsidTr="0012696F">
        <w:trPr>
          <w:cantSplit/>
        </w:trPr>
        <w:tc>
          <w:tcPr>
            <w:tcW w:w="1329" w:type="pct"/>
            <w:tcBorders>
              <w:top w:val="single" w:sz="4" w:space="0" w:color="auto"/>
              <w:bottom w:val="single" w:sz="4" w:space="0" w:color="auto"/>
            </w:tcBorders>
            <w:vAlign w:val="center"/>
          </w:tcPr>
          <w:p w:rsidR="004B20E5" w:rsidRPr="00666093" w:rsidRDefault="004B20E5" w:rsidP="007A677C">
            <w:pPr>
              <w:pStyle w:val="TableOutcomeMeasure"/>
            </w:pPr>
            <w:r>
              <w:t>MHOA conference registrants</w:t>
            </w:r>
          </w:p>
        </w:tc>
        <w:tc>
          <w:tcPr>
            <w:tcW w:w="905" w:type="pct"/>
            <w:tcBorders>
              <w:top w:val="single" w:sz="4" w:space="0" w:color="auto"/>
              <w:bottom w:val="single" w:sz="4" w:space="0" w:color="auto"/>
            </w:tcBorders>
            <w:vAlign w:val="center"/>
          </w:tcPr>
          <w:p w:rsidR="004B20E5" w:rsidRPr="00666093" w:rsidRDefault="004B20E5" w:rsidP="007A677C">
            <w:pPr>
              <w:pStyle w:val="TableBaseline2020Target"/>
            </w:pPr>
            <w:r>
              <w:t>336</w:t>
            </w:r>
          </w:p>
        </w:tc>
        <w:tc>
          <w:tcPr>
            <w:tcW w:w="905" w:type="pct"/>
            <w:tcBorders>
              <w:top w:val="single" w:sz="4" w:space="0" w:color="auto"/>
              <w:bottom w:val="single" w:sz="4" w:space="0" w:color="auto"/>
            </w:tcBorders>
            <w:vAlign w:val="center"/>
          </w:tcPr>
          <w:p w:rsidR="004B20E5" w:rsidRPr="00666093" w:rsidRDefault="004B20E5" w:rsidP="007A677C">
            <w:pPr>
              <w:pStyle w:val="TableBaseline2020Target"/>
            </w:pPr>
            <w:r>
              <w:t>370</w:t>
            </w:r>
          </w:p>
        </w:tc>
        <w:tc>
          <w:tcPr>
            <w:tcW w:w="1861" w:type="pct"/>
            <w:tcBorders>
              <w:top w:val="single" w:sz="4" w:space="0" w:color="auto"/>
              <w:bottom w:val="single" w:sz="4" w:space="0" w:color="auto"/>
            </w:tcBorders>
            <w:vAlign w:val="center"/>
          </w:tcPr>
          <w:p w:rsidR="004B20E5" w:rsidRPr="00666093" w:rsidRDefault="004B20E5" w:rsidP="007A677C">
            <w:pPr>
              <w:pStyle w:val="TableDataSource"/>
            </w:pPr>
            <w:r>
              <w:t>MHOA Annual Conference Registration database (number registered at 2013 annual MHOA conference)</w:t>
            </w:r>
          </w:p>
        </w:tc>
      </w:tr>
    </w:tbl>
    <w:p w:rsidR="004B20E5" w:rsidRDefault="004B20E5" w:rsidP="007348F7">
      <w:pPr>
        <w:pStyle w:val="StrategiesCategoryTitles"/>
      </w:pPr>
    </w:p>
    <w:tbl>
      <w:tblPr>
        <w:tblW w:w="4108" w:type="pct"/>
        <w:tblInd w:w="1800" w:type="dxa"/>
        <w:tblBorders>
          <w:top w:val="single" w:sz="4" w:space="0" w:color="auto"/>
          <w:bottom w:val="single" w:sz="4" w:space="0" w:color="auto"/>
          <w:insideH w:val="single" w:sz="4" w:space="0" w:color="FFFFFF"/>
        </w:tblBorders>
        <w:tblLayout w:type="fixed"/>
        <w:tblLook w:val="00A0" w:firstRow="1" w:lastRow="0" w:firstColumn="1" w:lastColumn="0" w:noHBand="0" w:noVBand="0"/>
      </w:tblPr>
      <w:tblGrid>
        <w:gridCol w:w="2248"/>
        <w:gridCol w:w="6211"/>
      </w:tblGrid>
      <w:tr w:rsidR="004B20E5" w:rsidRPr="00666093" w:rsidDel="00F67FD0" w:rsidTr="0012696F">
        <w:trPr>
          <w:cantSplit/>
        </w:trPr>
        <w:tc>
          <w:tcPr>
            <w:tcW w:w="1329" w:type="pct"/>
            <w:tcBorders>
              <w:top w:val="single" w:sz="4" w:space="0" w:color="auto"/>
            </w:tcBorders>
          </w:tcPr>
          <w:p w:rsidR="004B20E5" w:rsidRPr="009171C7" w:rsidDel="00F67FD0" w:rsidRDefault="004B20E5" w:rsidP="004C0088">
            <w:pPr>
              <w:pStyle w:val="TableTitleNumeratoretc"/>
            </w:pPr>
            <w:r w:rsidRPr="00A367E5">
              <w:t>Numerator</w:t>
            </w:r>
            <w:r>
              <w:t>:</w:t>
            </w:r>
          </w:p>
        </w:tc>
        <w:tc>
          <w:tcPr>
            <w:tcW w:w="3671" w:type="pct"/>
            <w:tcBorders>
              <w:top w:val="single" w:sz="4" w:space="0" w:color="auto"/>
            </w:tcBorders>
            <w:vAlign w:val="center"/>
          </w:tcPr>
          <w:p w:rsidR="004B20E5" w:rsidRPr="00391134" w:rsidDel="00F67FD0" w:rsidRDefault="004B20E5" w:rsidP="007348F7">
            <w:pPr>
              <w:pStyle w:val="TableOutcomeMeasure"/>
            </w:pPr>
            <w:r>
              <w:t>Number of individuals registered for MHOA annual meeting</w:t>
            </w:r>
          </w:p>
        </w:tc>
      </w:tr>
      <w:tr w:rsidR="004B20E5" w:rsidRPr="00666093" w:rsidDel="00F67FD0" w:rsidTr="0012696F">
        <w:trPr>
          <w:cantSplit/>
        </w:trPr>
        <w:tc>
          <w:tcPr>
            <w:tcW w:w="1329" w:type="pct"/>
          </w:tcPr>
          <w:p w:rsidR="004B20E5" w:rsidRPr="009171C7" w:rsidDel="00F67FD0" w:rsidRDefault="004B20E5" w:rsidP="004C0088">
            <w:pPr>
              <w:pStyle w:val="TableTitleNumeratoretc"/>
            </w:pPr>
            <w:r w:rsidRPr="00A367E5">
              <w:t>Denominator</w:t>
            </w:r>
            <w:r>
              <w:t>:</w:t>
            </w:r>
          </w:p>
        </w:tc>
        <w:tc>
          <w:tcPr>
            <w:tcW w:w="3671" w:type="pct"/>
            <w:vAlign w:val="center"/>
          </w:tcPr>
          <w:p w:rsidR="004B20E5" w:rsidRPr="00391134" w:rsidDel="00F67FD0" w:rsidRDefault="000E3D25" w:rsidP="007348F7">
            <w:pPr>
              <w:pStyle w:val="TableOutcomeMeasure"/>
            </w:pPr>
            <w:r>
              <w:t>N/A</w:t>
            </w:r>
          </w:p>
        </w:tc>
      </w:tr>
      <w:tr w:rsidR="004B20E5" w:rsidRPr="00666093" w:rsidDel="00F67FD0" w:rsidTr="0012696F">
        <w:trPr>
          <w:cantSplit/>
        </w:trPr>
        <w:tc>
          <w:tcPr>
            <w:tcW w:w="1329" w:type="pct"/>
          </w:tcPr>
          <w:p w:rsidR="004B20E5" w:rsidRPr="009171C7" w:rsidDel="00F67FD0" w:rsidRDefault="004B20E5" w:rsidP="004C0088">
            <w:pPr>
              <w:pStyle w:val="TableTitleNumeratoretc"/>
            </w:pPr>
            <w:r w:rsidRPr="00A367E5">
              <w:t>Exclusions</w:t>
            </w:r>
            <w:r>
              <w:t>:</w:t>
            </w:r>
          </w:p>
        </w:tc>
        <w:tc>
          <w:tcPr>
            <w:tcW w:w="3671" w:type="pct"/>
            <w:vAlign w:val="center"/>
          </w:tcPr>
          <w:p w:rsidR="004B20E5" w:rsidRPr="00391134" w:rsidDel="00F67FD0" w:rsidRDefault="004B20E5" w:rsidP="007348F7">
            <w:pPr>
              <w:pStyle w:val="TableOutcomeMeasure"/>
            </w:pPr>
            <w:r>
              <w:t>N/A</w:t>
            </w:r>
          </w:p>
        </w:tc>
      </w:tr>
      <w:tr w:rsidR="004B20E5" w:rsidRPr="00666093" w:rsidDel="00F67FD0" w:rsidTr="0012696F">
        <w:trPr>
          <w:cantSplit/>
        </w:trPr>
        <w:tc>
          <w:tcPr>
            <w:tcW w:w="1329" w:type="pct"/>
            <w:vAlign w:val="center"/>
          </w:tcPr>
          <w:p w:rsidR="004B20E5" w:rsidRPr="009171C7" w:rsidDel="00F67FD0" w:rsidRDefault="004B20E5" w:rsidP="004C0088">
            <w:pPr>
              <w:pStyle w:val="TableTitleNumeratoretc"/>
            </w:pPr>
            <w:r w:rsidRPr="00F67FD0">
              <w:t>Timeframe</w:t>
            </w:r>
            <w:r>
              <w:t>:</w:t>
            </w:r>
          </w:p>
        </w:tc>
        <w:tc>
          <w:tcPr>
            <w:tcW w:w="3671" w:type="pct"/>
            <w:vAlign w:val="center"/>
          </w:tcPr>
          <w:p w:rsidR="004B20E5" w:rsidRPr="00391134" w:rsidDel="00F67FD0" w:rsidRDefault="004B20E5" w:rsidP="007348F7">
            <w:pPr>
              <w:pStyle w:val="TableOutcomeMeasure"/>
            </w:pPr>
            <w:r>
              <w:t xml:space="preserve">Annual </w:t>
            </w:r>
          </w:p>
        </w:tc>
      </w:tr>
      <w:tr w:rsidR="004B20E5" w:rsidRPr="00666093" w:rsidDel="00F67FD0" w:rsidTr="0012696F">
        <w:trPr>
          <w:cantSplit/>
        </w:trPr>
        <w:tc>
          <w:tcPr>
            <w:tcW w:w="1329" w:type="pct"/>
            <w:tcBorders>
              <w:bottom w:val="single" w:sz="4" w:space="0" w:color="auto"/>
            </w:tcBorders>
            <w:vAlign w:val="center"/>
          </w:tcPr>
          <w:p w:rsidR="004B20E5" w:rsidRPr="009171C7" w:rsidDel="00F67FD0" w:rsidRDefault="004B20E5" w:rsidP="004C0088">
            <w:pPr>
              <w:pStyle w:val="TableTitleNumeratoretc"/>
            </w:pPr>
            <w:r w:rsidRPr="00F67FD0">
              <w:t>How will this be measured?</w:t>
            </w:r>
          </w:p>
        </w:tc>
        <w:tc>
          <w:tcPr>
            <w:tcW w:w="3671" w:type="pct"/>
            <w:tcBorders>
              <w:bottom w:val="single" w:sz="4" w:space="0" w:color="auto"/>
            </w:tcBorders>
            <w:vAlign w:val="center"/>
          </w:tcPr>
          <w:p w:rsidR="004B20E5" w:rsidRPr="00391134" w:rsidDel="00F67FD0" w:rsidRDefault="004B20E5" w:rsidP="007348F7">
            <w:pPr>
              <w:pStyle w:val="TableOutcomeMeasure"/>
            </w:pPr>
            <w:r>
              <w:t>Show 5 year (2015-2020) average annual registration has increased by 10% since baseline</w:t>
            </w:r>
          </w:p>
        </w:tc>
      </w:tr>
    </w:tbl>
    <w:p w:rsidR="004B20E5" w:rsidRDefault="004B20E5" w:rsidP="007348F7">
      <w:pPr>
        <w:pStyle w:val="StrategiesCategoryTitles"/>
      </w:pPr>
    </w:p>
    <w:p w:rsidR="004B20E5" w:rsidRDefault="004B20E5" w:rsidP="007C27A3">
      <w:pPr>
        <w:pStyle w:val="TableTenEssenHlthFunct"/>
      </w:pPr>
      <w:r>
        <w:t>Monitor Health to Identify and Solve Community Health Problems</w:t>
      </w:r>
    </w:p>
    <w:p w:rsidR="004B20E5" w:rsidRDefault="004B20E5" w:rsidP="00D00411">
      <w:pPr>
        <w:pStyle w:val="TableStrategiesunderHealthFunctions"/>
      </w:pPr>
      <w:r>
        <w:t xml:space="preserve">7.7.1 </w:t>
      </w:r>
      <w:r>
        <w:tab/>
        <w:t xml:space="preserve">Develop community-specific maps to identify populations at greatest risk. </w:t>
      </w:r>
    </w:p>
    <w:p w:rsidR="004B20E5" w:rsidRDefault="004B20E5" w:rsidP="00D00411">
      <w:pPr>
        <w:pStyle w:val="TableStrategiesunderHealthFunctions"/>
      </w:pPr>
      <w:r>
        <w:t xml:space="preserve">7.7.2 </w:t>
      </w:r>
      <w:r>
        <w:tab/>
        <w:t xml:space="preserve">Develop community-specific data profiles to highlight key health and environmental indicators. </w:t>
      </w:r>
    </w:p>
    <w:p w:rsidR="004B20E5" w:rsidRDefault="004B20E5" w:rsidP="00D00411">
      <w:pPr>
        <w:pStyle w:val="TableStrategiesunderHealthFunctions"/>
      </w:pPr>
      <w:r>
        <w:t>7.7.3</w:t>
      </w:r>
      <w:r>
        <w:tab/>
      </w:r>
      <w:r w:rsidRPr="00B533A3">
        <w:t>Determine relevant occupational health indicators to include on the Environmental Public Health Tracking portal.</w:t>
      </w:r>
    </w:p>
    <w:p w:rsidR="004B20E5" w:rsidRPr="006256D0" w:rsidRDefault="004B20E5" w:rsidP="00D00411">
      <w:pPr>
        <w:pStyle w:val="TableStrategiesunderHealthFunctions"/>
      </w:pPr>
      <w:r w:rsidRPr="004337FD">
        <w:t>7.</w:t>
      </w:r>
      <w:r>
        <w:t>7</w:t>
      </w:r>
      <w:r w:rsidRPr="004337FD">
        <w:t xml:space="preserve">.4 </w:t>
      </w:r>
      <w:r w:rsidRPr="004337FD">
        <w:tab/>
        <w:t xml:space="preserve">Develop a protocol to readily identify </w:t>
      </w:r>
      <w:r>
        <w:t>at risk</w:t>
      </w:r>
      <w:r w:rsidRPr="004337FD">
        <w:t xml:space="preserve"> populations to promote health equity.</w:t>
      </w:r>
    </w:p>
    <w:p w:rsidR="004B20E5" w:rsidRDefault="004B20E5" w:rsidP="007C27A3">
      <w:pPr>
        <w:pStyle w:val="TableTenEssenHlthFunct"/>
      </w:pPr>
      <w:r>
        <w:t xml:space="preserve">Inform, Educate, and Empower People About Health Issues </w:t>
      </w:r>
    </w:p>
    <w:p w:rsidR="004B20E5" w:rsidRDefault="004B20E5" w:rsidP="004337FD">
      <w:pPr>
        <w:pStyle w:val="TableStrategiesunderHealthFunctions"/>
      </w:pPr>
      <w:r>
        <w:t xml:space="preserve">7.7.5 </w:t>
      </w:r>
      <w:r>
        <w:tab/>
        <w:t xml:space="preserve">Develop community-specific maps to identify populations at greatest risk. </w:t>
      </w:r>
    </w:p>
    <w:p w:rsidR="004B20E5" w:rsidRDefault="004B20E5" w:rsidP="004337FD">
      <w:pPr>
        <w:pStyle w:val="TableStrategiesunderHealthFunctions"/>
      </w:pPr>
      <w:r>
        <w:t xml:space="preserve">7.7.6 </w:t>
      </w:r>
      <w:r>
        <w:tab/>
        <w:t xml:space="preserve">Develop community-specific data profiles to highlight key health and environmental indicators. </w:t>
      </w:r>
    </w:p>
    <w:p w:rsidR="004B20E5" w:rsidRDefault="004B20E5" w:rsidP="004337FD">
      <w:pPr>
        <w:pStyle w:val="TableStrategiesunderHealthFunctions"/>
      </w:pPr>
      <w:r>
        <w:t>7.7.7</w:t>
      </w:r>
      <w:r>
        <w:tab/>
      </w:r>
      <w:r w:rsidRPr="00B533A3">
        <w:t>Determine relevant occupational health indicators to include on the Environmental Public Health Tracking portal.</w:t>
      </w:r>
    </w:p>
    <w:p w:rsidR="004B20E5" w:rsidRDefault="004B20E5" w:rsidP="004337FD">
      <w:pPr>
        <w:pStyle w:val="TableStrategiesunderHealthFunctions"/>
      </w:pPr>
      <w:r>
        <w:t>7.7.8</w:t>
      </w:r>
      <w:r w:rsidRPr="009443F2">
        <w:tab/>
        <w:t xml:space="preserve">Create </w:t>
      </w:r>
      <w:r>
        <w:t>training for</w:t>
      </w:r>
      <w:r w:rsidRPr="009443F2">
        <w:t xml:space="preserve"> local health officials on</w:t>
      </w:r>
      <w:r>
        <w:t xml:space="preserve"> diverse use of</w:t>
      </w:r>
      <w:r w:rsidRPr="009443F2">
        <w:t xml:space="preserve"> EPHT informatio</w:t>
      </w:r>
      <w:r>
        <w:t>n.</w:t>
      </w:r>
    </w:p>
    <w:p w:rsidR="004B20E5" w:rsidRPr="006256D0" w:rsidRDefault="004B20E5" w:rsidP="004337FD">
      <w:pPr>
        <w:pStyle w:val="TableStrategiesunderHealthFunctions"/>
      </w:pPr>
      <w:r>
        <w:t>7.7.9</w:t>
      </w:r>
      <w:r>
        <w:tab/>
        <w:t>Expand</w:t>
      </w:r>
      <w:r w:rsidRPr="009443F2">
        <w:t xml:space="preserve"> hands-on training of local health officials in the Environmental Public Health Tracking (EPHT) portal to help inform local decisions.</w:t>
      </w:r>
    </w:p>
    <w:p w:rsidR="004B20E5" w:rsidRDefault="004B20E5" w:rsidP="007C27A3">
      <w:pPr>
        <w:pStyle w:val="TableTenEssenHlthFunct"/>
      </w:pPr>
      <w:r>
        <w:t>Mobilize Community Partnerships to Identify and Solve Health Problems</w:t>
      </w:r>
    </w:p>
    <w:p w:rsidR="004B20E5" w:rsidRDefault="004B20E5" w:rsidP="004337FD">
      <w:pPr>
        <w:pStyle w:val="TableStrategiesunderHealthFunctions"/>
      </w:pPr>
      <w:r>
        <w:t>7.7.10</w:t>
      </w:r>
      <w:r>
        <w:tab/>
        <w:t>Expand</w:t>
      </w:r>
      <w:r w:rsidRPr="009443F2">
        <w:t xml:space="preserve"> hands-on training of local health officials in the Environmental Public Health Tracking (EPHT) portal to help inform local decisions.</w:t>
      </w:r>
    </w:p>
    <w:p w:rsidR="004B20E5" w:rsidRDefault="004B20E5" w:rsidP="004337FD">
      <w:pPr>
        <w:pStyle w:val="TableStrategiesunderHealthFunctions"/>
      </w:pPr>
      <w:r>
        <w:t xml:space="preserve">7.7.11 </w:t>
      </w:r>
      <w:r>
        <w:tab/>
        <w:t xml:space="preserve">Develop community-specific data profiles to highlight key health and environmental indicators. </w:t>
      </w:r>
    </w:p>
    <w:p w:rsidR="004B20E5" w:rsidRPr="006256D0" w:rsidRDefault="004B20E5" w:rsidP="004337FD">
      <w:pPr>
        <w:pStyle w:val="TableStrategiesunderHealthFunctions"/>
      </w:pPr>
      <w:r>
        <w:t>7.7.12</w:t>
      </w:r>
      <w:r>
        <w:tab/>
      </w:r>
      <w:r w:rsidRPr="00B533A3">
        <w:t>Determine relevant occupational health indicators to include on the Environmental Public Health Tracking portal</w:t>
      </w:r>
      <w:r>
        <w:t>.</w:t>
      </w:r>
    </w:p>
    <w:p w:rsidR="004B20E5" w:rsidRDefault="004B20E5" w:rsidP="007C27A3">
      <w:pPr>
        <w:pStyle w:val="TableTenEssenHlthFunct"/>
      </w:pPr>
      <w:r>
        <w:t>Link People to Needed Personal Health Services and Health Care</w:t>
      </w:r>
    </w:p>
    <w:p w:rsidR="004B20E5" w:rsidRDefault="004B20E5" w:rsidP="004337FD">
      <w:pPr>
        <w:pStyle w:val="TableStrategiesunderHealthFunctions"/>
      </w:pPr>
      <w:r>
        <w:t>7.7.13</w:t>
      </w:r>
      <w:r>
        <w:tab/>
        <w:t xml:space="preserve">Develop community-specific maps to identify populations at greatest risk. </w:t>
      </w:r>
    </w:p>
    <w:p w:rsidR="004B20E5" w:rsidRDefault="004B20E5" w:rsidP="004337FD">
      <w:pPr>
        <w:pStyle w:val="TableStrategiesunderHealthFunctions"/>
      </w:pPr>
      <w:r>
        <w:t xml:space="preserve">7.7.14 </w:t>
      </w:r>
      <w:r>
        <w:tab/>
        <w:t xml:space="preserve">Develop community-specific data profiles to highlight key health and environmental indicators. </w:t>
      </w:r>
    </w:p>
    <w:p w:rsidR="004B20E5" w:rsidRPr="006256D0" w:rsidRDefault="004B20E5" w:rsidP="004337FD">
      <w:pPr>
        <w:pStyle w:val="TableStrategiesunderHealthFunctions"/>
      </w:pPr>
      <w:r>
        <w:t>7.7.15</w:t>
      </w:r>
      <w:r>
        <w:tab/>
      </w:r>
      <w:r w:rsidRPr="00B533A3">
        <w:t>Determine relevant occupational health indicators to include on the Environmental Public Health Tracking portal</w:t>
      </w:r>
      <w:r>
        <w:t>.</w:t>
      </w:r>
    </w:p>
    <w:p w:rsidR="004B20E5" w:rsidRDefault="004B20E5" w:rsidP="007C27A3">
      <w:pPr>
        <w:pStyle w:val="TableTenEssenHlthFunct"/>
      </w:pPr>
      <w:r>
        <w:t>Engagement with Governing Entities</w:t>
      </w:r>
    </w:p>
    <w:p w:rsidR="004B20E5" w:rsidRDefault="004B20E5" w:rsidP="004337FD">
      <w:pPr>
        <w:pStyle w:val="TableStrategiesunderHealthFunctions"/>
      </w:pPr>
      <w:r>
        <w:t>7.7.16</w:t>
      </w:r>
      <w:r>
        <w:tab/>
        <w:t>Expand</w:t>
      </w:r>
      <w:r w:rsidRPr="009443F2">
        <w:t xml:space="preserve"> hands-on training of local health officials in the Environmental Public Health Tracking (EPHT) portal to help inform local decisions.</w:t>
      </w:r>
    </w:p>
    <w:p w:rsidR="004B20E5" w:rsidRPr="006256D0" w:rsidRDefault="004B20E5" w:rsidP="004337FD">
      <w:pPr>
        <w:pStyle w:val="TableStrategiesunderHealthFunctions"/>
      </w:pPr>
      <w:r>
        <w:t>7.7.17</w:t>
      </w:r>
      <w:r w:rsidRPr="009443F2">
        <w:tab/>
        <w:t xml:space="preserve">Create </w:t>
      </w:r>
      <w:r>
        <w:t>training for</w:t>
      </w:r>
      <w:r w:rsidRPr="009443F2">
        <w:t xml:space="preserve"> local health officials on</w:t>
      </w:r>
      <w:r>
        <w:t xml:space="preserve"> diverse use of</w:t>
      </w:r>
      <w:r w:rsidRPr="009443F2">
        <w:t xml:space="preserve"> EPHT informatio</w:t>
      </w:r>
      <w:r>
        <w:t>n.</w:t>
      </w:r>
    </w:p>
    <w:p w:rsidR="004B20E5" w:rsidRDefault="004B20E5" w:rsidP="004337FD">
      <w:pPr>
        <w:pStyle w:val="StrategiesTitle"/>
      </w:pPr>
    </w:p>
    <w:p w:rsidR="004B20E5" w:rsidRDefault="004B20E5" w:rsidP="00571897">
      <w:pPr>
        <w:pStyle w:val="PartnersTitle"/>
      </w:pPr>
      <w:r>
        <w:br w:type="page"/>
      </w:r>
    </w:p>
    <w:p w:rsidR="004B20E5" w:rsidRPr="00571897" w:rsidRDefault="004B20E5" w:rsidP="00571897">
      <w:pPr>
        <w:pStyle w:val="PartnersTitle"/>
      </w:pPr>
      <w:r w:rsidRPr="00571897">
        <w:t xml:space="preserve">Partners/Resources for </w:t>
      </w:r>
      <w:r w:rsidR="00CC4FA8">
        <w:t>Environmental Risk Factors and Health</w:t>
      </w:r>
    </w:p>
    <w:p w:rsidR="004B20E5" w:rsidRPr="00AF0910" w:rsidRDefault="004B20E5" w:rsidP="005C61F7">
      <w:pPr>
        <w:pStyle w:val="Partners"/>
      </w:pPr>
      <w:r w:rsidRPr="00AF0910">
        <w:t>Asthma Coalitions (Boston, Brockton, Springfield, etc.)</w:t>
      </w:r>
    </w:p>
    <w:p w:rsidR="004B20E5" w:rsidRPr="00AF0910" w:rsidRDefault="000E3D25" w:rsidP="005C61F7">
      <w:pPr>
        <w:pStyle w:val="Partners"/>
      </w:pPr>
      <w:r>
        <w:t>Motor vehicle repair shop</w:t>
      </w:r>
      <w:r w:rsidR="00270A2E">
        <w:t>s</w:t>
      </w:r>
      <w:r>
        <w:t xml:space="preserve"> </w:t>
      </w:r>
    </w:p>
    <w:p w:rsidR="004B20E5" w:rsidRDefault="004B20E5" w:rsidP="005C61F7">
      <w:pPr>
        <w:pStyle w:val="Partners"/>
      </w:pPr>
      <w:r w:rsidRPr="00AF0910">
        <w:t>Businesses, trade associations</w:t>
      </w:r>
    </w:p>
    <w:p w:rsidR="00273E3C" w:rsidRPr="00AF0910" w:rsidRDefault="00273E3C" w:rsidP="005C61F7">
      <w:pPr>
        <w:pStyle w:val="Partners"/>
      </w:pPr>
      <w:r>
        <w:t>Coalition for Local Public Health</w:t>
      </w:r>
    </w:p>
    <w:p w:rsidR="004B20E5" w:rsidRPr="00AF0910" w:rsidRDefault="004B20E5" w:rsidP="005C61F7">
      <w:pPr>
        <w:pStyle w:val="Partners"/>
      </w:pPr>
      <w:r w:rsidRPr="00AF0910">
        <w:t>Community based transportation related partners (e.g., Somerville Transportation Equity Partnership</w:t>
      </w:r>
      <w:r>
        <w:t>)</w:t>
      </w:r>
    </w:p>
    <w:p w:rsidR="004B20E5" w:rsidRDefault="004B20E5" w:rsidP="005C61F7">
      <w:pPr>
        <w:pStyle w:val="Partners"/>
      </w:pPr>
      <w:r w:rsidRPr="00AF0910">
        <w:t>Early education and childcare</w:t>
      </w:r>
      <w:r w:rsidR="000E3D25">
        <w:t xml:space="preserve"> </w:t>
      </w:r>
      <w:r w:rsidRPr="00AF0910">
        <w:t>centers</w:t>
      </w:r>
    </w:p>
    <w:p w:rsidR="00C8042B" w:rsidRDefault="00C8042B" w:rsidP="005C61F7">
      <w:pPr>
        <w:pStyle w:val="Partners"/>
      </w:pPr>
      <w:r>
        <w:t>Health care providers</w:t>
      </w:r>
    </w:p>
    <w:p w:rsidR="004B20E5" w:rsidRPr="00AF0910" w:rsidRDefault="004B20E5" w:rsidP="005C61F7">
      <w:pPr>
        <w:pStyle w:val="Partners"/>
      </w:pPr>
      <w:r w:rsidRPr="00AF0910">
        <w:t>Health Care without Harm</w:t>
      </w:r>
    </w:p>
    <w:p w:rsidR="004B20E5" w:rsidRPr="00AF0910" w:rsidRDefault="004B20E5" w:rsidP="005C61F7">
      <w:pPr>
        <w:pStyle w:val="Partners"/>
      </w:pPr>
      <w:r w:rsidRPr="00AF0910">
        <w:t>Healthy Schools Network</w:t>
      </w:r>
    </w:p>
    <w:p w:rsidR="004B20E5" w:rsidRDefault="004B20E5" w:rsidP="005C61F7">
      <w:pPr>
        <w:pStyle w:val="Partners"/>
      </w:pPr>
      <w:r w:rsidRPr="00AF0910">
        <w:t>Local boards of health</w:t>
      </w:r>
      <w:r w:rsidR="00273E3C">
        <w:t xml:space="preserve"> and health departments</w:t>
      </w:r>
    </w:p>
    <w:p w:rsidR="00273E3C" w:rsidRPr="00AF0910" w:rsidRDefault="00273E3C" w:rsidP="005C61F7">
      <w:pPr>
        <w:pStyle w:val="Partners"/>
      </w:pPr>
      <w:r>
        <w:t>Local Housing Authorities</w:t>
      </w:r>
    </w:p>
    <w:p w:rsidR="004B20E5" w:rsidRDefault="004B20E5" w:rsidP="005C61F7">
      <w:pPr>
        <w:pStyle w:val="Partners"/>
      </w:pPr>
      <w:r w:rsidRPr="00AF0910">
        <w:t>MA Association of Health Boards</w:t>
      </w:r>
    </w:p>
    <w:p w:rsidR="00273E3C" w:rsidRDefault="00273E3C" w:rsidP="005C61F7">
      <w:pPr>
        <w:pStyle w:val="Partners"/>
      </w:pPr>
      <w:r>
        <w:t>MA Bay Transportation Authority (MBTA) and regional transit authorities</w:t>
      </w:r>
    </w:p>
    <w:p w:rsidR="00273E3C" w:rsidRDefault="00273E3C" w:rsidP="005C61F7">
      <w:pPr>
        <w:pStyle w:val="Partners"/>
      </w:pPr>
      <w:r>
        <w:t>MA Coalition for Occupational Safety and Health</w:t>
      </w:r>
    </w:p>
    <w:p w:rsidR="006C4B4E" w:rsidRPr="006C4B4E" w:rsidRDefault="006C4B4E" w:rsidP="006C4B4E">
      <w:pPr>
        <w:pStyle w:val="Partners"/>
      </w:pPr>
      <w:r>
        <w:t xml:space="preserve">MA </w:t>
      </w:r>
      <w:r w:rsidRPr="006C4B4E">
        <w:t>Department of Early Education and Care</w:t>
      </w:r>
    </w:p>
    <w:p w:rsidR="006C4B4E" w:rsidRPr="00AF0910" w:rsidRDefault="006C4B4E" w:rsidP="006C4B4E">
      <w:pPr>
        <w:pStyle w:val="Partners"/>
      </w:pPr>
      <w:r>
        <w:t xml:space="preserve">MA </w:t>
      </w:r>
      <w:r w:rsidRPr="006C4B4E">
        <w:t>Department of Elementary and Secondary Education</w:t>
      </w:r>
    </w:p>
    <w:p w:rsidR="004B20E5" w:rsidRPr="00AF0910" w:rsidRDefault="004B20E5" w:rsidP="005C61F7">
      <w:pPr>
        <w:pStyle w:val="Partners"/>
      </w:pPr>
      <w:r w:rsidRPr="00AF0910">
        <w:t>MA Department of Environmental Protection</w:t>
      </w:r>
    </w:p>
    <w:p w:rsidR="004B20E5" w:rsidRPr="00AF0910" w:rsidRDefault="004B20E5" w:rsidP="005C61F7">
      <w:pPr>
        <w:pStyle w:val="Partners"/>
      </w:pPr>
      <w:r w:rsidRPr="00AF0910">
        <w:t>MA Environmental Health Association</w:t>
      </w:r>
    </w:p>
    <w:p w:rsidR="004B20E5" w:rsidRPr="00AF0910" w:rsidRDefault="004B20E5" w:rsidP="005C61F7">
      <w:pPr>
        <w:pStyle w:val="Partners"/>
      </w:pPr>
      <w:r w:rsidRPr="00AF0910">
        <w:t>MA Health Officers’ Association</w:t>
      </w:r>
    </w:p>
    <w:p w:rsidR="004B20E5" w:rsidRPr="00AF0910" w:rsidRDefault="004B20E5" w:rsidP="005C61F7">
      <w:pPr>
        <w:pStyle w:val="Partners"/>
      </w:pPr>
      <w:r w:rsidRPr="00AF0910">
        <w:t>MA Public Health Association</w:t>
      </w:r>
    </w:p>
    <w:p w:rsidR="004B20E5" w:rsidRPr="00AF0910" w:rsidRDefault="004B20E5" w:rsidP="005C61F7">
      <w:pPr>
        <w:pStyle w:val="Partners"/>
      </w:pPr>
      <w:r w:rsidRPr="00AF0910">
        <w:t>MA Restaurant Association</w:t>
      </w:r>
    </w:p>
    <w:p w:rsidR="004B20E5" w:rsidRPr="00AF0910" w:rsidRDefault="004B20E5" w:rsidP="005C61F7">
      <w:pPr>
        <w:pStyle w:val="Partners"/>
      </w:pPr>
      <w:r w:rsidRPr="00AF0910">
        <w:t>MAAP – Asthma Action Partnership</w:t>
      </w:r>
    </w:p>
    <w:p w:rsidR="004B20E5" w:rsidRPr="00AF0910" w:rsidRDefault="004B20E5" w:rsidP="005C61F7">
      <w:pPr>
        <w:pStyle w:val="Partners"/>
      </w:pPr>
      <w:r w:rsidRPr="00AF0910">
        <w:t>Manufacturers</w:t>
      </w:r>
    </w:p>
    <w:p w:rsidR="004B20E5" w:rsidRPr="00AF0910" w:rsidRDefault="004B20E5" w:rsidP="005C61F7">
      <w:pPr>
        <w:pStyle w:val="Partners"/>
      </w:pPr>
      <w:r w:rsidRPr="00AF0910">
        <w:t>Nail Salon licensing</w:t>
      </w:r>
    </w:p>
    <w:p w:rsidR="004B20E5" w:rsidRPr="00AF0910" w:rsidRDefault="004B20E5" w:rsidP="005C61F7">
      <w:pPr>
        <w:pStyle w:val="Partners"/>
      </w:pPr>
      <w:r w:rsidRPr="00AF0910">
        <w:t>National Centers for Healthy Housing</w:t>
      </w:r>
    </w:p>
    <w:p w:rsidR="004B20E5" w:rsidRPr="00AF0910" w:rsidRDefault="004B20E5" w:rsidP="005C61F7">
      <w:pPr>
        <w:pStyle w:val="Partners"/>
      </w:pPr>
      <w:r w:rsidRPr="00AF0910">
        <w:t>Pest Control Operators</w:t>
      </w:r>
    </w:p>
    <w:p w:rsidR="004B20E5" w:rsidRPr="00AF0910" w:rsidRDefault="004B20E5" w:rsidP="005C61F7">
      <w:pPr>
        <w:pStyle w:val="Partners"/>
      </w:pPr>
      <w:r w:rsidRPr="00AF0910">
        <w:t>Schools/Universities/Schools of Public Health</w:t>
      </w:r>
    </w:p>
    <w:p w:rsidR="004B20E5" w:rsidRPr="00AF0910" w:rsidRDefault="004B20E5" w:rsidP="005C61F7">
      <w:pPr>
        <w:pStyle w:val="Partners"/>
      </w:pPr>
      <w:r w:rsidRPr="00AF0910">
        <w:t>Sustainable Hospital Project at U Mass Lowell</w:t>
      </w:r>
    </w:p>
    <w:p w:rsidR="004B20E5" w:rsidRPr="00AF0910" w:rsidRDefault="004B20E5">
      <w:pPr>
        <w:pStyle w:val="Partners"/>
      </w:pPr>
      <w:r w:rsidRPr="00AF0910">
        <w:t>Toxic Use Reduction Institute</w:t>
      </w:r>
      <w:r>
        <w:t xml:space="preserve"> (TURI) at UMass Lowell</w:t>
      </w:r>
    </w:p>
    <w:p w:rsidR="004B20E5" w:rsidRDefault="004B20E5" w:rsidP="005C61F7">
      <w:pPr>
        <w:pStyle w:val="Partners"/>
      </w:pPr>
      <w:r w:rsidRPr="00AF0910">
        <w:t>Unions</w:t>
      </w:r>
    </w:p>
    <w:p w:rsidR="00273E3C" w:rsidRPr="00AF0910" w:rsidRDefault="00273E3C" w:rsidP="005C61F7">
      <w:pPr>
        <w:pStyle w:val="Partners"/>
      </w:pPr>
      <w:r>
        <w:t xml:space="preserve">US </w:t>
      </w:r>
      <w:r w:rsidR="00645690">
        <w:t>Environmental</w:t>
      </w:r>
      <w:r>
        <w:t xml:space="preserve"> Protection Agency</w:t>
      </w:r>
    </w:p>
    <w:p w:rsidR="004B20E5" w:rsidRDefault="004B20E5">
      <w:pPr>
        <w:spacing w:after="200" w:line="276" w:lineRule="auto"/>
        <w:rPr>
          <w:rFonts w:cs="Arial"/>
        </w:rPr>
      </w:pPr>
    </w:p>
    <w:p w:rsidR="004B20E5" w:rsidRPr="00571897" w:rsidRDefault="004B20E5" w:rsidP="00571897">
      <w:pPr>
        <w:pStyle w:val="PartnersTitle"/>
      </w:pPr>
      <w:r w:rsidRPr="00571897">
        <w:t xml:space="preserve">Other Plans </w:t>
      </w:r>
      <w:r>
        <w:t>T</w:t>
      </w:r>
      <w:r w:rsidRPr="00571897">
        <w:t xml:space="preserve">hat are Incorporated Directly or by Reference in </w:t>
      </w:r>
      <w:r w:rsidR="00CC4FA8">
        <w:t>Environmental Risk Factors and Health</w:t>
      </w:r>
    </w:p>
    <w:p w:rsidR="004B20E5" w:rsidRPr="000D330D" w:rsidRDefault="004B20E5" w:rsidP="005A56B7">
      <w:pPr>
        <w:pStyle w:val="Partners"/>
      </w:pPr>
      <w:r w:rsidRPr="000D330D">
        <w:t xml:space="preserve">Massachusetts 2014 Vibrio Parahaemolyticus (VP) Control Plan </w:t>
      </w:r>
    </w:p>
    <w:p w:rsidR="004B20E5" w:rsidRPr="000D330D" w:rsidRDefault="004B20E5" w:rsidP="005A56B7">
      <w:pPr>
        <w:pStyle w:val="Partners"/>
      </w:pPr>
      <w:r w:rsidRPr="000D330D">
        <w:t>Environmental Health Assessment Protocol: Protocol for Community-Specific Environmental Health Assessments. Prepared by MDPH Bureau of Environmental Health (October 2012 Revision).</w:t>
      </w:r>
    </w:p>
    <w:p w:rsidR="004B20E5" w:rsidRPr="000D330D" w:rsidRDefault="004B20E5" w:rsidP="005A56B7">
      <w:pPr>
        <w:pStyle w:val="Partners"/>
      </w:pPr>
      <w:r w:rsidRPr="000D330D">
        <w:t>MDPH Foodborne Illness Investigations and Control Reference Manual</w:t>
      </w:r>
    </w:p>
    <w:p w:rsidR="004B20E5" w:rsidRPr="000D330D" w:rsidRDefault="004B20E5" w:rsidP="000D330D">
      <w:pPr>
        <w:pStyle w:val="Partners"/>
        <w:sectPr w:rsidR="004B20E5" w:rsidRPr="000D330D" w:rsidSect="000D3A34">
          <w:headerReference w:type="even" r:id="rId42"/>
          <w:headerReference w:type="default" r:id="rId43"/>
          <w:headerReference w:type="first" r:id="rId44"/>
          <w:endnotePr>
            <w:numFmt w:val="decimal"/>
          </w:endnotePr>
          <w:pgSz w:w="12240" w:h="15840" w:code="1"/>
          <w:pgMar w:top="1080" w:right="1080" w:bottom="1080" w:left="1080" w:header="648" w:footer="504" w:gutter="0"/>
          <w:cols w:space="720"/>
          <w:docGrid w:linePitch="360"/>
        </w:sectPr>
      </w:pPr>
    </w:p>
    <w:bookmarkEnd w:id="0"/>
    <w:p w:rsidR="004B20E5" w:rsidRDefault="004B20E5" w:rsidP="00F83EAC">
      <w:pPr>
        <w:pStyle w:val="Heading1"/>
      </w:pPr>
    </w:p>
    <w:p w:rsidR="004B20E5" w:rsidRDefault="004B20E5" w:rsidP="00F83EAC">
      <w:pPr>
        <w:pStyle w:val="Heading1"/>
      </w:pPr>
      <w:bookmarkStart w:id="55" w:name="_Toc398819281"/>
      <w:r>
        <w:t>Appendices</w:t>
      </w:r>
      <w:bookmarkEnd w:id="55"/>
      <w:r>
        <w:br w:type="page"/>
      </w:r>
    </w:p>
    <w:p w:rsidR="004B20E5" w:rsidRDefault="004B20E5" w:rsidP="00AD0251">
      <w:pPr>
        <w:pStyle w:val="Heading2LARGE"/>
      </w:pPr>
      <w:bookmarkStart w:id="56" w:name="_Toc398819282"/>
      <w:r w:rsidRPr="00AD0251">
        <w:t xml:space="preserve">Appendix A:  </w:t>
      </w:r>
      <w:r>
        <w:t>Process</w:t>
      </w:r>
      <w:bookmarkEnd w:id="56"/>
    </w:p>
    <w:p w:rsidR="004B20E5" w:rsidRPr="000F57B3" w:rsidRDefault="004B20E5" w:rsidP="00644A67">
      <w:pPr>
        <w:pStyle w:val="Heading3"/>
      </w:pPr>
      <w:bookmarkStart w:id="57" w:name="_Toc398819283"/>
      <w:r w:rsidRPr="000F57B3">
        <w:t>Partner Engagement</w:t>
      </w:r>
      <w:bookmarkEnd w:id="57"/>
    </w:p>
    <w:p w:rsidR="004B20E5" w:rsidRPr="000F57B3" w:rsidRDefault="004B20E5" w:rsidP="000F57B3">
      <w:pPr>
        <w:pStyle w:val="BodyText"/>
      </w:pPr>
      <w:r w:rsidRPr="000F57B3">
        <w:t>Accountable and effective public health practice depends upon comprehensive and strategic health improvement planning that engages a wide range of partners. The Massachusetts SHIP development was led by the Massachusetts Department of Public Health (</w:t>
      </w:r>
      <w:r w:rsidR="009F3D12">
        <w:t>M</w:t>
      </w:r>
      <w:r w:rsidRPr="000F57B3">
        <w:t>DPH) in collaboration with many partners from across the Commonwealth, as detailed below.  Health Resources in Action (HRiA), a non-profit public health organization based out of Boston, MA, provided technical assistance, strategic guidance, and facilitation throughout all aspects of the process, from assessment to planning.</w:t>
      </w:r>
    </w:p>
    <w:p w:rsidR="004B20E5" w:rsidRPr="000F57B3" w:rsidRDefault="004B20E5" w:rsidP="00644A67">
      <w:pPr>
        <w:pStyle w:val="Heading3"/>
      </w:pPr>
      <w:bookmarkStart w:id="58" w:name="_Toc398819284"/>
      <w:r w:rsidRPr="000F57B3">
        <w:t>Massachusetts SHIP Advisory Group</w:t>
      </w:r>
      <w:bookmarkEnd w:id="58"/>
    </w:p>
    <w:p w:rsidR="004B20E5" w:rsidRDefault="004B20E5" w:rsidP="00F446EB">
      <w:pPr>
        <w:pStyle w:val="BodyText"/>
      </w:pPr>
      <w:r w:rsidRPr="000F57B3">
        <w:t xml:space="preserve">The Massachusetts SHIP Advisory Group, made up of 27 Massachusetts leaders across all sectors—government, non-profits, business and industry, health care, education, community services, and complementary services -- met 6 times over the months of May-August, 2013 and April-June, 2014.  This group was responsible for guiding </w:t>
      </w:r>
      <w:r w:rsidR="009F3D12">
        <w:t>M</w:t>
      </w:r>
      <w:r w:rsidRPr="000F57B3">
        <w:t>DPH in the development of the SHIP, advising on key stakeholders, framing the assessment and plan, designing the planning process, making recommendations about SHIP structure, and reviewing and approving work group output.</w:t>
      </w:r>
    </w:p>
    <w:p w:rsidR="00F01C64" w:rsidRDefault="00F01C64" w:rsidP="00F446EB">
      <w:pPr>
        <w:pStyle w:val="BodyText"/>
      </w:pPr>
      <w:r>
        <w:t>SHIP Advisory Group Members</w:t>
      </w:r>
    </w:p>
    <w:p w:rsidR="000A53CD" w:rsidRPr="00BA6721" w:rsidRDefault="000A53CD" w:rsidP="000A53CD">
      <w:pPr>
        <w:pStyle w:val="Name"/>
      </w:pPr>
      <w:r w:rsidRPr="00EB3717">
        <w:t>Heidi Behforouz</w:t>
      </w:r>
      <w:r>
        <w:t xml:space="preserve">, </w:t>
      </w:r>
      <w:r w:rsidRPr="00BA6721">
        <w:t>Global Health Equity Institute/Brigham and Women's Hospital</w:t>
      </w:r>
    </w:p>
    <w:p w:rsidR="000A53CD" w:rsidRPr="00BA6721" w:rsidRDefault="000A53CD" w:rsidP="000A53CD">
      <w:pPr>
        <w:pStyle w:val="Name"/>
      </w:pPr>
      <w:r w:rsidRPr="00EB3717">
        <w:t>Vic DiGravio</w:t>
      </w:r>
      <w:r>
        <w:t xml:space="preserve">, </w:t>
      </w:r>
      <w:r w:rsidRPr="00BA6721">
        <w:t xml:space="preserve">Association for Behavioral Healthcare </w:t>
      </w:r>
    </w:p>
    <w:p w:rsidR="000A53CD" w:rsidRPr="00EB3717" w:rsidRDefault="000A53CD" w:rsidP="000A53CD">
      <w:pPr>
        <w:pStyle w:val="Name"/>
      </w:pPr>
      <w:r w:rsidRPr="00EB3717">
        <w:t>Deborah Dickerson</w:t>
      </w:r>
      <w:r>
        <w:t xml:space="preserve">, </w:t>
      </w:r>
      <w:r w:rsidRPr="00EB3717">
        <w:t xml:space="preserve">Children's Hospital </w:t>
      </w:r>
    </w:p>
    <w:p w:rsidR="000A53CD" w:rsidRPr="00EB3717" w:rsidRDefault="000A53CD" w:rsidP="000A53CD">
      <w:pPr>
        <w:pStyle w:val="Name"/>
      </w:pPr>
      <w:r w:rsidRPr="00EB3717">
        <w:t>Patricia Edraos</w:t>
      </w:r>
      <w:r>
        <w:t xml:space="preserve">, </w:t>
      </w:r>
      <w:r w:rsidRPr="00EB3717">
        <w:t>MA League of Community Health Centers</w:t>
      </w:r>
    </w:p>
    <w:p w:rsidR="000A53CD" w:rsidRPr="00BA6721" w:rsidRDefault="000A53CD" w:rsidP="000A53CD">
      <w:pPr>
        <w:pStyle w:val="Name"/>
      </w:pPr>
      <w:r w:rsidRPr="00EB3717">
        <w:t>Ralph Fuccillo</w:t>
      </w:r>
      <w:r>
        <w:t xml:space="preserve">, </w:t>
      </w:r>
      <w:r w:rsidRPr="00BA6721">
        <w:t>Dentaquest Foundation</w:t>
      </w:r>
    </w:p>
    <w:p w:rsidR="000A53CD" w:rsidRPr="00BA6721" w:rsidRDefault="000A53CD" w:rsidP="000A53CD">
      <w:pPr>
        <w:pStyle w:val="Name"/>
      </w:pPr>
      <w:r w:rsidRPr="00EB3717">
        <w:t>Marcy Goldstein-Gelb</w:t>
      </w:r>
      <w:r>
        <w:t xml:space="preserve">, </w:t>
      </w:r>
      <w:r w:rsidRPr="00BA6721">
        <w:t>MA Coalition for Occupational Safety and Health</w:t>
      </w:r>
    </w:p>
    <w:p w:rsidR="000A53CD" w:rsidRPr="00BA6721" w:rsidRDefault="000A53CD" w:rsidP="000A53CD">
      <w:pPr>
        <w:pStyle w:val="Name"/>
      </w:pPr>
      <w:r w:rsidRPr="00EB3717">
        <w:t>Judith Kurland</w:t>
      </w:r>
      <w:r>
        <w:t xml:space="preserve">, </w:t>
      </w:r>
      <w:r w:rsidRPr="00BA6721">
        <w:t>UMass Boston</w:t>
      </w:r>
    </w:p>
    <w:p w:rsidR="000A53CD" w:rsidRPr="00BA6721" w:rsidRDefault="000A53CD" w:rsidP="000A53CD">
      <w:pPr>
        <w:pStyle w:val="Name"/>
      </w:pPr>
      <w:r w:rsidRPr="00EB3717">
        <w:t>Monica Lowell</w:t>
      </w:r>
      <w:r>
        <w:t xml:space="preserve">, </w:t>
      </w:r>
      <w:r w:rsidRPr="00BA6721">
        <w:t>UMass Memorial Health Care</w:t>
      </w:r>
    </w:p>
    <w:p w:rsidR="000A53CD" w:rsidRPr="00EB3717" w:rsidRDefault="000A53CD" w:rsidP="000A53CD">
      <w:pPr>
        <w:pStyle w:val="Name"/>
      </w:pPr>
      <w:r w:rsidRPr="00EB3717">
        <w:t>Monika Mitra</w:t>
      </w:r>
      <w:r>
        <w:t xml:space="preserve">, UMass </w:t>
      </w:r>
      <w:r w:rsidRPr="00EB3717">
        <w:t>Medical School, Center for Health Policy and Research</w:t>
      </w:r>
    </w:p>
    <w:p w:rsidR="000A53CD" w:rsidRPr="00BA6721" w:rsidRDefault="000A53CD" w:rsidP="000A53CD">
      <w:pPr>
        <w:pStyle w:val="Name"/>
      </w:pPr>
      <w:r w:rsidRPr="00EB3717">
        <w:t>Sean Palfrey</w:t>
      </w:r>
      <w:r>
        <w:t xml:space="preserve">, </w:t>
      </w:r>
      <w:r w:rsidRPr="00BA6721">
        <w:t>Boston Medical Center, MA Chapter, American Academy of Pediatrics</w:t>
      </w:r>
    </w:p>
    <w:p w:rsidR="000A53CD" w:rsidRPr="00BA6721" w:rsidRDefault="000A53CD" w:rsidP="000A53CD">
      <w:pPr>
        <w:pStyle w:val="Name"/>
      </w:pPr>
      <w:r w:rsidRPr="00EB3717">
        <w:t>Frank Robinson</w:t>
      </w:r>
      <w:r>
        <w:t xml:space="preserve">, </w:t>
      </w:r>
      <w:r w:rsidRPr="00BA6721">
        <w:t>Partners for a Healthier Community/Springfield</w:t>
      </w:r>
    </w:p>
    <w:p w:rsidR="000A53CD" w:rsidRPr="00EB3717" w:rsidRDefault="000A53CD" w:rsidP="000A53CD">
      <w:pPr>
        <w:pStyle w:val="Name"/>
      </w:pPr>
      <w:r w:rsidRPr="00EB3717">
        <w:t>Cheryl Sbarra</w:t>
      </w:r>
      <w:r>
        <w:t xml:space="preserve">, </w:t>
      </w:r>
      <w:r w:rsidRPr="00EB3717">
        <w:t>MA Association of Health Boards</w:t>
      </w:r>
    </w:p>
    <w:p w:rsidR="000A53CD" w:rsidRPr="00BA6721" w:rsidRDefault="000A53CD" w:rsidP="000A53CD">
      <w:pPr>
        <w:pStyle w:val="Name"/>
      </w:pPr>
      <w:r w:rsidRPr="00EB3717">
        <w:t>Nancy Turnbull</w:t>
      </w:r>
      <w:r>
        <w:t xml:space="preserve">, </w:t>
      </w:r>
      <w:r w:rsidRPr="00BA6721">
        <w:t>Harvard School of Public Health</w:t>
      </w:r>
    </w:p>
    <w:p w:rsidR="000A53CD" w:rsidRPr="00BA6721" w:rsidRDefault="000A53CD" w:rsidP="000A53CD">
      <w:pPr>
        <w:pStyle w:val="Name"/>
      </w:pPr>
      <w:r w:rsidRPr="00EB3717">
        <w:t>Karen Voci</w:t>
      </w:r>
      <w:r>
        <w:t xml:space="preserve">, </w:t>
      </w:r>
      <w:r w:rsidRPr="00BA6721">
        <w:t>Harvard Pilgrim Healthcare Foundation</w:t>
      </w:r>
    </w:p>
    <w:p w:rsidR="000A53CD" w:rsidRPr="00BA6721" w:rsidRDefault="000A53CD" w:rsidP="000A53CD">
      <w:pPr>
        <w:pStyle w:val="Name"/>
      </w:pPr>
      <w:r w:rsidRPr="00EB3717">
        <w:t>Clara Savage</w:t>
      </w:r>
      <w:r>
        <w:t xml:space="preserve">, </w:t>
      </w:r>
      <w:r w:rsidRPr="00BA6721">
        <w:t>Common Pathways</w:t>
      </w:r>
    </w:p>
    <w:p w:rsidR="000A53CD" w:rsidRPr="00BA6721" w:rsidRDefault="000A53CD" w:rsidP="000A53CD">
      <w:pPr>
        <w:pStyle w:val="Name"/>
      </w:pPr>
      <w:r w:rsidRPr="00EB3717">
        <w:t>Tarah Somers</w:t>
      </w:r>
      <w:r>
        <w:t xml:space="preserve">, </w:t>
      </w:r>
      <w:r w:rsidRPr="00BA6721">
        <w:t>Environmental Protection Agency, Region 1</w:t>
      </w:r>
    </w:p>
    <w:p w:rsidR="000A53CD" w:rsidRPr="00BA6721" w:rsidRDefault="000A53CD" w:rsidP="000A53CD">
      <w:pPr>
        <w:pStyle w:val="Name"/>
      </w:pPr>
      <w:r w:rsidRPr="00EB3717">
        <w:t>Alan Woodward</w:t>
      </w:r>
      <w:r>
        <w:t xml:space="preserve">, </w:t>
      </w:r>
      <w:r w:rsidRPr="00BA6721">
        <w:t>MA Medical Society</w:t>
      </w:r>
    </w:p>
    <w:p w:rsidR="000A53CD" w:rsidRPr="00BA6721" w:rsidRDefault="000A53CD" w:rsidP="000A53CD">
      <w:pPr>
        <w:pStyle w:val="Organization"/>
        <w:rPr>
          <w:i w:val="0"/>
        </w:rPr>
      </w:pPr>
    </w:p>
    <w:p w:rsidR="000A53CD" w:rsidRPr="00EB3717" w:rsidRDefault="000A53CD" w:rsidP="000A53CD">
      <w:pPr>
        <w:pStyle w:val="Organization"/>
        <w:rPr>
          <w:i w:val="0"/>
        </w:rPr>
      </w:pPr>
      <w:r w:rsidRPr="00EB3717">
        <w:rPr>
          <w:i w:val="0"/>
        </w:rPr>
        <w:t>MDPH Staff Designees</w:t>
      </w:r>
    </w:p>
    <w:p w:rsidR="000A53CD" w:rsidRDefault="000A53CD" w:rsidP="000A53CD">
      <w:pPr>
        <w:pStyle w:val="Organization"/>
        <w:rPr>
          <w:i w:val="0"/>
        </w:rPr>
        <w:sectPr w:rsidR="000A53CD" w:rsidSect="000D3A34">
          <w:headerReference w:type="even" r:id="rId45"/>
          <w:headerReference w:type="default" r:id="rId46"/>
          <w:headerReference w:type="first" r:id="rId47"/>
          <w:endnotePr>
            <w:numFmt w:val="decimal"/>
          </w:endnotePr>
          <w:pgSz w:w="12240" w:h="15840" w:code="1"/>
          <w:pgMar w:top="1080" w:right="1080" w:bottom="1080" w:left="1080" w:header="648" w:footer="504" w:gutter="0"/>
          <w:cols w:space="720"/>
          <w:docGrid w:linePitch="360"/>
        </w:sectPr>
      </w:pPr>
    </w:p>
    <w:p w:rsidR="000A53CD" w:rsidRPr="00EB3717" w:rsidRDefault="000A53CD" w:rsidP="000A53CD">
      <w:pPr>
        <w:pStyle w:val="Organization"/>
        <w:rPr>
          <w:i w:val="0"/>
        </w:rPr>
      </w:pPr>
      <w:r w:rsidRPr="00EB3717">
        <w:rPr>
          <w:i w:val="0"/>
        </w:rPr>
        <w:t xml:space="preserve">Elizabeth Barry </w:t>
      </w:r>
    </w:p>
    <w:p w:rsidR="000A53CD" w:rsidRDefault="000A53CD" w:rsidP="000A53CD">
      <w:pPr>
        <w:pStyle w:val="Organization"/>
        <w:rPr>
          <w:i w:val="0"/>
        </w:rPr>
      </w:pPr>
      <w:r w:rsidRPr="00EB3717">
        <w:rPr>
          <w:i w:val="0"/>
        </w:rPr>
        <w:t>Robert Carr</w:t>
      </w:r>
    </w:p>
    <w:p w:rsidR="000A53CD" w:rsidRPr="00EB3717" w:rsidRDefault="000A53CD" w:rsidP="000A53CD">
      <w:pPr>
        <w:pStyle w:val="Organization"/>
        <w:rPr>
          <w:i w:val="0"/>
        </w:rPr>
      </w:pPr>
      <w:r>
        <w:rPr>
          <w:i w:val="0"/>
        </w:rPr>
        <w:t>Michael Coughlin</w:t>
      </w:r>
    </w:p>
    <w:p w:rsidR="000A53CD" w:rsidRPr="00EB3717" w:rsidRDefault="000A53CD" w:rsidP="000A53CD">
      <w:pPr>
        <w:pStyle w:val="Organization"/>
        <w:rPr>
          <w:i w:val="0"/>
        </w:rPr>
      </w:pPr>
      <w:r w:rsidRPr="00EB3717">
        <w:rPr>
          <w:i w:val="0"/>
        </w:rPr>
        <w:t>Letitia Davis</w:t>
      </w:r>
    </w:p>
    <w:p w:rsidR="000A53CD" w:rsidRPr="00EB3717" w:rsidRDefault="000A53CD" w:rsidP="000A53CD">
      <w:pPr>
        <w:pStyle w:val="Organization"/>
        <w:rPr>
          <w:i w:val="0"/>
        </w:rPr>
      </w:pPr>
      <w:r w:rsidRPr="00EB3717">
        <w:rPr>
          <w:i w:val="0"/>
        </w:rPr>
        <w:t>Kerin Milesky</w:t>
      </w:r>
    </w:p>
    <w:p w:rsidR="000A53CD" w:rsidRPr="00EB3717" w:rsidRDefault="000A53CD" w:rsidP="000A53CD">
      <w:pPr>
        <w:pStyle w:val="Organization"/>
        <w:rPr>
          <w:i w:val="0"/>
        </w:rPr>
      </w:pPr>
      <w:r w:rsidRPr="00EB3717">
        <w:rPr>
          <w:i w:val="0"/>
        </w:rPr>
        <w:t xml:space="preserve">Martha Steele                                                                               </w:t>
      </w:r>
    </w:p>
    <w:p w:rsidR="000A53CD" w:rsidRPr="00EB3717" w:rsidRDefault="000A53CD" w:rsidP="000A53CD">
      <w:pPr>
        <w:pStyle w:val="Organization"/>
        <w:rPr>
          <w:i w:val="0"/>
        </w:rPr>
      </w:pPr>
      <w:r w:rsidRPr="00EB3717">
        <w:rPr>
          <w:i w:val="0"/>
        </w:rPr>
        <w:t>Lydie Ultimo</w:t>
      </w:r>
    </w:p>
    <w:p w:rsidR="000A53CD" w:rsidRDefault="000A53CD" w:rsidP="000A53CD">
      <w:pPr>
        <w:pStyle w:val="Organization"/>
        <w:rPr>
          <w:i w:val="0"/>
        </w:rPr>
      </w:pPr>
      <w:r w:rsidRPr="00EB3717">
        <w:rPr>
          <w:i w:val="0"/>
        </w:rPr>
        <w:t>Georgia Simpson May</w:t>
      </w:r>
    </w:p>
    <w:p w:rsidR="000A53CD" w:rsidRPr="00EB3717" w:rsidRDefault="000A53CD" w:rsidP="000A53CD">
      <w:pPr>
        <w:pStyle w:val="Organization"/>
        <w:rPr>
          <w:i w:val="0"/>
        </w:rPr>
      </w:pPr>
      <w:r>
        <w:rPr>
          <w:i w:val="0"/>
        </w:rPr>
        <w:t>Geoff Wilkinson</w:t>
      </w:r>
    </w:p>
    <w:p w:rsidR="000A53CD" w:rsidRDefault="000A53CD" w:rsidP="000A53CD">
      <w:pPr>
        <w:pStyle w:val="Organization"/>
        <w:rPr>
          <w:i w:val="0"/>
        </w:rPr>
        <w:sectPr w:rsidR="000A53CD" w:rsidSect="00365AE9">
          <w:endnotePr>
            <w:numFmt w:val="decimal"/>
          </w:endnotePr>
          <w:type w:val="continuous"/>
          <w:pgSz w:w="12240" w:h="15840" w:code="1"/>
          <w:pgMar w:top="1080" w:right="1080" w:bottom="1080" w:left="1080" w:header="648" w:footer="504" w:gutter="0"/>
          <w:cols w:num="2" w:space="720"/>
          <w:docGrid w:linePitch="360"/>
        </w:sectPr>
      </w:pPr>
    </w:p>
    <w:p w:rsidR="000A53CD" w:rsidRPr="00EB3717" w:rsidRDefault="000A53CD" w:rsidP="000A53CD">
      <w:pPr>
        <w:pStyle w:val="Organization"/>
        <w:rPr>
          <w:i w:val="0"/>
        </w:rPr>
      </w:pPr>
    </w:p>
    <w:p w:rsidR="00F01C64" w:rsidRDefault="00F01C64" w:rsidP="00644A67">
      <w:pPr>
        <w:pStyle w:val="Heading3"/>
        <w:sectPr w:rsidR="00F01C64" w:rsidSect="0087457B">
          <w:endnotePr>
            <w:numFmt w:val="decimal"/>
          </w:endnotePr>
          <w:type w:val="continuous"/>
          <w:pgSz w:w="12240" w:h="15840" w:code="1"/>
          <w:pgMar w:top="1080" w:right="1080" w:bottom="1080" w:left="1080" w:header="648" w:footer="504" w:gutter="0"/>
          <w:cols w:num="2" w:space="720"/>
          <w:docGrid w:linePitch="360"/>
        </w:sectPr>
      </w:pPr>
      <w:bookmarkStart w:id="59" w:name="_Toc398819285"/>
    </w:p>
    <w:p w:rsidR="00273E3C" w:rsidRDefault="00273E3C" w:rsidP="00644A67">
      <w:pPr>
        <w:pStyle w:val="Heading3"/>
      </w:pPr>
    </w:p>
    <w:p w:rsidR="00273E3C" w:rsidRDefault="00273E3C" w:rsidP="00644A67">
      <w:pPr>
        <w:pStyle w:val="Heading3"/>
      </w:pPr>
    </w:p>
    <w:p w:rsidR="004B20E5" w:rsidRPr="000F57B3" w:rsidRDefault="004B20E5" w:rsidP="00644A67">
      <w:pPr>
        <w:pStyle w:val="Heading3"/>
      </w:pPr>
      <w:r w:rsidRPr="000F57B3">
        <w:t>Massachusetts State Health Improvement Planning Coalition</w:t>
      </w:r>
      <w:bookmarkEnd w:id="59"/>
    </w:p>
    <w:p w:rsidR="004B20E5" w:rsidRPr="000F57B3" w:rsidRDefault="004B20E5" w:rsidP="000F57B3">
      <w:pPr>
        <w:pStyle w:val="BodyText"/>
      </w:pPr>
      <w:r w:rsidRPr="000F57B3">
        <w:t>The Massachusetts State Health Improvement Planning Coalition, a large body of 65 representatives from diverse local, regional, and statewide entities whose policies and activities can affect and influence health, was responsible for reviewing the assessment data; participating in three facilitated planning sessions and working groups; making recommendations for the plan; serving as community ambassadors for planning initiatives; and fostering connections with key</w:t>
      </w:r>
      <w:r>
        <w:t xml:space="preserve"> networks and groups for action.</w:t>
      </w:r>
    </w:p>
    <w:p w:rsidR="004B20E5" w:rsidRPr="000F57B3" w:rsidRDefault="004B20E5" w:rsidP="000F57B3">
      <w:pPr>
        <w:pStyle w:val="BodyText"/>
      </w:pPr>
      <w:r w:rsidRPr="000F57B3">
        <w:t>The Coalition participated in three intensive, facilitated planning sessions over the months of September-November, 2013.  At the first meeting on September 29, the Coalition reviewed data on priority health topics and issues determined via survey, provided feedback on a rating/ranking tool for prioritizing health topics and health systems issues for the plan, and conducted a test run of the rating/ranking tool.  On October 9, Coalition members reviewed the results of a rating/ranking exercise, which was completed electronically by coalition members between sessions 1 and 2; established domains for the SHIP; defined and refined the Essential Service Clusters; and developed draft goal statements for each of the identified domains.  Lastly, on November 12, Coalition members worked in small groups to develop objectives and strategies for each of the domains through structured, interactive exercises designed to engage feedback from other groups and provide opportunity for refining output based on this feedback.</w:t>
      </w:r>
    </w:p>
    <w:p w:rsidR="004B20E5" w:rsidRDefault="004B20E5" w:rsidP="00AD0251">
      <w:pPr>
        <w:pStyle w:val="Heading2LARGE"/>
      </w:pPr>
    </w:p>
    <w:p w:rsidR="004B20E5" w:rsidRPr="00644A67" w:rsidRDefault="004B20E5" w:rsidP="00644A67">
      <w:pPr>
        <w:pStyle w:val="Heading3"/>
      </w:pPr>
      <w:bookmarkStart w:id="60" w:name="_Toc398819286"/>
      <w:r w:rsidRPr="00644A67">
        <w:t>SHIP Planning Session Participants</w:t>
      </w:r>
      <w:bookmarkEnd w:id="60"/>
    </w:p>
    <w:p w:rsidR="004B20E5" w:rsidRDefault="004B20E5" w:rsidP="00091278"/>
    <w:p w:rsidR="004B20E5" w:rsidRDefault="004B20E5" w:rsidP="00091278">
      <w:pPr>
        <w:sectPr w:rsidR="004B20E5" w:rsidSect="00F01C64">
          <w:endnotePr>
            <w:numFmt w:val="decimal"/>
          </w:endnotePr>
          <w:type w:val="continuous"/>
          <w:pgSz w:w="12240" w:h="15840" w:code="1"/>
          <w:pgMar w:top="1080" w:right="1080" w:bottom="1080" w:left="1080" w:header="648" w:footer="504" w:gutter="0"/>
          <w:cols w:space="720"/>
          <w:docGrid w:linePitch="360"/>
        </w:sectPr>
      </w:pPr>
    </w:p>
    <w:p w:rsidR="004B20E5" w:rsidRDefault="004B20E5" w:rsidP="00136F6B">
      <w:pPr>
        <w:pStyle w:val="Name"/>
      </w:pPr>
      <w:r>
        <w:t>Abbie Averbach, UMass Medical School</w:t>
      </w:r>
    </w:p>
    <w:p w:rsidR="004B20E5" w:rsidRDefault="004B20E5" w:rsidP="00136F6B">
      <w:pPr>
        <w:pStyle w:val="Name"/>
      </w:pPr>
      <w:r>
        <w:t xml:space="preserve">Cheryl Bartlett, </w:t>
      </w:r>
      <w:r w:rsidR="009F3D12">
        <w:t>M</w:t>
      </w:r>
      <w:r>
        <w:t>DPH</w:t>
      </w:r>
    </w:p>
    <w:p w:rsidR="004B20E5" w:rsidRDefault="004B20E5" w:rsidP="00136F6B">
      <w:pPr>
        <w:pStyle w:val="Name"/>
      </w:pPr>
      <w:r>
        <w:t xml:space="preserve">Madeleine Biondollilo, </w:t>
      </w:r>
      <w:r w:rsidR="009F3D12">
        <w:t>M</w:t>
      </w:r>
      <w:r>
        <w:t>DPH</w:t>
      </w:r>
    </w:p>
    <w:p w:rsidR="004B20E5" w:rsidRDefault="004B20E5" w:rsidP="00136F6B">
      <w:pPr>
        <w:pStyle w:val="Name"/>
      </w:pPr>
      <w:r>
        <w:t>Derek Brindisi, City of Worcester</w:t>
      </w:r>
    </w:p>
    <w:p w:rsidR="004B20E5" w:rsidRDefault="004B20E5" w:rsidP="00136F6B">
      <w:pPr>
        <w:pStyle w:val="Name"/>
      </w:pPr>
      <w:r>
        <w:t>Lisa Brukilacchio, Cambridge Health Alliance</w:t>
      </w:r>
    </w:p>
    <w:p w:rsidR="004B20E5" w:rsidRDefault="004B20E5" w:rsidP="00136F6B">
      <w:pPr>
        <w:pStyle w:val="Name"/>
      </w:pPr>
      <w:r>
        <w:t>Stephanie Buckler, MHA</w:t>
      </w:r>
    </w:p>
    <w:p w:rsidR="004B20E5" w:rsidRDefault="004B20E5" w:rsidP="00136F6B">
      <w:pPr>
        <w:pStyle w:val="Name"/>
      </w:pPr>
      <w:r>
        <w:t>Tom Carbone, Town of Andover</w:t>
      </w:r>
    </w:p>
    <w:p w:rsidR="004B20E5" w:rsidRDefault="004B20E5" w:rsidP="00136F6B">
      <w:pPr>
        <w:pStyle w:val="Name"/>
      </w:pPr>
      <w:r>
        <w:t>Beth Chandler, YWCA</w:t>
      </w:r>
    </w:p>
    <w:p w:rsidR="004B20E5" w:rsidRDefault="004B20E5" w:rsidP="00136F6B">
      <w:pPr>
        <w:pStyle w:val="Name"/>
      </w:pPr>
      <w:r>
        <w:t xml:space="preserve">Ashley Clement, </w:t>
      </w:r>
      <w:r w:rsidR="009F3D12">
        <w:t>M</w:t>
      </w:r>
      <w:r>
        <w:t>DPH</w:t>
      </w:r>
    </w:p>
    <w:p w:rsidR="004B20E5" w:rsidRDefault="004B20E5" w:rsidP="00136F6B">
      <w:pPr>
        <w:pStyle w:val="Name"/>
      </w:pPr>
      <w:r>
        <w:t>Martin Cohen, Metrowest Foundation</w:t>
      </w:r>
    </w:p>
    <w:p w:rsidR="004B20E5" w:rsidRDefault="004B20E5" w:rsidP="00136F6B">
      <w:pPr>
        <w:pStyle w:val="Name"/>
      </w:pPr>
      <w:r>
        <w:t>James Corbett, Steward Health Care</w:t>
      </w:r>
    </w:p>
    <w:p w:rsidR="004B20E5" w:rsidRDefault="004B20E5" w:rsidP="00136F6B">
      <w:pPr>
        <w:pStyle w:val="Name"/>
      </w:pPr>
      <w:r>
        <w:t>Patrick Cronin, MOAR</w:t>
      </w:r>
    </w:p>
    <w:p w:rsidR="004B20E5" w:rsidRDefault="004B20E5" w:rsidP="00136F6B">
      <w:pPr>
        <w:pStyle w:val="Name"/>
      </w:pPr>
      <w:r>
        <w:t>Steve Curry, City of Fitchburg</w:t>
      </w:r>
    </w:p>
    <w:p w:rsidR="004B20E5" w:rsidRDefault="004B20E5" w:rsidP="00136F6B">
      <w:pPr>
        <w:pStyle w:val="Name"/>
      </w:pPr>
      <w:r>
        <w:t>Tom Delaney, MOAR</w:t>
      </w:r>
    </w:p>
    <w:p w:rsidR="004B20E5" w:rsidRDefault="004B20E5" w:rsidP="00136F6B">
      <w:pPr>
        <w:pStyle w:val="Name"/>
      </w:pPr>
      <w:r>
        <w:t>Michael Devlin, Harvard Pilgrim Foundation</w:t>
      </w:r>
    </w:p>
    <w:p w:rsidR="004B20E5" w:rsidRDefault="004B20E5" w:rsidP="00136F6B">
      <w:pPr>
        <w:pStyle w:val="Name"/>
      </w:pPr>
      <w:r>
        <w:t>Sherry Dong, Tufts Medical Center</w:t>
      </w:r>
    </w:p>
    <w:p w:rsidR="004B20E5" w:rsidRDefault="004B20E5" w:rsidP="00136F6B">
      <w:pPr>
        <w:pStyle w:val="Name"/>
      </w:pPr>
      <w:r>
        <w:t>Louis Fazen, MA Medical Society</w:t>
      </w:r>
    </w:p>
    <w:p w:rsidR="004B20E5" w:rsidRDefault="004B20E5" w:rsidP="00136F6B">
      <w:pPr>
        <w:pStyle w:val="Name"/>
      </w:pPr>
      <w:r>
        <w:t>Marcia Fowler, Department of Mental Health</w:t>
      </w:r>
    </w:p>
    <w:p w:rsidR="004B20E5" w:rsidRDefault="004B20E5" w:rsidP="00136F6B">
      <w:pPr>
        <w:pStyle w:val="Name"/>
      </w:pPr>
      <w:r>
        <w:t>Elmer Freeman, Northeastern University</w:t>
      </w:r>
    </w:p>
    <w:p w:rsidR="004B20E5" w:rsidRDefault="004B20E5" w:rsidP="00136F6B">
      <w:pPr>
        <w:pStyle w:val="Name"/>
      </w:pPr>
      <w:r>
        <w:t>Tami Gouveia, Tobacco Free MA</w:t>
      </w:r>
    </w:p>
    <w:p w:rsidR="004B20E5" w:rsidRDefault="004B20E5" w:rsidP="00136F6B">
      <w:pPr>
        <w:pStyle w:val="Name"/>
      </w:pPr>
      <w:r>
        <w:t>Rebecca Haag, AIDS Action</w:t>
      </w:r>
    </w:p>
    <w:p w:rsidR="004B20E5" w:rsidRDefault="004B20E5" w:rsidP="00136F6B">
      <w:pPr>
        <w:pStyle w:val="Name"/>
      </w:pPr>
      <w:r>
        <w:t>Jeff Harness, Cooley Dickinson Hospital</w:t>
      </w:r>
    </w:p>
    <w:p w:rsidR="004B20E5" w:rsidRDefault="004B20E5" w:rsidP="00136F6B">
      <w:pPr>
        <w:pStyle w:val="Name"/>
      </w:pPr>
      <w:r>
        <w:t>Paul Hattis, Tufts</w:t>
      </w:r>
      <w:r w:rsidR="00DB4F8D">
        <w:t xml:space="preserve"> University School of Medicine</w:t>
      </w:r>
    </w:p>
    <w:p w:rsidR="004B20E5" w:rsidRDefault="004B20E5" w:rsidP="00136F6B">
      <w:pPr>
        <w:pStyle w:val="Name"/>
      </w:pPr>
      <w:r>
        <w:t>Terry Hayes, MHOA, Town of Dennis</w:t>
      </w:r>
    </w:p>
    <w:p w:rsidR="004B20E5" w:rsidRDefault="004B20E5" w:rsidP="00136F6B">
      <w:pPr>
        <w:pStyle w:val="Name"/>
      </w:pPr>
      <w:r>
        <w:t>Sharmila Hazra, Asian Women for Health</w:t>
      </w:r>
    </w:p>
    <w:p w:rsidR="004B20E5" w:rsidRDefault="004B20E5" w:rsidP="00136F6B">
      <w:pPr>
        <w:pStyle w:val="Name"/>
      </w:pPr>
      <w:r>
        <w:t>Marc Hymowitz, American Cancer Society</w:t>
      </w:r>
    </w:p>
    <w:p w:rsidR="004B20E5" w:rsidRDefault="004B20E5" w:rsidP="00136F6B">
      <w:pPr>
        <w:pStyle w:val="Name"/>
      </w:pPr>
      <w:r>
        <w:t>Claude Jacob, City of Cambridge</w:t>
      </w:r>
    </w:p>
    <w:p w:rsidR="004B20E5" w:rsidRDefault="004B20E5" w:rsidP="00136F6B">
      <w:pPr>
        <w:pStyle w:val="Name"/>
      </w:pPr>
      <w:r>
        <w:t>Catherine Jason, NHP</w:t>
      </w:r>
    </w:p>
    <w:p w:rsidR="004B20E5" w:rsidRDefault="004B20E5" w:rsidP="00136F6B">
      <w:pPr>
        <w:pStyle w:val="Name"/>
      </w:pPr>
      <w:r>
        <w:t>David Kreibel, UMass Lowell</w:t>
      </w:r>
    </w:p>
    <w:p w:rsidR="004B20E5" w:rsidRDefault="004B20E5" w:rsidP="00136F6B">
      <w:pPr>
        <w:pStyle w:val="Name"/>
      </w:pPr>
      <w:r>
        <w:t>Stewart Landers, JSI</w:t>
      </w:r>
    </w:p>
    <w:p w:rsidR="004B20E5" w:rsidRDefault="004B20E5" w:rsidP="00136F6B">
      <w:pPr>
        <w:pStyle w:val="Name"/>
      </w:pPr>
      <w:r>
        <w:t>Wendy Landman, Walk Boston</w:t>
      </w:r>
    </w:p>
    <w:p w:rsidR="004B20E5" w:rsidRDefault="004B20E5" w:rsidP="00136F6B">
      <w:pPr>
        <w:pStyle w:val="Name"/>
      </w:pPr>
      <w:r>
        <w:t>Paul Lanzikos, North Shore Elder Services</w:t>
      </w:r>
    </w:p>
    <w:p w:rsidR="004B20E5" w:rsidRDefault="004B20E5" w:rsidP="00136F6B">
      <w:pPr>
        <w:pStyle w:val="Name"/>
      </w:pPr>
      <w:r>
        <w:t>Mary Lauby, Jane Doe</w:t>
      </w:r>
    </w:p>
    <w:p w:rsidR="004B20E5" w:rsidRDefault="004B20E5" w:rsidP="00136F6B">
      <w:pPr>
        <w:pStyle w:val="Name"/>
      </w:pPr>
      <w:r>
        <w:t>Mary McKenzie, MAPHN</w:t>
      </w:r>
    </w:p>
    <w:p w:rsidR="004B20E5" w:rsidRDefault="004B20E5" w:rsidP="00136F6B">
      <w:pPr>
        <w:pStyle w:val="Name"/>
      </w:pPr>
      <w:r>
        <w:t xml:space="preserve">Dorothy McCabe, </w:t>
      </w:r>
      <w:r w:rsidR="00BE73BF">
        <w:t>MNA</w:t>
      </w:r>
    </w:p>
    <w:p w:rsidR="004B20E5" w:rsidRDefault="004B20E5" w:rsidP="00136F6B">
      <w:pPr>
        <w:pStyle w:val="Name"/>
      </w:pPr>
      <w:r>
        <w:t>David Naparstek, Public Health Consultant</w:t>
      </w:r>
    </w:p>
    <w:p w:rsidR="004B20E5" w:rsidRDefault="004B20E5" w:rsidP="00136F6B">
      <w:pPr>
        <w:pStyle w:val="Name"/>
      </w:pPr>
      <w:r>
        <w:t>Huy Nguyen, Boston Public Health Comm</w:t>
      </w:r>
      <w:r w:rsidR="00BE73BF">
        <w:t>ission</w:t>
      </w:r>
    </w:p>
    <w:p w:rsidR="004B20E5" w:rsidRDefault="004B20E5" w:rsidP="00136F6B">
      <w:pPr>
        <w:pStyle w:val="Name"/>
      </w:pPr>
      <w:r>
        <w:t>Laura Noble, NHP</w:t>
      </w:r>
    </w:p>
    <w:p w:rsidR="004B20E5" w:rsidRDefault="004B20E5" w:rsidP="00136F6B">
      <w:pPr>
        <w:pStyle w:val="Name"/>
      </w:pPr>
      <w:r>
        <w:t>Tom O'Brien, AGO</w:t>
      </w:r>
    </w:p>
    <w:p w:rsidR="004B20E5" w:rsidRDefault="004B20E5" w:rsidP="00136F6B">
      <w:pPr>
        <w:pStyle w:val="Name"/>
      </w:pPr>
      <w:r>
        <w:t xml:space="preserve">Cathy O'Connor, </w:t>
      </w:r>
      <w:r w:rsidR="009F3D12">
        <w:t>M</w:t>
      </w:r>
      <w:r>
        <w:t>DPH</w:t>
      </w:r>
    </w:p>
    <w:p w:rsidR="004B20E5" w:rsidRDefault="004B20E5" w:rsidP="00136F6B">
      <w:pPr>
        <w:pStyle w:val="Name"/>
      </w:pPr>
      <w:r>
        <w:t xml:space="preserve">Jamie Pianka, </w:t>
      </w:r>
      <w:r w:rsidR="009F3D12">
        <w:t>M</w:t>
      </w:r>
      <w:r>
        <w:t>DPH</w:t>
      </w:r>
    </w:p>
    <w:p w:rsidR="004B20E5" w:rsidRDefault="004B20E5" w:rsidP="00136F6B">
      <w:pPr>
        <w:pStyle w:val="Name"/>
      </w:pPr>
      <w:r>
        <w:t xml:space="preserve">Tavinder Phull, Partners Health </w:t>
      </w:r>
    </w:p>
    <w:p w:rsidR="004B20E5" w:rsidRDefault="004B20E5" w:rsidP="00136F6B">
      <w:pPr>
        <w:pStyle w:val="Name"/>
      </w:pPr>
      <w:r>
        <w:t>Chris Pontus, MNA</w:t>
      </w:r>
    </w:p>
    <w:p w:rsidR="004B20E5" w:rsidRDefault="004B20E5" w:rsidP="00136F6B">
      <w:pPr>
        <w:pStyle w:val="Name"/>
      </w:pPr>
      <w:r>
        <w:t>Ann Marie Rakovic, JSI</w:t>
      </w:r>
    </w:p>
    <w:p w:rsidR="004B20E5" w:rsidRDefault="004B20E5" w:rsidP="00136F6B">
      <w:pPr>
        <w:pStyle w:val="Name"/>
      </w:pPr>
      <w:r>
        <w:t>Maddie Ribble, MPHA</w:t>
      </w:r>
    </w:p>
    <w:p w:rsidR="004B20E5" w:rsidRDefault="004B20E5" w:rsidP="00136F6B">
      <w:pPr>
        <w:pStyle w:val="Name"/>
      </w:pPr>
      <w:r>
        <w:t>Pamela Rivers, MSNO</w:t>
      </w:r>
    </w:p>
    <w:p w:rsidR="004B20E5" w:rsidRDefault="004B20E5" w:rsidP="00136F6B">
      <w:pPr>
        <w:pStyle w:val="Name"/>
      </w:pPr>
      <w:r>
        <w:t>Frank Robinson, Partners for a Healthier Community, Springfield</w:t>
      </w:r>
    </w:p>
    <w:p w:rsidR="004B20E5" w:rsidRDefault="004B20E5" w:rsidP="00136F6B">
      <w:pPr>
        <w:pStyle w:val="Name"/>
      </w:pPr>
      <w:r>
        <w:t>Peg Sallade, Public Health Consultant</w:t>
      </w:r>
    </w:p>
    <w:p w:rsidR="004B20E5" w:rsidRDefault="004B20E5" w:rsidP="00136F6B">
      <w:pPr>
        <w:pStyle w:val="Name"/>
      </w:pPr>
      <w:r>
        <w:t>Ronnie Sanders, Partners Health</w:t>
      </w:r>
      <w:r w:rsidR="00BE73BF">
        <w:t>care</w:t>
      </w:r>
      <w:r>
        <w:t xml:space="preserve"> </w:t>
      </w:r>
    </w:p>
    <w:p w:rsidR="004B20E5" w:rsidRDefault="004B20E5" w:rsidP="00136F6B">
      <w:pPr>
        <w:pStyle w:val="Name"/>
      </w:pPr>
      <w:r>
        <w:t>Malisa Sch</w:t>
      </w:r>
      <w:r w:rsidR="00E36D7D">
        <w:t>u</w:t>
      </w:r>
      <w:r>
        <w:t>yler, Tufts Medical Center</w:t>
      </w:r>
    </w:p>
    <w:p w:rsidR="004B20E5" w:rsidRDefault="004B20E5" w:rsidP="00136F6B">
      <w:pPr>
        <w:pStyle w:val="Name"/>
      </w:pPr>
      <w:r>
        <w:t>Susan Servais, M</w:t>
      </w:r>
      <w:r w:rsidR="00E36D7D">
        <w:t xml:space="preserve">A </w:t>
      </w:r>
      <w:r>
        <w:t>H</w:t>
      </w:r>
      <w:r w:rsidR="00E36D7D">
        <w:t xml:space="preserve">ealth </w:t>
      </w:r>
      <w:r>
        <w:t>C</w:t>
      </w:r>
      <w:r w:rsidR="00E36D7D">
        <w:t>ouncil</w:t>
      </w:r>
    </w:p>
    <w:p w:rsidR="004B20E5" w:rsidRDefault="004B20E5" w:rsidP="00136F6B">
      <w:pPr>
        <w:pStyle w:val="Name"/>
      </w:pPr>
      <w:r>
        <w:t>Audrey Shelto, BCBS</w:t>
      </w:r>
      <w:r w:rsidR="00E36D7D">
        <w:t>MA</w:t>
      </w:r>
      <w:r>
        <w:t xml:space="preserve"> Foundation</w:t>
      </w:r>
    </w:p>
    <w:p w:rsidR="004B20E5" w:rsidRDefault="004B20E5" w:rsidP="00136F6B">
      <w:pPr>
        <w:pStyle w:val="Name"/>
      </w:pPr>
      <w:r>
        <w:t>Pamela Siren, MAHP</w:t>
      </w:r>
    </w:p>
    <w:p w:rsidR="004B20E5" w:rsidRDefault="004B20E5" w:rsidP="00136F6B">
      <w:pPr>
        <w:pStyle w:val="Name"/>
      </w:pPr>
      <w:r>
        <w:t>Jeff Stone, MA Health Council</w:t>
      </w:r>
    </w:p>
    <w:p w:rsidR="004B20E5" w:rsidRDefault="004B20E5" w:rsidP="00136F6B">
      <w:pPr>
        <w:pStyle w:val="Name"/>
      </w:pPr>
      <w:r>
        <w:t>Sheri Sore, Executive Office of Elder Affairs</w:t>
      </w:r>
    </w:p>
    <w:p w:rsidR="004B20E5" w:rsidRDefault="004B20E5" w:rsidP="00136F6B">
      <w:pPr>
        <w:pStyle w:val="Name"/>
      </w:pPr>
      <w:r>
        <w:t>Donald Thieme, MCCH</w:t>
      </w:r>
    </w:p>
    <w:p w:rsidR="004B20E5" w:rsidRDefault="004B20E5" w:rsidP="00136F6B">
      <w:pPr>
        <w:pStyle w:val="Name"/>
      </w:pPr>
      <w:r>
        <w:t xml:space="preserve">Mitchell Thomas, </w:t>
      </w:r>
      <w:r w:rsidR="009F3D12">
        <w:t>M</w:t>
      </w:r>
      <w:r>
        <w:t>DPH</w:t>
      </w:r>
    </w:p>
    <w:p w:rsidR="004B20E5" w:rsidRDefault="004B20E5" w:rsidP="00136F6B">
      <w:pPr>
        <w:pStyle w:val="Name"/>
      </w:pPr>
      <w:r>
        <w:t>Kristin Thorn, M</w:t>
      </w:r>
      <w:r w:rsidR="00E36D7D">
        <w:t>ass</w:t>
      </w:r>
      <w:r>
        <w:t>Health</w:t>
      </w:r>
    </w:p>
    <w:p w:rsidR="004B20E5" w:rsidRDefault="004B20E5" w:rsidP="00136F6B">
      <w:pPr>
        <w:pStyle w:val="Name"/>
      </w:pPr>
      <w:r>
        <w:t>Steve Ward, Town of Framingham</w:t>
      </w:r>
    </w:p>
    <w:p w:rsidR="004B20E5" w:rsidRDefault="004B20E5" w:rsidP="00136F6B">
      <w:pPr>
        <w:pStyle w:val="Name"/>
      </w:pPr>
      <w:r>
        <w:t>Susan Webb, MA Medical Society</w:t>
      </w:r>
    </w:p>
    <w:p w:rsidR="004B20E5" w:rsidRDefault="004B20E5" w:rsidP="00136F6B">
      <w:pPr>
        <w:pStyle w:val="Name"/>
      </w:pPr>
      <w:r>
        <w:t>David Wegman, UMass Lowell</w:t>
      </w:r>
    </w:p>
    <w:p w:rsidR="004B20E5" w:rsidRDefault="004B20E5" w:rsidP="00136F6B">
      <w:pPr>
        <w:pStyle w:val="Name"/>
      </w:pPr>
      <w:r>
        <w:t>Brenda Weis, City of New Bedford</w:t>
      </w:r>
    </w:p>
    <w:p w:rsidR="004B20E5" w:rsidRDefault="004B20E5" w:rsidP="00136F6B">
      <w:pPr>
        <w:pStyle w:val="Name"/>
      </w:pPr>
      <w:r>
        <w:t>Kaitlyn Kenney Walsh, BCBS</w:t>
      </w:r>
      <w:r w:rsidR="00E36D7D">
        <w:t>MA</w:t>
      </w:r>
      <w:r>
        <w:t xml:space="preserve"> Foundation</w:t>
      </w:r>
    </w:p>
    <w:p w:rsidR="004B20E5" w:rsidRDefault="004B20E5" w:rsidP="00136F6B">
      <w:pPr>
        <w:pStyle w:val="Name"/>
      </w:pPr>
      <w:r>
        <w:t>Steve Ward, Town of Framingham</w:t>
      </w:r>
    </w:p>
    <w:p w:rsidR="004B20E5" w:rsidRDefault="004B20E5" w:rsidP="00136F6B">
      <w:pPr>
        <w:pStyle w:val="Name"/>
      </w:pPr>
      <w:r>
        <w:t>Susan Webb, MA Medical Society</w:t>
      </w:r>
    </w:p>
    <w:p w:rsidR="004B20E5" w:rsidRDefault="004B20E5" w:rsidP="00136F6B">
      <w:pPr>
        <w:pStyle w:val="Name"/>
      </w:pPr>
      <w:r>
        <w:t>David Wegman, UMass Lowell</w:t>
      </w:r>
    </w:p>
    <w:p w:rsidR="004B20E5" w:rsidRDefault="004B20E5" w:rsidP="00136F6B">
      <w:pPr>
        <w:pStyle w:val="Name"/>
      </w:pPr>
      <w:r>
        <w:t>Sam Wong, Town of Hudson</w:t>
      </w:r>
    </w:p>
    <w:p w:rsidR="004B20E5" w:rsidRDefault="004B20E5" w:rsidP="00091278">
      <w:pPr>
        <w:sectPr w:rsidR="004B20E5" w:rsidSect="000D3A34">
          <w:endnotePr>
            <w:numFmt w:val="decimal"/>
          </w:endnotePr>
          <w:type w:val="continuous"/>
          <w:pgSz w:w="12240" w:h="15840" w:code="1"/>
          <w:pgMar w:top="1080" w:right="1080" w:bottom="1080" w:left="1080" w:header="648" w:footer="504" w:gutter="0"/>
          <w:cols w:num="2" w:space="720"/>
          <w:docGrid w:linePitch="360"/>
        </w:sectPr>
      </w:pPr>
    </w:p>
    <w:p w:rsidR="004B20E5" w:rsidRDefault="004B20E5" w:rsidP="00091278"/>
    <w:p w:rsidR="004B20E5" w:rsidRDefault="004B20E5" w:rsidP="00107245">
      <w:pPr>
        <w:pStyle w:val="Heading2"/>
      </w:pPr>
      <w:r>
        <w:br w:type="page"/>
      </w:r>
    </w:p>
    <w:p w:rsidR="004B20E5" w:rsidRPr="000F57B3" w:rsidRDefault="004B20E5" w:rsidP="000F57B3">
      <w:pPr>
        <w:pStyle w:val="Heading2LARGE"/>
      </w:pPr>
    </w:p>
    <w:p w:rsidR="004B20E5" w:rsidRPr="000F57B3" w:rsidRDefault="004B20E5" w:rsidP="00644A67">
      <w:pPr>
        <w:pStyle w:val="Heading3"/>
      </w:pPr>
      <w:bookmarkStart w:id="61" w:name="_Toc398819287"/>
      <w:r w:rsidRPr="000F57B3">
        <w:t>Subject Matter Expert Review</w:t>
      </w:r>
      <w:bookmarkEnd w:id="61"/>
    </w:p>
    <w:p w:rsidR="004B20E5" w:rsidRPr="000F57B3" w:rsidRDefault="004B20E5" w:rsidP="000F57B3">
      <w:pPr>
        <w:pStyle w:val="BodyText"/>
      </w:pPr>
      <w:r w:rsidRPr="000F57B3">
        <w:t xml:space="preserve">A core team from </w:t>
      </w:r>
      <w:r w:rsidR="009F3D12">
        <w:t>M</w:t>
      </w:r>
      <w:r w:rsidRPr="000F57B3">
        <w:t xml:space="preserve">DPH and the HRiA consultants reviewed the initial draft output from the planning sessions and edited material for clarity, consistency, and evidence base.  </w:t>
      </w:r>
    </w:p>
    <w:p w:rsidR="004B20E5" w:rsidRDefault="004B20E5" w:rsidP="000F57B3">
      <w:pPr>
        <w:pStyle w:val="BodyText"/>
      </w:pPr>
      <w:r w:rsidRPr="000F57B3">
        <w:t xml:space="preserve">Following this initial edit, the Commissioner of Public Health, </w:t>
      </w:r>
      <w:r w:rsidR="009F3D12">
        <w:t>M</w:t>
      </w:r>
      <w:r w:rsidRPr="000F57B3">
        <w:t xml:space="preserve">DPH Bureau Directors, and other subject matter experts participated in detailed review of plan components over the months of January to </w:t>
      </w:r>
      <w:r>
        <w:t>August</w:t>
      </w:r>
      <w:r w:rsidRPr="000F57B3">
        <w:t>, 2014, to ensure inclusion of the most promising and evidence-based strategies as well as alignment with other key national and state-wide initiatives, plans, and priorities, while maintaining the integrity of the original draft content provided by Coalition planning.  This feedback was incorporated into the version of the SHIP contained in this report.</w:t>
      </w:r>
    </w:p>
    <w:p w:rsidR="004B20E5" w:rsidRDefault="004B20E5" w:rsidP="00257000"/>
    <w:tbl>
      <w:tblPr>
        <w:tblW w:w="0" w:type="auto"/>
        <w:tblLook w:val="00A0" w:firstRow="1" w:lastRow="0" w:firstColumn="1" w:lastColumn="0" w:noHBand="0" w:noVBand="0"/>
      </w:tblPr>
      <w:tblGrid>
        <w:gridCol w:w="2088"/>
        <w:gridCol w:w="8208"/>
      </w:tblGrid>
      <w:tr w:rsidR="004B20E5" w:rsidRPr="00666093" w:rsidTr="0012696F">
        <w:trPr>
          <w:tblHeader/>
        </w:trPr>
        <w:tc>
          <w:tcPr>
            <w:tcW w:w="2088" w:type="dxa"/>
          </w:tcPr>
          <w:p w:rsidR="004B20E5" w:rsidRPr="00666093" w:rsidRDefault="004B20E5" w:rsidP="00257000">
            <w:pPr>
              <w:rPr>
                <w:b/>
              </w:rPr>
            </w:pPr>
            <w:r>
              <w:rPr>
                <w:b/>
              </w:rPr>
              <w:t>Domain</w:t>
            </w:r>
          </w:p>
        </w:tc>
        <w:tc>
          <w:tcPr>
            <w:tcW w:w="8208" w:type="dxa"/>
          </w:tcPr>
          <w:p w:rsidR="004B20E5" w:rsidRPr="00666093" w:rsidRDefault="004B20E5" w:rsidP="00257000">
            <w:pPr>
              <w:rPr>
                <w:b/>
              </w:rPr>
            </w:pPr>
            <w:r w:rsidRPr="00666093">
              <w:rPr>
                <w:b/>
              </w:rPr>
              <w:t>Subject Matter Expert</w:t>
            </w:r>
          </w:p>
        </w:tc>
      </w:tr>
      <w:tr w:rsidR="004B20E5" w:rsidRPr="00666093" w:rsidTr="0012696F">
        <w:tc>
          <w:tcPr>
            <w:tcW w:w="2088" w:type="dxa"/>
          </w:tcPr>
          <w:p w:rsidR="004B20E5" w:rsidRPr="00666093" w:rsidRDefault="004B20E5" w:rsidP="00136F6B">
            <w:pPr>
              <w:pStyle w:val="Name"/>
            </w:pPr>
            <w:r>
              <w:t>Health Equity</w:t>
            </w:r>
          </w:p>
        </w:tc>
        <w:tc>
          <w:tcPr>
            <w:tcW w:w="8208" w:type="dxa"/>
          </w:tcPr>
          <w:p w:rsidR="004B20E5" w:rsidRPr="00666093" w:rsidRDefault="004B20E5" w:rsidP="00E36D7D">
            <w:pPr>
              <w:pStyle w:val="Name"/>
            </w:pPr>
            <w:r>
              <w:t>Georgia Simpson May, Director of the Office of Health Equity</w:t>
            </w:r>
          </w:p>
        </w:tc>
      </w:tr>
      <w:tr w:rsidR="004B20E5" w:rsidRPr="00666093" w:rsidTr="0012696F">
        <w:tc>
          <w:tcPr>
            <w:tcW w:w="2088" w:type="dxa"/>
          </w:tcPr>
          <w:p w:rsidR="004B20E5" w:rsidRDefault="004B20E5" w:rsidP="00136F6B">
            <w:pPr>
              <w:pStyle w:val="Name"/>
            </w:pPr>
            <w:r>
              <w:t>Health Systems Infrastructure</w:t>
            </w:r>
          </w:p>
        </w:tc>
        <w:tc>
          <w:tcPr>
            <w:tcW w:w="8208" w:type="dxa"/>
          </w:tcPr>
          <w:p w:rsidR="004B20E5" w:rsidRDefault="004B20E5" w:rsidP="00136F6B">
            <w:pPr>
              <w:pStyle w:val="Name"/>
            </w:pPr>
            <w:r>
              <w:t>Tom Land, Director of the Office of Data Management and Outcomes Assessment</w:t>
            </w:r>
          </w:p>
          <w:p w:rsidR="004B20E5" w:rsidRDefault="004B20E5" w:rsidP="00136F6B">
            <w:pPr>
              <w:pStyle w:val="Name"/>
            </w:pPr>
            <w:r>
              <w:t>Jana Ferguson, Director of the Office of Local and Regional Health</w:t>
            </w:r>
          </w:p>
          <w:p w:rsidR="004B20E5" w:rsidRDefault="004B20E5" w:rsidP="00136F6B">
            <w:pPr>
              <w:pStyle w:val="Name"/>
            </w:pPr>
            <w:r>
              <w:t>Cathy O’Connor, Director of Community Planning</w:t>
            </w:r>
          </w:p>
          <w:p w:rsidR="004B20E5" w:rsidRDefault="004B20E5" w:rsidP="00136F6B">
            <w:pPr>
              <w:pStyle w:val="Name"/>
            </w:pPr>
            <w:r>
              <w:t>Mary Clark, Director of the Office of Emergency Management and Response</w:t>
            </w:r>
          </w:p>
          <w:p w:rsidR="004B20E5" w:rsidRDefault="004B20E5" w:rsidP="00136F6B">
            <w:pPr>
              <w:pStyle w:val="Name"/>
            </w:pPr>
            <w:r>
              <w:t>Kerin Milesky, Office of Emergency Management and Response</w:t>
            </w:r>
          </w:p>
          <w:p w:rsidR="004B20E5" w:rsidRDefault="004B20E5" w:rsidP="00136F6B">
            <w:pPr>
              <w:pStyle w:val="Name"/>
            </w:pPr>
            <w:r>
              <w:t>Madeleine Biondolillo, Associate Commissioner</w:t>
            </w:r>
          </w:p>
          <w:p w:rsidR="004B20E5" w:rsidRPr="00666093" w:rsidRDefault="004B20E5" w:rsidP="00136F6B">
            <w:pPr>
              <w:pStyle w:val="Name"/>
            </w:pPr>
            <w:r>
              <w:t>Michael Coughlin, Accreditation Manager</w:t>
            </w:r>
          </w:p>
        </w:tc>
      </w:tr>
      <w:tr w:rsidR="004B20E5" w:rsidRPr="00666093" w:rsidTr="0012696F">
        <w:tc>
          <w:tcPr>
            <w:tcW w:w="2088" w:type="dxa"/>
          </w:tcPr>
          <w:p w:rsidR="004B20E5" w:rsidRDefault="004B20E5" w:rsidP="00136F6B">
            <w:pPr>
              <w:pStyle w:val="Name"/>
            </w:pPr>
          </w:p>
          <w:p w:rsidR="004B20E5" w:rsidRPr="00666093" w:rsidRDefault="004B20E5" w:rsidP="00136F6B">
            <w:pPr>
              <w:pStyle w:val="Name"/>
            </w:pPr>
            <w:r>
              <w:t>Active Living, Healthy Eating, and Tobacco-Free Living</w:t>
            </w:r>
          </w:p>
          <w:p w:rsidR="004B20E5" w:rsidRPr="00666093" w:rsidRDefault="004B20E5" w:rsidP="00136F6B">
            <w:pPr>
              <w:pStyle w:val="Name"/>
            </w:pPr>
          </w:p>
        </w:tc>
        <w:tc>
          <w:tcPr>
            <w:tcW w:w="8208" w:type="dxa"/>
          </w:tcPr>
          <w:p w:rsidR="004B20E5" w:rsidRDefault="004B20E5" w:rsidP="00136F6B">
            <w:pPr>
              <w:pStyle w:val="Name"/>
            </w:pPr>
          </w:p>
          <w:p w:rsidR="004B20E5" w:rsidRPr="00666093" w:rsidRDefault="004B20E5" w:rsidP="00136F6B">
            <w:pPr>
              <w:pStyle w:val="Name"/>
            </w:pPr>
            <w:r w:rsidRPr="00666093">
              <w:t>Wendy Landman, Walk Boston</w:t>
            </w:r>
          </w:p>
          <w:p w:rsidR="004B20E5" w:rsidRPr="00666093" w:rsidRDefault="004B20E5" w:rsidP="00136F6B">
            <w:pPr>
              <w:pStyle w:val="Name"/>
            </w:pPr>
            <w:r w:rsidRPr="00666093">
              <w:t>Kendrin Sonneville, HSPH and Boston Children’s</w:t>
            </w:r>
            <w:r w:rsidR="00E36D7D">
              <w:t xml:space="preserve"> Hospital</w:t>
            </w:r>
          </w:p>
          <w:p w:rsidR="004B20E5" w:rsidRPr="00666093" w:rsidRDefault="004B20E5" w:rsidP="00136F6B">
            <w:pPr>
              <w:pStyle w:val="Name"/>
            </w:pPr>
            <w:r w:rsidRPr="00666093">
              <w:t>Steve Miller, Usable Streets Alliance</w:t>
            </w:r>
          </w:p>
          <w:p w:rsidR="004B20E5" w:rsidRDefault="004B20E5" w:rsidP="00136F6B">
            <w:pPr>
              <w:pStyle w:val="Name"/>
            </w:pPr>
            <w:r w:rsidRPr="00666093">
              <w:t xml:space="preserve">Ben Wood, Clair Santarelli, Jamie Corliss, </w:t>
            </w:r>
            <w:r w:rsidR="009F3D12">
              <w:t>M</w:t>
            </w:r>
            <w:r w:rsidRPr="00666093">
              <w:t>DPH</w:t>
            </w:r>
          </w:p>
          <w:p w:rsidR="004B20E5" w:rsidRPr="00666093" w:rsidRDefault="004B20E5" w:rsidP="00F368E7">
            <w:pPr>
              <w:pStyle w:val="Name"/>
            </w:pPr>
            <w:r>
              <w:t xml:space="preserve">Patti Henley, </w:t>
            </w:r>
            <w:r w:rsidR="009F3D12">
              <w:t>M</w:t>
            </w:r>
            <w:r w:rsidRPr="00666093">
              <w:t>DPH</w:t>
            </w:r>
          </w:p>
          <w:p w:rsidR="004B20E5" w:rsidRDefault="004B20E5" w:rsidP="00F368E7">
            <w:pPr>
              <w:pStyle w:val="Name"/>
            </w:pPr>
            <w:r>
              <w:t xml:space="preserve">Mark Paskowsky, </w:t>
            </w:r>
            <w:r w:rsidR="009F3D12">
              <w:t>M</w:t>
            </w:r>
            <w:r>
              <w:t>DPH</w:t>
            </w:r>
          </w:p>
          <w:p w:rsidR="004B20E5" w:rsidRPr="00666093" w:rsidRDefault="004B20E5" w:rsidP="00136F6B">
            <w:pPr>
              <w:pStyle w:val="Name"/>
            </w:pPr>
          </w:p>
          <w:p w:rsidR="004B20E5" w:rsidRPr="00666093" w:rsidRDefault="004B20E5" w:rsidP="00136F6B">
            <w:pPr>
              <w:pStyle w:val="Name"/>
            </w:pPr>
          </w:p>
        </w:tc>
      </w:tr>
      <w:tr w:rsidR="004B20E5" w:rsidRPr="00666093" w:rsidTr="0012696F">
        <w:tc>
          <w:tcPr>
            <w:tcW w:w="2088" w:type="dxa"/>
          </w:tcPr>
          <w:p w:rsidR="004B20E5" w:rsidRPr="00666093" w:rsidRDefault="004B20E5" w:rsidP="00136F6B">
            <w:pPr>
              <w:pStyle w:val="Name"/>
            </w:pPr>
            <w:r w:rsidRPr="00666093">
              <w:t>Chronic Disease</w:t>
            </w:r>
            <w:r>
              <w:t xml:space="preserve"> Prevention and Control</w:t>
            </w:r>
          </w:p>
          <w:p w:rsidR="004B20E5" w:rsidRPr="00666093" w:rsidRDefault="004B20E5" w:rsidP="00136F6B">
            <w:pPr>
              <w:pStyle w:val="Name"/>
            </w:pPr>
          </w:p>
        </w:tc>
        <w:tc>
          <w:tcPr>
            <w:tcW w:w="8208" w:type="dxa"/>
          </w:tcPr>
          <w:p w:rsidR="004B20E5" w:rsidRPr="00666093" w:rsidRDefault="004B20E5" w:rsidP="00136F6B">
            <w:pPr>
              <w:pStyle w:val="Name"/>
            </w:pPr>
            <w:r w:rsidRPr="00666093">
              <w:t xml:space="preserve">Jean Zotter, </w:t>
            </w:r>
            <w:r w:rsidR="009F3D12">
              <w:t>M</w:t>
            </w:r>
            <w:r w:rsidRPr="00666093">
              <w:t>DPH</w:t>
            </w:r>
          </w:p>
          <w:p w:rsidR="004B20E5" w:rsidRPr="00666093" w:rsidRDefault="004B20E5" w:rsidP="00136F6B">
            <w:pPr>
              <w:pStyle w:val="Name"/>
            </w:pPr>
            <w:r w:rsidRPr="00666093">
              <w:t xml:space="preserve">Anita Christie, </w:t>
            </w:r>
            <w:r w:rsidR="009F3D12">
              <w:t>M</w:t>
            </w:r>
            <w:r w:rsidRPr="00666093">
              <w:t>DPH</w:t>
            </w:r>
          </w:p>
          <w:p w:rsidR="004B20E5" w:rsidRPr="00666093" w:rsidRDefault="004B20E5" w:rsidP="000346D9">
            <w:pPr>
              <w:pStyle w:val="Name"/>
            </w:pPr>
          </w:p>
        </w:tc>
      </w:tr>
      <w:tr w:rsidR="004B20E5" w:rsidRPr="00666093" w:rsidTr="0012696F">
        <w:tc>
          <w:tcPr>
            <w:tcW w:w="2088" w:type="dxa"/>
          </w:tcPr>
          <w:p w:rsidR="004B20E5" w:rsidRPr="00666093" w:rsidRDefault="004B20E5" w:rsidP="00136F6B">
            <w:pPr>
              <w:pStyle w:val="Name"/>
            </w:pPr>
            <w:r w:rsidRPr="00666093">
              <w:t>Infectious Disease</w:t>
            </w:r>
            <w:r>
              <w:t xml:space="preserve"> Prevention and Control</w:t>
            </w:r>
          </w:p>
          <w:p w:rsidR="004B20E5" w:rsidRPr="00666093" w:rsidRDefault="004B20E5" w:rsidP="00136F6B">
            <w:pPr>
              <w:pStyle w:val="Name"/>
            </w:pPr>
          </w:p>
        </w:tc>
        <w:tc>
          <w:tcPr>
            <w:tcW w:w="8208" w:type="dxa"/>
          </w:tcPr>
          <w:p w:rsidR="004B20E5" w:rsidRDefault="004B20E5" w:rsidP="00B372D9">
            <w:pPr>
              <w:pStyle w:val="Name"/>
            </w:pPr>
            <w:r w:rsidRPr="00B372D9">
              <w:t xml:space="preserve">Kevin Cranston, </w:t>
            </w:r>
            <w:r w:rsidR="009F3D12">
              <w:t>M</w:t>
            </w:r>
            <w:r w:rsidRPr="00B372D9">
              <w:t xml:space="preserve">DPH  </w:t>
            </w:r>
          </w:p>
          <w:p w:rsidR="004B20E5" w:rsidRPr="00B372D9" w:rsidRDefault="004B20E5" w:rsidP="00B372D9">
            <w:pPr>
              <w:pStyle w:val="Name"/>
            </w:pPr>
            <w:r w:rsidRPr="00B372D9">
              <w:t xml:space="preserve">Alfred DeMaria, </w:t>
            </w:r>
            <w:r w:rsidR="009F3D12">
              <w:t>M</w:t>
            </w:r>
            <w:r w:rsidRPr="00B372D9">
              <w:t xml:space="preserve">DPH  </w:t>
            </w:r>
          </w:p>
          <w:p w:rsidR="004B20E5" w:rsidRPr="00666093" w:rsidRDefault="004B20E5" w:rsidP="00136F6B">
            <w:pPr>
              <w:pStyle w:val="Name"/>
            </w:pPr>
            <w:r w:rsidRPr="00666093">
              <w:t xml:space="preserve">Glynnis LaRosa, </w:t>
            </w:r>
            <w:r w:rsidR="009F3D12">
              <w:t>M</w:t>
            </w:r>
            <w:r w:rsidRPr="00666093">
              <w:t>DPH</w:t>
            </w:r>
          </w:p>
          <w:p w:rsidR="004B20E5" w:rsidRPr="00666093" w:rsidRDefault="004B20E5" w:rsidP="00136F6B">
            <w:pPr>
              <w:pStyle w:val="Name"/>
            </w:pPr>
            <w:r w:rsidRPr="00666093">
              <w:t xml:space="preserve">Sandy Collins, Director of Health Care Services, Westford Health Dept.  </w:t>
            </w:r>
          </w:p>
          <w:p w:rsidR="004B20E5" w:rsidRPr="00666093" w:rsidRDefault="004B20E5" w:rsidP="00136F6B">
            <w:pPr>
              <w:pStyle w:val="Name"/>
            </w:pPr>
            <w:r w:rsidRPr="00666093">
              <w:t>Cathy Korn, Infectio</w:t>
            </w:r>
            <w:r w:rsidR="00E36D7D">
              <w:t>n</w:t>
            </w:r>
            <w:r w:rsidRPr="00666093">
              <w:t xml:space="preserve"> Prevention, Boston Medical Center  </w:t>
            </w:r>
          </w:p>
          <w:p w:rsidR="004B20E5" w:rsidRPr="00666093" w:rsidRDefault="004B20E5" w:rsidP="00136F6B">
            <w:pPr>
              <w:pStyle w:val="Name"/>
            </w:pPr>
            <w:r w:rsidRPr="00666093">
              <w:t xml:space="preserve">Ben Kruskal, Chief of Infectious Disease, Harvard Vanguard Medical Associates, </w:t>
            </w:r>
            <w:r>
              <w:t>an Affiliate of Atrius Health</w:t>
            </w:r>
          </w:p>
          <w:p w:rsidR="004B20E5" w:rsidRPr="00666093" w:rsidRDefault="004B20E5" w:rsidP="00210296">
            <w:pPr>
              <w:pStyle w:val="Name"/>
            </w:pPr>
          </w:p>
        </w:tc>
      </w:tr>
    </w:tbl>
    <w:p w:rsidR="00210F04" w:rsidRDefault="00210F04">
      <w:r>
        <w:br w:type="page"/>
      </w:r>
    </w:p>
    <w:tbl>
      <w:tblPr>
        <w:tblW w:w="0" w:type="auto"/>
        <w:tblLook w:val="00A0" w:firstRow="1" w:lastRow="0" w:firstColumn="1" w:lastColumn="0" w:noHBand="0" w:noVBand="0"/>
      </w:tblPr>
      <w:tblGrid>
        <w:gridCol w:w="2088"/>
        <w:gridCol w:w="8208"/>
      </w:tblGrid>
      <w:tr w:rsidR="004B20E5" w:rsidRPr="00666093" w:rsidTr="0012696F">
        <w:tc>
          <w:tcPr>
            <w:tcW w:w="2088" w:type="dxa"/>
          </w:tcPr>
          <w:p w:rsidR="004B20E5" w:rsidRPr="00666093" w:rsidRDefault="004B20E5" w:rsidP="00136F6B">
            <w:pPr>
              <w:pStyle w:val="Name"/>
            </w:pPr>
            <w:r>
              <w:t>Substance Abuse Prevention, Intervention, Treatment, and Recovery</w:t>
            </w:r>
          </w:p>
          <w:p w:rsidR="004B20E5" w:rsidRPr="00666093" w:rsidRDefault="004B20E5" w:rsidP="00136F6B">
            <w:pPr>
              <w:pStyle w:val="Name"/>
            </w:pPr>
          </w:p>
        </w:tc>
        <w:tc>
          <w:tcPr>
            <w:tcW w:w="8208" w:type="dxa"/>
          </w:tcPr>
          <w:p w:rsidR="004B20E5" w:rsidRPr="00666093" w:rsidRDefault="004B20E5" w:rsidP="00136F6B">
            <w:pPr>
              <w:pStyle w:val="Name"/>
            </w:pPr>
            <w:r w:rsidRPr="00666093">
              <w:t>Carol Girard, Coordinator, SBIRT Programs</w:t>
            </w:r>
          </w:p>
          <w:p w:rsidR="004B20E5" w:rsidRPr="00666093" w:rsidRDefault="004B20E5" w:rsidP="00136F6B">
            <w:pPr>
              <w:pStyle w:val="Name"/>
            </w:pPr>
            <w:r w:rsidRPr="00666093">
              <w:t xml:space="preserve">Steve Keel, Director of Prevention and Treatment of Problem Gambling </w:t>
            </w:r>
          </w:p>
          <w:p w:rsidR="004B20E5" w:rsidRPr="00666093" w:rsidRDefault="004B20E5" w:rsidP="00136F6B">
            <w:pPr>
              <w:pStyle w:val="Name"/>
            </w:pPr>
            <w:r w:rsidRPr="00666093">
              <w:t>Jose Morales, Director of Prevention</w:t>
            </w:r>
          </w:p>
          <w:p w:rsidR="004B20E5" w:rsidRPr="00666093" w:rsidRDefault="004B20E5" w:rsidP="00136F6B">
            <w:pPr>
              <w:pStyle w:val="Name"/>
            </w:pPr>
            <w:r w:rsidRPr="00666093">
              <w:t>Karen Pressman, Director of Planning and Development</w:t>
            </w:r>
          </w:p>
          <w:p w:rsidR="004B20E5" w:rsidRPr="00666093" w:rsidRDefault="004B20E5" w:rsidP="00136F6B">
            <w:pPr>
              <w:pStyle w:val="Name"/>
            </w:pPr>
            <w:r w:rsidRPr="00666093">
              <w:t>Sarah Ruiz, Assistant Director of Planning and Development</w:t>
            </w:r>
          </w:p>
          <w:p w:rsidR="004B20E5" w:rsidRPr="00666093" w:rsidRDefault="004B20E5" w:rsidP="00136F6B">
            <w:pPr>
              <w:pStyle w:val="Name"/>
            </w:pPr>
            <w:r w:rsidRPr="00666093">
              <w:t>Lydie Ultimo</w:t>
            </w:r>
            <w:r>
              <w:t>, Acting Director of Substance Abuse Services</w:t>
            </w:r>
          </w:p>
          <w:p w:rsidR="004B20E5" w:rsidRPr="00666093" w:rsidRDefault="004B20E5" w:rsidP="00136F6B">
            <w:pPr>
              <w:pStyle w:val="Name"/>
            </w:pPr>
          </w:p>
        </w:tc>
      </w:tr>
      <w:tr w:rsidR="004B20E5" w:rsidRPr="00666093" w:rsidTr="0012696F">
        <w:tc>
          <w:tcPr>
            <w:tcW w:w="2088" w:type="dxa"/>
          </w:tcPr>
          <w:p w:rsidR="004B20E5" w:rsidRPr="00666093" w:rsidRDefault="004B20E5" w:rsidP="00136F6B">
            <w:pPr>
              <w:pStyle w:val="Name"/>
            </w:pPr>
            <w:r w:rsidRPr="00666093">
              <w:t>Injury</w:t>
            </w:r>
            <w:r>
              <w:t>, Suicide, and Violence Prevention</w:t>
            </w:r>
          </w:p>
          <w:p w:rsidR="004B20E5" w:rsidRPr="00666093" w:rsidRDefault="004B20E5" w:rsidP="00136F6B">
            <w:pPr>
              <w:pStyle w:val="Name"/>
            </w:pPr>
          </w:p>
        </w:tc>
        <w:tc>
          <w:tcPr>
            <w:tcW w:w="8208" w:type="dxa"/>
          </w:tcPr>
          <w:p w:rsidR="004B20E5" w:rsidRPr="00666093" w:rsidRDefault="004B20E5" w:rsidP="00136F6B">
            <w:pPr>
              <w:pStyle w:val="Name"/>
            </w:pPr>
            <w:r w:rsidRPr="00666093">
              <w:t>Erin Miller, Coordinator for Domestic Violence and Sexual Assault Prevent</w:t>
            </w:r>
            <w:r>
              <w:t>ion, Newton-Wellesley Hospital</w:t>
            </w:r>
          </w:p>
          <w:p w:rsidR="004B20E5" w:rsidRPr="00666093" w:rsidRDefault="004B20E5" w:rsidP="00136F6B">
            <w:pPr>
              <w:pStyle w:val="Name"/>
            </w:pPr>
            <w:r w:rsidRPr="00666093">
              <w:t>Maureen Gallagher, Policy Director, Jane Doe Inc: The MA Coalition Against Sexual Assault and Domestic Violence</w:t>
            </w:r>
          </w:p>
          <w:p w:rsidR="004B20E5" w:rsidRPr="00666093" w:rsidRDefault="004B20E5" w:rsidP="00136F6B">
            <w:pPr>
              <w:pStyle w:val="Name"/>
            </w:pPr>
            <w:r w:rsidRPr="00666093">
              <w:t xml:space="preserve">Marcia Diamond, </w:t>
            </w:r>
            <w:r w:rsidR="009F3D12">
              <w:t>M</w:t>
            </w:r>
            <w:r w:rsidRPr="00666093">
              <w:t>DPH</w:t>
            </w:r>
          </w:p>
          <w:p w:rsidR="004B20E5" w:rsidRPr="00666093" w:rsidRDefault="004B20E5" w:rsidP="00136F6B">
            <w:pPr>
              <w:pStyle w:val="Name"/>
            </w:pPr>
            <w:r w:rsidRPr="00666093">
              <w:t xml:space="preserve">Alan Holmund, </w:t>
            </w:r>
            <w:r w:rsidR="009F3D12">
              <w:t>M</w:t>
            </w:r>
            <w:r w:rsidRPr="00666093">
              <w:t>DPH</w:t>
            </w:r>
          </w:p>
          <w:p w:rsidR="004B20E5" w:rsidRPr="00666093" w:rsidRDefault="004B20E5" w:rsidP="00136F6B">
            <w:pPr>
              <w:pStyle w:val="Name"/>
            </w:pPr>
            <w:r w:rsidRPr="00666093">
              <w:t xml:space="preserve">Lonnie McAdoo, </w:t>
            </w:r>
            <w:r w:rsidR="009F3D12">
              <w:t>M</w:t>
            </w:r>
            <w:r w:rsidRPr="00666093">
              <w:t>DPH</w:t>
            </w:r>
          </w:p>
          <w:p w:rsidR="004B20E5" w:rsidRPr="00666093" w:rsidRDefault="004B20E5" w:rsidP="00136F6B">
            <w:pPr>
              <w:pStyle w:val="Name"/>
            </w:pPr>
            <w:r w:rsidRPr="00666093">
              <w:t xml:space="preserve">Julie Kautz Mills, </w:t>
            </w:r>
            <w:r w:rsidR="009F3D12">
              <w:t>M</w:t>
            </w:r>
            <w:r w:rsidRPr="00666093">
              <w:t>DPH</w:t>
            </w:r>
          </w:p>
          <w:p w:rsidR="004B20E5" w:rsidRPr="00666093" w:rsidRDefault="004B20E5" w:rsidP="00136F6B">
            <w:pPr>
              <w:pStyle w:val="Name"/>
            </w:pPr>
            <w:r w:rsidRPr="00666093">
              <w:t>Larry Berkowitz, Director, Riverside Trauma Center</w:t>
            </w:r>
          </w:p>
          <w:p w:rsidR="004B20E5" w:rsidRDefault="004B20E5" w:rsidP="00136F6B">
            <w:pPr>
              <w:pStyle w:val="Name"/>
            </w:pPr>
            <w:r w:rsidRPr="00666093">
              <w:t>Roberta Hurtig, Executive Director, Samaritans, Inc.</w:t>
            </w:r>
          </w:p>
          <w:p w:rsidR="004B20E5" w:rsidRPr="00666093" w:rsidRDefault="004B20E5" w:rsidP="00136F6B">
            <w:pPr>
              <w:pStyle w:val="Name"/>
            </w:pPr>
          </w:p>
        </w:tc>
      </w:tr>
      <w:tr w:rsidR="004B20E5" w:rsidRPr="00666093" w:rsidTr="0012696F">
        <w:tc>
          <w:tcPr>
            <w:tcW w:w="2088" w:type="dxa"/>
          </w:tcPr>
          <w:p w:rsidR="004B20E5" w:rsidRPr="00666093" w:rsidRDefault="004B20E5" w:rsidP="00136F6B">
            <w:pPr>
              <w:pStyle w:val="Name"/>
            </w:pPr>
            <w:r>
              <w:t>Maternal, Child, and Family Health Promotion</w:t>
            </w:r>
          </w:p>
        </w:tc>
        <w:tc>
          <w:tcPr>
            <w:tcW w:w="8208" w:type="dxa"/>
          </w:tcPr>
          <w:p w:rsidR="004B20E5" w:rsidRPr="00666093" w:rsidRDefault="004B20E5" w:rsidP="00136F6B">
            <w:pPr>
              <w:pStyle w:val="Name"/>
            </w:pPr>
            <w:r w:rsidRPr="00666093">
              <w:t xml:space="preserve">Kathy Messenger, </w:t>
            </w:r>
            <w:r w:rsidR="009F3D12">
              <w:t>M</w:t>
            </w:r>
            <w:r w:rsidRPr="00666093">
              <w:t>DPH</w:t>
            </w:r>
          </w:p>
          <w:p w:rsidR="004B20E5" w:rsidRDefault="004B20E5" w:rsidP="00136F6B">
            <w:pPr>
              <w:pStyle w:val="Name"/>
            </w:pPr>
            <w:r w:rsidRPr="00666093">
              <w:t xml:space="preserve">Susan Manning, CDC MCH Epidemiologist </w:t>
            </w:r>
          </w:p>
          <w:p w:rsidR="004B20E5" w:rsidRDefault="004B20E5" w:rsidP="00136F6B">
            <w:pPr>
              <w:pStyle w:val="Name"/>
            </w:pPr>
            <w:r>
              <w:t xml:space="preserve">Hafsatou Diop, </w:t>
            </w:r>
            <w:r w:rsidR="009F3D12">
              <w:t>M</w:t>
            </w:r>
            <w:r>
              <w:t>DPH</w:t>
            </w:r>
          </w:p>
          <w:p w:rsidR="00365AE9" w:rsidRDefault="00365AE9" w:rsidP="00136F6B">
            <w:pPr>
              <w:pStyle w:val="Name"/>
            </w:pPr>
            <w:r>
              <w:t>Ron Benham, MDPH</w:t>
            </w:r>
          </w:p>
          <w:p w:rsidR="00365AE9" w:rsidRDefault="00365AE9" w:rsidP="00136F6B">
            <w:pPr>
              <w:pStyle w:val="Name"/>
            </w:pPr>
            <w:r>
              <w:t>Rachel Colchamiro, MDPH</w:t>
            </w:r>
          </w:p>
          <w:p w:rsidR="00365AE9" w:rsidRDefault="00365AE9" w:rsidP="00136F6B">
            <w:pPr>
              <w:pStyle w:val="Name"/>
            </w:pPr>
            <w:r>
              <w:t>Karin Downs, MDPH</w:t>
            </w:r>
          </w:p>
          <w:p w:rsidR="00365AE9" w:rsidRPr="00666093" w:rsidRDefault="00365AE9" w:rsidP="00136F6B">
            <w:pPr>
              <w:pStyle w:val="Name"/>
            </w:pPr>
          </w:p>
          <w:p w:rsidR="004B20E5" w:rsidRPr="00666093" w:rsidRDefault="004B20E5" w:rsidP="00136F6B">
            <w:pPr>
              <w:pStyle w:val="Name"/>
            </w:pPr>
          </w:p>
        </w:tc>
      </w:tr>
      <w:tr w:rsidR="004B20E5" w:rsidRPr="00666093" w:rsidTr="0012696F">
        <w:tc>
          <w:tcPr>
            <w:tcW w:w="2088" w:type="dxa"/>
          </w:tcPr>
          <w:p w:rsidR="004B20E5" w:rsidRPr="00666093" w:rsidRDefault="00CC4FA8" w:rsidP="00136F6B">
            <w:pPr>
              <w:pStyle w:val="Name"/>
            </w:pPr>
            <w:r>
              <w:t>Environmental Risk Factors and Health</w:t>
            </w:r>
          </w:p>
          <w:p w:rsidR="004B20E5" w:rsidRPr="00666093" w:rsidRDefault="004B20E5" w:rsidP="00136F6B">
            <w:pPr>
              <w:pStyle w:val="Name"/>
            </w:pPr>
          </w:p>
        </w:tc>
        <w:tc>
          <w:tcPr>
            <w:tcW w:w="8208" w:type="dxa"/>
          </w:tcPr>
          <w:p w:rsidR="004B20E5" w:rsidRPr="00666093" w:rsidRDefault="004B20E5" w:rsidP="00136F6B">
            <w:pPr>
              <w:pStyle w:val="Name"/>
            </w:pPr>
            <w:r w:rsidRPr="00666093">
              <w:t>Brenda Weis, N</w:t>
            </w:r>
            <w:r>
              <w:t xml:space="preserve">ew </w:t>
            </w:r>
            <w:r w:rsidRPr="00666093">
              <w:t>B</w:t>
            </w:r>
            <w:r>
              <w:t>edford Health Department</w:t>
            </w:r>
          </w:p>
          <w:p w:rsidR="004B20E5" w:rsidRPr="00666093" w:rsidRDefault="004B20E5" w:rsidP="00136F6B">
            <w:pPr>
              <w:pStyle w:val="Name"/>
            </w:pPr>
            <w:r w:rsidRPr="00666093">
              <w:t>Tarah Somers, EPA</w:t>
            </w:r>
          </w:p>
          <w:p w:rsidR="004B20E5" w:rsidRPr="00666093" w:rsidRDefault="004B20E5" w:rsidP="00136F6B">
            <w:pPr>
              <w:pStyle w:val="Name"/>
            </w:pPr>
            <w:r w:rsidRPr="00666093">
              <w:t xml:space="preserve">Martha Steele, </w:t>
            </w:r>
            <w:r w:rsidR="009F3D12">
              <w:t>M</w:t>
            </w:r>
            <w:r w:rsidRPr="00666093">
              <w:t>DPH</w:t>
            </w:r>
          </w:p>
          <w:p w:rsidR="004B20E5" w:rsidRPr="00666093" w:rsidRDefault="004B20E5" w:rsidP="00136F6B">
            <w:pPr>
              <w:pStyle w:val="Name"/>
            </w:pPr>
            <w:r>
              <w:t xml:space="preserve">Jan Sullivan, </w:t>
            </w:r>
            <w:r w:rsidR="009F3D12">
              <w:t>M</w:t>
            </w:r>
            <w:r>
              <w:t>DPH</w:t>
            </w:r>
          </w:p>
        </w:tc>
      </w:tr>
    </w:tbl>
    <w:p w:rsidR="004B20E5" w:rsidRDefault="004B20E5"/>
    <w:p w:rsidR="004B20E5" w:rsidRPr="000F57B3" w:rsidRDefault="004B20E5" w:rsidP="00DD0652">
      <w:pPr>
        <w:pStyle w:val="Heading3"/>
      </w:pPr>
      <w:bookmarkStart w:id="62" w:name="_Toc398819288"/>
      <w:r w:rsidRPr="000F57B3">
        <w:t>Community Engagement and Feedback</w:t>
      </w:r>
      <w:bookmarkEnd w:id="62"/>
    </w:p>
    <w:p w:rsidR="004B20E5" w:rsidRPr="000F57B3" w:rsidRDefault="004B20E5" w:rsidP="000F57B3">
      <w:pPr>
        <w:pStyle w:val="BodyText"/>
      </w:pPr>
      <w:r w:rsidRPr="000F57B3">
        <w:t xml:space="preserve">Community engagement at multiple levels is critical throughout all components of a health improvement planning process, from conducting the state health assessment, to developing and implementing the state health improvement plan.  Involving a broad range of stakeholders and developing multi-sector partnerships led to the creation of this actionable and sustainable SHIP.  </w:t>
      </w:r>
    </w:p>
    <w:p w:rsidR="004B20E5" w:rsidRPr="000F57B3" w:rsidRDefault="004B20E5" w:rsidP="000F57B3">
      <w:pPr>
        <w:pStyle w:val="BodyText"/>
      </w:pPr>
      <w:r w:rsidRPr="000F57B3">
        <w:t xml:space="preserve">Massachusetts is a state with a rich history of surveillance and data analysis. The </w:t>
      </w:r>
      <w:r w:rsidRPr="000F57B3">
        <w:rPr>
          <w:i/>
        </w:rPr>
        <w:t>Health of Massachusetts</w:t>
      </w:r>
      <w:r w:rsidRPr="000F57B3">
        <w:t xml:space="preserve"> report published in April 2010 served as the formal state health assessment report. The Health of Massachusetts report was prepared in consultation with a group of Subject Matter Experts (SME</w:t>
      </w:r>
      <w:r>
        <w:t>s</w:t>
      </w:r>
      <w:r w:rsidRPr="000F57B3">
        <w:t xml:space="preserve">) from outside the </w:t>
      </w:r>
      <w:r>
        <w:t>Department of Public Health</w:t>
      </w:r>
      <w:r w:rsidRPr="000F57B3">
        <w:t xml:space="preserve">.  The SMEs represented the public health academic, advocacy, and provider community.  Each SME provided a policy perspective in response to the findings in each chapter of the report.  The findings of the Health of Massachusetts report were then presented by </w:t>
      </w:r>
      <w:r w:rsidR="009F3D12">
        <w:t>M</w:t>
      </w:r>
      <w:r w:rsidRPr="000F57B3">
        <w:t xml:space="preserve">DPH Commissioner John Auerbach at a series of Regional Health Dialogues held across Massachusetts in 2010 for hundreds of </w:t>
      </w:r>
      <w:r w:rsidR="009F3D12">
        <w:t>M</w:t>
      </w:r>
      <w:r w:rsidRPr="000F57B3">
        <w:t xml:space="preserve">DPH stakeholders.  </w:t>
      </w:r>
    </w:p>
    <w:p w:rsidR="004B20E5" w:rsidRPr="000F57B3" w:rsidRDefault="004B20E5" w:rsidP="000F57B3">
      <w:pPr>
        <w:pStyle w:val="BodyText"/>
      </w:pPr>
      <w:r w:rsidRPr="000F57B3">
        <w:t>The Health of Massachusetts Supplement (Update) 2014 was updated with current data by consultants from Health Resources in Action, Inc. The Department of Public Health updated the data sets from the 2010 report and used them extensively to inform the process of compiling the State Health Improvement Plan in 2013-2014.  A comprehensive Data Matrix was compiled and presented to the SHIP Advisory Council and SHIP Retreat participants to inform their deliberations in shaping the final State Health Improvement Plan.</w:t>
      </w:r>
    </w:p>
    <w:p w:rsidR="004B20E5" w:rsidRPr="000F57B3" w:rsidRDefault="004B20E5" w:rsidP="000F57B3">
      <w:pPr>
        <w:pStyle w:val="BodyText"/>
        <w:rPr>
          <w:color w:val="000000"/>
        </w:rPr>
      </w:pPr>
      <w:r w:rsidRPr="000F57B3">
        <w:t xml:space="preserve">In addition, </w:t>
      </w:r>
      <w:r>
        <w:t xml:space="preserve">Tribal experts and </w:t>
      </w:r>
      <w:r w:rsidRPr="000F57B3">
        <w:t xml:space="preserve">MA SHIP Planning Coalition members were surveyed to identify their priority health topic and health systems issues based on overall findings (see Appendix </w:t>
      </w:r>
      <w:r>
        <w:t>C</w:t>
      </w:r>
      <w:r w:rsidRPr="000F57B3">
        <w:t xml:space="preserve"> for data matrix).</w:t>
      </w:r>
    </w:p>
    <w:p w:rsidR="004B20E5" w:rsidRDefault="004B20E5" w:rsidP="009F37B0">
      <w:pPr>
        <w:spacing w:after="200" w:line="276" w:lineRule="auto"/>
        <w:sectPr w:rsidR="004B20E5" w:rsidSect="000D3A34">
          <w:endnotePr>
            <w:numFmt w:val="decimal"/>
          </w:endnotePr>
          <w:type w:val="continuous"/>
          <w:pgSz w:w="12240" w:h="15840" w:code="1"/>
          <w:pgMar w:top="1080" w:right="1080" w:bottom="1080" w:left="1080" w:header="648" w:footer="504" w:gutter="0"/>
          <w:cols w:space="720"/>
          <w:docGrid w:linePitch="360"/>
        </w:sectPr>
      </w:pPr>
    </w:p>
    <w:p w:rsidR="004B20E5" w:rsidRDefault="004B20E5" w:rsidP="00AD0251">
      <w:pPr>
        <w:pStyle w:val="Heading2LARGE"/>
      </w:pPr>
      <w:bookmarkStart w:id="63" w:name="_Toc398819289"/>
      <w:r>
        <w:t>Appendix B:  Essential Services and Related Strategies</w:t>
      </w:r>
      <w:bookmarkEnd w:id="63"/>
    </w:p>
    <w:p w:rsidR="004B20E5" w:rsidRPr="00243D77" w:rsidRDefault="004B20E5" w:rsidP="0030376F">
      <w:pPr>
        <w:pStyle w:val="GoalStatement"/>
      </w:pPr>
      <w:r>
        <w:t xml:space="preserve">12 </w:t>
      </w:r>
      <w:r w:rsidRPr="00644A67">
        <w:t>Essential</w:t>
      </w:r>
      <w:r>
        <w:t xml:space="preserve"> Services</w:t>
      </w:r>
    </w:p>
    <w:p w:rsidR="004B20E5" w:rsidRDefault="004B20E5" w:rsidP="00CB64D5">
      <w:pPr>
        <w:pStyle w:val="BodyText"/>
      </w:pPr>
      <w:r w:rsidRPr="001C4579">
        <w:t xml:space="preserve">The </w:t>
      </w:r>
      <w:r>
        <w:t>essential service clusters</w:t>
      </w:r>
      <w:r w:rsidRPr="001C4579">
        <w:t xml:space="preserve"> outlined below represent categories of related strategies and interventions that provide a unifying framework for successful implementation of the SHIP </w:t>
      </w:r>
      <w:r>
        <w:t xml:space="preserve">and correspond to the 10 Essential Public Health Services and PHAB Standards 11 and 12.  The Centers for Disease Control </w:t>
      </w:r>
      <w:r w:rsidR="00E36D7D">
        <w:t xml:space="preserve">and Prevention </w:t>
      </w:r>
      <w:r>
        <w:t>have depicted the relationship among the Essential Public Health Services in the following graphic and have defined each service as noted in the definitions below:</w:t>
      </w:r>
    </w:p>
    <w:p w:rsidR="004B20E5" w:rsidRDefault="004B20E5" w:rsidP="00CB64D5">
      <w:pPr>
        <w:pStyle w:val="BodyText"/>
      </w:pPr>
    </w:p>
    <w:p w:rsidR="004B20E5" w:rsidRDefault="00F03799" w:rsidP="00CB64D5">
      <w:pPr>
        <w:pStyle w:val="BodyText"/>
        <w:jc w:val="center"/>
      </w:pPr>
      <w:r>
        <w:rPr>
          <w:noProof/>
        </w:rPr>
        <w:drawing>
          <wp:inline distT="0" distB="0" distL="0" distR="0" wp14:anchorId="7ACD1292" wp14:editId="284E66BF">
            <wp:extent cx="4038600" cy="4038600"/>
            <wp:effectExtent l="0" t="0" r="0" b="0"/>
            <wp:docPr id="4"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38600" cy="4038600"/>
                    </a:xfrm>
                    <a:prstGeom prst="rect">
                      <a:avLst/>
                    </a:prstGeom>
                    <a:noFill/>
                    <a:ln>
                      <a:noFill/>
                    </a:ln>
                  </pic:spPr>
                </pic:pic>
              </a:graphicData>
            </a:graphic>
          </wp:inline>
        </w:drawing>
      </w:r>
    </w:p>
    <w:p w:rsidR="004B20E5" w:rsidRPr="00243D77" w:rsidRDefault="004B20E5" w:rsidP="00CB64D5">
      <w:pPr>
        <w:pStyle w:val="BodyText"/>
      </w:pPr>
      <w:r w:rsidRPr="001C4579">
        <w:rPr>
          <w:color w:val="000000"/>
        </w:rPr>
        <w:t xml:space="preserve">Strategies </w:t>
      </w:r>
      <w:r>
        <w:rPr>
          <w:color w:val="000000"/>
        </w:rPr>
        <w:t>within each of these essential service clusters will use a social determinant</w:t>
      </w:r>
      <w:r w:rsidRPr="001C4579">
        <w:rPr>
          <w:color w:val="000000"/>
        </w:rPr>
        <w:t xml:space="preserve"> of health lens, which considers the conditions in which people are born, grow, live, work and age. These circumstances are shaped by the distribution of money, power and resources at global, national and local levels and determine the risk factors that contribute to vulnerability among certain populations.  During the development of the SHIP, there was a specific focus on those contributing factors that make certain populations vulnerable in an effort to work towards eliminating health disparities and achieving health equity.  Recognizing the impact that social determinants have on health outcomes of specific populations, the MA SHIP will track rates of illness, death, chronic conditions, behaviors, and other types of outcomes in relation to demographic factors and the social environment to the extent possible. </w:t>
      </w:r>
    </w:p>
    <w:p w:rsidR="004B20E5" w:rsidRDefault="004B20E5" w:rsidP="00CB64D5">
      <w:pPr>
        <w:pStyle w:val="BodyText"/>
        <w:rPr>
          <w:color w:val="000000"/>
        </w:rPr>
      </w:pPr>
      <w:r w:rsidRPr="001C4579">
        <w:rPr>
          <w:color w:val="000000"/>
        </w:rPr>
        <w:t xml:space="preserve">Vulnerable populations are defined as those populations who are disproportionately affected by, and/or have a disadvantaged or underserved relationship with, the diagnosis, prevention, and treatment of specific health topics.  Vulnerable and underserved populations include: </w:t>
      </w:r>
      <w:r w:rsidR="00E36D7D">
        <w:rPr>
          <w:color w:val="000000"/>
        </w:rPr>
        <w:t>i</w:t>
      </w:r>
      <w:r w:rsidRPr="001C4579">
        <w:rPr>
          <w:color w:val="000000"/>
        </w:rPr>
        <w:t>nfants and children; adolescents and young adults; older adults; persons identifying as lesbian, gay, bisexual, or transgender; racially, ethnically and linguistically diverse; people with disabilities; veterans; low income, homeless, rural, or incarcerated persons</w:t>
      </w:r>
      <w:r w:rsidR="00E36D7D">
        <w:rPr>
          <w:color w:val="000000"/>
        </w:rPr>
        <w:t>;</w:t>
      </w:r>
      <w:r w:rsidRPr="001C4579">
        <w:rPr>
          <w:color w:val="000000"/>
        </w:rPr>
        <w:t xml:space="preserve"> and immigrants and refugees.</w:t>
      </w:r>
    </w:p>
    <w:p w:rsidR="004B20E5" w:rsidRDefault="004B20E5" w:rsidP="00CB64D5">
      <w:pPr>
        <w:pStyle w:val="BodyText"/>
        <w:rPr>
          <w:i/>
          <w:color w:val="000000"/>
        </w:rPr>
      </w:pPr>
    </w:p>
    <w:p w:rsidR="004B20E5" w:rsidRPr="00644A67" w:rsidRDefault="004B20E5" w:rsidP="00644A67">
      <w:pPr>
        <w:spacing w:before="80"/>
        <w:ind w:left="540"/>
        <w:rPr>
          <w:b/>
        </w:rPr>
      </w:pPr>
      <w:r w:rsidRPr="00644A67">
        <w:rPr>
          <w:b/>
          <w:color w:val="000000"/>
        </w:rPr>
        <w:t>Essential Service</w:t>
      </w:r>
      <w:r w:rsidRPr="00644A67">
        <w:rPr>
          <w:b/>
        </w:rPr>
        <w:t xml:space="preserve"> 1.  Monitor Health to Identify and Solve Community Health Problems</w:t>
      </w:r>
    </w:p>
    <w:p w:rsidR="004B20E5" w:rsidRPr="00DC12DF" w:rsidRDefault="004B20E5" w:rsidP="0012696F">
      <w:pPr>
        <w:pStyle w:val="BodyTextUnder3nowrapindent"/>
      </w:pPr>
      <w:r w:rsidRPr="00BF5AFE">
        <w:rPr>
          <w:i/>
        </w:rPr>
        <w:t>How do we know how healthy we are</w:t>
      </w:r>
      <w:r w:rsidRPr="00E71905">
        <w:t>?</w:t>
      </w:r>
      <w:r>
        <w:t xml:space="preserve">  Public health surveillance is the collection, analysis, and use of data to target public health prevention efforts.  Conducting a</w:t>
      </w:r>
      <w:r w:rsidRPr="00DC12DF">
        <w:t>ccurate, periodic assessment</w:t>
      </w:r>
      <w:r>
        <w:t>s</w:t>
      </w:r>
      <w:r w:rsidRPr="00DC12DF">
        <w:t xml:space="preserve"> of the community’s health status</w:t>
      </w:r>
      <w:r>
        <w:t xml:space="preserve"> helps to identify </w:t>
      </w:r>
      <w:r w:rsidRPr="00DC12DF">
        <w:t>health risks</w:t>
      </w:r>
      <w:r>
        <w:rPr>
          <w:b/>
        </w:rPr>
        <w:t xml:space="preserve">, </w:t>
      </w:r>
      <w:r w:rsidRPr="000F6D24">
        <w:t xml:space="preserve">focus attention on vital statistics and disparities, and identify </w:t>
      </w:r>
      <w:r>
        <w:t xml:space="preserve">community </w:t>
      </w:r>
      <w:r w:rsidRPr="00DC12DF">
        <w:t>assets and resources</w:t>
      </w:r>
      <w:r>
        <w:t>.  Use of methods and technology (e.g., mapping technology) to interpret and communicate data, and maintaining population health registries, are key strategies of this service area.</w:t>
      </w:r>
    </w:p>
    <w:p w:rsidR="004B20E5" w:rsidRPr="00644A67" w:rsidRDefault="004B20E5" w:rsidP="00644A67">
      <w:pPr>
        <w:spacing w:before="80"/>
        <w:ind w:left="540"/>
        <w:rPr>
          <w:b/>
        </w:rPr>
      </w:pPr>
      <w:r w:rsidRPr="00644A67">
        <w:rPr>
          <w:b/>
        </w:rPr>
        <w:t xml:space="preserve">Essential Service 2.  </w:t>
      </w:r>
      <w:r>
        <w:rPr>
          <w:b/>
        </w:rPr>
        <w:t>Diagnose and Investigate Health Problems and Hazards in the Community</w:t>
      </w:r>
    </w:p>
    <w:p w:rsidR="004B20E5" w:rsidRPr="00DC12DF" w:rsidRDefault="004B20E5" w:rsidP="0012696F">
      <w:pPr>
        <w:pStyle w:val="BodyTextUnder3nowrapindent"/>
      </w:pPr>
      <w:r w:rsidRPr="0013480F">
        <w:rPr>
          <w:i/>
          <w:iCs/>
        </w:rPr>
        <w:t xml:space="preserve">Are we ready to respond </w:t>
      </w:r>
      <w:r>
        <w:rPr>
          <w:i/>
          <w:iCs/>
        </w:rPr>
        <w:t xml:space="preserve">quickly and effectively </w:t>
      </w:r>
      <w:r w:rsidRPr="0013480F">
        <w:rPr>
          <w:i/>
          <w:iCs/>
        </w:rPr>
        <w:t>to health problems or threats</w:t>
      </w:r>
      <w:r>
        <w:rPr>
          <w:i/>
          <w:iCs/>
        </w:rPr>
        <w:t xml:space="preserve">?  </w:t>
      </w:r>
      <w:r>
        <w:t>This service area includes timely</w:t>
      </w:r>
      <w:r w:rsidRPr="00DC12DF">
        <w:t xml:space="preserve"> identification and investigation of health threats</w:t>
      </w:r>
      <w:r>
        <w:t>, a</w:t>
      </w:r>
      <w:r w:rsidRPr="00DC12DF">
        <w:t>vailability of diagnostic services, including laboratory capacity</w:t>
      </w:r>
      <w:r>
        <w:t>, and r</w:t>
      </w:r>
      <w:r w:rsidRPr="00DC12DF">
        <w:t>esponse plans to address major health threat</w:t>
      </w:r>
      <w:r w:rsidRPr="0012696F">
        <w:t>s</w:t>
      </w:r>
      <w:r>
        <w:t>.</w:t>
      </w:r>
    </w:p>
    <w:p w:rsidR="004B20E5" w:rsidRPr="00644A67" w:rsidRDefault="004B20E5" w:rsidP="00644A67">
      <w:pPr>
        <w:spacing w:before="80"/>
        <w:ind w:left="540"/>
        <w:rPr>
          <w:b/>
        </w:rPr>
      </w:pPr>
      <w:r w:rsidRPr="00644A67">
        <w:rPr>
          <w:b/>
        </w:rPr>
        <w:t>Essential Service 3.  Inform, Educate, and Empower People About Health Issues</w:t>
      </w:r>
    </w:p>
    <w:p w:rsidR="004B20E5" w:rsidRDefault="004B20E5" w:rsidP="0012696F">
      <w:pPr>
        <w:pStyle w:val="BodyTextUnder3nowrapindent"/>
        <w:rPr>
          <w:bCs/>
        </w:rPr>
      </w:pPr>
      <w:r w:rsidRPr="00DC12DF">
        <w:rPr>
          <w:i/>
        </w:rPr>
        <w:t>How well do we keep all segments of our state/community informed about health issues?</w:t>
      </w:r>
      <w:r>
        <w:t xml:space="preserve">  Ensuring that all residents of the Commonwealth are able to access information in a form and through a mechanism that are appropriate and relevant to them is critical for ensuring state-wide awareness and knowledge of health information, resources and services, and best practices and approaches.  I</w:t>
      </w:r>
      <w:r w:rsidRPr="00DC12DF">
        <w:rPr>
          <w:bCs/>
        </w:rPr>
        <w:t>nitiatives using health educat</w:t>
      </w:r>
      <w:r>
        <w:rPr>
          <w:bCs/>
        </w:rPr>
        <w:t xml:space="preserve">ion and communication sciences </w:t>
      </w:r>
      <w:r>
        <w:t>b</w:t>
      </w:r>
      <w:r w:rsidRPr="002D04E4">
        <w:t>uild knowledge and shape attitudes</w:t>
      </w:r>
      <w:r>
        <w:t>, i</w:t>
      </w:r>
      <w:r w:rsidRPr="002D04E4">
        <w:t>nform decision-making choices</w:t>
      </w:r>
      <w:r>
        <w:t>, and d</w:t>
      </w:r>
      <w:r w:rsidRPr="002D04E4">
        <w:t>evelop skills and behaviors for healthy living</w:t>
      </w:r>
      <w:r>
        <w:t xml:space="preserve">.  </w:t>
      </w:r>
      <w:r w:rsidRPr="00DC12DF">
        <w:rPr>
          <w:bCs/>
        </w:rPr>
        <w:t>Health education and health promotion partnerships within the community to support healthy living</w:t>
      </w:r>
      <w:r>
        <w:t>, and m</w:t>
      </w:r>
      <w:r w:rsidRPr="00DC12DF">
        <w:rPr>
          <w:bCs/>
        </w:rPr>
        <w:t>edia advocacy and social marketing</w:t>
      </w:r>
      <w:r>
        <w:rPr>
          <w:bCs/>
        </w:rPr>
        <w:t>, are key strategies of this service area.</w:t>
      </w:r>
    </w:p>
    <w:p w:rsidR="004B20E5" w:rsidRPr="00644A67" w:rsidRDefault="004B20E5" w:rsidP="00644A67">
      <w:pPr>
        <w:spacing w:before="80"/>
        <w:ind w:left="540"/>
        <w:rPr>
          <w:b/>
        </w:rPr>
      </w:pPr>
      <w:r w:rsidRPr="00644A67">
        <w:rPr>
          <w:b/>
        </w:rPr>
        <w:t>Essential Service 4.  Mobilize Community Partnerships to Identify and Solve Health Problems</w:t>
      </w:r>
    </w:p>
    <w:p w:rsidR="004B20E5" w:rsidRPr="004A7781" w:rsidRDefault="004B20E5" w:rsidP="0012696F">
      <w:pPr>
        <w:pStyle w:val="BodyTextUnder3nowrapindent"/>
      </w:pPr>
      <w:r w:rsidRPr="007B6956">
        <w:rPr>
          <w:i/>
          <w:iCs/>
        </w:rPr>
        <w:t>How well do we truly engage people in state/community health issues?</w:t>
      </w:r>
      <w:r>
        <w:t xml:space="preserve">  Large-scale social change requires broad cross-sector coordination, yet the social sector remains focused on the isolated intervention of individual organizations.</w:t>
      </w:r>
      <w:r>
        <w:rPr>
          <w:rStyle w:val="EndnoteReference"/>
        </w:rPr>
        <w:endnoteReference w:id="25"/>
      </w:r>
      <w:r>
        <w:t xml:space="preserve">  In order to achieve the collective impact aims of this SHIP, partnerships will need to be nurtured, sustained, and/or developed across sectors, using the framework of the SHIP to help align, integrate, and reinforce partner activities.  C</w:t>
      </w:r>
      <w:r w:rsidRPr="00DC12DF">
        <w:rPr>
          <w:bCs/>
        </w:rPr>
        <w:t>onstituency development</w:t>
      </w:r>
      <w:r>
        <w:rPr>
          <w:bCs/>
        </w:rPr>
        <w:t xml:space="preserve"> strategies, such as i</w:t>
      </w:r>
      <w:r w:rsidRPr="00DC12DF">
        <w:rPr>
          <w:bCs/>
        </w:rPr>
        <w:t>dentification of system partners and stakeholders</w:t>
      </w:r>
      <w:r>
        <w:t>, c</w:t>
      </w:r>
      <w:r w:rsidRPr="00DC12DF">
        <w:rPr>
          <w:bCs/>
        </w:rPr>
        <w:t>oalition development</w:t>
      </w:r>
      <w:r>
        <w:t>, and f</w:t>
      </w:r>
      <w:r w:rsidRPr="00DC12DF">
        <w:rPr>
          <w:bCs/>
        </w:rPr>
        <w:t>ormal and informal partnerships</w:t>
      </w:r>
      <w:r>
        <w:rPr>
          <w:bCs/>
        </w:rPr>
        <w:t xml:space="preserve">, promote </w:t>
      </w:r>
      <w:r w:rsidRPr="00DC12DF">
        <w:rPr>
          <w:bCs/>
        </w:rPr>
        <w:t>health improvement</w:t>
      </w:r>
      <w:r>
        <w:rPr>
          <w:bCs/>
        </w:rPr>
        <w:t xml:space="preserve"> and benefit from soliciting community based knowledge, resources, and energy in identifying, addressing, and resolving complex health issues. </w:t>
      </w:r>
    </w:p>
    <w:p w:rsidR="004B20E5" w:rsidRPr="00644A67" w:rsidRDefault="004B20E5" w:rsidP="00644A67">
      <w:pPr>
        <w:spacing w:before="80"/>
        <w:ind w:left="540"/>
        <w:rPr>
          <w:b/>
        </w:rPr>
      </w:pPr>
      <w:r w:rsidRPr="00644A67">
        <w:rPr>
          <w:b/>
        </w:rPr>
        <w:t xml:space="preserve">Essential Service 5.  </w:t>
      </w:r>
      <w:r>
        <w:rPr>
          <w:b/>
        </w:rPr>
        <w:t>Develop Policies and Plans That Support Individual and Community Health Efforts</w:t>
      </w:r>
    </w:p>
    <w:p w:rsidR="004B20E5" w:rsidRPr="00644A67" w:rsidRDefault="004B20E5" w:rsidP="0012696F">
      <w:pPr>
        <w:pStyle w:val="BodyTextUnder3nowrapindent"/>
        <w:rPr>
          <w:bCs/>
        </w:rPr>
      </w:pPr>
      <w:r>
        <w:rPr>
          <w:i/>
        </w:rPr>
        <w:t>How well are we setting policies</w:t>
      </w:r>
      <w:r w:rsidRPr="00A730BF">
        <w:rPr>
          <w:i/>
        </w:rPr>
        <w:t xml:space="preserve"> in both the government and private sector </w:t>
      </w:r>
      <w:r>
        <w:rPr>
          <w:i/>
        </w:rPr>
        <w:t xml:space="preserve">to </w:t>
      </w:r>
      <w:r w:rsidRPr="00A730BF">
        <w:rPr>
          <w:i/>
        </w:rPr>
        <w:t xml:space="preserve">promote health in our state/community?  </w:t>
      </w:r>
      <w:r>
        <w:t>Laws and policies can affect population health and reduce long-term medical and other costs.  This service area focuses on p</w:t>
      </w:r>
      <w:r w:rsidRPr="00DC12DF">
        <w:rPr>
          <w:bCs/>
        </w:rPr>
        <w:t>olicy development to protect health and guide public health practice</w:t>
      </w:r>
      <w:r>
        <w:rPr>
          <w:bCs/>
        </w:rPr>
        <w:t>, and alignment of resources to assure successful implementation of key strategies.  Activities include but are not limited to community and state improvement planning and emergency response planning, targeted laws such as child safety seat laws, and broad-based policies, such as smoking bans and laws.</w:t>
      </w:r>
    </w:p>
    <w:p w:rsidR="004B20E5" w:rsidRPr="00644A67" w:rsidRDefault="004B20E5" w:rsidP="00644A67">
      <w:pPr>
        <w:spacing w:before="80"/>
        <w:ind w:left="540"/>
        <w:rPr>
          <w:b/>
        </w:rPr>
      </w:pPr>
      <w:r w:rsidRPr="00644A67">
        <w:rPr>
          <w:b/>
        </w:rPr>
        <w:t>Essential Service 6.  Enforce Laws and Regulations That Protect Health and Ensure Safety</w:t>
      </w:r>
    </w:p>
    <w:p w:rsidR="004B20E5" w:rsidRDefault="004B20E5" w:rsidP="0012696F">
      <w:pPr>
        <w:pStyle w:val="BodyTextUnder3nowrapindent"/>
      </w:pPr>
      <w:r w:rsidRPr="002A6F40">
        <w:rPr>
          <w:i/>
        </w:rPr>
        <w:t xml:space="preserve">When we enforce health regulations are </w:t>
      </w:r>
      <w:r>
        <w:rPr>
          <w:i/>
        </w:rPr>
        <w:t xml:space="preserve">we technically competent, fair </w:t>
      </w:r>
      <w:r w:rsidRPr="002A6F40">
        <w:rPr>
          <w:i/>
        </w:rPr>
        <w:t>and effective?</w:t>
      </w:r>
      <w:r w:rsidR="00E36D7D">
        <w:rPr>
          <w:i/>
        </w:rPr>
        <w:t xml:space="preserve"> </w:t>
      </w:r>
      <w:r>
        <w:t>Ongoing r</w:t>
      </w:r>
      <w:r w:rsidRPr="00DC12DF">
        <w:t>eview, evaluation, and revision of legal a</w:t>
      </w:r>
      <w:r>
        <w:t>uthority, laws, and regulations; education about and advocacy for laws and regulations to protect and promote health; and s</w:t>
      </w:r>
      <w:r w:rsidRPr="00DC12DF">
        <w:t xml:space="preserve">upport of compliance efforts and enforcement </w:t>
      </w:r>
      <w:r>
        <w:t>are key components of this service area.</w:t>
      </w:r>
    </w:p>
    <w:p w:rsidR="004B20E5" w:rsidRPr="00644A67" w:rsidRDefault="004B20E5" w:rsidP="00365AE9">
      <w:pPr>
        <w:keepNext/>
        <w:spacing w:before="80"/>
        <w:ind w:left="547"/>
        <w:rPr>
          <w:b/>
        </w:rPr>
      </w:pPr>
      <w:r w:rsidRPr="00644A67">
        <w:rPr>
          <w:b/>
        </w:rPr>
        <w:t>Essential Service 7.  Link People to Needed Personal Health Services and Assure the Provision of Health Care When Otherwise Unavailable</w:t>
      </w:r>
    </w:p>
    <w:p w:rsidR="004B20E5" w:rsidRDefault="004B20E5" w:rsidP="0012696F">
      <w:pPr>
        <w:pStyle w:val="BodyTextUnder3nowrapindent"/>
        <w:rPr>
          <w:bCs/>
        </w:rPr>
      </w:pPr>
      <w:r w:rsidRPr="00D97EA1">
        <w:rPr>
          <w:i/>
        </w:rPr>
        <w:t>Are people in my state/community receiving the health services they need?</w:t>
      </w:r>
      <w:r w:rsidR="00B3449B">
        <w:rPr>
          <w:i/>
        </w:rPr>
        <w:t xml:space="preserve"> </w:t>
      </w:r>
      <w:r>
        <w:t xml:space="preserve">Clinical preventive services, such as routine disease screening and scheduled immunizations, are key to reducing death and disability and improving health.  Yet, despite the fact that these services are covered by Medicare, Medicaid, and many private insurance plans under the Affordable Care Act, millions of children, adolescents, and adults go without services that could protect them from developing a number of serious diseases or help them treat and manage certain health conditions before they worsen.  Access to care in both traditional clinical settings as well as community-based settings includes issues of affordability, proximity and availability of transportation options, hours of service, cultural competence, and the health literacy/awareness of those seeking care.  </w:t>
      </w:r>
      <w:r w:rsidRPr="00DC12DF">
        <w:rPr>
          <w:bCs/>
        </w:rPr>
        <w:t>Identification of po</w:t>
      </w:r>
      <w:r>
        <w:rPr>
          <w:bCs/>
        </w:rPr>
        <w:t>pulations with barriers to care, c</w:t>
      </w:r>
      <w:r w:rsidRPr="00882362">
        <w:rPr>
          <w:bCs/>
        </w:rPr>
        <w:t>ulturally appropriate and targeted health information for at risk population groups</w:t>
      </w:r>
      <w:r>
        <w:t>, and t</w:t>
      </w:r>
      <w:r w:rsidRPr="00882362">
        <w:rPr>
          <w:bCs/>
        </w:rPr>
        <w:t>ransportation and other enabling services</w:t>
      </w:r>
      <w:r>
        <w:t xml:space="preserve"> ensure e</w:t>
      </w:r>
      <w:r w:rsidRPr="00DC12DF">
        <w:rPr>
          <w:bCs/>
        </w:rPr>
        <w:t>ffective entry into a coordinated system of clinical care</w:t>
      </w:r>
      <w:r>
        <w:t xml:space="preserve"> and o</w:t>
      </w:r>
      <w:r w:rsidRPr="00DC12DF">
        <w:rPr>
          <w:bCs/>
        </w:rPr>
        <w:t>ngoing care management</w:t>
      </w:r>
      <w:r>
        <w:rPr>
          <w:bCs/>
        </w:rPr>
        <w:t>, especially for those most at risk.</w:t>
      </w:r>
    </w:p>
    <w:p w:rsidR="004B20E5" w:rsidRPr="00644A67" w:rsidRDefault="004B20E5" w:rsidP="00644A67">
      <w:pPr>
        <w:spacing w:before="80"/>
        <w:ind w:left="540"/>
        <w:rPr>
          <w:b/>
        </w:rPr>
      </w:pPr>
      <w:r w:rsidRPr="00644A67">
        <w:rPr>
          <w:b/>
        </w:rPr>
        <w:t>Essential Service 8.  Assure a Competent Public and Personal Healthcare Workforce</w:t>
      </w:r>
    </w:p>
    <w:p w:rsidR="004B20E5" w:rsidRDefault="004B20E5" w:rsidP="0012696F">
      <w:pPr>
        <w:pStyle w:val="BodyTextUnder3nowrapindent"/>
      </w:pPr>
      <w:r w:rsidRPr="009C771B">
        <w:rPr>
          <w:i/>
        </w:rPr>
        <w:t xml:space="preserve">How can we be sure that </w:t>
      </w:r>
      <w:r>
        <w:rPr>
          <w:i/>
        </w:rPr>
        <w:t>we have competent, current public health staff</w:t>
      </w:r>
      <w:r w:rsidRPr="00DC12DF">
        <w:t>?</w:t>
      </w:r>
      <w:r w:rsidR="00B3449B">
        <w:t xml:space="preserve"> </w:t>
      </w:r>
      <w:r>
        <w:t xml:space="preserve">One of the essential public health services is ensuring an adequate supply of highly skilled and credentialed health professionals is available to meet current and future public health needs.  </w:t>
      </w:r>
      <w:r w:rsidRPr="00DC12DF">
        <w:rPr>
          <w:bCs/>
          <w:i/>
        </w:rPr>
        <w:t xml:space="preserve">Assessing the public health and personal health workforce </w:t>
      </w:r>
      <w:r>
        <w:t>and m</w:t>
      </w:r>
      <w:r w:rsidRPr="00DC12DF">
        <w:rPr>
          <w:bCs/>
        </w:rPr>
        <w:t>aintaining public health workforce standards</w:t>
      </w:r>
      <w:r>
        <w:rPr>
          <w:bCs/>
        </w:rPr>
        <w:t xml:space="preserve"> involves e</w:t>
      </w:r>
      <w:r w:rsidRPr="00DC12DF">
        <w:t>fficient processes for licensing /credentialing requirements</w:t>
      </w:r>
      <w:r>
        <w:t>, and the identification and use of public health competencies such as leadership development and cultural competence, to define continuing education and life-long learning objectives for public health workers. The development and deployment of Community Health Workers (CHW’s) is a key strategy to address the shortage and diversity of the professional health workforce.</w:t>
      </w:r>
    </w:p>
    <w:p w:rsidR="004B20E5" w:rsidRPr="00644A67" w:rsidRDefault="004B20E5" w:rsidP="00644A67">
      <w:pPr>
        <w:spacing w:before="80"/>
        <w:ind w:left="540"/>
        <w:rPr>
          <w:b/>
        </w:rPr>
      </w:pPr>
      <w:r w:rsidRPr="00644A67">
        <w:rPr>
          <w:b/>
        </w:rPr>
        <w:t xml:space="preserve">Essential Service 9.  </w:t>
      </w:r>
      <w:r>
        <w:rPr>
          <w:b/>
        </w:rPr>
        <w:t>Evaluate Effectiveness, Accessibility, and Quality of Health Services</w:t>
      </w:r>
    </w:p>
    <w:p w:rsidR="004B20E5" w:rsidRDefault="004B20E5" w:rsidP="0012696F">
      <w:pPr>
        <w:pStyle w:val="BodyTextUnder3nowrapindent"/>
        <w:rPr>
          <w:i/>
        </w:rPr>
      </w:pPr>
      <w:r w:rsidRPr="00DC12DF">
        <w:rPr>
          <w:i/>
        </w:rPr>
        <w:t>Are we doing the right things in the right way to meet the needs of the population we serve?</w:t>
      </w:r>
      <w:r>
        <w:t xml:space="preserve">  Ongoing evaluation of personal health services, population based services, and the public health system as a whole are the foundational elements for systemic quality improvement and performance management strategies that ensure performance excellence in public health.</w:t>
      </w:r>
    </w:p>
    <w:p w:rsidR="004B20E5" w:rsidRPr="00644A67" w:rsidRDefault="004B20E5" w:rsidP="00644A67">
      <w:pPr>
        <w:spacing w:before="80"/>
        <w:ind w:left="540"/>
        <w:rPr>
          <w:b/>
        </w:rPr>
      </w:pPr>
      <w:r w:rsidRPr="00644A67">
        <w:rPr>
          <w:b/>
        </w:rPr>
        <w:t>Essential Service 10.  Research for New Insights and Innovative Solutions to Health Problems</w:t>
      </w:r>
    </w:p>
    <w:p w:rsidR="004B20E5" w:rsidRPr="00B70A18" w:rsidRDefault="004B20E5" w:rsidP="0012696F">
      <w:pPr>
        <w:pStyle w:val="BodyTextUnder3nowrapindent"/>
      </w:pPr>
      <w:r w:rsidRPr="002A29EE">
        <w:rPr>
          <w:i/>
        </w:rPr>
        <w:t>Are we discovering and using new ways to get the job done?</w:t>
      </w:r>
      <w:r w:rsidR="00B3449B">
        <w:rPr>
          <w:i/>
        </w:rPr>
        <w:t xml:space="preserve"> </w:t>
      </w:r>
      <w:r w:rsidRPr="00DC12DF">
        <w:t>Pu</w:t>
      </w:r>
      <w:r>
        <w:t xml:space="preserve">blic health research activities include </w:t>
      </w:r>
      <w:r w:rsidRPr="00DC12DF">
        <w:t>initiating research</w:t>
      </w:r>
      <w:r>
        <w:t xml:space="preserve">, </w:t>
      </w:r>
      <w:r w:rsidRPr="00DC12DF">
        <w:t>participating in research by others,</w:t>
      </w:r>
      <w:r w:rsidR="00B3449B">
        <w:t xml:space="preserve"> </w:t>
      </w:r>
      <w:r w:rsidRPr="00DC12DF">
        <w:t>reporting results, and</w:t>
      </w:r>
      <w:r>
        <w:t xml:space="preserve"> i</w:t>
      </w:r>
      <w:r w:rsidRPr="00DC12DF">
        <w:t>mplementing policy based on these results.</w:t>
      </w:r>
      <w:r w:rsidR="00B3449B">
        <w:t xml:space="preserve"> </w:t>
      </w:r>
      <w:r>
        <w:rPr>
          <w:bCs/>
        </w:rPr>
        <w:t>Strategies include i</w:t>
      </w:r>
      <w:r w:rsidRPr="00DC12DF">
        <w:rPr>
          <w:bCs/>
        </w:rPr>
        <w:t>dentification and monitoring of innovative solutions and cutting-edge research to advance public health</w:t>
      </w:r>
      <w:r>
        <w:t>, creating l</w:t>
      </w:r>
      <w:r w:rsidRPr="00DC12DF">
        <w:rPr>
          <w:bCs/>
        </w:rPr>
        <w:t>inkages between public health practice and academic/research settings</w:t>
      </w:r>
      <w:r>
        <w:t>, and conducting e</w:t>
      </w:r>
      <w:r w:rsidRPr="00DC12DF">
        <w:rPr>
          <w:bCs/>
        </w:rPr>
        <w:t>pidemiological studies, health policy analyses and public health systems</w:t>
      </w:r>
      <w:r>
        <w:rPr>
          <w:bCs/>
        </w:rPr>
        <w:t xml:space="preserve"> research.</w:t>
      </w:r>
    </w:p>
    <w:p w:rsidR="004B20E5" w:rsidRPr="00644A67" w:rsidRDefault="004B20E5" w:rsidP="00644A67">
      <w:pPr>
        <w:spacing w:before="80"/>
        <w:ind w:left="540"/>
        <w:rPr>
          <w:b/>
        </w:rPr>
      </w:pPr>
      <w:r w:rsidRPr="00644A67">
        <w:rPr>
          <w:b/>
        </w:rPr>
        <w:t xml:space="preserve">Essential Service 11.  Governance (Maintain Administrative Management Capacity)  </w:t>
      </w:r>
    </w:p>
    <w:p w:rsidR="004B20E5" w:rsidRPr="00DC12DF" w:rsidRDefault="004B20E5" w:rsidP="0012696F">
      <w:pPr>
        <w:pStyle w:val="BodyTextUnder3nowrapindent"/>
      </w:pPr>
      <w:r w:rsidRPr="00DC12DF">
        <w:t>Organizational administration and management is the process of organizing, leading, and controlling the efforts of organizational</w:t>
      </w:r>
      <w:r>
        <w:t>,</w:t>
      </w:r>
      <w:r w:rsidRPr="00DC12DF">
        <w:t xml:space="preserve"> human and other resources to make decisions and achieve organizational goals. Health departments must have a well-managed human resources system, be competent in general financial management, have data management capacity and capability, and be knowledgeable about public health authorities and mandates. And, because of the nature of public health – the focus on the collective good, the employment of government action, and the objective of population-based outcomes – public health leaders need an infrastructure to ensure that decisions, policies, plans, and programs are ethical and address health equity. Health department leaders and staff must be knowledgeable about the structure, organization, and financing of their public health department and other agencies and organizations that provide public health services.</w:t>
      </w:r>
      <w:r>
        <w:rPr>
          <w:rStyle w:val="EndnoteReference"/>
          <w:b/>
          <w:bCs/>
        </w:rPr>
        <w:endnoteReference w:id="26"/>
      </w:r>
    </w:p>
    <w:p w:rsidR="004B20E5" w:rsidRPr="00644A67" w:rsidRDefault="004B20E5" w:rsidP="00644A67">
      <w:pPr>
        <w:spacing w:before="80"/>
        <w:ind w:left="540"/>
        <w:rPr>
          <w:b/>
        </w:rPr>
      </w:pPr>
      <w:r w:rsidRPr="00644A67">
        <w:rPr>
          <w:b/>
        </w:rPr>
        <w:t>Essential Service 12.  Governance (Engagement with Governing Entities)</w:t>
      </w:r>
    </w:p>
    <w:p w:rsidR="004B20E5" w:rsidRPr="00DC12DF" w:rsidRDefault="004B20E5" w:rsidP="0012696F">
      <w:pPr>
        <w:pStyle w:val="BodyTextUnder3nowrapindent"/>
      </w:pPr>
      <w:r w:rsidRPr="00DC12DF">
        <w:t>Public health governing entities exercise a wide range of responsibilities, including policy development, resource stewardship, legal authority, partner engagement, continuous improvement, and oversight. Specific areas o</w:t>
      </w:r>
      <w:r>
        <w:t xml:space="preserve">f responsibilities may include </w:t>
      </w:r>
      <w:r w:rsidRPr="00DC12DF">
        <w:t>strategic planning, adopting and ensuring enforcement of public health regulations, ensuring that the governing body and health department act ethically, serving as a strong link between the health department and the community and other community organizations, supporting a culture of quality improvement, hiring and evaluating the health department director, taxing authority, and budget adoption. These responsibilities demand that the governing entity is well-versed in public health and in the work of the health department and the health challenges of the community. The governing entity and the health department should communicate regularly on the health of the community, strategic plan implementation, program activities, health department policy issues, public health ethical issues, and quality improvement activities.</w:t>
      </w:r>
      <w:r>
        <w:rPr>
          <w:rStyle w:val="EndnoteReference"/>
          <w:b/>
          <w:bCs/>
        </w:rPr>
        <w:endnoteReference w:id="27"/>
      </w:r>
    </w:p>
    <w:p w:rsidR="004B20E5" w:rsidRDefault="004B20E5" w:rsidP="00AD0251">
      <w:pPr>
        <w:pStyle w:val="Heading2LARGE"/>
        <w:sectPr w:rsidR="004B20E5" w:rsidSect="00CB64D5">
          <w:endnotePr>
            <w:numFmt w:val="decimal"/>
          </w:endnotePr>
          <w:pgSz w:w="12240" w:h="15840" w:code="1"/>
          <w:pgMar w:top="1080" w:right="1080" w:bottom="1080" w:left="1080" w:header="648" w:footer="504" w:gutter="0"/>
          <w:cols w:space="720"/>
          <w:docGrid w:linePitch="360"/>
        </w:sectPr>
      </w:pPr>
    </w:p>
    <w:p w:rsidR="004B20E5" w:rsidRDefault="004B20E5" w:rsidP="00AD0251">
      <w:pPr>
        <w:pStyle w:val="Heading2LAR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29"/>
        <w:gridCol w:w="798"/>
        <w:gridCol w:w="731"/>
        <w:gridCol w:w="731"/>
        <w:gridCol w:w="731"/>
        <w:gridCol w:w="734"/>
        <w:gridCol w:w="823"/>
        <w:gridCol w:w="823"/>
        <w:gridCol w:w="734"/>
        <w:gridCol w:w="914"/>
        <w:gridCol w:w="1006"/>
        <w:gridCol w:w="825"/>
        <w:gridCol w:w="817"/>
      </w:tblGrid>
      <w:tr w:rsidR="004B20E5" w:rsidRPr="00092D1F" w:rsidTr="00F0238E">
        <w:trPr>
          <w:tblHeader/>
        </w:trPr>
        <w:tc>
          <w:tcPr>
            <w:tcW w:w="1522" w:type="pct"/>
            <w:vMerge w:val="restart"/>
            <w:shd w:val="clear" w:color="auto" w:fill="C6D9F1"/>
            <w:vAlign w:val="center"/>
          </w:tcPr>
          <w:p w:rsidR="004B20E5" w:rsidRPr="002F2DD0" w:rsidRDefault="004B20E5" w:rsidP="002F2DD0">
            <w:pPr>
              <w:ind w:left="537" w:hanging="537"/>
              <w:jc w:val="center"/>
              <w:rPr>
                <w:rFonts w:cs="Arial"/>
                <w:b/>
                <w:sz w:val="20"/>
                <w:szCs w:val="20"/>
              </w:rPr>
            </w:pPr>
            <w:r w:rsidRPr="002F2DD0">
              <w:rPr>
                <w:rFonts w:cs="Arial"/>
                <w:b/>
                <w:sz w:val="20"/>
                <w:szCs w:val="20"/>
              </w:rPr>
              <w:t>Objectives</w:t>
            </w:r>
          </w:p>
        </w:tc>
        <w:tc>
          <w:tcPr>
            <w:tcW w:w="3478" w:type="pct"/>
            <w:gridSpan w:val="12"/>
            <w:shd w:val="clear" w:color="auto" w:fill="C6D9F1"/>
            <w:vAlign w:val="center"/>
          </w:tcPr>
          <w:p w:rsidR="004B20E5" w:rsidRPr="002F2DD0" w:rsidRDefault="004B20E5" w:rsidP="002F2DD0">
            <w:pPr>
              <w:jc w:val="center"/>
              <w:rPr>
                <w:rFonts w:cs="Arial"/>
                <w:b/>
                <w:sz w:val="20"/>
                <w:szCs w:val="20"/>
              </w:rPr>
            </w:pPr>
            <w:r w:rsidRPr="002F2DD0">
              <w:rPr>
                <w:rFonts w:cs="Arial"/>
                <w:b/>
                <w:sz w:val="20"/>
                <w:szCs w:val="20"/>
              </w:rPr>
              <w:t>Essential Services and Related Strategies</w:t>
            </w:r>
          </w:p>
        </w:tc>
      </w:tr>
      <w:tr w:rsidR="004B20E5" w:rsidRPr="00D36994" w:rsidTr="00717B8F">
        <w:trPr>
          <w:cantSplit/>
          <w:trHeight w:val="2105"/>
          <w:tblHeader/>
        </w:trPr>
        <w:tc>
          <w:tcPr>
            <w:tcW w:w="1522" w:type="pct"/>
            <w:vMerge/>
            <w:vAlign w:val="center"/>
          </w:tcPr>
          <w:p w:rsidR="004B20E5" w:rsidRPr="002F2DD0" w:rsidRDefault="004B20E5" w:rsidP="002F2DD0">
            <w:pPr>
              <w:ind w:left="537" w:hanging="537"/>
              <w:jc w:val="center"/>
              <w:rPr>
                <w:rFonts w:cs="Arial"/>
                <w:b/>
                <w:sz w:val="20"/>
                <w:szCs w:val="20"/>
              </w:rPr>
            </w:pPr>
          </w:p>
        </w:tc>
        <w:tc>
          <w:tcPr>
            <w:tcW w:w="287" w:type="pct"/>
            <w:shd w:val="clear" w:color="auto" w:fill="C6D9F1"/>
            <w:textDirection w:val="btLr"/>
            <w:vAlign w:val="center"/>
          </w:tcPr>
          <w:p w:rsidR="004B20E5" w:rsidRPr="002F2DD0" w:rsidRDefault="004B20E5" w:rsidP="00F0238E">
            <w:pPr>
              <w:ind w:left="113" w:right="113"/>
              <w:jc w:val="center"/>
              <w:rPr>
                <w:rFonts w:ascii="Arial Narrow" w:hAnsi="Arial Narrow" w:cs="Arial"/>
                <w:sz w:val="18"/>
                <w:szCs w:val="18"/>
              </w:rPr>
            </w:pPr>
            <w:r w:rsidRPr="002F2DD0">
              <w:rPr>
                <w:rFonts w:ascii="Arial Narrow" w:hAnsi="Arial Narrow" w:cs="Arial"/>
                <w:sz w:val="18"/>
                <w:szCs w:val="18"/>
              </w:rPr>
              <w:t xml:space="preserve">1. </w:t>
            </w:r>
            <w:r>
              <w:rPr>
                <w:rFonts w:ascii="Arial Narrow" w:hAnsi="Arial Narrow" w:cs="Arial"/>
                <w:sz w:val="18"/>
                <w:szCs w:val="18"/>
              </w:rPr>
              <w:t>Monitor Health to Identify and Solve Community Health Problems</w:t>
            </w:r>
          </w:p>
        </w:tc>
        <w:tc>
          <w:tcPr>
            <w:tcW w:w="263" w:type="pct"/>
            <w:shd w:val="clear" w:color="auto" w:fill="C6D9F1"/>
            <w:textDirection w:val="btLr"/>
            <w:vAlign w:val="center"/>
          </w:tcPr>
          <w:p w:rsidR="004B20E5" w:rsidRPr="002F2DD0" w:rsidRDefault="004B20E5" w:rsidP="001E202E">
            <w:pPr>
              <w:ind w:left="113" w:right="113"/>
              <w:jc w:val="center"/>
              <w:rPr>
                <w:rFonts w:ascii="Arial Narrow" w:hAnsi="Arial Narrow" w:cs="Arial"/>
                <w:sz w:val="18"/>
                <w:szCs w:val="18"/>
              </w:rPr>
            </w:pPr>
            <w:r w:rsidRPr="002F2DD0">
              <w:rPr>
                <w:rFonts w:ascii="Arial Narrow" w:hAnsi="Arial Narrow" w:cs="Arial"/>
                <w:sz w:val="18"/>
                <w:szCs w:val="18"/>
              </w:rPr>
              <w:t xml:space="preserve">2. </w:t>
            </w:r>
            <w:r>
              <w:rPr>
                <w:rFonts w:ascii="Arial Narrow" w:hAnsi="Arial Narrow" w:cs="Arial"/>
                <w:sz w:val="18"/>
                <w:szCs w:val="18"/>
              </w:rPr>
              <w:t>Diagnose and Investigate Health Problems and Hazards in the Community</w:t>
            </w:r>
          </w:p>
        </w:tc>
        <w:tc>
          <w:tcPr>
            <w:tcW w:w="263" w:type="pct"/>
            <w:shd w:val="clear" w:color="auto" w:fill="C6D9F1"/>
            <w:textDirection w:val="btLr"/>
            <w:vAlign w:val="center"/>
          </w:tcPr>
          <w:p w:rsidR="004B20E5" w:rsidRPr="002F2DD0" w:rsidRDefault="004B20E5" w:rsidP="002F2DD0">
            <w:pPr>
              <w:ind w:left="113" w:right="113"/>
              <w:jc w:val="center"/>
              <w:rPr>
                <w:rFonts w:ascii="Arial Narrow" w:hAnsi="Arial Narrow" w:cs="Arial"/>
                <w:sz w:val="18"/>
                <w:szCs w:val="18"/>
              </w:rPr>
            </w:pPr>
            <w:r w:rsidRPr="002F2DD0">
              <w:rPr>
                <w:rFonts w:ascii="Arial Narrow" w:hAnsi="Arial Narrow" w:cs="Arial"/>
                <w:sz w:val="18"/>
                <w:szCs w:val="18"/>
              </w:rPr>
              <w:t>3. Inform, Educate, and Empower People About Health Issues </w:t>
            </w:r>
          </w:p>
        </w:tc>
        <w:tc>
          <w:tcPr>
            <w:tcW w:w="263" w:type="pct"/>
            <w:shd w:val="clear" w:color="auto" w:fill="C6D9F1"/>
            <w:textDirection w:val="btLr"/>
            <w:vAlign w:val="center"/>
          </w:tcPr>
          <w:p w:rsidR="004B20E5" w:rsidRPr="002F2DD0" w:rsidRDefault="004B20E5" w:rsidP="00F0238E">
            <w:pPr>
              <w:ind w:left="113" w:right="113"/>
              <w:jc w:val="center"/>
              <w:rPr>
                <w:rFonts w:ascii="Arial Narrow" w:hAnsi="Arial Narrow" w:cs="Arial"/>
                <w:sz w:val="18"/>
                <w:szCs w:val="18"/>
              </w:rPr>
            </w:pPr>
            <w:r w:rsidRPr="002F2DD0">
              <w:rPr>
                <w:rFonts w:ascii="Arial Narrow" w:hAnsi="Arial Narrow" w:cs="Arial"/>
                <w:sz w:val="18"/>
                <w:szCs w:val="18"/>
              </w:rPr>
              <w:t xml:space="preserve">4. </w:t>
            </w:r>
            <w:r>
              <w:rPr>
                <w:rFonts w:ascii="Arial Narrow" w:hAnsi="Arial Narrow" w:cs="Arial"/>
                <w:sz w:val="18"/>
                <w:szCs w:val="18"/>
              </w:rPr>
              <w:t>Mobilize Community Partnerships</w:t>
            </w:r>
            <w:r w:rsidRPr="007D0D03">
              <w:rPr>
                <w:rFonts w:ascii="Arial Narrow" w:hAnsi="Arial Narrow" w:cs="Arial"/>
                <w:sz w:val="18"/>
                <w:szCs w:val="18"/>
              </w:rPr>
              <w:t>to Identify and Solve Health Problems</w:t>
            </w:r>
          </w:p>
        </w:tc>
        <w:tc>
          <w:tcPr>
            <w:tcW w:w="264" w:type="pct"/>
            <w:shd w:val="clear" w:color="auto" w:fill="C6D9F1"/>
            <w:textDirection w:val="btLr"/>
          </w:tcPr>
          <w:p w:rsidR="004B20E5" w:rsidRPr="002F2DD0" w:rsidRDefault="004B20E5" w:rsidP="00B01B3F">
            <w:pPr>
              <w:ind w:left="113" w:right="113"/>
              <w:jc w:val="center"/>
              <w:rPr>
                <w:rFonts w:ascii="Arial Narrow" w:hAnsi="Arial Narrow" w:cs="Arial"/>
                <w:sz w:val="18"/>
                <w:szCs w:val="18"/>
              </w:rPr>
            </w:pPr>
            <w:r w:rsidRPr="002F2DD0">
              <w:rPr>
                <w:rFonts w:ascii="Arial Narrow" w:hAnsi="Arial Narrow" w:cs="Arial"/>
                <w:sz w:val="18"/>
                <w:szCs w:val="18"/>
              </w:rPr>
              <w:t xml:space="preserve">5. </w:t>
            </w:r>
            <w:r>
              <w:rPr>
                <w:rFonts w:ascii="Arial Narrow" w:hAnsi="Arial Narrow" w:cs="Arial"/>
                <w:sz w:val="18"/>
                <w:szCs w:val="18"/>
              </w:rPr>
              <w:t xml:space="preserve">Develop Policies and Plans That Support I Health Efforts </w:t>
            </w:r>
          </w:p>
        </w:tc>
        <w:tc>
          <w:tcPr>
            <w:tcW w:w="296" w:type="pct"/>
            <w:shd w:val="clear" w:color="auto" w:fill="C6D9F1"/>
            <w:textDirection w:val="btLr"/>
          </w:tcPr>
          <w:p w:rsidR="004B20E5" w:rsidRPr="002F2DD0" w:rsidRDefault="004B20E5" w:rsidP="00F0238E">
            <w:pPr>
              <w:ind w:left="113" w:right="113"/>
              <w:jc w:val="center"/>
              <w:rPr>
                <w:rFonts w:ascii="Arial Narrow" w:hAnsi="Arial Narrow" w:cs="Arial"/>
                <w:sz w:val="18"/>
                <w:szCs w:val="18"/>
              </w:rPr>
            </w:pPr>
            <w:r w:rsidRPr="002F2DD0">
              <w:rPr>
                <w:rFonts w:ascii="Arial Narrow" w:hAnsi="Arial Narrow"/>
                <w:sz w:val="18"/>
                <w:szCs w:val="18"/>
              </w:rPr>
              <w:t xml:space="preserve">6. </w:t>
            </w:r>
            <w:r>
              <w:rPr>
                <w:rFonts w:ascii="Arial Narrow" w:hAnsi="Arial Narrow"/>
                <w:sz w:val="18"/>
                <w:szCs w:val="18"/>
              </w:rPr>
              <w:t>Enforce Laws and Regulations That Protect Health and Ensure Safety</w:t>
            </w:r>
          </w:p>
        </w:tc>
        <w:tc>
          <w:tcPr>
            <w:tcW w:w="296" w:type="pct"/>
            <w:shd w:val="clear" w:color="auto" w:fill="C6D9F1"/>
            <w:textDirection w:val="btLr"/>
          </w:tcPr>
          <w:p w:rsidR="004B20E5" w:rsidRPr="002F2DD0" w:rsidRDefault="004B20E5" w:rsidP="002F2DD0">
            <w:pPr>
              <w:ind w:left="113" w:right="113"/>
              <w:jc w:val="center"/>
              <w:rPr>
                <w:rFonts w:ascii="Arial Narrow" w:hAnsi="Arial Narrow" w:cs="Arial"/>
                <w:sz w:val="18"/>
                <w:szCs w:val="18"/>
              </w:rPr>
            </w:pPr>
            <w:r w:rsidRPr="002F2DD0">
              <w:rPr>
                <w:rFonts w:ascii="Arial Narrow" w:hAnsi="Arial Narrow"/>
                <w:sz w:val="18"/>
                <w:szCs w:val="18"/>
              </w:rPr>
              <w:t xml:space="preserve">7. Link People to Needed Personal </w:t>
            </w:r>
            <w:r w:rsidR="003120E8" w:rsidRPr="002F2DD0">
              <w:rPr>
                <w:rFonts w:ascii="Arial Narrow" w:hAnsi="Arial Narrow"/>
                <w:sz w:val="18"/>
                <w:szCs w:val="18"/>
              </w:rPr>
              <w:t>Health</w:t>
            </w:r>
            <w:r w:rsidR="003120E8">
              <w:rPr>
                <w:rFonts w:ascii="Arial Narrow" w:hAnsi="Arial Narrow"/>
                <w:sz w:val="18"/>
                <w:szCs w:val="18"/>
              </w:rPr>
              <w:t xml:space="preserve"> </w:t>
            </w:r>
            <w:r w:rsidR="003120E8" w:rsidRPr="002F2DD0">
              <w:rPr>
                <w:rFonts w:ascii="Arial Narrow" w:hAnsi="Arial Narrow"/>
                <w:sz w:val="18"/>
                <w:szCs w:val="18"/>
              </w:rPr>
              <w:t>Services</w:t>
            </w:r>
            <w:r w:rsidRPr="002F2DD0">
              <w:rPr>
                <w:rFonts w:ascii="Arial Narrow" w:hAnsi="Arial Narrow"/>
                <w:sz w:val="18"/>
                <w:szCs w:val="18"/>
              </w:rPr>
              <w:t xml:space="preserve"> and Health Care</w:t>
            </w:r>
          </w:p>
        </w:tc>
        <w:tc>
          <w:tcPr>
            <w:tcW w:w="264" w:type="pct"/>
            <w:shd w:val="clear" w:color="auto" w:fill="C6D9F1"/>
            <w:textDirection w:val="btLr"/>
          </w:tcPr>
          <w:p w:rsidR="004B20E5" w:rsidRPr="002F2DD0" w:rsidRDefault="004B20E5" w:rsidP="00717B8F">
            <w:pPr>
              <w:ind w:left="113" w:right="113"/>
              <w:jc w:val="center"/>
              <w:rPr>
                <w:rFonts w:ascii="Arial Narrow" w:hAnsi="Arial Narrow" w:cs="Arial"/>
                <w:sz w:val="18"/>
                <w:szCs w:val="18"/>
              </w:rPr>
            </w:pPr>
            <w:r w:rsidRPr="002F2DD0">
              <w:rPr>
                <w:rFonts w:ascii="Arial Narrow" w:hAnsi="Arial Narrow"/>
                <w:sz w:val="18"/>
                <w:szCs w:val="18"/>
              </w:rPr>
              <w:t>8. Assure</w:t>
            </w:r>
            <w:r>
              <w:rPr>
                <w:rFonts w:ascii="Arial Narrow" w:hAnsi="Arial Narrow"/>
                <w:sz w:val="18"/>
                <w:szCs w:val="18"/>
              </w:rPr>
              <w:t xml:space="preserve"> a </w:t>
            </w:r>
            <w:r w:rsidRPr="002F2DD0">
              <w:rPr>
                <w:rFonts w:ascii="Arial Narrow" w:hAnsi="Arial Narrow"/>
                <w:sz w:val="18"/>
                <w:szCs w:val="18"/>
              </w:rPr>
              <w:t xml:space="preserve">Competent Public and </w:t>
            </w:r>
            <w:r w:rsidR="003120E8" w:rsidRPr="002F2DD0">
              <w:rPr>
                <w:rFonts w:ascii="Arial Narrow" w:hAnsi="Arial Narrow"/>
                <w:sz w:val="18"/>
                <w:szCs w:val="18"/>
              </w:rPr>
              <w:t>Personal</w:t>
            </w:r>
            <w:r w:rsidR="003120E8">
              <w:rPr>
                <w:rFonts w:ascii="Arial Narrow" w:hAnsi="Arial Narrow"/>
                <w:sz w:val="18"/>
                <w:szCs w:val="18"/>
              </w:rPr>
              <w:t xml:space="preserve"> Healthc</w:t>
            </w:r>
            <w:r w:rsidR="003120E8" w:rsidRPr="002F2DD0">
              <w:rPr>
                <w:rFonts w:ascii="Arial Narrow" w:hAnsi="Arial Narrow"/>
                <w:sz w:val="18"/>
                <w:szCs w:val="18"/>
              </w:rPr>
              <w:t>are</w:t>
            </w:r>
            <w:r w:rsidRPr="002F2DD0">
              <w:rPr>
                <w:rFonts w:ascii="Arial Narrow" w:hAnsi="Arial Narrow"/>
                <w:sz w:val="18"/>
                <w:szCs w:val="18"/>
              </w:rPr>
              <w:t xml:space="preserve"> Workforce</w:t>
            </w:r>
          </w:p>
        </w:tc>
        <w:tc>
          <w:tcPr>
            <w:tcW w:w="329" w:type="pct"/>
            <w:shd w:val="clear" w:color="auto" w:fill="C6D9F1"/>
            <w:textDirection w:val="btLr"/>
            <w:vAlign w:val="center"/>
          </w:tcPr>
          <w:p w:rsidR="004B20E5" w:rsidRPr="002F2DD0" w:rsidRDefault="004B20E5" w:rsidP="00F0238E">
            <w:pPr>
              <w:ind w:left="113" w:right="113"/>
              <w:jc w:val="center"/>
              <w:rPr>
                <w:rFonts w:ascii="Arial Narrow" w:hAnsi="Arial Narrow" w:cs="Arial"/>
                <w:sz w:val="18"/>
                <w:szCs w:val="18"/>
              </w:rPr>
            </w:pPr>
            <w:r w:rsidRPr="002F2DD0">
              <w:rPr>
                <w:rFonts w:ascii="Arial Narrow" w:hAnsi="Arial Narrow"/>
                <w:sz w:val="18"/>
                <w:szCs w:val="18"/>
              </w:rPr>
              <w:t xml:space="preserve">9. Evaluate Effectiveness, Accessibility, </w:t>
            </w:r>
            <w:r w:rsidR="003120E8" w:rsidRPr="002F2DD0">
              <w:rPr>
                <w:rFonts w:ascii="Arial Narrow" w:hAnsi="Arial Narrow"/>
                <w:sz w:val="18"/>
                <w:szCs w:val="18"/>
              </w:rPr>
              <w:t>and</w:t>
            </w:r>
            <w:r w:rsidR="003120E8">
              <w:rPr>
                <w:rFonts w:ascii="Arial Narrow" w:hAnsi="Arial Narrow"/>
                <w:sz w:val="18"/>
                <w:szCs w:val="18"/>
              </w:rPr>
              <w:t xml:space="preserve"> </w:t>
            </w:r>
            <w:r w:rsidR="003120E8" w:rsidRPr="002F2DD0">
              <w:rPr>
                <w:rFonts w:ascii="Arial Narrow" w:hAnsi="Arial Narrow"/>
                <w:sz w:val="18"/>
                <w:szCs w:val="18"/>
              </w:rPr>
              <w:t>Quality</w:t>
            </w:r>
            <w:r w:rsidRPr="002F2DD0">
              <w:rPr>
                <w:rFonts w:ascii="Arial Narrow" w:hAnsi="Arial Narrow"/>
                <w:sz w:val="18"/>
                <w:szCs w:val="18"/>
              </w:rPr>
              <w:t xml:space="preserve"> of Health Services</w:t>
            </w:r>
          </w:p>
        </w:tc>
        <w:tc>
          <w:tcPr>
            <w:tcW w:w="362" w:type="pct"/>
            <w:shd w:val="clear" w:color="auto" w:fill="C6D9F1"/>
            <w:textDirection w:val="btLr"/>
            <w:vAlign w:val="center"/>
          </w:tcPr>
          <w:p w:rsidR="004B20E5" w:rsidRPr="002F2DD0" w:rsidRDefault="004B20E5" w:rsidP="00F0238E">
            <w:pPr>
              <w:ind w:left="113" w:right="113"/>
              <w:jc w:val="center"/>
              <w:rPr>
                <w:rFonts w:ascii="Arial Narrow" w:hAnsi="Arial Narrow" w:cs="Arial"/>
                <w:sz w:val="18"/>
                <w:szCs w:val="18"/>
              </w:rPr>
            </w:pPr>
            <w:r w:rsidRPr="002F2DD0">
              <w:rPr>
                <w:rFonts w:ascii="Arial Narrow" w:hAnsi="Arial Narrow"/>
                <w:sz w:val="18"/>
                <w:szCs w:val="18"/>
              </w:rPr>
              <w:t>10. Research f</w:t>
            </w:r>
            <w:r>
              <w:rPr>
                <w:rFonts w:ascii="Arial Narrow" w:hAnsi="Arial Narrow"/>
                <w:sz w:val="18"/>
                <w:szCs w:val="18"/>
              </w:rPr>
              <w:t>or New Insights and Innovative Solutions to Health Problems</w:t>
            </w:r>
          </w:p>
        </w:tc>
        <w:tc>
          <w:tcPr>
            <w:tcW w:w="297" w:type="pct"/>
            <w:shd w:val="clear" w:color="auto" w:fill="C6D9F1"/>
            <w:textDirection w:val="btLr"/>
            <w:vAlign w:val="center"/>
          </w:tcPr>
          <w:p w:rsidR="004B20E5" w:rsidRPr="002F2DD0" w:rsidRDefault="004B20E5" w:rsidP="00F0238E">
            <w:pPr>
              <w:ind w:left="113" w:right="113"/>
              <w:jc w:val="center"/>
              <w:rPr>
                <w:rFonts w:ascii="Arial Narrow" w:hAnsi="Arial Narrow" w:cs="Arial"/>
                <w:sz w:val="18"/>
                <w:szCs w:val="18"/>
              </w:rPr>
            </w:pPr>
            <w:r w:rsidRPr="002F2DD0">
              <w:rPr>
                <w:rFonts w:ascii="Arial Narrow" w:hAnsi="Arial Narrow"/>
                <w:sz w:val="18"/>
                <w:szCs w:val="18"/>
              </w:rPr>
              <w:t xml:space="preserve">11. </w:t>
            </w:r>
            <w:r>
              <w:rPr>
                <w:rFonts w:ascii="Arial Narrow" w:hAnsi="Arial Narrow"/>
                <w:sz w:val="18"/>
                <w:szCs w:val="18"/>
              </w:rPr>
              <w:t>Governance (Maintain Administrative Management Capacity)</w:t>
            </w:r>
          </w:p>
        </w:tc>
        <w:tc>
          <w:tcPr>
            <w:tcW w:w="294" w:type="pct"/>
            <w:shd w:val="clear" w:color="auto" w:fill="C6D9F1"/>
            <w:textDirection w:val="btLr"/>
            <w:vAlign w:val="center"/>
          </w:tcPr>
          <w:p w:rsidR="004B20E5" w:rsidRPr="002F2DD0" w:rsidRDefault="004B20E5" w:rsidP="00717B8F">
            <w:pPr>
              <w:ind w:left="113" w:right="113"/>
              <w:jc w:val="center"/>
              <w:rPr>
                <w:rFonts w:ascii="Arial Narrow" w:hAnsi="Arial Narrow" w:cs="Arial"/>
                <w:sz w:val="18"/>
                <w:szCs w:val="18"/>
              </w:rPr>
            </w:pPr>
            <w:r w:rsidRPr="002F2DD0">
              <w:rPr>
                <w:rFonts w:ascii="Arial Narrow" w:hAnsi="Arial Narrow"/>
                <w:sz w:val="18"/>
                <w:szCs w:val="18"/>
              </w:rPr>
              <w:t xml:space="preserve">12. </w:t>
            </w:r>
            <w:r>
              <w:rPr>
                <w:rFonts w:ascii="Arial Narrow" w:hAnsi="Arial Narrow"/>
                <w:sz w:val="18"/>
                <w:szCs w:val="18"/>
              </w:rPr>
              <w:t>Governance (</w:t>
            </w:r>
            <w:r w:rsidRPr="002F2DD0">
              <w:rPr>
                <w:rFonts w:ascii="Arial Narrow" w:hAnsi="Arial Narrow"/>
                <w:sz w:val="18"/>
                <w:szCs w:val="18"/>
              </w:rPr>
              <w:t>Engage</w:t>
            </w:r>
            <w:r>
              <w:rPr>
                <w:rFonts w:ascii="Arial Narrow" w:hAnsi="Arial Narrow"/>
                <w:sz w:val="18"/>
                <w:szCs w:val="18"/>
              </w:rPr>
              <w:t>ment with Governing</w:t>
            </w:r>
            <w:r w:rsidRPr="002F2DD0">
              <w:rPr>
                <w:rFonts w:ascii="Arial Narrow" w:hAnsi="Arial Narrow"/>
                <w:sz w:val="18"/>
                <w:szCs w:val="18"/>
              </w:rPr>
              <w:t xml:space="preserve"> Entities </w:t>
            </w:r>
            <w:r>
              <w:rPr>
                <w:rFonts w:ascii="Arial Narrow" w:hAnsi="Arial Narrow"/>
                <w:sz w:val="18"/>
                <w:szCs w:val="18"/>
              </w:rPr>
              <w:t>)</w:t>
            </w:r>
          </w:p>
        </w:tc>
      </w:tr>
      <w:tr w:rsidR="004B20E5" w:rsidRPr="00092D1F" w:rsidTr="00717B8F">
        <w:trPr>
          <w:cantSplit/>
          <w:trHeight w:val="530"/>
        </w:trPr>
        <w:tc>
          <w:tcPr>
            <w:tcW w:w="1522" w:type="pct"/>
            <w:tcBorders>
              <w:right w:val="nil"/>
            </w:tcBorders>
            <w:vAlign w:val="center"/>
          </w:tcPr>
          <w:p w:rsidR="004B20E5" w:rsidRPr="002F2DD0" w:rsidRDefault="004B20E5" w:rsidP="002F2DD0">
            <w:pPr>
              <w:ind w:left="537" w:hanging="537"/>
              <w:rPr>
                <w:rFonts w:cs="Arial"/>
                <w:sz w:val="20"/>
                <w:szCs w:val="18"/>
              </w:rPr>
            </w:pPr>
            <w:r w:rsidRPr="002F2DD0">
              <w:rPr>
                <w:rFonts w:cs="Arial"/>
                <w:b/>
                <w:sz w:val="24"/>
                <w:szCs w:val="28"/>
              </w:rPr>
              <w:t>Health Systems Infrastructure</w:t>
            </w:r>
          </w:p>
        </w:tc>
        <w:tc>
          <w:tcPr>
            <w:tcW w:w="287" w:type="pct"/>
            <w:tcBorders>
              <w:left w:val="nil"/>
              <w:right w:val="nil"/>
            </w:tcBorders>
            <w:vAlign w:val="center"/>
          </w:tcPr>
          <w:p w:rsidR="004B20E5" w:rsidRPr="002F2DD0" w:rsidRDefault="004B20E5" w:rsidP="002F2DD0">
            <w:pPr>
              <w:jc w:val="center"/>
              <w:rPr>
                <w:rFonts w:cs="Arial"/>
                <w:sz w:val="16"/>
                <w:szCs w:val="18"/>
              </w:rPr>
            </w:pPr>
          </w:p>
        </w:tc>
        <w:tc>
          <w:tcPr>
            <w:tcW w:w="263" w:type="pct"/>
            <w:tcBorders>
              <w:left w:val="nil"/>
              <w:right w:val="nil"/>
            </w:tcBorders>
            <w:vAlign w:val="center"/>
          </w:tcPr>
          <w:p w:rsidR="004B20E5" w:rsidRPr="002F2DD0" w:rsidRDefault="004B20E5" w:rsidP="002F2DD0">
            <w:pPr>
              <w:jc w:val="center"/>
              <w:rPr>
                <w:rFonts w:cs="Arial"/>
                <w:sz w:val="16"/>
                <w:szCs w:val="18"/>
              </w:rPr>
            </w:pPr>
          </w:p>
        </w:tc>
        <w:tc>
          <w:tcPr>
            <w:tcW w:w="263" w:type="pct"/>
            <w:tcBorders>
              <w:left w:val="nil"/>
              <w:right w:val="nil"/>
            </w:tcBorders>
            <w:vAlign w:val="center"/>
          </w:tcPr>
          <w:p w:rsidR="004B20E5" w:rsidRPr="002F2DD0" w:rsidRDefault="004B20E5" w:rsidP="002F2DD0">
            <w:pPr>
              <w:jc w:val="center"/>
              <w:rPr>
                <w:rFonts w:cs="Arial"/>
                <w:sz w:val="16"/>
                <w:szCs w:val="18"/>
              </w:rPr>
            </w:pPr>
          </w:p>
        </w:tc>
        <w:tc>
          <w:tcPr>
            <w:tcW w:w="263" w:type="pct"/>
            <w:tcBorders>
              <w:left w:val="nil"/>
              <w:right w:val="nil"/>
            </w:tcBorders>
            <w:vAlign w:val="center"/>
          </w:tcPr>
          <w:p w:rsidR="004B20E5" w:rsidRPr="002F2DD0" w:rsidRDefault="004B20E5" w:rsidP="002F2DD0">
            <w:pPr>
              <w:jc w:val="center"/>
              <w:rPr>
                <w:rFonts w:cs="Arial"/>
                <w:sz w:val="16"/>
                <w:szCs w:val="18"/>
              </w:rPr>
            </w:pPr>
          </w:p>
        </w:tc>
        <w:tc>
          <w:tcPr>
            <w:tcW w:w="264" w:type="pct"/>
            <w:tcBorders>
              <w:left w:val="nil"/>
              <w:right w:val="nil"/>
            </w:tcBorders>
            <w:vAlign w:val="center"/>
          </w:tcPr>
          <w:p w:rsidR="004B20E5" w:rsidRPr="002F2DD0" w:rsidRDefault="004B20E5" w:rsidP="002F2DD0">
            <w:pPr>
              <w:jc w:val="center"/>
              <w:rPr>
                <w:rFonts w:cs="Arial"/>
                <w:sz w:val="16"/>
                <w:szCs w:val="18"/>
              </w:rPr>
            </w:pPr>
          </w:p>
        </w:tc>
        <w:tc>
          <w:tcPr>
            <w:tcW w:w="296" w:type="pct"/>
            <w:tcBorders>
              <w:left w:val="nil"/>
              <w:right w:val="nil"/>
            </w:tcBorders>
            <w:vAlign w:val="center"/>
          </w:tcPr>
          <w:p w:rsidR="004B20E5" w:rsidRPr="002F2DD0" w:rsidRDefault="004B20E5" w:rsidP="002F2DD0">
            <w:pPr>
              <w:jc w:val="center"/>
              <w:rPr>
                <w:rFonts w:cs="Arial"/>
                <w:sz w:val="16"/>
                <w:szCs w:val="18"/>
              </w:rPr>
            </w:pPr>
          </w:p>
        </w:tc>
        <w:tc>
          <w:tcPr>
            <w:tcW w:w="296" w:type="pct"/>
            <w:tcBorders>
              <w:left w:val="nil"/>
              <w:right w:val="nil"/>
            </w:tcBorders>
            <w:vAlign w:val="center"/>
          </w:tcPr>
          <w:p w:rsidR="004B20E5" w:rsidRPr="002F2DD0" w:rsidRDefault="004B20E5" w:rsidP="002F2DD0">
            <w:pPr>
              <w:jc w:val="center"/>
              <w:rPr>
                <w:rFonts w:cs="Arial"/>
                <w:sz w:val="16"/>
                <w:szCs w:val="18"/>
              </w:rPr>
            </w:pPr>
          </w:p>
        </w:tc>
        <w:tc>
          <w:tcPr>
            <w:tcW w:w="264" w:type="pct"/>
            <w:tcBorders>
              <w:left w:val="nil"/>
              <w:right w:val="nil"/>
            </w:tcBorders>
            <w:vAlign w:val="center"/>
          </w:tcPr>
          <w:p w:rsidR="004B20E5" w:rsidRPr="002F2DD0" w:rsidRDefault="004B20E5" w:rsidP="002F2DD0">
            <w:pPr>
              <w:jc w:val="center"/>
              <w:rPr>
                <w:rFonts w:cs="Arial"/>
                <w:sz w:val="16"/>
                <w:szCs w:val="18"/>
              </w:rPr>
            </w:pPr>
          </w:p>
        </w:tc>
        <w:tc>
          <w:tcPr>
            <w:tcW w:w="329" w:type="pct"/>
            <w:tcBorders>
              <w:left w:val="nil"/>
              <w:right w:val="nil"/>
            </w:tcBorders>
            <w:vAlign w:val="center"/>
          </w:tcPr>
          <w:p w:rsidR="004B20E5" w:rsidRPr="002F2DD0" w:rsidRDefault="004B20E5" w:rsidP="002F2DD0">
            <w:pPr>
              <w:jc w:val="center"/>
              <w:rPr>
                <w:rFonts w:cs="Arial"/>
                <w:sz w:val="16"/>
                <w:szCs w:val="18"/>
              </w:rPr>
            </w:pPr>
          </w:p>
        </w:tc>
        <w:tc>
          <w:tcPr>
            <w:tcW w:w="362" w:type="pct"/>
            <w:tcBorders>
              <w:left w:val="nil"/>
              <w:right w:val="nil"/>
            </w:tcBorders>
            <w:vAlign w:val="center"/>
          </w:tcPr>
          <w:p w:rsidR="004B20E5" w:rsidRPr="002F2DD0" w:rsidRDefault="004B20E5" w:rsidP="002F2DD0">
            <w:pPr>
              <w:jc w:val="center"/>
              <w:rPr>
                <w:rFonts w:cs="Arial"/>
                <w:sz w:val="16"/>
                <w:szCs w:val="18"/>
              </w:rPr>
            </w:pPr>
          </w:p>
        </w:tc>
        <w:tc>
          <w:tcPr>
            <w:tcW w:w="297" w:type="pct"/>
            <w:tcBorders>
              <w:left w:val="nil"/>
              <w:right w:val="nil"/>
            </w:tcBorders>
            <w:vAlign w:val="center"/>
          </w:tcPr>
          <w:p w:rsidR="004B20E5" w:rsidRPr="002F2DD0" w:rsidRDefault="004B20E5" w:rsidP="002F2DD0">
            <w:pPr>
              <w:jc w:val="center"/>
              <w:rPr>
                <w:rFonts w:cs="Arial"/>
                <w:sz w:val="16"/>
                <w:szCs w:val="18"/>
              </w:rPr>
            </w:pPr>
          </w:p>
        </w:tc>
        <w:tc>
          <w:tcPr>
            <w:tcW w:w="294" w:type="pct"/>
            <w:tcBorders>
              <w:left w:val="nil"/>
            </w:tcBorders>
            <w:vAlign w:val="center"/>
          </w:tcPr>
          <w:p w:rsidR="004B20E5" w:rsidRPr="002F2DD0" w:rsidRDefault="004B20E5" w:rsidP="002F2DD0">
            <w:pPr>
              <w:jc w:val="center"/>
              <w:rPr>
                <w:rFonts w:cs="Arial"/>
                <w:sz w:val="16"/>
                <w:szCs w:val="18"/>
              </w:rPr>
            </w:pPr>
          </w:p>
        </w:tc>
      </w:tr>
      <w:tr w:rsidR="004B20E5" w:rsidRPr="00092D1F" w:rsidTr="00717B8F">
        <w:trPr>
          <w:cantSplit/>
        </w:trPr>
        <w:tc>
          <w:tcPr>
            <w:tcW w:w="1522" w:type="pct"/>
          </w:tcPr>
          <w:p w:rsidR="004B20E5" w:rsidRPr="002F2DD0" w:rsidRDefault="004B20E5" w:rsidP="002F2DD0">
            <w:pPr>
              <w:ind w:left="537" w:hanging="537"/>
              <w:rPr>
                <w:rFonts w:cs="Arial"/>
                <w:sz w:val="20"/>
                <w:szCs w:val="18"/>
              </w:rPr>
            </w:pPr>
            <w:r w:rsidRPr="002F2DD0">
              <w:rPr>
                <w:rFonts w:cs="Arial"/>
                <w:sz w:val="20"/>
                <w:szCs w:val="18"/>
              </w:rPr>
              <w:t>Systems Measure 1:</w:t>
            </w:r>
          </w:p>
          <w:p w:rsidR="004B20E5" w:rsidRPr="009D766E" w:rsidRDefault="004B20E5" w:rsidP="00B3449B">
            <w:pPr>
              <w:ind w:left="537" w:hanging="537"/>
              <w:rPr>
                <w:rFonts w:cs="Arial"/>
                <w:sz w:val="20"/>
                <w:szCs w:val="18"/>
              </w:rPr>
            </w:pPr>
            <w:r w:rsidRPr="002F2DD0">
              <w:rPr>
                <w:rFonts w:cs="Arial"/>
                <w:sz w:val="20"/>
                <w:szCs w:val="18"/>
              </w:rPr>
              <w:tab/>
            </w:r>
            <w:r w:rsidRPr="00850EAD">
              <w:rPr>
                <w:rFonts w:cs="Arial"/>
                <w:sz w:val="20"/>
                <w:szCs w:val="18"/>
              </w:rPr>
              <w:t xml:space="preserve">By December 31, 2015, </w:t>
            </w:r>
            <w:r>
              <w:rPr>
                <w:rFonts w:cs="Arial"/>
                <w:sz w:val="20"/>
                <w:szCs w:val="18"/>
              </w:rPr>
              <w:t>c</w:t>
            </w:r>
            <w:r w:rsidRPr="002F2DD0">
              <w:rPr>
                <w:rFonts w:cs="Arial"/>
                <w:sz w:val="20"/>
                <w:szCs w:val="18"/>
              </w:rPr>
              <w:t>reate a Public Health Data Warehouse to</w:t>
            </w:r>
            <w:r w:rsidR="00B3449B">
              <w:rPr>
                <w:rFonts w:cs="Arial"/>
                <w:sz w:val="20"/>
                <w:szCs w:val="18"/>
              </w:rPr>
              <w:t xml:space="preserve"> </w:t>
            </w:r>
            <w:r w:rsidRPr="000D25C0">
              <w:rPr>
                <w:sz w:val="20"/>
                <w:szCs w:val="18"/>
              </w:rPr>
              <w:t>maintain and improve surveillance capacity; and increase the accessibility of data for state and local public health activities, for evaluation of key public health initiatives, and for the SHIP objectives</w:t>
            </w:r>
          </w:p>
        </w:tc>
        <w:tc>
          <w:tcPr>
            <w:tcW w:w="287" w:type="pct"/>
            <w:vAlign w:val="center"/>
          </w:tcPr>
          <w:p w:rsidR="004B20E5" w:rsidRPr="002F2DD0" w:rsidRDefault="004B20E5" w:rsidP="002F2DD0">
            <w:pPr>
              <w:jc w:val="center"/>
              <w:rPr>
                <w:rFonts w:cs="Arial"/>
                <w:sz w:val="16"/>
                <w:szCs w:val="18"/>
              </w:rPr>
            </w:pPr>
            <w:r w:rsidRPr="002F2DD0">
              <w:rPr>
                <w:rFonts w:cs="Arial"/>
                <w:sz w:val="16"/>
                <w:szCs w:val="18"/>
              </w:rPr>
              <w:t>S.1.1</w:t>
            </w:r>
          </w:p>
          <w:p w:rsidR="004B20E5" w:rsidRPr="002F2DD0" w:rsidRDefault="004B20E5" w:rsidP="002F2DD0">
            <w:pPr>
              <w:jc w:val="center"/>
              <w:rPr>
                <w:rFonts w:cs="Arial"/>
                <w:sz w:val="16"/>
                <w:szCs w:val="18"/>
              </w:rPr>
            </w:pPr>
            <w:r w:rsidRPr="002F2DD0">
              <w:rPr>
                <w:rFonts w:cs="Arial"/>
                <w:sz w:val="16"/>
                <w:szCs w:val="18"/>
              </w:rPr>
              <w:t>S.1.2</w:t>
            </w:r>
          </w:p>
          <w:p w:rsidR="004B20E5" w:rsidRPr="002F2DD0" w:rsidRDefault="004B20E5" w:rsidP="002F2DD0">
            <w:pPr>
              <w:jc w:val="center"/>
              <w:rPr>
                <w:rFonts w:cs="Arial"/>
                <w:sz w:val="16"/>
                <w:szCs w:val="18"/>
              </w:rPr>
            </w:pPr>
            <w:r w:rsidRPr="002F2DD0">
              <w:rPr>
                <w:rFonts w:cs="Arial"/>
                <w:sz w:val="16"/>
                <w:szCs w:val="18"/>
              </w:rPr>
              <w:t>S.1.3</w:t>
            </w:r>
          </w:p>
          <w:p w:rsidR="004B20E5" w:rsidRDefault="004B20E5" w:rsidP="002F2DD0">
            <w:pPr>
              <w:jc w:val="center"/>
              <w:rPr>
                <w:rFonts w:cs="Arial"/>
                <w:sz w:val="16"/>
                <w:szCs w:val="18"/>
              </w:rPr>
            </w:pPr>
            <w:r w:rsidRPr="002F2DD0">
              <w:rPr>
                <w:rFonts w:cs="Arial"/>
                <w:sz w:val="16"/>
                <w:szCs w:val="18"/>
              </w:rPr>
              <w:t>S.1.4</w:t>
            </w:r>
          </w:p>
          <w:p w:rsidR="004B20E5" w:rsidRPr="002F2DD0" w:rsidRDefault="004B20E5" w:rsidP="002F2DD0">
            <w:pPr>
              <w:jc w:val="center"/>
              <w:rPr>
                <w:rFonts w:cs="Arial"/>
                <w:sz w:val="16"/>
                <w:szCs w:val="18"/>
              </w:rPr>
            </w:pPr>
            <w:r>
              <w:rPr>
                <w:rFonts w:cs="Arial"/>
                <w:sz w:val="16"/>
                <w:szCs w:val="18"/>
              </w:rPr>
              <w:t>S.1.5</w:t>
            </w:r>
          </w:p>
        </w:tc>
        <w:tc>
          <w:tcPr>
            <w:tcW w:w="263" w:type="pct"/>
            <w:vAlign w:val="center"/>
          </w:tcPr>
          <w:p w:rsidR="004B20E5" w:rsidRPr="002F2DD0" w:rsidRDefault="004B20E5" w:rsidP="002F2DD0">
            <w:pPr>
              <w:jc w:val="center"/>
              <w:rPr>
                <w:rFonts w:cs="Arial"/>
                <w:sz w:val="16"/>
                <w:szCs w:val="18"/>
              </w:rPr>
            </w:pPr>
          </w:p>
        </w:tc>
        <w:tc>
          <w:tcPr>
            <w:tcW w:w="263" w:type="pct"/>
            <w:vAlign w:val="center"/>
          </w:tcPr>
          <w:p w:rsidR="004B20E5" w:rsidRPr="002F2DD0" w:rsidRDefault="004B20E5" w:rsidP="002F2DD0">
            <w:pPr>
              <w:jc w:val="center"/>
              <w:rPr>
                <w:rFonts w:cs="Arial"/>
                <w:sz w:val="16"/>
                <w:szCs w:val="18"/>
              </w:rPr>
            </w:pPr>
            <w:r w:rsidRPr="002F2DD0">
              <w:rPr>
                <w:rFonts w:cs="Arial"/>
                <w:sz w:val="16"/>
                <w:szCs w:val="18"/>
              </w:rPr>
              <w:t>S.1.6</w:t>
            </w:r>
          </w:p>
          <w:p w:rsidR="004B20E5" w:rsidRPr="002F2DD0" w:rsidRDefault="004B20E5" w:rsidP="002F2DD0">
            <w:pPr>
              <w:jc w:val="center"/>
              <w:rPr>
                <w:rFonts w:cs="Arial"/>
                <w:sz w:val="16"/>
                <w:szCs w:val="18"/>
              </w:rPr>
            </w:pPr>
            <w:r w:rsidRPr="002F2DD0">
              <w:rPr>
                <w:rFonts w:cs="Arial"/>
                <w:sz w:val="16"/>
                <w:szCs w:val="18"/>
              </w:rPr>
              <w:t>S.1.7</w:t>
            </w:r>
          </w:p>
          <w:p w:rsidR="004B20E5" w:rsidRDefault="004B20E5" w:rsidP="002F2DD0">
            <w:pPr>
              <w:jc w:val="center"/>
              <w:rPr>
                <w:rFonts w:cs="Arial"/>
                <w:sz w:val="16"/>
                <w:szCs w:val="18"/>
              </w:rPr>
            </w:pPr>
            <w:r w:rsidRPr="002F2DD0">
              <w:rPr>
                <w:rFonts w:cs="Arial"/>
                <w:sz w:val="16"/>
                <w:szCs w:val="18"/>
              </w:rPr>
              <w:t>S.1.8</w:t>
            </w:r>
          </w:p>
          <w:p w:rsidR="004B20E5" w:rsidRDefault="004B20E5" w:rsidP="002F2DD0">
            <w:pPr>
              <w:jc w:val="center"/>
              <w:rPr>
                <w:rFonts w:cs="Arial"/>
                <w:sz w:val="16"/>
                <w:szCs w:val="18"/>
              </w:rPr>
            </w:pPr>
            <w:r w:rsidRPr="002F2DD0">
              <w:rPr>
                <w:rFonts w:cs="Arial"/>
                <w:sz w:val="16"/>
                <w:szCs w:val="18"/>
              </w:rPr>
              <w:t>S.1.9</w:t>
            </w:r>
          </w:p>
          <w:p w:rsidR="004B20E5" w:rsidRPr="002F2DD0" w:rsidRDefault="004B20E5" w:rsidP="00B408A3">
            <w:pPr>
              <w:jc w:val="center"/>
              <w:rPr>
                <w:rFonts w:cs="Arial"/>
                <w:sz w:val="16"/>
                <w:szCs w:val="18"/>
              </w:rPr>
            </w:pPr>
            <w:r w:rsidRPr="002F2DD0">
              <w:rPr>
                <w:rFonts w:cs="Arial"/>
                <w:sz w:val="16"/>
                <w:szCs w:val="18"/>
              </w:rPr>
              <w:t>S.1.10</w:t>
            </w:r>
          </w:p>
          <w:p w:rsidR="004B20E5" w:rsidRPr="002F2DD0" w:rsidRDefault="004B20E5" w:rsidP="00B408A3">
            <w:pPr>
              <w:jc w:val="center"/>
              <w:rPr>
                <w:rFonts w:cs="Arial"/>
                <w:sz w:val="16"/>
                <w:szCs w:val="18"/>
              </w:rPr>
            </w:pPr>
            <w:r w:rsidRPr="002F2DD0">
              <w:rPr>
                <w:rFonts w:cs="Arial"/>
                <w:sz w:val="16"/>
                <w:szCs w:val="18"/>
              </w:rPr>
              <w:t>S.1.11</w:t>
            </w:r>
          </w:p>
          <w:p w:rsidR="004B20E5" w:rsidRPr="002F2DD0" w:rsidRDefault="004B20E5" w:rsidP="002F2DD0">
            <w:pPr>
              <w:jc w:val="center"/>
              <w:rPr>
                <w:rFonts w:cs="Arial"/>
                <w:sz w:val="16"/>
                <w:szCs w:val="18"/>
              </w:rPr>
            </w:pPr>
          </w:p>
        </w:tc>
        <w:tc>
          <w:tcPr>
            <w:tcW w:w="263" w:type="pct"/>
            <w:vAlign w:val="center"/>
          </w:tcPr>
          <w:p w:rsidR="004B20E5" w:rsidRPr="002F2DD0" w:rsidRDefault="004B20E5" w:rsidP="002F2DD0">
            <w:pPr>
              <w:jc w:val="center"/>
              <w:rPr>
                <w:rFonts w:cs="Arial"/>
                <w:sz w:val="16"/>
                <w:szCs w:val="18"/>
              </w:rPr>
            </w:pPr>
            <w:r>
              <w:rPr>
                <w:rFonts w:cs="Arial"/>
                <w:sz w:val="16"/>
                <w:szCs w:val="18"/>
              </w:rPr>
              <w:t>S.1.12</w:t>
            </w:r>
          </w:p>
        </w:tc>
        <w:tc>
          <w:tcPr>
            <w:tcW w:w="264" w:type="pct"/>
            <w:vAlign w:val="center"/>
          </w:tcPr>
          <w:p w:rsidR="004B20E5" w:rsidRPr="002F2DD0" w:rsidRDefault="004B20E5" w:rsidP="002F2DD0">
            <w:pPr>
              <w:jc w:val="center"/>
              <w:rPr>
                <w:rFonts w:cs="Arial"/>
                <w:sz w:val="16"/>
                <w:szCs w:val="18"/>
              </w:rPr>
            </w:pPr>
            <w:r w:rsidRPr="002F2DD0">
              <w:rPr>
                <w:rFonts w:cs="Arial"/>
                <w:sz w:val="16"/>
                <w:szCs w:val="18"/>
              </w:rPr>
              <w:t>S.1.13</w:t>
            </w:r>
          </w:p>
          <w:p w:rsidR="004B20E5" w:rsidRPr="002F2DD0" w:rsidRDefault="004B20E5" w:rsidP="002F2DD0">
            <w:pPr>
              <w:jc w:val="center"/>
              <w:rPr>
                <w:rFonts w:cs="Arial"/>
                <w:sz w:val="16"/>
                <w:szCs w:val="18"/>
              </w:rPr>
            </w:pPr>
            <w:r w:rsidRPr="002F2DD0">
              <w:rPr>
                <w:rFonts w:cs="Arial"/>
                <w:sz w:val="16"/>
                <w:szCs w:val="18"/>
              </w:rPr>
              <w:t>S.1.14</w:t>
            </w:r>
          </w:p>
          <w:p w:rsidR="004B20E5" w:rsidRPr="002F2DD0" w:rsidRDefault="004B20E5" w:rsidP="002F2DD0">
            <w:pPr>
              <w:jc w:val="center"/>
              <w:rPr>
                <w:rFonts w:cs="Arial"/>
                <w:sz w:val="16"/>
                <w:szCs w:val="18"/>
              </w:rPr>
            </w:pPr>
            <w:r w:rsidRPr="002F2DD0">
              <w:rPr>
                <w:rFonts w:cs="Arial"/>
                <w:sz w:val="16"/>
                <w:szCs w:val="18"/>
              </w:rPr>
              <w:t>S.1.15</w:t>
            </w:r>
          </w:p>
          <w:p w:rsidR="004B20E5" w:rsidRPr="002F2DD0" w:rsidRDefault="004B20E5" w:rsidP="002F2DD0">
            <w:pPr>
              <w:jc w:val="center"/>
              <w:rPr>
                <w:rFonts w:cs="Arial"/>
                <w:sz w:val="16"/>
                <w:szCs w:val="18"/>
              </w:rPr>
            </w:pPr>
            <w:r w:rsidRPr="002F2DD0">
              <w:rPr>
                <w:rFonts w:cs="Arial"/>
                <w:sz w:val="16"/>
                <w:szCs w:val="18"/>
              </w:rPr>
              <w:t>S.1.16</w:t>
            </w:r>
          </w:p>
          <w:p w:rsidR="004B20E5" w:rsidRDefault="004B20E5" w:rsidP="002F2DD0">
            <w:pPr>
              <w:jc w:val="center"/>
              <w:rPr>
                <w:rFonts w:cs="Arial"/>
                <w:sz w:val="16"/>
                <w:szCs w:val="18"/>
              </w:rPr>
            </w:pPr>
            <w:r w:rsidRPr="002F2DD0">
              <w:rPr>
                <w:rFonts w:cs="Arial"/>
                <w:sz w:val="16"/>
                <w:szCs w:val="18"/>
              </w:rPr>
              <w:t>S.1.17</w:t>
            </w:r>
          </w:p>
          <w:p w:rsidR="004B20E5" w:rsidRDefault="004B20E5" w:rsidP="002F2DD0">
            <w:pPr>
              <w:jc w:val="center"/>
              <w:rPr>
                <w:rFonts w:cs="Arial"/>
                <w:sz w:val="16"/>
                <w:szCs w:val="18"/>
              </w:rPr>
            </w:pPr>
            <w:r>
              <w:rPr>
                <w:rFonts w:cs="Arial"/>
                <w:sz w:val="16"/>
                <w:szCs w:val="18"/>
              </w:rPr>
              <w:t>S.1.18</w:t>
            </w:r>
          </w:p>
          <w:p w:rsidR="004B20E5" w:rsidRDefault="004B20E5" w:rsidP="002F2DD0">
            <w:pPr>
              <w:jc w:val="center"/>
              <w:rPr>
                <w:rFonts w:cs="Arial"/>
                <w:sz w:val="16"/>
                <w:szCs w:val="18"/>
              </w:rPr>
            </w:pPr>
            <w:r>
              <w:rPr>
                <w:rFonts w:cs="Arial"/>
                <w:sz w:val="16"/>
                <w:szCs w:val="18"/>
              </w:rPr>
              <w:t>S.1.19</w:t>
            </w:r>
          </w:p>
          <w:p w:rsidR="004B20E5" w:rsidRDefault="004B20E5" w:rsidP="002F2DD0">
            <w:pPr>
              <w:jc w:val="center"/>
              <w:rPr>
                <w:rFonts w:cs="Arial"/>
                <w:sz w:val="16"/>
                <w:szCs w:val="18"/>
              </w:rPr>
            </w:pPr>
            <w:r>
              <w:rPr>
                <w:rFonts w:cs="Arial"/>
                <w:sz w:val="16"/>
                <w:szCs w:val="18"/>
              </w:rPr>
              <w:t>S.1.20</w:t>
            </w:r>
          </w:p>
          <w:p w:rsidR="004B20E5" w:rsidRPr="002F2DD0" w:rsidRDefault="004B20E5" w:rsidP="002F2DD0">
            <w:pPr>
              <w:jc w:val="center"/>
              <w:rPr>
                <w:rFonts w:cs="Arial"/>
                <w:sz w:val="16"/>
                <w:szCs w:val="18"/>
              </w:rPr>
            </w:pPr>
            <w:r>
              <w:rPr>
                <w:rFonts w:cs="Arial"/>
                <w:sz w:val="16"/>
                <w:szCs w:val="18"/>
              </w:rPr>
              <w:t>S.1.21</w:t>
            </w:r>
          </w:p>
        </w:tc>
        <w:tc>
          <w:tcPr>
            <w:tcW w:w="296" w:type="pct"/>
            <w:vAlign w:val="center"/>
          </w:tcPr>
          <w:p w:rsidR="004B20E5" w:rsidRPr="002F2DD0" w:rsidRDefault="004B20E5" w:rsidP="002F2DD0">
            <w:pPr>
              <w:jc w:val="center"/>
              <w:rPr>
                <w:rFonts w:cs="Arial"/>
                <w:sz w:val="16"/>
                <w:szCs w:val="18"/>
              </w:rPr>
            </w:pPr>
          </w:p>
        </w:tc>
        <w:tc>
          <w:tcPr>
            <w:tcW w:w="296" w:type="pct"/>
            <w:vAlign w:val="center"/>
          </w:tcPr>
          <w:p w:rsidR="004B20E5" w:rsidRPr="002F2DD0" w:rsidRDefault="004B20E5" w:rsidP="002F2DD0">
            <w:pPr>
              <w:jc w:val="center"/>
              <w:rPr>
                <w:rFonts w:cs="Arial"/>
                <w:sz w:val="16"/>
                <w:szCs w:val="18"/>
              </w:rPr>
            </w:pPr>
          </w:p>
        </w:tc>
        <w:tc>
          <w:tcPr>
            <w:tcW w:w="264" w:type="pct"/>
            <w:vAlign w:val="center"/>
          </w:tcPr>
          <w:p w:rsidR="004B20E5" w:rsidRPr="002F2DD0" w:rsidRDefault="004B20E5" w:rsidP="002F2DD0">
            <w:pPr>
              <w:jc w:val="center"/>
              <w:rPr>
                <w:rFonts w:cs="Arial"/>
                <w:sz w:val="16"/>
                <w:szCs w:val="18"/>
              </w:rPr>
            </w:pPr>
            <w:r w:rsidRPr="002F2DD0">
              <w:rPr>
                <w:rFonts w:cs="Arial"/>
                <w:sz w:val="16"/>
                <w:szCs w:val="18"/>
              </w:rPr>
              <w:t>S.1.</w:t>
            </w:r>
            <w:r>
              <w:rPr>
                <w:rFonts w:cs="Arial"/>
                <w:sz w:val="16"/>
                <w:szCs w:val="18"/>
              </w:rPr>
              <w:t>22</w:t>
            </w:r>
          </w:p>
        </w:tc>
        <w:tc>
          <w:tcPr>
            <w:tcW w:w="329" w:type="pct"/>
            <w:vAlign w:val="center"/>
          </w:tcPr>
          <w:p w:rsidR="004B20E5" w:rsidRPr="002F2DD0" w:rsidRDefault="004B20E5" w:rsidP="002F2DD0">
            <w:pPr>
              <w:jc w:val="center"/>
              <w:rPr>
                <w:rFonts w:cs="Arial"/>
                <w:sz w:val="16"/>
                <w:szCs w:val="18"/>
              </w:rPr>
            </w:pPr>
            <w:r w:rsidRPr="002F2DD0">
              <w:rPr>
                <w:rFonts w:cs="Arial"/>
                <w:sz w:val="16"/>
                <w:szCs w:val="18"/>
              </w:rPr>
              <w:t>S.1.</w:t>
            </w:r>
            <w:r>
              <w:rPr>
                <w:rFonts w:cs="Arial"/>
                <w:sz w:val="16"/>
                <w:szCs w:val="18"/>
              </w:rPr>
              <w:t>23</w:t>
            </w:r>
          </w:p>
          <w:p w:rsidR="004B20E5" w:rsidRPr="002F2DD0" w:rsidRDefault="004B20E5" w:rsidP="002F2DD0">
            <w:pPr>
              <w:jc w:val="center"/>
              <w:rPr>
                <w:rFonts w:cs="Arial"/>
                <w:sz w:val="16"/>
                <w:szCs w:val="18"/>
              </w:rPr>
            </w:pPr>
            <w:r w:rsidRPr="002F2DD0">
              <w:rPr>
                <w:rFonts w:cs="Arial"/>
                <w:sz w:val="16"/>
                <w:szCs w:val="18"/>
              </w:rPr>
              <w:t>S.1.</w:t>
            </w:r>
            <w:r>
              <w:rPr>
                <w:rFonts w:cs="Arial"/>
                <w:sz w:val="16"/>
                <w:szCs w:val="18"/>
              </w:rPr>
              <w:t>24</w:t>
            </w:r>
          </w:p>
        </w:tc>
        <w:tc>
          <w:tcPr>
            <w:tcW w:w="362" w:type="pct"/>
            <w:vAlign w:val="center"/>
          </w:tcPr>
          <w:p w:rsidR="004B20E5" w:rsidRPr="002F2DD0" w:rsidRDefault="004B20E5" w:rsidP="002F2DD0">
            <w:pPr>
              <w:jc w:val="center"/>
              <w:rPr>
                <w:rFonts w:cs="Arial"/>
                <w:sz w:val="16"/>
                <w:szCs w:val="18"/>
              </w:rPr>
            </w:pPr>
          </w:p>
        </w:tc>
        <w:tc>
          <w:tcPr>
            <w:tcW w:w="297" w:type="pct"/>
            <w:vAlign w:val="center"/>
          </w:tcPr>
          <w:p w:rsidR="004B20E5" w:rsidRPr="002F2DD0" w:rsidRDefault="004B20E5" w:rsidP="002F2DD0">
            <w:pPr>
              <w:jc w:val="center"/>
              <w:rPr>
                <w:rFonts w:cs="Arial"/>
                <w:sz w:val="16"/>
                <w:szCs w:val="18"/>
              </w:rPr>
            </w:pPr>
          </w:p>
        </w:tc>
        <w:tc>
          <w:tcPr>
            <w:tcW w:w="294" w:type="pct"/>
            <w:vAlign w:val="center"/>
          </w:tcPr>
          <w:p w:rsidR="004B20E5" w:rsidRPr="002F2DD0" w:rsidRDefault="004B20E5" w:rsidP="002F2DD0">
            <w:pPr>
              <w:jc w:val="center"/>
              <w:rPr>
                <w:rFonts w:cs="Arial"/>
                <w:sz w:val="16"/>
                <w:szCs w:val="18"/>
              </w:rPr>
            </w:pPr>
          </w:p>
        </w:tc>
      </w:tr>
      <w:tr w:rsidR="004B20E5" w:rsidRPr="00092D1F" w:rsidTr="00717B8F">
        <w:trPr>
          <w:cantSplit/>
        </w:trPr>
        <w:tc>
          <w:tcPr>
            <w:tcW w:w="1522" w:type="pct"/>
          </w:tcPr>
          <w:p w:rsidR="004B20E5" w:rsidRPr="002F2DD0" w:rsidRDefault="004B20E5" w:rsidP="002F2DD0">
            <w:pPr>
              <w:ind w:left="537" w:hanging="537"/>
              <w:rPr>
                <w:rFonts w:cs="Arial"/>
                <w:sz w:val="20"/>
                <w:szCs w:val="18"/>
              </w:rPr>
            </w:pPr>
            <w:r w:rsidRPr="002F2DD0">
              <w:rPr>
                <w:rFonts w:cs="Arial"/>
                <w:sz w:val="20"/>
                <w:szCs w:val="18"/>
              </w:rPr>
              <w:t>Systems Measure 2:</w:t>
            </w:r>
          </w:p>
          <w:p w:rsidR="004B20E5" w:rsidRPr="002F2DD0" w:rsidRDefault="004B20E5" w:rsidP="002F2DD0">
            <w:pPr>
              <w:ind w:left="537" w:hanging="537"/>
              <w:rPr>
                <w:rFonts w:cs="Arial"/>
                <w:sz w:val="20"/>
                <w:szCs w:val="18"/>
              </w:rPr>
            </w:pPr>
            <w:r w:rsidRPr="002F2DD0">
              <w:rPr>
                <w:rFonts w:cs="Arial"/>
                <w:sz w:val="20"/>
                <w:szCs w:val="18"/>
              </w:rPr>
              <w:tab/>
            </w:r>
            <w:r w:rsidRPr="00850EAD">
              <w:rPr>
                <w:rFonts w:cs="Arial"/>
                <w:sz w:val="20"/>
                <w:szCs w:val="18"/>
              </w:rPr>
              <w:t xml:space="preserve">By December 31, 2015, </w:t>
            </w:r>
            <w:r>
              <w:rPr>
                <w:rFonts w:cs="Arial"/>
                <w:sz w:val="20"/>
                <w:szCs w:val="18"/>
              </w:rPr>
              <w:t>e</w:t>
            </w:r>
            <w:r w:rsidRPr="00F0238E">
              <w:rPr>
                <w:rFonts w:cs="Arial"/>
                <w:sz w:val="20"/>
                <w:szCs w:val="18"/>
              </w:rPr>
              <w:t>nhance the capacity of local health departments to respond to public health needs</w:t>
            </w:r>
            <w:r w:rsidRPr="002F2DD0">
              <w:rPr>
                <w:rFonts w:cs="Arial"/>
                <w:sz w:val="20"/>
                <w:szCs w:val="18"/>
              </w:rPr>
              <w:t>.</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S.2.1</w:t>
            </w:r>
          </w:p>
          <w:p w:rsidR="004B20E5" w:rsidRPr="002F2DD0" w:rsidRDefault="004B20E5" w:rsidP="009C7855">
            <w:pPr>
              <w:jc w:val="center"/>
              <w:rPr>
                <w:rFonts w:cs="Arial"/>
                <w:sz w:val="16"/>
                <w:szCs w:val="18"/>
              </w:rPr>
            </w:pPr>
            <w:r w:rsidRPr="002F2DD0">
              <w:rPr>
                <w:rFonts w:cs="Arial"/>
                <w:sz w:val="16"/>
                <w:szCs w:val="18"/>
              </w:rPr>
              <w:t>S.2.2</w:t>
            </w:r>
          </w:p>
          <w:p w:rsidR="004B20E5" w:rsidRPr="002F2DD0" w:rsidRDefault="004B20E5" w:rsidP="002F2DD0">
            <w:pPr>
              <w:jc w:val="center"/>
              <w:rPr>
                <w:rFonts w:cs="Arial"/>
                <w:sz w:val="16"/>
                <w:szCs w:val="18"/>
              </w:rPr>
            </w:pPr>
          </w:p>
        </w:tc>
        <w:tc>
          <w:tcPr>
            <w:tcW w:w="263" w:type="pct"/>
            <w:vAlign w:val="center"/>
          </w:tcPr>
          <w:p w:rsidR="004B20E5" w:rsidRPr="002F2DD0" w:rsidRDefault="004B20E5" w:rsidP="002F2DD0">
            <w:pPr>
              <w:jc w:val="center"/>
              <w:rPr>
                <w:rFonts w:cs="Arial"/>
                <w:sz w:val="16"/>
                <w:szCs w:val="18"/>
              </w:rPr>
            </w:pPr>
          </w:p>
        </w:tc>
        <w:tc>
          <w:tcPr>
            <w:tcW w:w="263" w:type="pct"/>
            <w:vAlign w:val="center"/>
          </w:tcPr>
          <w:p w:rsidR="004B20E5" w:rsidRPr="002F2DD0" w:rsidRDefault="004B20E5" w:rsidP="002F2DD0">
            <w:pPr>
              <w:jc w:val="center"/>
              <w:rPr>
                <w:rFonts w:cs="Arial"/>
                <w:sz w:val="16"/>
                <w:szCs w:val="18"/>
              </w:rPr>
            </w:pPr>
          </w:p>
        </w:tc>
        <w:tc>
          <w:tcPr>
            <w:tcW w:w="263" w:type="pct"/>
            <w:vAlign w:val="center"/>
          </w:tcPr>
          <w:p w:rsidR="004B20E5" w:rsidRPr="002F2DD0" w:rsidRDefault="004B20E5" w:rsidP="002F2DD0">
            <w:pPr>
              <w:jc w:val="center"/>
              <w:rPr>
                <w:rFonts w:cs="Arial"/>
                <w:sz w:val="16"/>
                <w:szCs w:val="18"/>
              </w:rPr>
            </w:pPr>
          </w:p>
        </w:tc>
        <w:tc>
          <w:tcPr>
            <w:tcW w:w="264" w:type="pct"/>
            <w:vAlign w:val="center"/>
          </w:tcPr>
          <w:p w:rsidR="004B20E5" w:rsidRPr="002F2DD0" w:rsidRDefault="004B20E5" w:rsidP="002F2DD0">
            <w:pPr>
              <w:jc w:val="center"/>
              <w:rPr>
                <w:rFonts w:cs="Arial"/>
                <w:sz w:val="16"/>
                <w:szCs w:val="18"/>
              </w:rPr>
            </w:pPr>
          </w:p>
        </w:tc>
        <w:tc>
          <w:tcPr>
            <w:tcW w:w="296" w:type="pct"/>
            <w:vAlign w:val="center"/>
          </w:tcPr>
          <w:p w:rsidR="004B20E5" w:rsidRPr="002F2DD0" w:rsidRDefault="004B20E5" w:rsidP="002F2DD0">
            <w:pPr>
              <w:jc w:val="center"/>
              <w:rPr>
                <w:rFonts w:cs="Arial"/>
                <w:sz w:val="16"/>
                <w:szCs w:val="18"/>
              </w:rPr>
            </w:pPr>
          </w:p>
        </w:tc>
        <w:tc>
          <w:tcPr>
            <w:tcW w:w="296" w:type="pct"/>
            <w:vAlign w:val="center"/>
          </w:tcPr>
          <w:p w:rsidR="004B20E5" w:rsidRPr="002F2DD0" w:rsidRDefault="004B20E5" w:rsidP="002F2DD0">
            <w:pPr>
              <w:jc w:val="center"/>
              <w:rPr>
                <w:rFonts w:cs="Arial"/>
                <w:sz w:val="16"/>
                <w:szCs w:val="18"/>
              </w:rPr>
            </w:pPr>
          </w:p>
        </w:tc>
        <w:tc>
          <w:tcPr>
            <w:tcW w:w="264" w:type="pct"/>
            <w:vAlign w:val="center"/>
          </w:tcPr>
          <w:p w:rsidR="004B20E5" w:rsidRDefault="004B20E5" w:rsidP="002F2DD0">
            <w:pPr>
              <w:jc w:val="center"/>
              <w:rPr>
                <w:rFonts w:cs="Arial"/>
                <w:sz w:val="16"/>
                <w:szCs w:val="18"/>
              </w:rPr>
            </w:pPr>
            <w:r w:rsidRPr="002F2DD0">
              <w:rPr>
                <w:rFonts w:cs="Arial"/>
                <w:sz w:val="16"/>
                <w:szCs w:val="18"/>
              </w:rPr>
              <w:t>S.2.3</w:t>
            </w:r>
          </w:p>
          <w:p w:rsidR="004B20E5" w:rsidRDefault="004B20E5" w:rsidP="002F2DD0">
            <w:pPr>
              <w:jc w:val="center"/>
              <w:rPr>
                <w:rFonts w:cs="Arial"/>
                <w:sz w:val="16"/>
                <w:szCs w:val="18"/>
              </w:rPr>
            </w:pPr>
            <w:r w:rsidRPr="002F2DD0">
              <w:rPr>
                <w:rFonts w:cs="Arial"/>
                <w:sz w:val="16"/>
                <w:szCs w:val="18"/>
              </w:rPr>
              <w:t>S.2.4</w:t>
            </w:r>
          </w:p>
          <w:p w:rsidR="004B20E5" w:rsidRPr="002F2DD0" w:rsidRDefault="004B20E5" w:rsidP="002F2DD0">
            <w:pPr>
              <w:jc w:val="center"/>
              <w:rPr>
                <w:rFonts w:cs="Arial"/>
                <w:sz w:val="16"/>
                <w:szCs w:val="18"/>
              </w:rPr>
            </w:pPr>
          </w:p>
        </w:tc>
        <w:tc>
          <w:tcPr>
            <w:tcW w:w="329" w:type="pct"/>
            <w:vAlign w:val="center"/>
          </w:tcPr>
          <w:p w:rsidR="004B20E5" w:rsidRPr="002F2DD0" w:rsidRDefault="004B20E5" w:rsidP="002F2DD0">
            <w:pPr>
              <w:jc w:val="center"/>
              <w:rPr>
                <w:rFonts w:cs="Arial"/>
                <w:sz w:val="16"/>
                <w:szCs w:val="18"/>
              </w:rPr>
            </w:pPr>
            <w:r w:rsidRPr="002F2DD0">
              <w:rPr>
                <w:rFonts w:cs="Arial"/>
                <w:sz w:val="16"/>
                <w:szCs w:val="18"/>
              </w:rPr>
              <w:t>S.2.</w:t>
            </w:r>
            <w:r>
              <w:rPr>
                <w:rFonts w:cs="Arial"/>
                <w:sz w:val="16"/>
                <w:szCs w:val="18"/>
              </w:rPr>
              <w:t>5</w:t>
            </w:r>
          </w:p>
        </w:tc>
        <w:tc>
          <w:tcPr>
            <w:tcW w:w="362" w:type="pct"/>
            <w:vAlign w:val="center"/>
          </w:tcPr>
          <w:p w:rsidR="004B20E5" w:rsidRPr="002F2DD0" w:rsidRDefault="004B20E5" w:rsidP="002F2DD0">
            <w:pPr>
              <w:jc w:val="center"/>
              <w:rPr>
                <w:rFonts w:cs="Arial"/>
                <w:sz w:val="16"/>
                <w:szCs w:val="18"/>
              </w:rPr>
            </w:pPr>
          </w:p>
        </w:tc>
        <w:tc>
          <w:tcPr>
            <w:tcW w:w="297" w:type="pct"/>
            <w:vAlign w:val="center"/>
          </w:tcPr>
          <w:p w:rsidR="004B20E5" w:rsidRPr="002F2DD0" w:rsidRDefault="004B20E5" w:rsidP="002F2DD0">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2F2DD0">
            <w:pPr>
              <w:ind w:left="537" w:hanging="537"/>
              <w:rPr>
                <w:rFonts w:cs="Arial"/>
                <w:sz w:val="20"/>
                <w:szCs w:val="18"/>
              </w:rPr>
            </w:pPr>
            <w:r w:rsidRPr="002F2DD0">
              <w:rPr>
                <w:rFonts w:cs="Arial"/>
                <w:sz w:val="20"/>
                <w:szCs w:val="18"/>
              </w:rPr>
              <w:t>Systems Measure 3:</w:t>
            </w:r>
          </w:p>
          <w:p w:rsidR="004B20E5" w:rsidRPr="002F2DD0" w:rsidRDefault="004B20E5" w:rsidP="002F2DD0">
            <w:pPr>
              <w:ind w:left="537" w:hanging="537"/>
              <w:rPr>
                <w:rFonts w:cs="Arial"/>
                <w:sz w:val="20"/>
                <w:szCs w:val="18"/>
              </w:rPr>
            </w:pPr>
            <w:r w:rsidRPr="002F2DD0">
              <w:rPr>
                <w:rFonts w:cs="Arial"/>
                <w:sz w:val="20"/>
                <w:szCs w:val="18"/>
              </w:rPr>
              <w:tab/>
            </w:r>
            <w:r w:rsidRPr="00850EAD">
              <w:rPr>
                <w:rFonts w:cs="Arial"/>
                <w:sz w:val="20"/>
                <w:szCs w:val="18"/>
              </w:rPr>
              <w:t xml:space="preserve">By December 31, 2015, </w:t>
            </w:r>
            <w:r>
              <w:rPr>
                <w:rFonts w:cs="Arial"/>
                <w:sz w:val="20"/>
                <w:szCs w:val="18"/>
              </w:rPr>
              <w:t>e</w:t>
            </w:r>
            <w:r w:rsidRPr="00F0238E">
              <w:rPr>
                <w:rFonts w:cs="Arial"/>
                <w:sz w:val="20"/>
                <w:szCs w:val="18"/>
              </w:rPr>
              <w:t>stablish and maintain a system to support and provide technical assistance to a network of community based collaborative partnerships across Massachusetts to promote public health</w:t>
            </w:r>
            <w:r>
              <w:rPr>
                <w:rFonts w:cs="Arial"/>
                <w:sz w:val="20"/>
                <w:szCs w:val="18"/>
              </w:rPr>
              <w:t>.</w:t>
            </w:r>
          </w:p>
        </w:tc>
        <w:tc>
          <w:tcPr>
            <w:tcW w:w="287" w:type="pct"/>
            <w:vAlign w:val="center"/>
          </w:tcPr>
          <w:p w:rsidR="004B20E5" w:rsidRPr="002F2DD0" w:rsidRDefault="004B20E5" w:rsidP="002F2DD0">
            <w:pPr>
              <w:jc w:val="center"/>
              <w:rPr>
                <w:rFonts w:cs="Arial"/>
                <w:sz w:val="16"/>
                <w:szCs w:val="18"/>
              </w:rPr>
            </w:pPr>
            <w:r w:rsidRPr="002F2DD0">
              <w:rPr>
                <w:rFonts w:cs="Arial"/>
                <w:sz w:val="16"/>
                <w:szCs w:val="18"/>
              </w:rPr>
              <w:t>S.3.1 S.3.2</w:t>
            </w:r>
          </w:p>
        </w:tc>
        <w:tc>
          <w:tcPr>
            <w:tcW w:w="263" w:type="pct"/>
            <w:vAlign w:val="center"/>
          </w:tcPr>
          <w:p w:rsidR="004B20E5" w:rsidRPr="002F2DD0" w:rsidRDefault="004B20E5" w:rsidP="002F2DD0">
            <w:pPr>
              <w:jc w:val="center"/>
              <w:rPr>
                <w:rFonts w:cs="Arial"/>
                <w:sz w:val="16"/>
                <w:szCs w:val="18"/>
              </w:rPr>
            </w:pPr>
          </w:p>
        </w:tc>
        <w:tc>
          <w:tcPr>
            <w:tcW w:w="263" w:type="pct"/>
            <w:vAlign w:val="center"/>
          </w:tcPr>
          <w:p w:rsidR="004B20E5" w:rsidRPr="002F2DD0" w:rsidRDefault="004B20E5" w:rsidP="002F2DD0">
            <w:pPr>
              <w:jc w:val="center"/>
              <w:rPr>
                <w:rFonts w:cs="Arial"/>
                <w:sz w:val="16"/>
                <w:szCs w:val="18"/>
              </w:rPr>
            </w:pPr>
          </w:p>
        </w:tc>
        <w:tc>
          <w:tcPr>
            <w:tcW w:w="263" w:type="pct"/>
            <w:vAlign w:val="center"/>
          </w:tcPr>
          <w:p w:rsidR="004B20E5" w:rsidRPr="002F2DD0" w:rsidRDefault="004B20E5" w:rsidP="002F2DD0">
            <w:pPr>
              <w:jc w:val="center"/>
              <w:rPr>
                <w:rFonts w:cs="Arial"/>
                <w:sz w:val="16"/>
                <w:szCs w:val="18"/>
              </w:rPr>
            </w:pPr>
            <w:r w:rsidRPr="002F2DD0">
              <w:rPr>
                <w:rFonts w:cs="Arial"/>
                <w:sz w:val="16"/>
                <w:szCs w:val="18"/>
              </w:rPr>
              <w:t>S.3.</w:t>
            </w:r>
            <w:r>
              <w:rPr>
                <w:rFonts w:cs="Arial"/>
                <w:sz w:val="16"/>
                <w:szCs w:val="18"/>
              </w:rPr>
              <w:t>3</w:t>
            </w:r>
          </w:p>
        </w:tc>
        <w:tc>
          <w:tcPr>
            <w:tcW w:w="264" w:type="pct"/>
            <w:vAlign w:val="center"/>
          </w:tcPr>
          <w:p w:rsidR="004B20E5" w:rsidRDefault="004B20E5" w:rsidP="002F2DD0">
            <w:pPr>
              <w:jc w:val="center"/>
              <w:rPr>
                <w:rFonts w:cs="Arial"/>
                <w:sz w:val="16"/>
                <w:szCs w:val="18"/>
              </w:rPr>
            </w:pPr>
            <w:r>
              <w:rPr>
                <w:rFonts w:cs="Arial"/>
                <w:sz w:val="16"/>
                <w:szCs w:val="18"/>
              </w:rPr>
              <w:t>S.3.4</w:t>
            </w:r>
          </w:p>
          <w:p w:rsidR="004B20E5" w:rsidRPr="002F2DD0" w:rsidRDefault="004B20E5" w:rsidP="009C7855">
            <w:pPr>
              <w:jc w:val="center"/>
              <w:rPr>
                <w:rFonts w:cs="Arial"/>
                <w:sz w:val="16"/>
                <w:szCs w:val="18"/>
              </w:rPr>
            </w:pPr>
            <w:r>
              <w:rPr>
                <w:rFonts w:cs="Arial"/>
                <w:sz w:val="16"/>
                <w:szCs w:val="18"/>
              </w:rPr>
              <w:t>S.3.5</w:t>
            </w:r>
          </w:p>
        </w:tc>
        <w:tc>
          <w:tcPr>
            <w:tcW w:w="296" w:type="pct"/>
            <w:vAlign w:val="center"/>
          </w:tcPr>
          <w:p w:rsidR="004B20E5" w:rsidRPr="002F2DD0" w:rsidRDefault="004B20E5" w:rsidP="002F2DD0">
            <w:pPr>
              <w:jc w:val="center"/>
              <w:rPr>
                <w:rFonts w:cs="Arial"/>
                <w:sz w:val="16"/>
                <w:szCs w:val="18"/>
              </w:rPr>
            </w:pPr>
          </w:p>
        </w:tc>
        <w:tc>
          <w:tcPr>
            <w:tcW w:w="296" w:type="pct"/>
            <w:vAlign w:val="center"/>
          </w:tcPr>
          <w:p w:rsidR="004B20E5" w:rsidRPr="002F2DD0" w:rsidRDefault="004B20E5" w:rsidP="002F2DD0">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S.3</w:t>
            </w:r>
            <w:r>
              <w:rPr>
                <w:rFonts w:cs="Arial"/>
                <w:sz w:val="16"/>
                <w:szCs w:val="18"/>
              </w:rPr>
              <w:t>.6</w:t>
            </w:r>
          </w:p>
        </w:tc>
        <w:tc>
          <w:tcPr>
            <w:tcW w:w="329" w:type="pct"/>
            <w:vAlign w:val="center"/>
          </w:tcPr>
          <w:p w:rsidR="004B20E5" w:rsidRPr="002F2DD0" w:rsidRDefault="004B20E5" w:rsidP="002F2DD0">
            <w:pPr>
              <w:jc w:val="center"/>
              <w:rPr>
                <w:rFonts w:cs="Arial"/>
                <w:sz w:val="16"/>
                <w:szCs w:val="18"/>
              </w:rPr>
            </w:pPr>
          </w:p>
        </w:tc>
        <w:tc>
          <w:tcPr>
            <w:tcW w:w="362" w:type="pct"/>
            <w:vAlign w:val="center"/>
          </w:tcPr>
          <w:p w:rsidR="004B20E5" w:rsidRPr="002F2DD0" w:rsidRDefault="004B20E5" w:rsidP="002F2DD0">
            <w:pPr>
              <w:jc w:val="center"/>
              <w:rPr>
                <w:rFonts w:cs="Arial"/>
                <w:sz w:val="16"/>
                <w:szCs w:val="18"/>
              </w:rPr>
            </w:pPr>
          </w:p>
        </w:tc>
        <w:tc>
          <w:tcPr>
            <w:tcW w:w="297" w:type="pct"/>
            <w:vAlign w:val="center"/>
          </w:tcPr>
          <w:p w:rsidR="004B20E5" w:rsidRPr="002F2DD0" w:rsidRDefault="004B20E5" w:rsidP="002F2DD0">
            <w:pPr>
              <w:jc w:val="center"/>
              <w:rPr>
                <w:rFonts w:cs="Arial"/>
                <w:sz w:val="16"/>
                <w:szCs w:val="18"/>
              </w:rPr>
            </w:pPr>
          </w:p>
        </w:tc>
        <w:tc>
          <w:tcPr>
            <w:tcW w:w="294" w:type="pct"/>
            <w:vAlign w:val="center"/>
          </w:tcPr>
          <w:p w:rsidR="004B20E5" w:rsidRPr="002F2DD0" w:rsidRDefault="004B20E5" w:rsidP="002F2DD0">
            <w:pPr>
              <w:jc w:val="center"/>
              <w:rPr>
                <w:rFonts w:cs="Arial"/>
                <w:sz w:val="16"/>
                <w:szCs w:val="18"/>
              </w:rPr>
            </w:pPr>
          </w:p>
        </w:tc>
      </w:tr>
      <w:tr w:rsidR="004B20E5" w:rsidRPr="00092D1F" w:rsidTr="00717B8F">
        <w:trPr>
          <w:cantSplit/>
        </w:trPr>
        <w:tc>
          <w:tcPr>
            <w:tcW w:w="1522" w:type="pct"/>
          </w:tcPr>
          <w:p w:rsidR="004B20E5" w:rsidRPr="002F2DD0" w:rsidRDefault="004B20E5" w:rsidP="002F2DD0">
            <w:pPr>
              <w:ind w:left="537" w:hanging="537"/>
              <w:rPr>
                <w:rFonts w:cs="Arial"/>
                <w:sz w:val="20"/>
                <w:szCs w:val="18"/>
              </w:rPr>
            </w:pPr>
            <w:r w:rsidRPr="002F2DD0">
              <w:rPr>
                <w:rFonts w:cs="Arial"/>
                <w:sz w:val="20"/>
                <w:szCs w:val="18"/>
              </w:rPr>
              <w:t>Systems Measure 4:</w:t>
            </w:r>
          </w:p>
          <w:p w:rsidR="004B20E5" w:rsidRPr="002F2DD0" w:rsidRDefault="004B20E5" w:rsidP="002F2DD0">
            <w:pPr>
              <w:ind w:left="537" w:hanging="537"/>
              <w:rPr>
                <w:rFonts w:cs="Arial"/>
                <w:sz w:val="20"/>
                <w:szCs w:val="18"/>
              </w:rPr>
            </w:pPr>
            <w:r w:rsidRPr="002F2DD0">
              <w:rPr>
                <w:rFonts w:cs="Arial"/>
                <w:sz w:val="20"/>
                <w:szCs w:val="18"/>
              </w:rPr>
              <w:tab/>
            </w:r>
            <w:r w:rsidRPr="00CB32A0">
              <w:rPr>
                <w:rFonts w:cs="Arial"/>
                <w:sz w:val="20"/>
                <w:szCs w:val="18"/>
              </w:rPr>
              <w:t xml:space="preserve">By June 30, 2017, </w:t>
            </w:r>
            <w:r>
              <w:rPr>
                <w:rFonts w:cs="Arial"/>
                <w:sz w:val="20"/>
                <w:szCs w:val="18"/>
              </w:rPr>
              <w:t>e</w:t>
            </w:r>
            <w:r w:rsidRPr="00F0238E">
              <w:rPr>
                <w:rFonts w:cs="Arial"/>
                <w:sz w:val="20"/>
                <w:szCs w:val="18"/>
              </w:rPr>
              <w:t>stablish six regional health and medical coordinating coalitions that will support and enhance the ability of the Commonwealth to prepare for, respond to, recover from, and mitigate the impact of public health and medical threats, emergencies and disasters, including acts of terrorism</w:t>
            </w:r>
            <w:r w:rsidRPr="002F2DD0">
              <w:rPr>
                <w:rFonts w:cs="Arial"/>
                <w:sz w:val="20"/>
                <w:szCs w:val="18"/>
              </w:rPr>
              <w:t>.</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2F2DD0">
            <w:pPr>
              <w:jc w:val="center"/>
              <w:rPr>
                <w:rFonts w:cs="Arial"/>
                <w:sz w:val="16"/>
                <w:szCs w:val="18"/>
              </w:rPr>
            </w:pPr>
          </w:p>
        </w:tc>
        <w:tc>
          <w:tcPr>
            <w:tcW w:w="263" w:type="pct"/>
            <w:vAlign w:val="center"/>
          </w:tcPr>
          <w:p w:rsidR="004B20E5" w:rsidRPr="002F2DD0" w:rsidRDefault="004B20E5" w:rsidP="002F2DD0">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S.4.1</w:t>
            </w:r>
          </w:p>
          <w:p w:rsidR="004B20E5" w:rsidRPr="002F2DD0" w:rsidRDefault="004B20E5" w:rsidP="009C7855">
            <w:pPr>
              <w:jc w:val="center"/>
              <w:rPr>
                <w:rFonts w:cs="Arial"/>
                <w:sz w:val="16"/>
                <w:szCs w:val="18"/>
              </w:rPr>
            </w:pPr>
            <w:r w:rsidRPr="002F2DD0">
              <w:rPr>
                <w:rFonts w:cs="Arial"/>
                <w:sz w:val="16"/>
                <w:szCs w:val="18"/>
              </w:rPr>
              <w:t>S.4.2</w:t>
            </w:r>
          </w:p>
          <w:p w:rsidR="004B20E5" w:rsidRPr="002F2DD0" w:rsidRDefault="004B20E5" w:rsidP="002F2DD0">
            <w:pPr>
              <w:jc w:val="center"/>
              <w:rPr>
                <w:rFonts w:cs="Arial"/>
                <w:sz w:val="16"/>
                <w:szCs w:val="18"/>
              </w:rPr>
            </w:pPr>
          </w:p>
        </w:tc>
        <w:tc>
          <w:tcPr>
            <w:tcW w:w="264" w:type="pct"/>
            <w:vAlign w:val="center"/>
          </w:tcPr>
          <w:p w:rsidR="004B20E5" w:rsidRPr="002F2DD0" w:rsidRDefault="004B20E5" w:rsidP="002F2DD0">
            <w:pPr>
              <w:jc w:val="center"/>
              <w:rPr>
                <w:rFonts w:cs="Arial"/>
                <w:sz w:val="16"/>
                <w:szCs w:val="18"/>
              </w:rPr>
            </w:pPr>
            <w:r w:rsidRPr="002F2DD0">
              <w:rPr>
                <w:rFonts w:cs="Arial"/>
                <w:sz w:val="16"/>
                <w:szCs w:val="18"/>
              </w:rPr>
              <w:t>S.4.3</w:t>
            </w:r>
          </w:p>
          <w:p w:rsidR="004B20E5" w:rsidRPr="002F2DD0" w:rsidRDefault="004B20E5" w:rsidP="002F2DD0">
            <w:pPr>
              <w:jc w:val="center"/>
              <w:rPr>
                <w:rFonts w:cs="Arial"/>
                <w:sz w:val="16"/>
                <w:szCs w:val="18"/>
              </w:rPr>
            </w:pPr>
            <w:r w:rsidRPr="002F2DD0">
              <w:rPr>
                <w:rFonts w:cs="Arial"/>
                <w:sz w:val="16"/>
                <w:szCs w:val="18"/>
              </w:rPr>
              <w:t>S.4.4</w:t>
            </w:r>
          </w:p>
        </w:tc>
        <w:tc>
          <w:tcPr>
            <w:tcW w:w="296" w:type="pct"/>
            <w:vAlign w:val="center"/>
          </w:tcPr>
          <w:p w:rsidR="004B20E5" w:rsidRPr="002F2DD0" w:rsidRDefault="004B20E5" w:rsidP="002F2DD0">
            <w:pPr>
              <w:jc w:val="center"/>
              <w:rPr>
                <w:rFonts w:cs="Arial"/>
                <w:sz w:val="16"/>
                <w:szCs w:val="18"/>
              </w:rPr>
            </w:pPr>
          </w:p>
        </w:tc>
        <w:tc>
          <w:tcPr>
            <w:tcW w:w="296" w:type="pct"/>
            <w:vAlign w:val="center"/>
          </w:tcPr>
          <w:p w:rsidR="004B20E5" w:rsidRPr="002F2DD0" w:rsidRDefault="004B20E5" w:rsidP="002F2DD0">
            <w:pPr>
              <w:jc w:val="center"/>
              <w:rPr>
                <w:rFonts w:cs="Arial"/>
                <w:sz w:val="16"/>
                <w:szCs w:val="18"/>
              </w:rPr>
            </w:pPr>
          </w:p>
        </w:tc>
        <w:tc>
          <w:tcPr>
            <w:tcW w:w="264" w:type="pct"/>
            <w:vAlign w:val="center"/>
          </w:tcPr>
          <w:p w:rsidR="004B20E5" w:rsidRPr="002F2DD0" w:rsidRDefault="004B20E5" w:rsidP="002F2DD0">
            <w:pPr>
              <w:jc w:val="center"/>
              <w:rPr>
                <w:rFonts w:cs="Arial"/>
                <w:sz w:val="16"/>
                <w:szCs w:val="18"/>
              </w:rPr>
            </w:pPr>
          </w:p>
        </w:tc>
        <w:tc>
          <w:tcPr>
            <w:tcW w:w="329" w:type="pct"/>
            <w:vAlign w:val="center"/>
          </w:tcPr>
          <w:p w:rsidR="004B20E5" w:rsidRPr="002F2DD0" w:rsidRDefault="004B20E5" w:rsidP="002F2DD0">
            <w:pPr>
              <w:jc w:val="center"/>
              <w:rPr>
                <w:rFonts w:cs="Arial"/>
                <w:sz w:val="16"/>
                <w:szCs w:val="18"/>
              </w:rPr>
            </w:pPr>
          </w:p>
        </w:tc>
        <w:tc>
          <w:tcPr>
            <w:tcW w:w="362" w:type="pct"/>
            <w:vAlign w:val="center"/>
          </w:tcPr>
          <w:p w:rsidR="004B20E5" w:rsidRPr="002F2DD0" w:rsidRDefault="004B20E5" w:rsidP="002F2DD0">
            <w:pPr>
              <w:jc w:val="center"/>
              <w:rPr>
                <w:rFonts w:cs="Arial"/>
                <w:sz w:val="16"/>
                <w:szCs w:val="18"/>
              </w:rPr>
            </w:pPr>
          </w:p>
        </w:tc>
        <w:tc>
          <w:tcPr>
            <w:tcW w:w="297" w:type="pct"/>
            <w:vAlign w:val="center"/>
          </w:tcPr>
          <w:p w:rsidR="004B20E5" w:rsidRPr="002F2DD0" w:rsidRDefault="004B20E5" w:rsidP="002F2DD0">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r w:rsidRPr="002F2DD0">
              <w:rPr>
                <w:rFonts w:cs="Arial"/>
                <w:sz w:val="16"/>
                <w:szCs w:val="18"/>
              </w:rPr>
              <w:t>S.4.</w:t>
            </w:r>
            <w:r>
              <w:rPr>
                <w:rFonts w:cs="Arial"/>
                <w:sz w:val="16"/>
                <w:szCs w:val="18"/>
              </w:rPr>
              <w:t>5</w:t>
            </w:r>
          </w:p>
          <w:p w:rsidR="004B20E5" w:rsidRPr="002F2DD0" w:rsidRDefault="004B20E5" w:rsidP="009C7855">
            <w:pPr>
              <w:jc w:val="center"/>
              <w:rPr>
                <w:rFonts w:cs="Arial"/>
                <w:sz w:val="16"/>
                <w:szCs w:val="18"/>
              </w:rPr>
            </w:pPr>
            <w:r w:rsidRPr="002F2DD0">
              <w:rPr>
                <w:rFonts w:cs="Arial"/>
                <w:sz w:val="16"/>
                <w:szCs w:val="18"/>
              </w:rPr>
              <w:t>S.4.</w:t>
            </w:r>
            <w:r>
              <w:rPr>
                <w:rFonts w:cs="Arial"/>
                <w:sz w:val="16"/>
                <w:szCs w:val="18"/>
              </w:rPr>
              <w:t>6</w:t>
            </w:r>
          </w:p>
        </w:tc>
      </w:tr>
      <w:tr w:rsidR="004B20E5" w:rsidRPr="00092D1F" w:rsidTr="00717B8F">
        <w:trPr>
          <w:cantSplit/>
        </w:trPr>
        <w:tc>
          <w:tcPr>
            <w:tcW w:w="1522" w:type="pct"/>
          </w:tcPr>
          <w:p w:rsidR="004B20E5" w:rsidRPr="002F2DD0" w:rsidRDefault="004B20E5" w:rsidP="002F2DD0">
            <w:pPr>
              <w:ind w:left="537" w:hanging="537"/>
              <w:rPr>
                <w:rFonts w:cs="Arial"/>
                <w:sz w:val="20"/>
                <w:szCs w:val="18"/>
              </w:rPr>
            </w:pPr>
            <w:r w:rsidRPr="002F2DD0">
              <w:rPr>
                <w:rFonts w:cs="Arial"/>
                <w:sz w:val="20"/>
                <w:szCs w:val="18"/>
              </w:rPr>
              <w:t>Systems Measure 5:</w:t>
            </w:r>
          </w:p>
          <w:p w:rsidR="004B20E5" w:rsidRPr="002F2DD0" w:rsidRDefault="004B20E5" w:rsidP="002F2DD0">
            <w:pPr>
              <w:ind w:left="537" w:hanging="537"/>
              <w:rPr>
                <w:rFonts w:cs="Arial"/>
                <w:sz w:val="20"/>
                <w:szCs w:val="18"/>
              </w:rPr>
            </w:pPr>
            <w:r w:rsidRPr="002F2DD0">
              <w:rPr>
                <w:rFonts w:cs="Arial"/>
                <w:sz w:val="20"/>
                <w:szCs w:val="18"/>
              </w:rPr>
              <w:tab/>
            </w:r>
            <w:r w:rsidRPr="00F0238E">
              <w:rPr>
                <w:rFonts w:cs="Arial"/>
                <w:sz w:val="20"/>
                <w:szCs w:val="18"/>
              </w:rPr>
              <w:t>Develop a Public Health Workforce Development Plan</w:t>
            </w:r>
            <w:r w:rsidRPr="00054671">
              <w:rPr>
                <w:rFonts w:cs="Arial"/>
                <w:sz w:val="20"/>
                <w:szCs w:val="18"/>
              </w:rPr>
              <w:t xml:space="preserve">(e.g., PM/QI including regulatory oversight) </w:t>
            </w:r>
            <w:r w:rsidRPr="00F0238E">
              <w:rPr>
                <w:rFonts w:cs="Arial"/>
                <w:sz w:val="20"/>
                <w:szCs w:val="18"/>
              </w:rPr>
              <w:t>to increase public health workforce capacity for Massachusetts, including quantity, quality, and diversity of workforce</w:t>
            </w:r>
            <w:r>
              <w:rPr>
                <w:rFonts w:cs="Arial"/>
                <w:sz w:val="20"/>
                <w:szCs w:val="18"/>
              </w:rPr>
              <w:t>.</w:t>
            </w:r>
          </w:p>
        </w:tc>
        <w:tc>
          <w:tcPr>
            <w:tcW w:w="287" w:type="pct"/>
            <w:vAlign w:val="center"/>
          </w:tcPr>
          <w:p w:rsidR="004B20E5" w:rsidRPr="002F2DD0" w:rsidRDefault="004B20E5" w:rsidP="002F2DD0">
            <w:pPr>
              <w:jc w:val="center"/>
              <w:rPr>
                <w:rFonts w:cs="Arial"/>
                <w:sz w:val="16"/>
                <w:szCs w:val="18"/>
              </w:rPr>
            </w:pPr>
          </w:p>
        </w:tc>
        <w:tc>
          <w:tcPr>
            <w:tcW w:w="263" w:type="pct"/>
            <w:vAlign w:val="center"/>
          </w:tcPr>
          <w:p w:rsidR="004B20E5" w:rsidRPr="002F2DD0" w:rsidRDefault="004B20E5" w:rsidP="002F2DD0">
            <w:pPr>
              <w:jc w:val="center"/>
              <w:rPr>
                <w:rFonts w:cs="Arial"/>
                <w:sz w:val="16"/>
                <w:szCs w:val="18"/>
              </w:rPr>
            </w:pPr>
          </w:p>
        </w:tc>
        <w:tc>
          <w:tcPr>
            <w:tcW w:w="263" w:type="pct"/>
            <w:vAlign w:val="center"/>
          </w:tcPr>
          <w:p w:rsidR="004B20E5" w:rsidRPr="002F2DD0" w:rsidRDefault="004B20E5" w:rsidP="002F2DD0">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S.5.1</w:t>
            </w:r>
          </w:p>
          <w:p w:rsidR="004B20E5" w:rsidRPr="002F2DD0" w:rsidRDefault="004B20E5" w:rsidP="009C7855">
            <w:pPr>
              <w:jc w:val="center"/>
              <w:rPr>
                <w:rFonts w:cs="Arial"/>
                <w:sz w:val="16"/>
                <w:szCs w:val="18"/>
              </w:rPr>
            </w:pPr>
            <w:r w:rsidRPr="002F2DD0">
              <w:rPr>
                <w:rFonts w:cs="Arial"/>
                <w:sz w:val="16"/>
                <w:szCs w:val="18"/>
              </w:rPr>
              <w:t>S.5.2</w:t>
            </w:r>
          </w:p>
        </w:tc>
        <w:tc>
          <w:tcPr>
            <w:tcW w:w="264" w:type="pct"/>
            <w:vAlign w:val="center"/>
          </w:tcPr>
          <w:p w:rsidR="004B20E5" w:rsidRPr="002F2DD0" w:rsidRDefault="004B20E5" w:rsidP="002F2DD0">
            <w:pPr>
              <w:jc w:val="center"/>
              <w:rPr>
                <w:rFonts w:cs="Arial"/>
                <w:sz w:val="16"/>
                <w:szCs w:val="18"/>
              </w:rPr>
            </w:pPr>
          </w:p>
        </w:tc>
        <w:tc>
          <w:tcPr>
            <w:tcW w:w="296" w:type="pct"/>
            <w:vAlign w:val="center"/>
          </w:tcPr>
          <w:p w:rsidR="004B20E5" w:rsidRPr="002F2DD0" w:rsidRDefault="004B20E5" w:rsidP="002F2DD0">
            <w:pPr>
              <w:jc w:val="center"/>
              <w:rPr>
                <w:rFonts w:cs="Arial"/>
                <w:sz w:val="16"/>
                <w:szCs w:val="18"/>
              </w:rPr>
            </w:pPr>
          </w:p>
        </w:tc>
        <w:tc>
          <w:tcPr>
            <w:tcW w:w="296" w:type="pct"/>
            <w:vAlign w:val="center"/>
          </w:tcPr>
          <w:p w:rsidR="004B20E5" w:rsidRPr="002F2DD0" w:rsidRDefault="004B20E5" w:rsidP="002F2DD0">
            <w:pPr>
              <w:jc w:val="center"/>
              <w:rPr>
                <w:rFonts w:cs="Arial"/>
                <w:sz w:val="16"/>
                <w:szCs w:val="18"/>
              </w:rPr>
            </w:pPr>
          </w:p>
        </w:tc>
        <w:tc>
          <w:tcPr>
            <w:tcW w:w="264" w:type="pct"/>
            <w:vAlign w:val="center"/>
          </w:tcPr>
          <w:p w:rsidR="004B20E5" w:rsidRPr="002F2DD0" w:rsidRDefault="004B20E5" w:rsidP="002F2DD0">
            <w:pPr>
              <w:jc w:val="center"/>
              <w:rPr>
                <w:rFonts w:cs="Arial"/>
                <w:sz w:val="16"/>
                <w:szCs w:val="18"/>
              </w:rPr>
            </w:pPr>
            <w:r w:rsidRPr="002F2DD0">
              <w:rPr>
                <w:rFonts w:cs="Arial"/>
                <w:sz w:val="16"/>
                <w:szCs w:val="18"/>
              </w:rPr>
              <w:t>S.5.3</w:t>
            </w:r>
          </w:p>
          <w:p w:rsidR="004B20E5" w:rsidRPr="002F2DD0" w:rsidRDefault="004B20E5" w:rsidP="002F2DD0">
            <w:pPr>
              <w:jc w:val="center"/>
              <w:rPr>
                <w:rFonts w:cs="Arial"/>
                <w:sz w:val="16"/>
                <w:szCs w:val="18"/>
              </w:rPr>
            </w:pPr>
            <w:r w:rsidRPr="002F2DD0">
              <w:rPr>
                <w:rFonts w:cs="Arial"/>
                <w:sz w:val="16"/>
                <w:szCs w:val="18"/>
              </w:rPr>
              <w:t>S.5.4</w:t>
            </w:r>
          </w:p>
          <w:p w:rsidR="004B20E5" w:rsidRDefault="004B20E5" w:rsidP="002F2DD0">
            <w:pPr>
              <w:jc w:val="center"/>
              <w:rPr>
                <w:rFonts w:cs="Arial"/>
                <w:sz w:val="16"/>
                <w:szCs w:val="18"/>
              </w:rPr>
            </w:pPr>
            <w:r w:rsidRPr="002F2DD0">
              <w:rPr>
                <w:rFonts w:cs="Arial"/>
                <w:sz w:val="16"/>
                <w:szCs w:val="18"/>
              </w:rPr>
              <w:t>S.5.5</w:t>
            </w:r>
          </w:p>
          <w:p w:rsidR="004B20E5" w:rsidRDefault="004B20E5" w:rsidP="002F2DD0">
            <w:pPr>
              <w:jc w:val="center"/>
              <w:rPr>
                <w:rFonts w:cs="Arial"/>
                <w:sz w:val="16"/>
                <w:szCs w:val="18"/>
              </w:rPr>
            </w:pPr>
            <w:r w:rsidRPr="002F2DD0">
              <w:rPr>
                <w:rFonts w:cs="Arial"/>
                <w:sz w:val="16"/>
                <w:szCs w:val="18"/>
              </w:rPr>
              <w:t>S.5.</w:t>
            </w:r>
            <w:r>
              <w:rPr>
                <w:rFonts w:cs="Arial"/>
                <w:sz w:val="16"/>
                <w:szCs w:val="18"/>
              </w:rPr>
              <w:t>6</w:t>
            </w:r>
          </w:p>
          <w:p w:rsidR="004B20E5" w:rsidRPr="002F2DD0" w:rsidRDefault="004B20E5" w:rsidP="009C7855">
            <w:pPr>
              <w:jc w:val="center"/>
              <w:rPr>
                <w:rFonts w:cs="Arial"/>
                <w:sz w:val="16"/>
                <w:szCs w:val="18"/>
              </w:rPr>
            </w:pPr>
            <w:r w:rsidRPr="002F2DD0">
              <w:rPr>
                <w:rFonts w:cs="Arial"/>
                <w:sz w:val="16"/>
                <w:szCs w:val="18"/>
              </w:rPr>
              <w:t>S.5.</w:t>
            </w:r>
            <w:r>
              <w:rPr>
                <w:rFonts w:cs="Arial"/>
                <w:sz w:val="16"/>
                <w:szCs w:val="18"/>
              </w:rPr>
              <w:t>7</w:t>
            </w:r>
          </w:p>
        </w:tc>
        <w:tc>
          <w:tcPr>
            <w:tcW w:w="329" w:type="pct"/>
            <w:vAlign w:val="center"/>
          </w:tcPr>
          <w:p w:rsidR="004B20E5" w:rsidRPr="002F2DD0" w:rsidRDefault="004B20E5" w:rsidP="002F2DD0">
            <w:pPr>
              <w:jc w:val="center"/>
              <w:rPr>
                <w:rFonts w:cs="Arial"/>
                <w:sz w:val="16"/>
                <w:szCs w:val="18"/>
              </w:rPr>
            </w:pPr>
          </w:p>
        </w:tc>
        <w:tc>
          <w:tcPr>
            <w:tcW w:w="362" w:type="pct"/>
            <w:vAlign w:val="center"/>
          </w:tcPr>
          <w:p w:rsidR="004B20E5" w:rsidRPr="002F2DD0" w:rsidRDefault="004B20E5" w:rsidP="002F2DD0">
            <w:pPr>
              <w:jc w:val="center"/>
              <w:rPr>
                <w:rFonts w:cs="Arial"/>
                <w:sz w:val="16"/>
                <w:szCs w:val="18"/>
              </w:rPr>
            </w:pPr>
          </w:p>
        </w:tc>
        <w:tc>
          <w:tcPr>
            <w:tcW w:w="297" w:type="pct"/>
            <w:vAlign w:val="center"/>
          </w:tcPr>
          <w:p w:rsidR="004B20E5" w:rsidRPr="002F2DD0" w:rsidRDefault="004B20E5" w:rsidP="002F2DD0">
            <w:pPr>
              <w:jc w:val="center"/>
              <w:rPr>
                <w:rFonts w:cs="Arial"/>
                <w:sz w:val="16"/>
                <w:szCs w:val="18"/>
              </w:rPr>
            </w:pPr>
          </w:p>
        </w:tc>
        <w:tc>
          <w:tcPr>
            <w:tcW w:w="294" w:type="pct"/>
            <w:vAlign w:val="center"/>
          </w:tcPr>
          <w:p w:rsidR="004B20E5" w:rsidRPr="002F2DD0" w:rsidRDefault="004B20E5" w:rsidP="002F2DD0">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Systems Measure 6:</w:t>
            </w:r>
          </w:p>
          <w:p w:rsidR="004B20E5" w:rsidRPr="002F2DD0" w:rsidRDefault="004B20E5" w:rsidP="009C7855">
            <w:pPr>
              <w:ind w:left="537" w:hanging="537"/>
              <w:rPr>
                <w:rFonts w:cs="Arial"/>
                <w:sz w:val="20"/>
                <w:szCs w:val="18"/>
              </w:rPr>
            </w:pPr>
            <w:r w:rsidRPr="002F2DD0">
              <w:rPr>
                <w:rFonts w:cs="Arial"/>
                <w:sz w:val="20"/>
                <w:szCs w:val="18"/>
              </w:rPr>
              <w:tab/>
            </w:r>
            <w:r w:rsidRPr="00F0238E">
              <w:rPr>
                <w:rFonts w:cs="Arial"/>
                <w:sz w:val="20"/>
                <w:szCs w:val="18"/>
              </w:rPr>
              <w:t>Increase Massachusetts’ public health licensing and regulatory enforcement capacity</w:t>
            </w:r>
            <w:r>
              <w:rPr>
                <w:rFonts w:cs="Arial"/>
                <w:sz w:val="20"/>
                <w:szCs w:val="18"/>
              </w:rPr>
              <w:t xml:space="preserve"> (e.g., Health Planning, DON) by December 2015</w:t>
            </w:r>
            <w:r w:rsidRPr="00F0238E">
              <w:rPr>
                <w:rFonts w:cs="Arial"/>
                <w:sz w:val="20"/>
                <w:szCs w:val="18"/>
              </w:rPr>
              <w:t>.</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S.6.1</w:t>
            </w:r>
          </w:p>
          <w:p w:rsidR="004B20E5" w:rsidRDefault="004B20E5" w:rsidP="009C7855">
            <w:pPr>
              <w:jc w:val="center"/>
              <w:rPr>
                <w:rFonts w:cs="Arial"/>
                <w:sz w:val="16"/>
                <w:szCs w:val="18"/>
              </w:rPr>
            </w:pPr>
            <w:r w:rsidRPr="002F2DD0">
              <w:rPr>
                <w:rFonts w:cs="Arial"/>
                <w:sz w:val="16"/>
                <w:szCs w:val="18"/>
              </w:rPr>
              <w:t>S.6.2</w:t>
            </w:r>
          </w:p>
          <w:p w:rsidR="004B20E5" w:rsidRPr="002F2DD0" w:rsidRDefault="004B20E5" w:rsidP="009C7855">
            <w:pPr>
              <w:jc w:val="center"/>
              <w:rPr>
                <w:rFonts w:cs="Arial"/>
                <w:sz w:val="16"/>
                <w:szCs w:val="18"/>
              </w:rPr>
            </w:pPr>
            <w:r>
              <w:rPr>
                <w:rFonts w:cs="Arial"/>
                <w:sz w:val="16"/>
                <w:szCs w:val="18"/>
              </w:rPr>
              <w:t>S.6.3</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c>
          <w:tcPr>
            <w:tcW w:w="1522" w:type="pct"/>
            <w:tcBorders>
              <w:right w:val="nil"/>
            </w:tcBorders>
          </w:tcPr>
          <w:p w:rsidR="004B20E5" w:rsidRPr="009C7855" w:rsidRDefault="004B20E5" w:rsidP="00876533">
            <w:pPr>
              <w:pageBreakBefore/>
              <w:ind w:left="533" w:hanging="533"/>
              <w:rPr>
                <w:rFonts w:cs="Arial"/>
                <w:b/>
                <w:sz w:val="24"/>
                <w:szCs w:val="28"/>
              </w:rPr>
            </w:pPr>
            <w:r w:rsidRPr="009C7855">
              <w:rPr>
                <w:rFonts w:cs="Arial"/>
                <w:b/>
                <w:sz w:val="24"/>
                <w:szCs w:val="28"/>
              </w:rPr>
              <w:t>Domain 1.</w:t>
            </w:r>
          </w:p>
          <w:p w:rsidR="004B20E5" w:rsidRPr="009C7855" w:rsidRDefault="004B20E5" w:rsidP="009C7855">
            <w:pPr>
              <w:ind w:left="537" w:hanging="537"/>
              <w:rPr>
                <w:rFonts w:cs="Arial"/>
                <w:b/>
                <w:sz w:val="24"/>
                <w:szCs w:val="28"/>
              </w:rPr>
            </w:pPr>
            <w:r w:rsidRPr="009C7855">
              <w:rPr>
                <w:rFonts w:cs="Arial"/>
                <w:b/>
                <w:sz w:val="24"/>
                <w:szCs w:val="28"/>
              </w:rPr>
              <w:t>Active Living, Healthy Eating, and Tobacco-Free Living</w:t>
            </w:r>
          </w:p>
        </w:tc>
        <w:tc>
          <w:tcPr>
            <w:tcW w:w="287"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4" w:type="pct"/>
            <w:tcBorders>
              <w:left w:val="nil"/>
              <w:right w:val="nil"/>
            </w:tcBorders>
            <w:vAlign w:val="center"/>
          </w:tcPr>
          <w:p w:rsidR="004B20E5" w:rsidRPr="002F2DD0" w:rsidRDefault="004B20E5" w:rsidP="009C7855">
            <w:pPr>
              <w:jc w:val="center"/>
              <w:rPr>
                <w:rFonts w:cs="Arial"/>
                <w:sz w:val="16"/>
                <w:szCs w:val="18"/>
              </w:rPr>
            </w:pPr>
          </w:p>
        </w:tc>
        <w:tc>
          <w:tcPr>
            <w:tcW w:w="296" w:type="pct"/>
            <w:tcBorders>
              <w:left w:val="nil"/>
              <w:right w:val="nil"/>
            </w:tcBorders>
            <w:vAlign w:val="center"/>
          </w:tcPr>
          <w:p w:rsidR="004B20E5" w:rsidRPr="002F2DD0" w:rsidRDefault="004B20E5" w:rsidP="009C7855">
            <w:pPr>
              <w:jc w:val="center"/>
              <w:rPr>
                <w:rFonts w:cs="Arial"/>
                <w:sz w:val="16"/>
                <w:szCs w:val="18"/>
              </w:rPr>
            </w:pPr>
          </w:p>
        </w:tc>
        <w:tc>
          <w:tcPr>
            <w:tcW w:w="296" w:type="pct"/>
            <w:tcBorders>
              <w:left w:val="nil"/>
              <w:right w:val="nil"/>
            </w:tcBorders>
            <w:vAlign w:val="center"/>
          </w:tcPr>
          <w:p w:rsidR="004B20E5" w:rsidRPr="002F2DD0" w:rsidRDefault="004B20E5" w:rsidP="009C7855">
            <w:pPr>
              <w:jc w:val="center"/>
              <w:rPr>
                <w:rFonts w:cs="Arial"/>
                <w:sz w:val="16"/>
                <w:szCs w:val="18"/>
              </w:rPr>
            </w:pPr>
          </w:p>
        </w:tc>
        <w:tc>
          <w:tcPr>
            <w:tcW w:w="264" w:type="pct"/>
            <w:tcBorders>
              <w:left w:val="nil"/>
              <w:right w:val="nil"/>
            </w:tcBorders>
            <w:vAlign w:val="center"/>
          </w:tcPr>
          <w:p w:rsidR="004B20E5" w:rsidRPr="002F2DD0" w:rsidRDefault="004B20E5" w:rsidP="009C7855">
            <w:pPr>
              <w:jc w:val="center"/>
              <w:rPr>
                <w:rFonts w:cs="Arial"/>
                <w:sz w:val="16"/>
                <w:szCs w:val="18"/>
              </w:rPr>
            </w:pPr>
          </w:p>
        </w:tc>
        <w:tc>
          <w:tcPr>
            <w:tcW w:w="329" w:type="pct"/>
            <w:tcBorders>
              <w:left w:val="nil"/>
              <w:right w:val="nil"/>
            </w:tcBorders>
            <w:vAlign w:val="center"/>
          </w:tcPr>
          <w:p w:rsidR="004B20E5" w:rsidRPr="002F2DD0" w:rsidRDefault="004B20E5" w:rsidP="009C7855">
            <w:pPr>
              <w:jc w:val="center"/>
              <w:rPr>
                <w:rFonts w:cs="Arial"/>
                <w:sz w:val="16"/>
                <w:szCs w:val="18"/>
              </w:rPr>
            </w:pPr>
          </w:p>
        </w:tc>
        <w:tc>
          <w:tcPr>
            <w:tcW w:w="362" w:type="pct"/>
            <w:tcBorders>
              <w:left w:val="nil"/>
              <w:right w:val="nil"/>
            </w:tcBorders>
            <w:vAlign w:val="center"/>
          </w:tcPr>
          <w:p w:rsidR="004B20E5" w:rsidRPr="002F2DD0" w:rsidRDefault="004B20E5" w:rsidP="009C7855">
            <w:pPr>
              <w:jc w:val="center"/>
              <w:rPr>
                <w:rFonts w:cs="Arial"/>
                <w:sz w:val="16"/>
                <w:szCs w:val="18"/>
              </w:rPr>
            </w:pPr>
          </w:p>
        </w:tc>
        <w:tc>
          <w:tcPr>
            <w:tcW w:w="297" w:type="pct"/>
            <w:tcBorders>
              <w:left w:val="nil"/>
              <w:right w:val="nil"/>
            </w:tcBorders>
            <w:vAlign w:val="center"/>
          </w:tcPr>
          <w:p w:rsidR="004B20E5" w:rsidRPr="002F2DD0" w:rsidRDefault="004B20E5" w:rsidP="009C7855">
            <w:pPr>
              <w:jc w:val="center"/>
              <w:rPr>
                <w:rFonts w:cs="Arial"/>
                <w:sz w:val="16"/>
                <w:szCs w:val="18"/>
              </w:rPr>
            </w:pPr>
          </w:p>
        </w:tc>
        <w:tc>
          <w:tcPr>
            <w:tcW w:w="294" w:type="pct"/>
            <w:tcBorders>
              <w:left w:val="nil"/>
            </w:tcBorders>
            <w:vAlign w:val="center"/>
          </w:tcPr>
          <w:p w:rsidR="004B20E5" w:rsidRPr="002F2DD0" w:rsidRDefault="004B20E5" w:rsidP="009C7855">
            <w:pPr>
              <w:jc w:val="center"/>
              <w:rPr>
                <w:rFonts w:cs="Arial"/>
                <w:sz w:val="16"/>
                <w:szCs w:val="18"/>
              </w:rPr>
            </w:pPr>
          </w:p>
        </w:tc>
      </w:tr>
      <w:tr w:rsidR="004B20E5" w:rsidRPr="00092D1F" w:rsidTr="00717B8F">
        <w:tc>
          <w:tcPr>
            <w:tcW w:w="1522" w:type="pct"/>
          </w:tcPr>
          <w:p w:rsidR="004B20E5" w:rsidRPr="002F2DD0" w:rsidRDefault="004B20E5" w:rsidP="009C7855">
            <w:pPr>
              <w:ind w:left="537" w:hanging="537"/>
              <w:rPr>
                <w:rFonts w:cs="Arial"/>
                <w:sz w:val="20"/>
                <w:szCs w:val="18"/>
              </w:rPr>
            </w:pPr>
            <w:r w:rsidRPr="002F2DD0">
              <w:rPr>
                <w:rFonts w:cs="Arial"/>
                <w:sz w:val="20"/>
                <w:szCs w:val="18"/>
              </w:rPr>
              <w:t xml:space="preserve">1.1:  </w:t>
            </w:r>
            <w:r w:rsidRPr="002F2DD0">
              <w:rPr>
                <w:rFonts w:cs="Arial"/>
                <w:sz w:val="20"/>
                <w:szCs w:val="18"/>
              </w:rPr>
              <w:tab/>
            </w:r>
            <w:r w:rsidRPr="00F0238E">
              <w:rPr>
                <w:rFonts w:cs="Arial"/>
                <w:sz w:val="20"/>
                <w:szCs w:val="18"/>
              </w:rPr>
              <w:t>Increase the percentage of adults, adolescents, and children that report consuming 5 servings of fruits and vegetables daily by 2%.</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1.1.1</w:t>
            </w:r>
          </w:p>
        </w:tc>
        <w:tc>
          <w:tcPr>
            <w:tcW w:w="263" w:type="pct"/>
            <w:vAlign w:val="center"/>
          </w:tcPr>
          <w:p w:rsidR="004B20E5" w:rsidRDefault="004B20E5" w:rsidP="009C7855">
            <w:pPr>
              <w:jc w:val="center"/>
              <w:rPr>
                <w:rFonts w:cs="Arial"/>
                <w:sz w:val="16"/>
                <w:szCs w:val="18"/>
              </w:rPr>
            </w:pPr>
            <w:r w:rsidRPr="002F2DD0">
              <w:rPr>
                <w:rFonts w:cs="Arial"/>
                <w:sz w:val="16"/>
                <w:szCs w:val="18"/>
              </w:rPr>
              <w:t>1.1.2</w:t>
            </w:r>
          </w:p>
          <w:p w:rsidR="004B20E5" w:rsidRPr="002F2DD0" w:rsidRDefault="004B20E5" w:rsidP="009C7855">
            <w:pPr>
              <w:jc w:val="center"/>
              <w:rPr>
                <w:rFonts w:cs="Arial"/>
                <w:sz w:val="16"/>
                <w:szCs w:val="18"/>
              </w:rPr>
            </w:pPr>
            <w:r w:rsidRPr="002F2DD0">
              <w:rPr>
                <w:rFonts w:cs="Arial"/>
                <w:sz w:val="16"/>
                <w:szCs w:val="18"/>
              </w:rPr>
              <w:t>1.1.3</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1.1.4</w:t>
            </w:r>
          </w:p>
          <w:p w:rsidR="004B20E5" w:rsidRDefault="004B20E5" w:rsidP="009C7855">
            <w:pPr>
              <w:jc w:val="center"/>
              <w:rPr>
                <w:rFonts w:cs="Arial"/>
                <w:sz w:val="16"/>
                <w:szCs w:val="18"/>
              </w:rPr>
            </w:pPr>
            <w:r w:rsidRPr="002F2DD0">
              <w:rPr>
                <w:rFonts w:cs="Arial"/>
                <w:sz w:val="16"/>
                <w:szCs w:val="18"/>
              </w:rPr>
              <w:t>1.1.5</w:t>
            </w:r>
          </w:p>
          <w:p w:rsidR="004B20E5" w:rsidRPr="002F2DD0" w:rsidRDefault="004B20E5" w:rsidP="009C7855">
            <w:pPr>
              <w:jc w:val="center"/>
              <w:rPr>
                <w:rFonts w:cs="Arial"/>
                <w:sz w:val="16"/>
                <w:szCs w:val="18"/>
              </w:rPr>
            </w:pPr>
            <w:r>
              <w:rPr>
                <w:rFonts w:cs="Arial"/>
                <w:sz w:val="16"/>
                <w:szCs w:val="18"/>
              </w:rPr>
              <w:t>1.1.6</w:t>
            </w:r>
          </w:p>
        </w:tc>
        <w:tc>
          <w:tcPr>
            <w:tcW w:w="264" w:type="pct"/>
            <w:vAlign w:val="center"/>
          </w:tcPr>
          <w:p w:rsidR="004B20E5" w:rsidRDefault="004B20E5" w:rsidP="009C7855">
            <w:pPr>
              <w:jc w:val="center"/>
              <w:rPr>
                <w:rFonts w:cs="Arial"/>
                <w:sz w:val="16"/>
                <w:szCs w:val="18"/>
              </w:rPr>
            </w:pPr>
            <w:r w:rsidRPr="002F2DD0">
              <w:rPr>
                <w:rFonts w:cs="Arial"/>
                <w:sz w:val="16"/>
                <w:szCs w:val="18"/>
              </w:rPr>
              <w:t>1.1.7</w:t>
            </w:r>
          </w:p>
          <w:p w:rsidR="004B20E5" w:rsidRPr="002F2DD0" w:rsidRDefault="004B20E5" w:rsidP="009C7855">
            <w:pPr>
              <w:jc w:val="center"/>
              <w:rPr>
                <w:rFonts w:cs="Arial"/>
                <w:sz w:val="16"/>
                <w:szCs w:val="18"/>
              </w:rPr>
            </w:pPr>
            <w:r w:rsidRPr="002F2DD0">
              <w:rPr>
                <w:rFonts w:cs="Arial"/>
                <w:sz w:val="16"/>
                <w:szCs w:val="18"/>
              </w:rPr>
              <w:t>1.1.8</w:t>
            </w:r>
          </w:p>
        </w:tc>
        <w:tc>
          <w:tcPr>
            <w:tcW w:w="296" w:type="pct"/>
            <w:vAlign w:val="center"/>
          </w:tcPr>
          <w:p w:rsidR="004B20E5" w:rsidRPr="002F2DD0" w:rsidRDefault="004B20E5" w:rsidP="009C7855">
            <w:pPr>
              <w:jc w:val="center"/>
              <w:rPr>
                <w:rFonts w:cs="Arial"/>
                <w:sz w:val="16"/>
                <w:szCs w:val="18"/>
              </w:rPr>
            </w:pPr>
            <w:r>
              <w:rPr>
                <w:rFonts w:cs="Arial"/>
                <w:sz w:val="16"/>
                <w:szCs w:val="18"/>
              </w:rPr>
              <w:t>1.1.9</w:t>
            </w: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Default="004B20E5" w:rsidP="009C7855">
            <w:pPr>
              <w:jc w:val="center"/>
              <w:rPr>
                <w:rFonts w:cs="Arial"/>
                <w:sz w:val="16"/>
                <w:szCs w:val="18"/>
              </w:rPr>
            </w:pPr>
            <w:r w:rsidRPr="002F2DD0">
              <w:rPr>
                <w:rFonts w:cs="Arial"/>
                <w:sz w:val="16"/>
                <w:szCs w:val="18"/>
              </w:rPr>
              <w:t>1.1.10</w:t>
            </w:r>
          </w:p>
          <w:p w:rsidR="004B20E5" w:rsidRPr="002F2DD0" w:rsidRDefault="004B20E5" w:rsidP="009C7855">
            <w:pPr>
              <w:jc w:val="center"/>
              <w:rPr>
                <w:rFonts w:cs="Arial"/>
                <w:sz w:val="16"/>
                <w:szCs w:val="18"/>
              </w:rPr>
            </w:pPr>
            <w:r>
              <w:rPr>
                <w:rFonts w:cs="Arial"/>
                <w:sz w:val="16"/>
                <w:szCs w:val="18"/>
              </w:rPr>
              <w:t>1.1.11</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Default="004B20E5" w:rsidP="009C7855">
            <w:pPr>
              <w:jc w:val="center"/>
              <w:rPr>
                <w:rFonts w:cs="Arial"/>
                <w:sz w:val="16"/>
                <w:szCs w:val="18"/>
              </w:rPr>
            </w:pPr>
            <w:r w:rsidRPr="002F2DD0">
              <w:rPr>
                <w:rFonts w:cs="Arial"/>
                <w:sz w:val="16"/>
                <w:szCs w:val="18"/>
              </w:rPr>
              <w:t>1.1.12</w:t>
            </w:r>
          </w:p>
          <w:p w:rsidR="004B20E5" w:rsidRPr="002F2DD0" w:rsidRDefault="004B20E5" w:rsidP="009C7855">
            <w:pPr>
              <w:jc w:val="center"/>
              <w:rPr>
                <w:rFonts w:cs="Arial"/>
                <w:sz w:val="16"/>
                <w:szCs w:val="18"/>
              </w:rPr>
            </w:pPr>
            <w:r>
              <w:rPr>
                <w:rFonts w:cs="Arial"/>
                <w:sz w:val="16"/>
                <w:szCs w:val="18"/>
              </w:rPr>
              <w:t>1.1.13</w:t>
            </w: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CB32A0">
            <w:pPr>
              <w:ind w:left="537" w:hanging="537"/>
              <w:rPr>
                <w:rFonts w:cs="Arial"/>
                <w:sz w:val="20"/>
                <w:szCs w:val="18"/>
              </w:rPr>
            </w:pPr>
            <w:r w:rsidRPr="002F2DD0">
              <w:rPr>
                <w:rFonts w:cs="Arial"/>
                <w:sz w:val="20"/>
                <w:szCs w:val="18"/>
              </w:rPr>
              <w:t>1.2:</w:t>
            </w:r>
            <w:r w:rsidRPr="002F2DD0">
              <w:rPr>
                <w:rFonts w:cs="Arial"/>
                <w:sz w:val="20"/>
                <w:szCs w:val="18"/>
              </w:rPr>
              <w:tab/>
            </w:r>
            <w:r w:rsidRPr="00F0238E">
              <w:rPr>
                <w:rFonts w:cs="Arial"/>
                <w:sz w:val="20"/>
                <w:szCs w:val="18"/>
              </w:rPr>
              <w:t xml:space="preserve">Increase the </w:t>
            </w:r>
            <w:r>
              <w:rPr>
                <w:rFonts w:cs="Arial"/>
                <w:sz w:val="20"/>
                <w:szCs w:val="18"/>
              </w:rPr>
              <w:t>relative percentage</w:t>
            </w:r>
            <w:r w:rsidR="00B3449B">
              <w:rPr>
                <w:rFonts w:cs="Arial"/>
                <w:sz w:val="20"/>
                <w:szCs w:val="18"/>
              </w:rPr>
              <w:t xml:space="preserve"> </w:t>
            </w:r>
            <w:r w:rsidRPr="00F0238E">
              <w:rPr>
                <w:rFonts w:cs="Arial"/>
                <w:sz w:val="20"/>
                <w:szCs w:val="18"/>
              </w:rPr>
              <w:t>of adolescents and children who report consuming no more than</w:t>
            </w:r>
            <w:r>
              <w:rPr>
                <w:rFonts w:cs="Arial"/>
                <w:sz w:val="20"/>
                <w:szCs w:val="18"/>
              </w:rPr>
              <w:t xml:space="preserve"> one</w:t>
            </w:r>
            <w:r w:rsidRPr="00F0238E">
              <w:rPr>
                <w:rFonts w:cs="Arial"/>
                <w:sz w:val="20"/>
                <w:szCs w:val="18"/>
              </w:rPr>
              <w:t xml:space="preserve"> sugar-sweetened beverage daily by 2%.</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1.2.1</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1.2.2</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1.2.3</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r w:rsidRPr="002F2DD0">
              <w:rPr>
                <w:rFonts w:cs="Arial"/>
                <w:sz w:val="16"/>
                <w:szCs w:val="18"/>
              </w:rPr>
              <w:t>1.2.4</w:t>
            </w: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c>
          <w:tcPr>
            <w:tcW w:w="1522" w:type="pct"/>
          </w:tcPr>
          <w:p w:rsidR="004B20E5" w:rsidRPr="002F2DD0" w:rsidRDefault="004B20E5" w:rsidP="009C7855">
            <w:pPr>
              <w:ind w:left="537" w:hanging="537"/>
              <w:rPr>
                <w:rFonts w:cs="Arial"/>
                <w:sz w:val="20"/>
                <w:szCs w:val="18"/>
              </w:rPr>
            </w:pPr>
            <w:r w:rsidRPr="002F2DD0">
              <w:rPr>
                <w:rFonts w:cs="Arial"/>
                <w:sz w:val="20"/>
                <w:szCs w:val="18"/>
              </w:rPr>
              <w:t xml:space="preserve">1.3:  </w:t>
            </w:r>
            <w:r w:rsidRPr="002F2DD0">
              <w:rPr>
                <w:rFonts w:cs="Arial"/>
                <w:sz w:val="20"/>
                <w:szCs w:val="18"/>
              </w:rPr>
              <w:tab/>
            </w:r>
            <w:r w:rsidRPr="00F0238E">
              <w:rPr>
                <w:rFonts w:cs="Arial"/>
                <w:sz w:val="20"/>
                <w:szCs w:val="18"/>
              </w:rPr>
              <w:t xml:space="preserve">Increase the </w:t>
            </w:r>
            <w:r>
              <w:rPr>
                <w:rFonts w:cs="Arial"/>
                <w:sz w:val="20"/>
                <w:szCs w:val="18"/>
              </w:rPr>
              <w:t xml:space="preserve">relative </w:t>
            </w:r>
            <w:r w:rsidRPr="00F0238E">
              <w:rPr>
                <w:rFonts w:cs="Arial"/>
                <w:sz w:val="20"/>
                <w:szCs w:val="18"/>
              </w:rPr>
              <w:t>percent</w:t>
            </w:r>
            <w:r>
              <w:rPr>
                <w:rFonts w:cs="Arial"/>
                <w:sz w:val="20"/>
                <w:szCs w:val="18"/>
              </w:rPr>
              <w:t>age</w:t>
            </w:r>
            <w:r w:rsidRPr="00F0238E">
              <w:rPr>
                <w:rFonts w:cs="Arial"/>
                <w:sz w:val="20"/>
                <w:szCs w:val="18"/>
              </w:rPr>
              <w:t xml:space="preserve"> of adults, adolescents, and children who engage in daily moderate to vigorous physical activity as per CDC recommendations by 3%.</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1.3.1</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1.3.2</w:t>
            </w:r>
          </w:p>
          <w:p w:rsidR="004B20E5" w:rsidRPr="002F2DD0" w:rsidRDefault="004B20E5" w:rsidP="009C7855">
            <w:pPr>
              <w:jc w:val="center"/>
              <w:rPr>
                <w:rFonts w:cs="Arial"/>
                <w:sz w:val="16"/>
                <w:szCs w:val="18"/>
              </w:rPr>
            </w:pPr>
            <w:r w:rsidRPr="002F2DD0">
              <w:rPr>
                <w:rFonts w:cs="Arial"/>
                <w:sz w:val="16"/>
                <w:szCs w:val="18"/>
              </w:rPr>
              <w:t>1.3.3</w:t>
            </w:r>
          </w:p>
          <w:p w:rsidR="004B20E5" w:rsidRPr="002F2DD0" w:rsidRDefault="004B20E5" w:rsidP="009C7855">
            <w:pPr>
              <w:jc w:val="center"/>
              <w:rPr>
                <w:rFonts w:cs="Arial"/>
                <w:sz w:val="16"/>
                <w:szCs w:val="18"/>
              </w:rPr>
            </w:pPr>
            <w:r w:rsidRPr="002F2DD0">
              <w:rPr>
                <w:rFonts w:cs="Arial"/>
                <w:sz w:val="16"/>
                <w:szCs w:val="18"/>
              </w:rPr>
              <w:t>1.3.4</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1.3.5</w:t>
            </w:r>
          </w:p>
          <w:p w:rsidR="004B20E5" w:rsidRPr="002F2DD0" w:rsidRDefault="004B20E5" w:rsidP="009C7855">
            <w:pPr>
              <w:jc w:val="center"/>
              <w:rPr>
                <w:rFonts w:cs="Arial"/>
                <w:sz w:val="16"/>
                <w:szCs w:val="18"/>
              </w:rPr>
            </w:pPr>
            <w:r w:rsidRPr="002F2DD0">
              <w:rPr>
                <w:rFonts w:cs="Arial"/>
                <w:sz w:val="16"/>
                <w:szCs w:val="18"/>
              </w:rPr>
              <w:t>1.3.6</w:t>
            </w:r>
          </w:p>
          <w:p w:rsidR="004B20E5" w:rsidRPr="002F2DD0" w:rsidRDefault="004B20E5" w:rsidP="009C7855">
            <w:pPr>
              <w:jc w:val="center"/>
              <w:rPr>
                <w:rFonts w:cs="Arial"/>
                <w:sz w:val="16"/>
                <w:szCs w:val="18"/>
              </w:rPr>
            </w:pPr>
            <w:r w:rsidRPr="002F2DD0">
              <w:rPr>
                <w:rFonts w:cs="Arial"/>
                <w:sz w:val="16"/>
                <w:szCs w:val="18"/>
              </w:rPr>
              <w:t>1.3.7</w:t>
            </w:r>
          </w:p>
          <w:p w:rsidR="004B20E5" w:rsidRPr="002F2DD0" w:rsidRDefault="004B20E5" w:rsidP="009C7855">
            <w:pPr>
              <w:jc w:val="center"/>
              <w:rPr>
                <w:rFonts w:cs="Arial"/>
                <w:sz w:val="16"/>
                <w:szCs w:val="18"/>
              </w:rPr>
            </w:pPr>
            <w:r w:rsidRPr="002F2DD0">
              <w:rPr>
                <w:rFonts w:cs="Arial"/>
                <w:sz w:val="16"/>
                <w:szCs w:val="18"/>
              </w:rPr>
              <w:t>1.3.8</w:t>
            </w: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1.3.9</w:t>
            </w: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r w:rsidRPr="002F2DD0">
              <w:rPr>
                <w:rFonts w:cs="Arial"/>
                <w:sz w:val="16"/>
                <w:szCs w:val="18"/>
              </w:rPr>
              <w:t>1.3.10</w:t>
            </w:r>
          </w:p>
          <w:p w:rsidR="004B20E5" w:rsidRPr="002F2DD0" w:rsidRDefault="004B20E5" w:rsidP="009C7855">
            <w:pPr>
              <w:jc w:val="center"/>
              <w:rPr>
                <w:rFonts w:cs="Arial"/>
                <w:sz w:val="16"/>
                <w:szCs w:val="18"/>
              </w:rPr>
            </w:pPr>
            <w:r w:rsidRPr="002F2DD0">
              <w:rPr>
                <w:rFonts w:cs="Arial"/>
                <w:sz w:val="16"/>
                <w:szCs w:val="18"/>
              </w:rPr>
              <w:t>1.3.11</w:t>
            </w: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CB32A0">
            <w:pPr>
              <w:ind w:left="537" w:hanging="537"/>
              <w:rPr>
                <w:rFonts w:cs="Arial"/>
                <w:sz w:val="20"/>
                <w:szCs w:val="18"/>
              </w:rPr>
            </w:pPr>
            <w:r w:rsidRPr="002F2DD0">
              <w:rPr>
                <w:rFonts w:cs="Arial"/>
                <w:sz w:val="20"/>
                <w:szCs w:val="18"/>
              </w:rPr>
              <w:t>1.4:</w:t>
            </w:r>
            <w:r w:rsidRPr="002F2DD0">
              <w:rPr>
                <w:rFonts w:cs="Arial"/>
                <w:sz w:val="20"/>
                <w:szCs w:val="18"/>
              </w:rPr>
              <w:tab/>
            </w:r>
            <w:r w:rsidRPr="00F0238E">
              <w:rPr>
                <w:rFonts w:cs="Arial"/>
                <w:sz w:val="20"/>
                <w:szCs w:val="18"/>
              </w:rPr>
              <w:t xml:space="preserve">Reduce the </w:t>
            </w:r>
            <w:r>
              <w:rPr>
                <w:rFonts w:cs="Arial"/>
                <w:sz w:val="20"/>
                <w:szCs w:val="18"/>
              </w:rPr>
              <w:t xml:space="preserve">relative </w:t>
            </w:r>
            <w:r w:rsidRPr="00F0238E">
              <w:rPr>
                <w:rFonts w:cs="Arial"/>
                <w:sz w:val="20"/>
                <w:szCs w:val="18"/>
              </w:rPr>
              <w:t xml:space="preserve">percentage of adults who are current smokers by </w:t>
            </w:r>
            <w:r>
              <w:rPr>
                <w:rFonts w:cs="Arial"/>
                <w:sz w:val="20"/>
                <w:szCs w:val="18"/>
              </w:rPr>
              <w:t>10</w:t>
            </w:r>
            <w:r w:rsidRPr="00F0238E">
              <w:rPr>
                <w:rFonts w:cs="Arial"/>
                <w:sz w:val="20"/>
                <w:szCs w:val="18"/>
              </w:rPr>
              <w:t>%.</w:t>
            </w:r>
            <w:r w:rsidRPr="00F0238E">
              <w:rPr>
                <w:rFonts w:cs="Arial"/>
                <w:sz w:val="20"/>
                <w:szCs w:val="18"/>
              </w:rPr>
              <w:tab/>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1.4.1</w:t>
            </w:r>
          </w:p>
          <w:p w:rsidR="004B20E5" w:rsidRDefault="004B20E5" w:rsidP="009C7855">
            <w:pPr>
              <w:jc w:val="center"/>
              <w:rPr>
                <w:rFonts w:cs="Arial"/>
                <w:sz w:val="16"/>
                <w:szCs w:val="18"/>
              </w:rPr>
            </w:pPr>
            <w:r w:rsidRPr="002F2DD0">
              <w:rPr>
                <w:rFonts w:cs="Arial"/>
                <w:sz w:val="16"/>
                <w:szCs w:val="18"/>
              </w:rPr>
              <w:t>1.4.2</w:t>
            </w:r>
          </w:p>
          <w:p w:rsidR="004B20E5" w:rsidRPr="002F2DD0" w:rsidRDefault="004B20E5" w:rsidP="009C7855">
            <w:pPr>
              <w:jc w:val="center"/>
              <w:rPr>
                <w:rFonts w:cs="Arial"/>
                <w:sz w:val="16"/>
                <w:szCs w:val="18"/>
              </w:rPr>
            </w:pPr>
            <w:r w:rsidRPr="002F2DD0">
              <w:rPr>
                <w:rFonts w:cs="Arial"/>
                <w:sz w:val="16"/>
                <w:szCs w:val="18"/>
              </w:rPr>
              <w:t>1.4.3</w:t>
            </w:r>
          </w:p>
        </w:tc>
        <w:tc>
          <w:tcPr>
            <w:tcW w:w="263"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1.4.4</w:t>
            </w:r>
          </w:p>
          <w:p w:rsidR="004B20E5" w:rsidRPr="002F2DD0" w:rsidRDefault="004B20E5" w:rsidP="009C7855">
            <w:pPr>
              <w:jc w:val="center"/>
              <w:rPr>
                <w:rFonts w:cs="Arial"/>
                <w:sz w:val="16"/>
                <w:szCs w:val="18"/>
              </w:rPr>
            </w:pPr>
            <w:r w:rsidRPr="002F2DD0">
              <w:rPr>
                <w:rFonts w:cs="Arial"/>
                <w:sz w:val="16"/>
                <w:szCs w:val="18"/>
              </w:rPr>
              <w:t>1.4.5</w:t>
            </w:r>
          </w:p>
          <w:p w:rsidR="004B20E5" w:rsidRPr="002F2DD0" w:rsidRDefault="004B20E5" w:rsidP="009C7855">
            <w:pPr>
              <w:jc w:val="center"/>
              <w:rPr>
                <w:rFonts w:cs="Arial"/>
                <w:sz w:val="16"/>
                <w:szCs w:val="18"/>
              </w:rPr>
            </w:pPr>
            <w:r w:rsidRPr="002F2DD0">
              <w:rPr>
                <w:rFonts w:cs="Arial"/>
                <w:sz w:val="16"/>
                <w:szCs w:val="18"/>
              </w:rPr>
              <w:t>1.4.6</w:t>
            </w:r>
          </w:p>
          <w:p w:rsidR="004B20E5" w:rsidRDefault="004B20E5" w:rsidP="009C7855">
            <w:pPr>
              <w:jc w:val="center"/>
              <w:rPr>
                <w:rFonts w:cs="Arial"/>
                <w:sz w:val="16"/>
                <w:szCs w:val="18"/>
              </w:rPr>
            </w:pPr>
            <w:r w:rsidRPr="002F2DD0">
              <w:rPr>
                <w:rFonts w:cs="Arial"/>
                <w:sz w:val="16"/>
                <w:szCs w:val="18"/>
              </w:rPr>
              <w:t>1.4.7</w:t>
            </w:r>
          </w:p>
          <w:p w:rsidR="004B20E5" w:rsidRDefault="004B20E5" w:rsidP="009C7855">
            <w:pPr>
              <w:jc w:val="center"/>
              <w:rPr>
                <w:rFonts w:cs="Arial"/>
                <w:sz w:val="16"/>
                <w:szCs w:val="18"/>
              </w:rPr>
            </w:pPr>
            <w:r>
              <w:rPr>
                <w:rFonts w:cs="Arial"/>
                <w:sz w:val="16"/>
                <w:szCs w:val="18"/>
              </w:rPr>
              <w:t>1.4.8</w:t>
            </w:r>
          </w:p>
          <w:p w:rsidR="004B20E5" w:rsidRDefault="004B20E5" w:rsidP="009C7855">
            <w:pPr>
              <w:jc w:val="center"/>
              <w:rPr>
                <w:rFonts w:cs="Arial"/>
                <w:sz w:val="16"/>
                <w:szCs w:val="18"/>
              </w:rPr>
            </w:pPr>
            <w:r>
              <w:rPr>
                <w:rFonts w:cs="Arial"/>
                <w:sz w:val="16"/>
                <w:szCs w:val="18"/>
              </w:rPr>
              <w:t>1.4.9</w:t>
            </w:r>
          </w:p>
          <w:p w:rsidR="004B20E5" w:rsidRPr="002F2DD0" w:rsidRDefault="004B20E5" w:rsidP="009C7855">
            <w:pPr>
              <w:jc w:val="center"/>
              <w:rPr>
                <w:rFonts w:cs="Arial"/>
                <w:sz w:val="16"/>
                <w:szCs w:val="18"/>
              </w:rPr>
            </w:pPr>
            <w:r>
              <w:rPr>
                <w:rFonts w:cs="Arial"/>
                <w:sz w:val="16"/>
                <w:szCs w:val="18"/>
              </w:rPr>
              <w:t>1.4.10</w:t>
            </w: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1.4.</w:t>
            </w:r>
            <w:r>
              <w:rPr>
                <w:rFonts w:cs="Arial"/>
                <w:sz w:val="16"/>
                <w:szCs w:val="18"/>
              </w:rPr>
              <w:t>11</w:t>
            </w: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1.4.</w:t>
            </w:r>
            <w:r>
              <w:rPr>
                <w:rFonts w:cs="Arial"/>
                <w:sz w:val="16"/>
                <w:szCs w:val="18"/>
              </w:rPr>
              <w:t>12</w:t>
            </w:r>
          </w:p>
          <w:p w:rsidR="004B20E5" w:rsidRPr="002F2DD0" w:rsidRDefault="004B20E5" w:rsidP="009C7855">
            <w:pPr>
              <w:jc w:val="center"/>
              <w:rPr>
                <w:rFonts w:cs="Arial"/>
                <w:sz w:val="16"/>
                <w:szCs w:val="18"/>
              </w:rPr>
            </w:pPr>
            <w:r w:rsidRPr="002F2DD0">
              <w:rPr>
                <w:rFonts w:cs="Arial"/>
                <w:sz w:val="16"/>
                <w:szCs w:val="18"/>
              </w:rPr>
              <w:t>1.4.1</w:t>
            </w:r>
            <w:r>
              <w:rPr>
                <w:rFonts w:cs="Arial"/>
                <w:sz w:val="16"/>
                <w:szCs w:val="18"/>
              </w:rPr>
              <w:t>3</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1.4.1</w:t>
            </w:r>
            <w:r>
              <w:rPr>
                <w:rFonts w:cs="Arial"/>
                <w:sz w:val="16"/>
                <w:szCs w:val="18"/>
              </w:rPr>
              <w:t>4</w:t>
            </w:r>
          </w:p>
          <w:p w:rsidR="004B20E5" w:rsidRPr="002F2DD0" w:rsidRDefault="004B20E5" w:rsidP="009C7855">
            <w:pPr>
              <w:jc w:val="center"/>
              <w:rPr>
                <w:rFonts w:cs="Arial"/>
                <w:sz w:val="16"/>
                <w:szCs w:val="18"/>
              </w:rPr>
            </w:pPr>
            <w:r w:rsidRPr="002F2DD0">
              <w:rPr>
                <w:rFonts w:cs="Arial"/>
                <w:sz w:val="16"/>
                <w:szCs w:val="18"/>
              </w:rPr>
              <w:t>1.4.1</w:t>
            </w:r>
            <w:r>
              <w:rPr>
                <w:rFonts w:cs="Arial"/>
                <w:sz w:val="16"/>
                <w:szCs w:val="18"/>
              </w:rPr>
              <w:t>5</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c>
          <w:tcPr>
            <w:tcW w:w="1522" w:type="pct"/>
          </w:tcPr>
          <w:p w:rsidR="004B20E5" w:rsidRPr="002F2DD0" w:rsidRDefault="004B20E5" w:rsidP="00CB32A0">
            <w:pPr>
              <w:ind w:left="537" w:hanging="537"/>
              <w:rPr>
                <w:rFonts w:cs="Arial"/>
                <w:sz w:val="20"/>
                <w:szCs w:val="18"/>
              </w:rPr>
            </w:pPr>
            <w:r w:rsidRPr="002F2DD0">
              <w:rPr>
                <w:rFonts w:cs="Arial"/>
                <w:sz w:val="20"/>
                <w:szCs w:val="18"/>
              </w:rPr>
              <w:t xml:space="preserve">1.5: </w:t>
            </w:r>
            <w:r w:rsidRPr="002F2DD0">
              <w:rPr>
                <w:rFonts w:cs="Arial"/>
                <w:sz w:val="20"/>
                <w:szCs w:val="18"/>
              </w:rPr>
              <w:tab/>
            </w:r>
            <w:r w:rsidRPr="00F0238E">
              <w:rPr>
                <w:rFonts w:cs="Arial"/>
                <w:sz w:val="20"/>
                <w:szCs w:val="18"/>
              </w:rPr>
              <w:t xml:space="preserve">Reduce the </w:t>
            </w:r>
            <w:r>
              <w:rPr>
                <w:rFonts w:cs="Arial"/>
                <w:sz w:val="20"/>
                <w:szCs w:val="18"/>
              </w:rPr>
              <w:t xml:space="preserve">relative </w:t>
            </w:r>
            <w:r w:rsidRPr="00F0238E">
              <w:rPr>
                <w:rFonts w:cs="Arial"/>
                <w:sz w:val="20"/>
                <w:szCs w:val="18"/>
              </w:rPr>
              <w:t xml:space="preserve">percentage of tobacco use among high school students by </w:t>
            </w:r>
            <w:r>
              <w:rPr>
                <w:rFonts w:cs="Arial"/>
                <w:sz w:val="20"/>
                <w:szCs w:val="18"/>
              </w:rPr>
              <w:t>10</w:t>
            </w:r>
            <w:r w:rsidRPr="00F0238E">
              <w:rPr>
                <w:rFonts w:cs="Arial"/>
                <w:sz w:val="20"/>
                <w:szCs w:val="18"/>
              </w:rPr>
              <w:t>%.</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Default="004B20E5" w:rsidP="009C7855">
            <w:pPr>
              <w:jc w:val="center"/>
              <w:rPr>
                <w:rFonts w:cs="Arial"/>
                <w:sz w:val="16"/>
                <w:szCs w:val="18"/>
              </w:rPr>
            </w:pPr>
            <w:r>
              <w:rPr>
                <w:rFonts w:cs="Arial"/>
                <w:sz w:val="16"/>
                <w:szCs w:val="18"/>
              </w:rPr>
              <w:t>1.5.1</w:t>
            </w:r>
          </w:p>
          <w:p w:rsidR="004B20E5" w:rsidRPr="002F2DD0" w:rsidRDefault="004B20E5" w:rsidP="009C7855">
            <w:pPr>
              <w:jc w:val="center"/>
              <w:rPr>
                <w:rFonts w:cs="Arial"/>
                <w:sz w:val="16"/>
                <w:szCs w:val="18"/>
              </w:rPr>
            </w:pPr>
            <w:r>
              <w:rPr>
                <w:rFonts w:cs="Arial"/>
                <w:sz w:val="16"/>
                <w:szCs w:val="18"/>
              </w:rPr>
              <w:t>1.5.2</w:t>
            </w:r>
          </w:p>
        </w:tc>
        <w:tc>
          <w:tcPr>
            <w:tcW w:w="263" w:type="pct"/>
            <w:vAlign w:val="center"/>
          </w:tcPr>
          <w:p w:rsidR="004B20E5" w:rsidRPr="002F2DD0" w:rsidRDefault="004B20E5" w:rsidP="009C7855">
            <w:pPr>
              <w:jc w:val="center"/>
              <w:rPr>
                <w:rFonts w:cs="Arial"/>
                <w:sz w:val="16"/>
                <w:szCs w:val="18"/>
              </w:rPr>
            </w:pPr>
            <w:r>
              <w:rPr>
                <w:rFonts w:cs="Arial"/>
                <w:sz w:val="16"/>
                <w:szCs w:val="18"/>
              </w:rPr>
              <w:t>1.5.3</w:t>
            </w:r>
          </w:p>
        </w:tc>
        <w:tc>
          <w:tcPr>
            <w:tcW w:w="264" w:type="pct"/>
            <w:vAlign w:val="center"/>
          </w:tcPr>
          <w:p w:rsidR="004B20E5" w:rsidRDefault="004B20E5" w:rsidP="009C7855">
            <w:pPr>
              <w:jc w:val="center"/>
              <w:rPr>
                <w:rFonts w:cs="Arial"/>
                <w:sz w:val="16"/>
                <w:szCs w:val="18"/>
              </w:rPr>
            </w:pPr>
            <w:r>
              <w:rPr>
                <w:rFonts w:cs="Arial"/>
                <w:sz w:val="16"/>
                <w:szCs w:val="18"/>
              </w:rPr>
              <w:t>1.5.4</w:t>
            </w:r>
          </w:p>
          <w:p w:rsidR="004B20E5" w:rsidRDefault="004B20E5" w:rsidP="009C7855">
            <w:pPr>
              <w:jc w:val="center"/>
              <w:rPr>
                <w:rFonts w:cs="Arial"/>
                <w:sz w:val="16"/>
                <w:szCs w:val="18"/>
              </w:rPr>
            </w:pPr>
            <w:r>
              <w:rPr>
                <w:rFonts w:cs="Arial"/>
                <w:sz w:val="16"/>
                <w:szCs w:val="18"/>
              </w:rPr>
              <w:t>1.5.5</w:t>
            </w:r>
          </w:p>
          <w:p w:rsidR="004B20E5" w:rsidRDefault="004B20E5" w:rsidP="009C7855">
            <w:pPr>
              <w:jc w:val="center"/>
              <w:rPr>
                <w:rFonts w:cs="Arial"/>
                <w:sz w:val="16"/>
                <w:szCs w:val="18"/>
              </w:rPr>
            </w:pPr>
            <w:r>
              <w:rPr>
                <w:rFonts w:cs="Arial"/>
                <w:sz w:val="16"/>
                <w:szCs w:val="18"/>
              </w:rPr>
              <w:t>1.5.6</w:t>
            </w:r>
          </w:p>
          <w:p w:rsidR="004B20E5" w:rsidRPr="002F2DD0" w:rsidRDefault="004B20E5" w:rsidP="009C7855">
            <w:pPr>
              <w:jc w:val="center"/>
              <w:rPr>
                <w:rFonts w:cs="Arial"/>
                <w:sz w:val="16"/>
                <w:szCs w:val="18"/>
              </w:rPr>
            </w:pPr>
            <w:r>
              <w:rPr>
                <w:rFonts w:cs="Arial"/>
                <w:sz w:val="16"/>
                <w:szCs w:val="18"/>
              </w:rPr>
              <w:t>1.5.7</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c>
          <w:tcPr>
            <w:tcW w:w="1522" w:type="pct"/>
          </w:tcPr>
          <w:p w:rsidR="004B20E5" w:rsidRPr="002F2DD0" w:rsidRDefault="004B20E5" w:rsidP="00E72F29">
            <w:pPr>
              <w:ind w:left="537" w:hanging="537"/>
              <w:rPr>
                <w:rFonts w:cs="Arial"/>
                <w:sz w:val="20"/>
                <w:szCs w:val="18"/>
              </w:rPr>
            </w:pPr>
            <w:r w:rsidRPr="002F2DD0">
              <w:rPr>
                <w:rFonts w:cs="Arial"/>
                <w:sz w:val="20"/>
                <w:szCs w:val="18"/>
              </w:rPr>
              <w:t>1.6:</w:t>
            </w:r>
            <w:r w:rsidRPr="002F2DD0">
              <w:rPr>
                <w:rFonts w:cs="Arial"/>
                <w:sz w:val="20"/>
                <w:szCs w:val="18"/>
              </w:rPr>
              <w:tab/>
            </w:r>
            <w:r w:rsidRPr="00F0238E">
              <w:rPr>
                <w:rFonts w:cs="Arial"/>
                <w:sz w:val="20"/>
                <w:szCs w:val="18"/>
              </w:rPr>
              <w:t xml:space="preserve">Reduce </w:t>
            </w:r>
            <w:r>
              <w:rPr>
                <w:rFonts w:cs="Arial"/>
                <w:sz w:val="20"/>
                <w:szCs w:val="18"/>
              </w:rPr>
              <w:t xml:space="preserve">the relative percentage of adults who report </w:t>
            </w:r>
            <w:r w:rsidRPr="00F0238E">
              <w:rPr>
                <w:rFonts w:cs="Arial"/>
                <w:sz w:val="20"/>
                <w:szCs w:val="18"/>
              </w:rPr>
              <w:t xml:space="preserve">exposure to secondhand smoke of more than 1 hour per week by </w:t>
            </w:r>
            <w:r>
              <w:rPr>
                <w:rFonts w:cs="Arial"/>
                <w:sz w:val="20"/>
                <w:szCs w:val="18"/>
              </w:rPr>
              <w:t>10</w:t>
            </w:r>
            <w:r w:rsidRPr="00F0238E">
              <w:rPr>
                <w:rFonts w:cs="Arial"/>
                <w:sz w:val="20"/>
                <w:szCs w:val="18"/>
              </w:rPr>
              <w:t>%.</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Pr>
                <w:rFonts w:cs="Arial"/>
                <w:sz w:val="16"/>
                <w:szCs w:val="18"/>
              </w:rPr>
              <w:t>1.6.1</w:t>
            </w:r>
          </w:p>
        </w:tc>
        <w:tc>
          <w:tcPr>
            <w:tcW w:w="263" w:type="pct"/>
            <w:vAlign w:val="center"/>
          </w:tcPr>
          <w:p w:rsidR="004B20E5" w:rsidRPr="002F2DD0" w:rsidRDefault="004B20E5" w:rsidP="009C7855">
            <w:pPr>
              <w:jc w:val="center"/>
              <w:rPr>
                <w:rFonts w:cs="Arial"/>
                <w:sz w:val="16"/>
                <w:szCs w:val="18"/>
              </w:rPr>
            </w:pPr>
          </w:p>
        </w:tc>
        <w:tc>
          <w:tcPr>
            <w:tcW w:w="264" w:type="pct"/>
            <w:vAlign w:val="center"/>
          </w:tcPr>
          <w:p w:rsidR="004B20E5" w:rsidRDefault="004B20E5" w:rsidP="009C7855">
            <w:pPr>
              <w:jc w:val="center"/>
              <w:rPr>
                <w:rFonts w:cs="Arial"/>
                <w:sz w:val="16"/>
                <w:szCs w:val="18"/>
              </w:rPr>
            </w:pPr>
            <w:r>
              <w:rPr>
                <w:rFonts w:cs="Arial"/>
                <w:sz w:val="16"/>
                <w:szCs w:val="18"/>
              </w:rPr>
              <w:t>1.6.2</w:t>
            </w:r>
          </w:p>
          <w:p w:rsidR="004B20E5" w:rsidRDefault="004B20E5" w:rsidP="009C7855">
            <w:pPr>
              <w:jc w:val="center"/>
              <w:rPr>
                <w:rFonts w:cs="Arial"/>
                <w:sz w:val="16"/>
                <w:szCs w:val="18"/>
              </w:rPr>
            </w:pPr>
            <w:r>
              <w:rPr>
                <w:rFonts w:cs="Arial"/>
                <w:sz w:val="16"/>
                <w:szCs w:val="18"/>
              </w:rPr>
              <w:t>1.6.3</w:t>
            </w:r>
          </w:p>
          <w:p w:rsidR="004B20E5" w:rsidRDefault="004B20E5" w:rsidP="009C7855">
            <w:pPr>
              <w:jc w:val="center"/>
              <w:rPr>
                <w:rFonts w:cs="Arial"/>
                <w:sz w:val="16"/>
                <w:szCs w:val="18"/>
              </w:rPr>
            </w:pPr>
            <w:r>
              <w:rPr>
                <w:rFonts w:cs="Arial"/>
                <w:sz w:val="16"/>
                <w:szCs w:val="18"/>
              </w:rPr>
              <w:t>1.6.4</w:t>
            </w:r>
          </w:p>
          <w:p w:rsidR="004B20E5" w:rsidRPr="002F2DD0" w:rsidRDefault="004B20E5" w:rsidP="009C7855">
            <w:pPr>
              <w:jc w:val="center"/>
              <w:rPr>
                <w:rFonts w:cs="Arial"/>
                <w:sz w:val="16"/>
                <w:szCs w:val="18"/>
              </w:rPr>
            </w:pPr>
            <w:r>
              <w:rPr>
                <w:rFonts w:cs="Arial"/>
                <w:sz w:val="16"/>
                <w:szCs w:val="18"/>
              </w:rPr>
              <w:t>1.6.5</w:t>
            </w:r>
          </w:p>
        </w:tc>
        <w:tc>
          <w:tcPr>
            <w:tcW w:w="296" w:type="pct"/>
            <w:vAlign w:val="center"/>
          </w:tcPr>
          <w:p w:rsidR="004B20E5" w:rsidRPr="002F2DD0" w:rsidRDefault="004B20E5" w:rsidP="009C7855">
            <w:pPr>
              <w:jc w:val="center"/>
              <w:rPr>
                <w:rFonts w:cs="Arial"/>
                <w:sz w:val="16"/>
                <w:szCs w:val="18"/>
              </w:rPr>
            </w:pPr>
            <w:r>
              <w:rPr>
                <w:rFonts w:cs="Arial"/>
                <w:sz w:val="16"/>
                <w:szCs w:val="18"/>
              </w:rPr>
              <w:t>1.6.6</w:t>
            </w: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r>
              <w:rPr>
                <w:rFonts w:cs="Arial"/>
                <w:sz w:val="16"/>
                <w:szCs w:val="18"/>
              </w:rPr>
              <w:t>1.6.7</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Height w:val="458"/>
        </w:trPr>
        <w:tc>
          <w:tcPr>
            <w:tcW w:w="1522" w:type="pct"/>
            <w:tcBorders>
              <w:right w:val="nil"/>
            </w:tcBorders>
            <w:vAlign w:val="center"/>
          </w:tcPr>
          <w:p w:rsidR="004B20E5" w:rsidRPr="009C7855" w:rsidRDefault="004B20E5" w:rsidP="009C7855">
            <w:pPr>
              <w:ind w:left="537" w:hanging="537"/>
              <w:rPr>
                <w:rFonts w:cs="Arial"/>
                <w:b/>
                <w:sz w:val="24"/>
                <w:szCs w:val="28"/>
              </w:rPr>
            </w:pPr>
            <w:r w:rsidRPr="009C7855">
              <w:rPr>
                <w:rFonts w:cs="Arial"/>
                <w:b/>
                <w:sz w:val="24"/>
                <w:szCs w:val="28"/>
              </w:rPr>
              <w:t>Domain 2.</w:t>
            </w:r>
            <w:r w:rsidRPr="009C7855">
              <w:rPr>
                <w:rFonts w:cs="Arial"/>
                <w:b/>
                <w:sz w:val="24"/>
                <w:szCs w:val="28"/>
              </w:rPr>
              <w:tab/>
              <w:t>Chronic Disease</w:t>
            </w:r>
            <w:r>
              <w:rPr>
                <w:rFonts w:cs="Arial"/>
                <w:b/>
                <w:sz w:val="24"/>
                <w:szCs w:val="28"/>
              </w:rPr>
              <w:t xml:space="preserve"> Prevention and Control</w:t>
            </w:r>
          </w:p>
        </w:tc>
        <w:tc>
          <w:tcPr>
            <w:tcW w:w="287"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4" w:type="pct"/>
            <w:tcBorders>
              <w:left w:val="nil"/>
              <w:right w:val="nil"/>
            </w:tcBorders>
            <w:vAlign w:val="center"/>
          </w:tcPr>
          <w:p w:rsidR="004B20E5" w:rsidRPr="002F2DD0" w:rsidRDefault="004B20E5" w:rsidP="009C7855">
            <w:pPr>
              <w:jc w:val="center"/>
              <w:rPr>
                <w:rFonts w:cs="Arial"/>
                <w:sz w:val="16"/>
                <w:szCs w:val="18"/>
              </w:rPr>
            </w:pPr>
          </w:p>
        </w:tc>
        <w:tc>
          <w:tcPr>
            <w:tcW w:w="296" w:type="pct"/>
            <w:tcBorders>
              <w:left w:val="nil"/>
              <w:right w:val="nil"/>
            </w:tcBorders>
            <w:vAlign w:val="center"/>
          </w:tcPr>
          <w:p w:rsidR="004B20E5" w:rsidRPr="002F2DD0" w:rsidRDefault="004B20E5" w:rsidP="009C7855">
            <w:pPr>
              <w:jc w:val="center"/>
              <w:rPr>
                <w:rFonts w:cs="Arial"/>
                <w:sz w:val="16"/>
                <w:szCs w:val="18"/>
              </w:rPr>
            </w:pPr>
          </w:p>
        </w:tc>
        <w:tc>
          <w:tcPr>
            <w:tcW w:w="296" w:type="pct"/>
            <w:tcBorders>
              <w:left w:val="nil"/>
              <w:right w:val="nil"/>
            </w:tcBorders>
            <w:vAlign w:val="center"/>
          </w:tcPr>
          <w:p w:rsidR="004B20E5" w:rsidRPr="002F2DD0" w:rsidRDefault="004B20E5" w:rsidP="009C7855">
            <w:pPr>
              <w:jc w:val="center"/>
              <w:rPr>
                <w:rFonts w:cs="Arial"/>
                <w:sz w:val="16"/>
                <w:szCs w:val="18"/>
              </w:rPr>
            </w:pPr>
          </w:p>
        </w:tc>
        <w:tc>
          <w:tcPr>
            <w:tcW w:w="264" w:type="pct"/>
            <w:tcBorders>
              <w:left w:val="nil"/>
              <w:right w:val="nil"/>
            </w:tcBorders>
            <w:vAlign w:val="center"/>
          </w:tcPr>
          <w:p w:rsidR="004B20E5" w:rsidRPr="002F2DD0" w:rsidRDefault="004B20E5" w:rsidP="009C7855">
            <w:pPr>
              <w:jc w:val="center"/>
              <w:rPr>
                <w:rFonts w:cs="Arial"/>
                <w:sz w:val="16"/>
                <w:szCs w:val="18"/>
              </w:rPr>
            </w:pPr>
          </w:p>
        </w:tc>
        <w:tc>
          <w:tcPr>
            <w:tcW w:w="329" w:type="pct"/>
            <w:tcBorders>
              <w:left w:val="nil"/>
              <w:right w:val="nil"/>
            </w:tcBorders>
            <w:vAlign w:val="center"/>
          </w:tcPr>
          <w:p w:rsidR="004B20E5" w:rsidRPr="002F2DD0" w:rsidRDefault="004B20E5" w:rsidP="009C7855">
            <w:pPr>
              <w:jc w:val="center"/>
              <w:rPr>
                <w:rFonts w:cs="Arial"/>
                <w:sz w:val="16"/>
                <w:szCs w:val="18"/>
              </w:rPr>
            </w:pPr>
          </w:p>
        </w:tc>
        <w:tc>
          <w:tcPr>
            <w:tcW w:w="362" w:type="pct"/>
            <w:tcBorders>
              <w:left w:val="nil"/>
              <w:right w:val="nil"/>
            </w:tcBorders>
            <w:vAlign w:val="center"/>
          </w:tcPr>
          <w:p w:rsidR="004B20E5" w:rsidRPr="002F2DD0" w:rsidRDefault="004B20E5" w:rsidP="009C7855">
            <w:pPr>
              <w:jc w:val="center"/>
              <w:rPr>
                <w:rFonts w:cs="Arial"/>
                <w:sz w:val="16"/>
                <w:szCs w:val="18"/>
              </w:rPr>
            </w:pPr>
          </w:p>
        </w:tc>
        <w:tc>
          <w:tcPr>
            <w:tcW w:w="297" w:type="pct"/>
            <w:tcBorders>
              <w:left w:val="nil"/>
              <w:right w:val="nil"/>
            </w:tcBorders>
            <w:vAlign w:val="center"/>
          </w:tcPr>
          <w:p w:rsidR="004B20E5" w:rsidRPr="002F2DD0" w:rsidRDefault="004B20E5" w:rsidP="009C7855">
            <w:pPr>
              <w:jc w:val="center"/>
              <w:rPr>
                <w:rFonts w:cs="Arial"/>
                <w:sz w:val="16"/>
                <w:szCs w:val="18"/>
              </w:rPr>
            </w:pPr>
          </w:p>
        </w:tc>
        <w:tc>
          <w:tcPr>
            <w:tcW w:w="294" w:type="pct"/>
            <w:tcBorders>
              <w:left w:val="nil"/>
            </w:tcBorders>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0322B7">
            <w:pPr>
              <w:ind w:left="537" w:hanging="537"/>
              <w:rPr>
                <w:rFonts w:cs="Arial"/>
                <w:sz w:val="20"/>
                <w:szCs w:val="18"/>
              </w:rPr>
            </w:pPr>
            <w:r w:rsidRPr="002F2DD0">
              <w:rPr>
                <w:rFonts w:cs="Arial"/>
                <w:sz w:val="20"/>
                <w:szCs w:val="18"/>
              </w:rPr>
              <w:t xml:space="preserve">2.1: </w:t>
            </w:r>
            <w:r w:rsidRPr="002F2DD0">
              <w:rPr>
                <w:rFonts w:cs="Arial"/>
                <w:sz w:val="20"/>
                <w:szCs w:val="18"/>
              </w:rPr>
              <w:tab/>
            </w:r>
            <w:r w:rsidRPr="00F0238E">
              <w:rPr>
                <w:rFonts w:cs="Arial"/>
                <w:sz w:val="20"/>
                <w:szCs w:val="18"/>
              </w:rPr>
              <w:t xml:space="preserve">Increase the </w:t>
            </w:r>
            <w:r>
              <w:rPr>
                <w:rFonts w:cs="Arial"/>
                <w:sz w:val="20"/>
                <w:szCs w:val="18"/>
              </w:rPr>
              <w:t>relative percentage</w:t>
            </w:r>
            <w:r w:rsidR="00B3449B">
              <w:rPr>
                <w:rFonts w:cs="Arial"/>
                <w:sz w:val="20"/>
                <w:szCs w:val="18"/>
              </w:rPr>
              <w:t xml:space="preserve"> </w:t>
            </w:r>
            <w:r w:rsidRPr="00F0238E">
              <w:rPr>
                <w:rFonts w:cs="Arial"/>
                <w:sz w:val="20"/>
                <w:szCs w:val="18"/>
              </w:rPr>
              <w:t xml:space="preserve">of Massachusetts men 40 years and older who talked to their doctor, nurse, or other health professional about the advantages and disadvantages of the prostate-specific antigen (PSA) </w:t>
            </w:r>
            <w:r>
              <w:rPr>
                <w:rFonts w:cs="Arial"/>
                <w:sz w:val="20"/>
                <w:szCs w:val="18"/>
              </w:rPr>
              <w:t>by 10</w:t>
            </w:r>
            <w:r w:rsidRPr="00F0238E">
              <w:rPr>
                <w:rFonts w:cs="Arial"/>
                <w:sz w:val="20"/>
                <w:szCs w:val="18"/>
              </w:rPr>
              <w:t xml:space="preserve">%.  </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4437D6">
            <w:pPr>
              <w:jc w:val="center"/>
              <w:rPr>
                <w:rFonts w:cs="Arial"/>
                <w:sz w:val="16"/>
                <w:szCs w:val="18"/>
              </w:rPr>
            </w:pPr>
            <w:r w:rsidRPr="002F2DD0">
              <w:rPr>
                <w:rFonts w:cs="Arial"/>
                <w:sz w:val="16"/>
                <w:szCs w:val="18"/>
              </w:rPr>
              <w:t>2.1.1</w:t>
            </w:r>
          </w:p>
          <w:p w:rsidR="004B20E5" w:rsidRPr="002F2DD0" w:rsidRDefault="004B20E5" w:rsidP="009C7855">
            <w:pPr>
              <w:jc w:val="center"/>
              <w:rPr>
                <w:rFonts w:cs="Arial"/>
                <w:sz w:val="16"/>
                <w:szCs w:val="18"/>
              </w:rPr>
            </w:pPr>
            <w:r w:rsidRPr="002F2DD0">
              <w:rPr>
                <w:rFonts w:cs="Arial"/>
                <w:sz w:val="16"/>
                <w:szCs w:val="18"/>
              </w:rPr>
              <w:t>2.1.2</w:t>
            </w:r>
          </w:p>
        </w:tc>
        <w:tc>
          <w:tcPr>
            <w:tcW w:w="263"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Default="004B20E5" w:rsidP="004437D6">
            <w:pPr>
              <w:jc w:val="center"/>
              <w:rPr>
                <w:rFonts w:cs="Arial"/>
                <w:sz w:val="16"/>
                <w:szCs w:val="18"/>
              </w:rPr>
            </w:pPr>
            <w:r w:rsidRPr="002F2DD0">
              <w:rPr>
                <w:rFonts w:cs="Arial"/>
                <w:sz w:val="16"/>
                <w:szCs w:val="18"/>
              </w:rPr>
              <w:t>2.1.3</w:t>
            </w:r>
          </w:p>
          <w:p w:rsidR="004B20E5" w:rsidRPr="002F2DD0" w:rsidRDefault="004B20E5" w:rsidP="009C7855">
            <w:pPr>
              <w:jc w:val="center"/>
              <w:rPr>
                <w:rFonts w:cs="Arial"/>
                <w:sz w:val="16"/>
                <w:szCs w:val="18"/>
              </w:rPr>
            </w:pPr>
          </w:p>
        </w:tc>
        <w:tc>
          <w:tcPr>
            <w:tcW w:w="264" w:type="pct"/>
            <w:vAlign w:val="center"/>
          </w:tcPr>
          <w:p w:rsidR="004B20E5" w:rsidRPr="002F2DD0" w:rsidRDefault="004B20E5" w:rsidP="004437D6">
            <w:pPr>
              <w:jc w:val="center"/>
              <w:rPr>
                <w:rFonts w:cs="Arial"/>
                <w:sz w:val="16"/>
                <w:szCs w:val="18"/>
              </w:rPr>
            </w:pPr>
            <w:r w:rsidRPr="002F2DD0">
              <w:rPr>
                <w:rFonts w:cs="Arial"/>
                <w:sz w:val="16"/>
                <w:szCs w:val="18"/>
              </w:rPr>
              <w:t>2.1.4</w:t>
            </w:r>
          </w:p>
          <w:p w:rsidR="004B20E5" w:rsidRPr="002F2DD0" w:rsidRDefault="004B20E5" w:rsidP="009C7855">
            <w:pPr>
              <w:jc w:val="center"/>
              <w:rPr>
                <w:rFonts w:cs="Arial"/>
                <w:sz w:val="16"/>
                <w:szCs w:val="18"/>
              </w:rPr>
            </w:pPr>
            <w:r w:rsidRPr="002F2DD0">
              <w:rPr>
                <w:rFonts w:cs="Arial"/>
                <w:sz w:val="16"/>
                <w:szCs w:val="18"/>
              </w:rPr>
              <w:t>2.1.5</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F0238E" w:rsidRDefault="004B20E5" w:rsidP="009C7855">
            <w:pPr>
              <w:ind w:left="537" w:hanging="537"/>
              <w:rPr>
                <w:rFonts w:cs="Arial"/>
                <w:sz w:val="20"/>
                <w:szCs w:val="18"/>
              </w:rPr>
            </w:pPr>
            <w:r w:rsidRPr="002F2DD0">
              <w:rPr>
                <w:rFonts w:cs="Arial"/>
                <w:sz w:val="20"/>
                <w:szCs w:val="18"/>
              </w:rPr>
              <w:t xml:space="preserve">2.2:  </w:t>
            </w:r>
            <w:r w:rsidRPr="002F2DD0">
              <w:rPr>
                <w:rFonts w:cs="Arial"/>
                <w:sz w:val="20"/>
                <w:szCs w:val="18"/>
              </w:rPr>
              <w:tab/>
            </w:r>
            <w:r w:rsidRPr="00F0238E">
              <w:rPr>
                <w:rFonts w:cs="Arial"/>
                <w:sz w:val="20"/>
                <w:szCs w:val="18"/>
              </w:rPr>
              <w:t>Increase screening rates for colorectal cancer for Massachusetts adults age 50-75 years to 80%.</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2.2.1</w:t>
            </w:r>
          </w:p>
          <w:p w:rsidR="004B20E5" w:rsidRDefault="004B20E5" w:rsidP="009C7855">
            <w:pPr>
              <w:jc w:val="center"/>
              <w:rPr>
                <w:rFonts w:cs="Arial"/>
                <w:sz w:val="16"/>
                <w:szCs w:val="18"/>
              </w:rPr>
            </w:pPr>
            <w:r w:rsidRPr="002F2DD0">
              <w:rPr>
                <w:rFonts w:cs="Arial"/>
                <w:sz w:val="16"/>
                <w:szCs w:val="18"/>
              </w:rPr>
              <w:t>2.2.2</w:t>
            </w:r>
          </w:p>
          <w:p w:rsidR="004B20E5" w:rsidRPr="002F2DD0" w:rsidRDefault="004B20E5" w:rsidP="009C7855">
            <w:pPr>
              <w:jc w:val="center"/>
              <w:rPr>
                <w:rFonts w:cs="Arial"/>
                <w:sz w:val="16"/>
                <w:szCs w:val="18"/>
              </w:rPr>
            </w:pPr>
            <w:r>
              <w:rPr>
                <w:rFonts w:cs="Arial"/>
                <w:sz w:val="16"/>
                <w:szCs w:val="18"/>
              </w:rPr>
              <w:t>2.2.3</w:t>
            </w:r>
          </w:p>
        </w:tc>
        <w:tc>
          <w:tcPr>
            <w:tcW w:w="263"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2.2.4</w:t>
            </w:r>
          </w:p>
          <w:p w:rsidR="004B20E5" w:rsidRDefault="004B20E5" w:rsidP="009C7855">
            <w:pPr>
              <w:jc w:val="center"/>
              <w:rPr>
                <w:rFonts w:cs="Arial"/>
                <w:sz w:val="16"/>
                <w:szCs w:val="18"/>
              </w:rPr>
            </w:pPr>
            <w:r w:rsidRPr="002F2DD0">
              <w:rPr>
                <w:rFonts w:cs="Arial"/>
                <w:sz w:val="16"/>
                <w:szCs w:val="18"/>
              </w:rPr>
              <w:t>2.2.5</w:t>
            </w:r>
          </w:p>
          <w:p w:rsidR="004B20E5" w:rsidRPr="002F2DD0" w:rsidRDefault="004B20E5" w:rsidP="009C7855">
            <w:pPr>
              <w:jc w:val="center"/>
              <w:rPr>
                <w:rFonts w:cs="Arial"/>
                <w:sz w:val="16"/>
                <w:szCs w:val="18"/>
              </w:rPr>
            </w:pPr>
            <w:r>
              <w:rPr>
                <w:rFonts w:cs="Arial"/>
                <w:sz w:val="16"/>
                <w:szCs w:val="18"/>
              </w:rPr>
              <w:t>2.2.6</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F0238E" w:rsidRDefault="004B20E5" w:rsidP="00645690">
            <w:pPr>
              <w:ind w:left="537" w:hanging="537"/>
              <w:rPr>
                <w:rFonts w:cs="Arial"/>
                <w:sz w:val="20"/>
                <w:szCs w:val="18"/>
              </w:rPr>
            </w:pPr>
            <w:r w:rsidRPr="002F2DD0">
              <w:rPr>
                <w:rFonts w:cs="Arial"/>
                <w:sz w:val="20"/>
                <w:szCs w:val="18"/>
              </w:rPr>
              <w:t xml:space="preserve">2.3:  </w:t>
            </w:r>
            <w:r w:rsidRPr="002F2DD0">
              <w:rPr>
                <w:rFonts w:cs="Arial"/>
                <w:sz w:val="20"/>
                <w:szCs w:val="18"/>
              </w:rPr>
              <w:tab/>
            </w:r>
            <w:r w:rsidR="00170A28" w:rsidRPr="00946D98">
              <w:rPr>
                <w:rFonts w:cs="Arial"/>
                <w:iCs/>
                <w:sz w:val="20"/>
                <w:szCs w:val="20"/>
              </w:rPr>
              <w:t>Increase the percentage of adults with hypertension who have their hypertension under control</w:t>
            </w:r>
            <w:r w:rsidR="00645690">
              <w:t xml:space="preserve"> </w:t>
            </w:r>
            <w:r w:rsidR="00645690" w:rsidRPr="00645690">
              <w:rPr>
                <w:rFonts w:cs="Arial"/>
                <w:iCs/>
                <w:sz w:val="20"/>
                <w:szCs w:val="20"/>
              </w:rPr>
              <w:t xml:space="preserve">by 2.5% </w:t>
            </w:r>
            <w:r w:rsidR="00170A28" w:rsidDel="00D242B1">
              <w:rPr>
                <w:rFonts w:cs="Arial"/>
                <w:sz w:val="20"/>
                <w:szCs w:val="18"/>
              </w:rPr>
              <w:t xml:space="preserve"> </w:t>
            </w:r>
          </w:p>
        </w:tc>
        <w:tc>
          <w:tcPr>
            <w:tcW w:w="287" w:type="pct"/>
            <w:vAlign w:val="center"/>
          </w:tcPr>
          <w:p w:rsidR="004B20E5" w:rsidRPr="002F2DD0" w:rsidRDefault="004B20E5" w:rsidP="004437D6">
            <w:pPr>
              <w:jc w:val="center"/>
              <w:rPr>
                <w:rFonts w:cs="Arial"/>
                <w:sz w:val="16"/>
                <w:szCs w:val="18"/>
              </w:rPr>
            </w:pPr>
            <w:r w:rsidRPr="002F2DD0">
              <w:rPr>
                <w:rFonts w:cs="Arial"/>
                <w:sz w:val="16"/>
                <w:szCs w:val="18"/>
              </w:rPr>
              <w:t>2.3.1</w:t>
            </w:r>
          </w:p>
          <w:p w:rsidR="004B20E5" w:rsidRPr="002F2DD0" w:rsidRDefault="004B20E5" w:rsidP="004437D6">
            <w:pPr>
              <w:jc w:val="center"/>
              <w:rPr>
                <w:rFonts w:cs="Arial"/>
                <w:sz w:val="16"/>
                <w:szCs w:val="18"/>
              </w:rPr>
            </w:pPr>
            <w:r w:rsidRPr="002F2DD0">
              <w:rPr>
                <w:rFonts w:cs="Arial"/>
                <w:sz w:val="16"/>
                <w:szCs w:val="18"/>
              </w:rPr>
              <w:t>2.3.2</w:t>
            </w:r>
          </w:p>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Default="004B20E5" w:rsidP="004437D6">
            <w:pPr>
              <w:jc w:val="center"/>
              <w:rPr>
                <w:rFonts w:cs="Arial"/>
                <w:sz w:val="16"/>
                <w:szCs w:val="18"/>
              </w:rPr>
            </w:pPr>
            <w:r w:rsidRPr="002F2DD0">
              <w:rPr>
                <w:rFonts w:cs="Arial"/>
                <w:sz w:val="16"/>
                <w:szCs w:val="18"/>
              </w:rPr>
              <w:t>2.3.3</w:t>
            </w:r>
          </w:p>
          <w:p w:rsidR="004B20E5" w:rsidRPr="002F2DD0" w:rsidRDefault="004B20E5" w:rsidP="004437D6">
            <w:pPr>
              <w:jc w:val="center"/>
              <w:rPr>
                <w:rFonts w:cs="Arial"/>
                <w:sz w:val="16"/>
                <w:szCs w:val="18"/>
              </w:rPr>
            </w:pPr>
            <w:r w:rsidRPr="002F2DD0">
              <w:rPr>
                <w:rFonts w:cs="Arial"/>
                <w:sz w:val="16"/>
                <w:szCs w:val="18"/>
              </w:rPr>
              <w:t>2.3.4</w:t>
            </w:r>
          </w:p>
          <w:p w:rsidR="004B20E5" w:rsidRPr="002F2DD0" w:rsidRDefault="004B20E5" w:rsidP="004437D6">
            <w:pPr>
              <w:jc w:val="center"/>
              <w:rPr>
                <w:rFonts w:cs="Arial"/>
                <w:sz w:val="16"/>
                <w:szCs w:val="18"/>
              </w:rPr>
            </w:pPr>
            <w:r w:rsidRPr="002F2DD0">
              <w:rPr>
                <w:rFonts w:cs="Arial"/>
                <w:sz w:val="16"/>
                <w:szCs w:val="18"/>
              </w:rPr>
              <w:t>2.3.5</w:t>
            </w:r>
          </w:p>
          <w:p w:rsidR="004B20E5" w:rsidRDefault="004B20E5" w:rsidP="004437D6">
            <w:pPr>
              <w:jc w:val="center"/>
              <w:rPr>
                <w:rFonts w:cs="Arial"/>
                <w:sz w:val="16"/>
                <w:szCs w:val="18"/>
              </w:rPr>
            </w:pPr>
            <w:r w:rsidRPr="002F2DD0">
              <w:rPr>
                <w:rFonts w:cs="Arial"/>
                <w:sz w:val="16"/>
                <w:szCs w:val="18"/>
              </w:rPr>
              <w:t>2.3.6</w:t>
            </w:r>
          </w:p>
          <w:p w:rsidR="004B20E5" w:rsidRPr="002F2DD0" w:rsidRDefault="004B20E5" w:rsidP="004437D6">
            <w:pPr>
              <w:jc w:val="center"/>
              <w:rPr>
                <w:rFonts w:cs="Arial"/>
                <w:sz w:val="16"/>
                <w:szCs w:val="18"/>
              </w:rPr>
            </w:pPr>
            <w:r>
              <w:rPr>
                <w:rFonts w:cs="Arial"/>
                <w:sz w:val="16"/>
                <w:szCs w:val="18"/>
              </w:rPr>
              <w:t>2.3.7</w:t>
            </w:r>
          </w:p>
        </w:tc>
        <w:tc>
          <w:tcPr>
            <w:tcW w:w="263" w:type="pct"/>
            <w:vAlign w:val="center"/>
          </w:tcPr>
          <w:p w:rsidR="004B20E5" w:rsidRDefault="004B20E5" w:rsidP="009C7855">
            <w:pPr>
              <w:jc w:val="center"/>
              <w:rPr>
                <w:rFonts w:cs="Arial"/>
                <w:sz w:val="16"/>
                <w:szCs w:val="18"/>
              </w:rPr>
            </w:pPr>
            <w:r>
              <w:rPr>
                <w:rFonts w:cs="Arial"/>
                <w:sz w:val="16"/>
                <w:szCs w:val="18"/>
              </w:rPr>
              <w:t>2.3.8</w:t>
            </w:r>
          </w:p>
          <w:p w:rsidR="004B20E5" w:rsidRDefault="004B20E5" w:rsidP="009C7855">
            <w:pPr>
              <w:jc w:val="center"/>
              <w:rPr>
                <w:rFonts w:cs="Arial"/>
                <w:sz w:val="16"/>
                <w:szCs w:val="18"/>
              </w:rPr>
            </w:pPr>
            <w:r>
              <w:rPr>
                <w:rFonts w:cs="Arial"/>
                <w:sz w:val="16"/>
                <w:szCs w:val="18"/>
              </w:rPr>
              <w:t>2.3.9</w:t>
            </w:r>
          </w:p>
          <w:p w:rsidR="004B20E5" w:rsidRDefault="004B20E5" w:rsidP="009C7855">
            <w:pPr>
              <w:jc w:val="center"/>
              <w:rPr>
                <w:rFonts w:cs="Arial"/>
                <w:sz w:val="16"/>
                <w:szCs w:val="18"/>
              </w:rPr>
            </w:pPr>
            <w:r>
              <w:rPr>
                <w:rFonts w:cs="Arial"/>
                <w:sz w:val="16"/>
                <w:szCs w:val="18"/>
              </w:rPr>
              <w:t>2.3.10</w:t>
            </w:r>
          </w:p>
          <w:p w:rsidR="004B20E5" w:rsidRDefault="004B20E5" w:rsidP="009C7855">
            <w:pPr>
              <w:jc w:val="center"/>
              <w:rPr>
                <w:rFonts w:cs="Arial"/>
                <w:sz w:val="16"/>
                <w:szCs w:val="18"/>
              </w:rPr>
            </w:pPr>
            <w:r>
              <w:rPr>
                <w:rFonts w:cs="Arial"/>
                <w:sz w:val="16"/>
                <w:szCs w:val="18"/>
              </w:rPr>
              <w:t>2.3.11</w:t>
            </w:r>
          </w:p>
          <w:p w:rsidR="004B20E5" w:rsidRPr="002F2DD0" w:rsidRDefault="004B20E5" w:rsidP="009C7855">
            <w:pPr>
              <w:jc w:val="center"/>
              <w:rPr>
                <w:rFonts w:cs="Arial"/>
                <w:sz w:val="16"/>
                <w:szCs w:val="18"/>
              </w:rPr>
            </w:pPr>
            <w:r>
              <w:rPr>
                <w:rFonts w:cs="Arial"/>
                <w:sz w:val="16"/>
                <w:szCs w:val="18"/>
              </w:rPr>
              <w:t>2.3.12</w:t>
            </w:r>
          </w:p>
        </w:tc>
        <w:tc>
          <w:tcPr>
            <w:tcW w:w="264"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r>
              <w:rPr>
                <w:rFonts w:cs="Arial"/>
                <w:sz w:val="16"/>
                <w:szCs w:val="18"/>
              </w:rPr>
              <w:t>2.3.13</w:t>
            </w:r>
          </w:p>
        </w:tc>
        <w:tc>
          <w:tcPr>
            <w:tcW w:w="264" w:type="pct"/>
            <w:vAlign w:val="center"/>
          </w:tcPr>
          <w:p w:rsidR="004B20E5" w:rsidRDefault="004B20E5" w:rsidP="009C7855">
            <w:pPr>
              <w:jc w:val="center"/>
              <w:rPr>
                <w:rFonts w:cs="Arial"/>
                <w:sz w:val="16"/>
                <w:szCs w:val="18"/>
              </w:rPr>
            </w:pPr>
          </w:p>
          <w:p w:rsidR="004B20E5" w:rsidRDefault="004B20E5" w:rsidP="009C7855">
            <w:pPr>
              <w:jc w:val="center"/>
              <w:rPr>
                <w:rFonts w:cs="Arial"/>
                <w:sz w:val="16"/>
                <w:szCs w:val="18"/>
              </w:rPr>
            </w:pPr>
            <w:r>
              <w:rPr>
                <w:rFonts w:cs="Arial"/>
                <w:sz w:val="16"/>
                <w:szCs w:val="18"/>
              </w:rPr>
              <w:t>2.3.14</w:t>
            </w:r>
          </w:p>
          <w:p w:rsidR="004B20E5" w:rsidRPr="002F2DD0" w:rsidRDefault="004B20E5" w:rsidP="009C7855">
            <w:pPr>
              <w:jc w:val="center"/>
              <w:rPr>
                <w:rFonts w:cs="Arial"/>
                <w:sz w:val="16"/>
                <w:szCs w:val="18"/>
              </w:rPr>
            </w:pPr>
            <w:r>
              <w:rPr>
                <w:rFonts w:cs="Arial"/>
                <w:sz w:val="16"/>
                <w:szCs w:val="18"/>
              </w:rPr>
              <w:t>2.3.15</w:t>
            </w:r>
          </w:p>
        </w:tc>
        <w:tc>
          <w:tcPr>
            <w:tcW w:w="329" w:type="pct"/>
            <w:vAlign w:val="center"/>
          </w:tcPr>
          <w:p w:rsidR="004B20E5" w:rsidRPr="002F2DD0" w:rsidRDefault="004B20E5" w:rsidP="009C7855">
            <w:pPr>
              <w:jc w:val="center"/>
              <w:rPr>
                <w:rFonts w:cs="Arial"/>
                <w:sz w:val="16"/>
                <w:szCs w:val="18"/>
              </w:rPr>
            </w:pPr>
            <w:r>
              <w:rPr>
                <w:rFonts w:cs="Arial"/>
                <w:sz w:val="16"/>
                <w:szCs w:val="18"/>
              </w:rPr>
              <w:t>2.3.16</w:t>
            </w: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6E7EEB">
            <w:pPr>
              <w:ind w:left="537" w:hanging="537"/>
              <w:rPr>
                <w:rFonts w:cs="Arial"/>
                <w:sz w:val="20"/>
                <w:szCs w:val="18"/>
              </w:rPr>
            </w:pPr>
            <w:r w:rsidRPr="002F2DD0">
              <w:rPr>
                <w:rFonts w:cs="Arial"/>
                <w:sz w:val="20"/>
                <w:szCs w:val="18"/>
              </w:rPr>
              <w:t xml:space="preserve">2.4:  </w:t>
            </w:r>
            <w:r w:rsidRPr="002F2DD0">
              <w:rPr>
                <w:rFonts w:cs="Arial"/>
                <w:sz w:val="20"/>
                <w:szCs w:val="18"/>
              </w:rPr>
              <w:tab/>
            </w:r>
            <w:r w:rsidRPr="00F0238E">
              <w:rPr>
                <w:rFonts w:cs="Arial"/>
                <w:sz w:val="20"/>
                <w:szCs w:val="18"/>
              </w:rPr>
              <w:t xml:space="preserve">Decrease the </w:t>
            </w:r>
            <w:r>
              <w:rPr>
                <w:rFonts w:cs="Arial"/>
                <w:sz w:val="20"/>
                <w:szCs w:val="18"/>
              </w:rPr>
              <w:t>relative percentage</w:t>
            </w:r>
            <w:r w:rsidR="00B3449B">
              <w:rPr>
                <w:rFonts w:cs="Arial"/>
                <w:sz w:val="20"/>
                <w:szCs w:val="18"/>
              </w:rPr>
              <w:t xml:space="preserve"> </w:t>
            </w:r>
            <w:r w:rsidRPr="00F0238E">
              <w:rPr>
                <w:rFonts w:cs="Arial"/>
                <w:sz w:val="20"/>
                <w:szCs w:val="18"/>
              </w:rPr>
              <w:t>of adults with diabetes that have an A1c value greater than 9.0% by 2.5%.</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2.4.1</w:t>
            </w:r>
          </w:p>
          <w:p w:rsidR="004B20E5" w:rsidRPr="002F2DD0" w:rsidRDefault="004B20E5" w:rsidP="009C7855">
            <w:pPr>
              <w:jc w:val="center"/>
              <w:rPr>
                <w:rFonts w:cs="Arial"/>
                <w:sz w:val="16"/>
                <w:szCs w:val="18"/>
              </w:rPr>
            </w:pPr>
            <w:r w:rsidRPr="002F2DD0">
              <w:rPr>
                <w:rFonts w:cs="Arial"/>
                <w:sz w:val="16"/>
                <w:szCs w:val="18"/>
              </w:rPr>
              <w:t>2.4.2</w:t>
            </w:r>
          </w:p>
          <w:p w:rsidR="004B20E5" w:rsidRPr="002F2DD0" w:rsidRDefault="004B20E5" w:rsidP="009C7855">
            <w:pPr>
              <w:jc w:val="center"/>
              <w:rPr>
                <w:rFonts w:cs="Arial"/>
                <w:sz w:val="16"/>
                <w:szCs w:val="18"/>
              </w:rPr>
            </w:pPr>
            <w:r w:rsidRPr="002F2DD0">
              <w:rPr>
                <w:rFonts w:cs="Arial"/>
                <w:sz w:val="16"/>
                <w:szCs w:val="18"/>
              </w:rPr>
              <w:t>2.4.3</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2.4.4</w:t>
            </w:r>
          </w:p>
          <w:p w:rsidR="004B20E5" w:rsidRPr="002F2DD0" w:rsidRDefault="004B20E5" w:rsidP="009C7855">
            <w:pPr>
              <w:jc w:val="center"/>
              <w:rPr>
                <w:rFonts w:cs="Arial"/>
                <w:sz w:val="16"/>
                <w:szCs w:val="18"/>
              </w:rPr>
            </w:pPr>
            <w:r w:rsidRPr="002F2DD0">
              <w:rPr>
                <w:rFonts w:cs="Arial"/>
                <w:sz w:val="16"/>
                <w:szCs w:val="18"/>
              </w:rPr>
              <w:t>2.4.5</w:t>
            </w:r>
          </w:p>
        </w:tc>
        <w:tc>
          <w:tcPr>
            <w:tcW w:w="263"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2.4.6</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2.4.7</w:t>
            </w:r>
          </w:p>
          <w:p w:rsidR="004B20E5" w:rsidRPr="002F2DD0" w:rsidRDefault="004B20E5" w:rsidP="009C7855">
            <w:pPr>
              <w:jc w:val="center"/>
              <w:rPr>
                <w:rFonts w:cs="Arial"/>
                <w:sz w:val="16"/>
                <w:szCs w:val="18"/>
              </w:rPr>
            </w:pPr>
            <w:r w:rsidRPr="002F2DD0">
              <w:rPr>
                <w:rFonts w:cs="Arial"/>
                <w:sz w:val="16"/>
                <w:szCs w:val="18"/>
              </w:rPr>
              <w:t>2.4.8</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2.4.9</w:t>
            </w:r>
          </w:p>
          <w:p w:rsidR="004B20E5" w:rsidRPr="002F2DD0" w:rsidRDefault="004B20E5" w:rsidP="009C7855">
            <w:pPr>
              <w:jc w:val="center"/>
              <w:rPr>
                <w:rFonts w:cs="Arial"/>
                <w:sz w:val="16"/>
                <w:szCs w:val="18"/>
              </w:rPr>
            </w:pPr>
            <w:r w:rsidRPr="002F2DD0">
              <w:rPr>
                <w:rFonts w:cs="Arial"/>
                <w:sz w:val="16"/>
                <w:szCs w:val="18"/>
              </w:rPr>
              <w:t>2.4.10</w:t>
            </w:r>
          </w:p>
        </w:tc>
        <w:tc>
          <w:tcPr>
            <w:tcW w:w="329" w:type="pct"/>
            <w:vAlign w:val="center"/>
          </w:tcPr>
          <w:p w:rsidR="004B20E5" w:rsidRPr="002F2DD0" w:rsidRDefault="004B20E5" w:rsidP="009C7855">
            <w:pPr>
              <w:jc w:val="center"/>
              <w:rPr>
                <w:rFonts w:cs="Arial"/>
                <w:sz w:val="16"/>
                <w:szCs w:val="18"/>
              </w:rPr>
            </w:pPr>
            <w:r w:rsidRPr="002F2DD0">
              <w:rPr>
                <w:rFonts w:cs="Arial"/>
                <w:sz w:val="16"/>
                <w:szCs w:val="18"/>
              </w:rPr>
              <w:t>2.4.11</w:t>
            </w: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 xml:space="preserve">2.5:  </w:t>
            </w:r>
            <w:r w:rsidRPr="002F2DD0">
              <w:rPr>
                <w:rFonts w:cs="Arial"/>
                <w:sz w:val="20"/>
                <w:szCs w:val="18"/>
              </w:rPr>
              <w:tab/>
            </w:r>
            <w:r w:rsidRPr="00F0238E">
              <w:rPr>
                <w:rFonts w:cs="Arial"/>
                <w:sz w:val="20"/>
                <w:szCs w:val="18"/>
              </w:rPr>
              <w:t>Reduce the at-risk rate of pediatric asthma hospitalizations by 1.5%</w:t>
            </w:r>
            <w:r>
              <w:rPr>
                <w:rFonts w:cs="Arial"/>
                <w:sz w:val="20"/>
                <w:szCs w:val="18"/>
              </w:rPr>
              <w:t xml:space="preserve"> and the </w:t>
            </w:r>
            <w:r w:rsidRPr="006E7EEB">
              <w:rPr>
                <w:rFonts w:cs="Arial"/>
                <w:sz w:val="20"/>
                <w:szCs w:val="18"/>
              </w:rPr>
              <w:t>disparity among Black Non-Hispanics by an additional 1%</w:t>
            </w:r>
            <w:r w:rsidRPr="00F0238E">
              <w:rPr>
                <w:rFonts w:cs="Arial"/>
                <w:sz w:val="20"/>
                <w:szCs w:val="18"/>
              </w:rPr>
              <w:t>.</w:t>
            </w:r>
          </w:p>
        </w:tc>
        <w:tc>
          <w:tcPr>
            <w:tcW w:w="287" w:type="pct"/>
            <w:vAlign w:val="center"/>
          </w:tcPr>
          <w:p w:rsidR="004B20E5" w:rsidRDefault="004B20E5" w:rsidP="009C7855">
            <w:pPr>
              <w:jc w:val="center"/>
              <w:rPr>
                <w:rFonts w:cs="Arial"/>
                <w:sz w:val="16"/>
                <w:szCs w:val="18"/>
              </w:rPr>
            </w:pPr>
            <w:r w:rsidRPr="002F2DD0">
              <w:rPr>
                <w:rFonts w:cs="Arial"/>
                <w:sz w:val="16"/>
                <w:szCs w:val="18"/>
              </w:rPr>
              <w:t>2.5.1</w:t>
            </w:r>
          </w:p>
          <w:p w:rsidR="004B20E5" w:rsidRPr="002F2DD0" w:rsidRDefault="004B20E5" w:rsidP="009C7855">
            <w:pPr>
              <w:jc w:val="center"/>
              <w:rPr>
                <w:rFonts w:cs="Arial"/>
                <w:sz w:val="16"/>
                <w:szCs w:val="18"/>
              </w:rPr>
            </w:pPr>
            <w:r>
              <w:rPr>
                <w:rFonts w:cs="Arial"/>
                <w:sz w:val="16"/>
                <w:szCs w:val="18"/>
              </w:rPr>
              <w:t>2.5.2</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Default="004B20E5" w:rsidP="009C7855">
            <w:pPr>
              <w:jc w:val="center"/>
              <w:rPr>
                <w:rFonts w:cs="Arial"/>
                <w:sz w:val="16"/>
                <w:szCs w:val="18"/>
              </w:rPr>
            </w:pPr>
            <w:r w:rsidRPr="002F2DD0">
              <w:rPr>
                <w:rFonts w:cs="Arial"/>
                <w:sz w:val="16"/>
                <w:szCs w:val="18"/>
              </w:rPr>
              <w:t>2.5.3</w:t>
            </w:r>
          </w:p>
          <w:p w:rsidR="004B20E5" w:rsidRPr="002F2DD0" w:rsidRDefault="004B20E5" w:rsidP="009C7855">
            <w:pPr>
              <w:jc w:val="center"/>
              <w:rPr>
                <w:rFonts w:cs="Arial"/>
                <w:sz w:val="16"/>
                <w:szCs w:val="18"/>
              </w:rPr>
            </w:pPr>
            <w:r>
              <w:rPr>
                <w:rFonts w:cs="Arial"/>
                <w:sz w:val="16"/>
                <w:szCs w:val="18"/>
              </w:rPr>
              <w:t>2.5.4</w:t>
            </w:r>
          </w:p>
        </w:tc>
        <w:tc>
          <w:tcPr>
            <w:tcW w:w="264" w:type="pct"/>
            <w:vAlign w:val="center"/>
          </w:tcPr>
          <w:p w:rsidR="004B20E5" w:rsidRDefault="004B20E5" w:rsidP="009C7855">
            <w:pPr>
              <w:jc w:val="center"/>
              <w:rPr>
                <w:rFonts w:cs="Arial"/>
                <w:sz w:val="16"/>
                <w:szCs w:val="18"/>
              </w:rPr>
            </w:pPr>
            <w:r w:rsidRPr="002F2DD0">
              <w:rPr>
                <w:rFonts w:cs="Arial"/>
                <w:sz w:val="16"/>
                <w:szCs w:val="18"/>
              </w:rPr>
              <w:t>2.5.5</w:t>
            </w:r>
          </w:p>
          <w:p w:rsidR="004B20E5" w:rsidRPr="002F2DD0" w:rsidRDefault="004B20E5" w:rsidP="009C7855">
            <w:pPr>
              <w:jc w:val="center"/>
              <w:rPr>
                <w:rFonts w:cs="Arial"/>
                <w:sz w:val="16"/>
                <w:szCs w:val="18"/>
              </w:rPr>
            </w:pPr>
            <w:r>
              <w:rPr>
                <w:rFonts w:cs="Arial"/>
                <w:sz w:val="16"/>
                <w:szCs w:val="18"/>
              </w:rPr>
              <w:t>2.5.6</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4437D6">
            <w:pPr>
              <w:jc w:val="center"/>
              <w:rPr>
                <w:rFonts w:cs="Arial"/>
                <w:sz w:val="16"/>
                <w:szCs w:val="18"/>
              </w:rPr>
            </w:pPr>
            <w:r w:rsidRPr="002F2DD0">
              <w:rPr>
                <w:rFonts w:cs="Arial"/>
                <w:sz w:val="16"/>
                <w:szCs w:val="18"/>
              </w:rPr>
              <w:t>2.5.</w:t>
            </w:r>
            <w:r>
              <w:rPr>
                <w:rFonts w:cs="Arial"/>
                <w:sz w:val="16"/>
                <w:szCs w:val="18"/>
              </w:rPr>
              <w:t>7</w:t>
            </w:r>
          </w:p>
        </w:tc>
        <w:tc>
          <w:tcPr>
            <w:tcW w:w="264" w:type="pct"/>
            <w:vAlign w:val="center"/>
          </w:tcPr>
          <w:p w:rsidR="004B20E5" w:rsidRPr="002F2DD0" w:rsidRDefault="004B20E5" w:rsidP="004437D6">
            <w:pPr>
              <w:jc w:val="center"/>
              <w:rPr>
                <w:rFonts w:cs="Arial"/>
                <w:sz w:val="16"/>
                <w:szCs w:val="18"/>
              </w:rPr>
            </w:pPr>
            <w:r w:rsidRPr="002F2DD0">
              <w:rPr>
                <w:rFonts w:cs="Arial"/>
                <w:sz w:val="16"/>
                <w:szCs w:val="18"/>
              </w:rPr>
              <w:t>2.5.</w:t>
            </w:r>
            <w:r>
              <w:rPr>
                <w:rFonts w:cs="Arial"/>
                <w:sz w:val="16"/>
                <w:szCs w:val="18"/>
              </w:rPr>
              <w:t>8</w:t>
            </w:r>
          </w:p>
        </w:tc>
        <w:tc>
          <w:tcPr>
            <w:tcW w:w="329" w:type="pct"/>
            <w:vAlign w:val="center"/>
          </w:tcPr>
          <w:p w:rsidR="004B20E5" w:rsidRPr="002F2DD0" w:rsidRDefault="004B20E5" w:rsidP="009C7855">
            <w:pPr>
              <w:jc w:val="center"/>
              <w:rPr>
                <w:rFonts w:cs="Arial"/>
                <w:sz w:val="16"/>
                <w:szCs w:val="18"/>
              </w:rPr>
            </w:pPr>
            <w:r w:rsidRPr="002F2DD0">
              <w:rPr>
                <w:rFonts w:cs="Arial"/>
                <w:sz w:val="16"/>
                <w:szCs w:val="18"/>
              </w:rPr>
              <w:t>2.5.</w:t>
            </w:r>
            <w:r>
              <w:rPr>
                <w:rFonts w:cs="Arial"/>
                <w:sz w:val="16"/>
                <w:szCs w:val="18"/>
              </w:rPr>
              <w:t>9</w:t>
            </w:r>
          </w:p>
          <w:p w:rsidR="004B20E5" w:rsidRPr="002F2DD0" w:rsidRDefault="004B20E5" w:rsidP="004437D6">
            <w:pPr>
              <w:jc w:val="center"/>
              <w:rPr>
                <w:rFonts w:cs="Arial"/>
                <w:sz w:val="16"/>
                <w:szCs w:val="18"/>
              </w:rPr>
            </w:pPr>
            <w:r w:rsidRPr="002F2DD0">
              <w:rPr>
                <w:rFonts w:cs="Arial"/>
                <w:sz w:val="16"/>
                <w:szCs w:val="18"/>
              </w:rPr>
              <w:t>2.5.</w:t>
            </w:r>
            <w:r>
              <w:rPr>
                <w:rFonts w:cs="Arial"/>
                <w:sz w:val="16"/>
                <w:szCs w:val="18"/>
              </w:rPr>
              <w:t>10</w:t>
            </w: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2.6:</w:t>
            </w:r>
            <w:r w:rsidRPr="002F2DD0">
              <w:rPr>
                <w:rFonts w:cs="Arial"/>
                <w:sz w:val="20"/>
                <w:szCs w:val="18"/>
              </w:rPr>
              <w:tab/>
            </w:r>
            <w:r w:rsidRPr="00F0238E">
              <w:rPr>
                <w:rFonts w:cs="Arial"/>
                <w:sz w:val="20"/>
                <w:szCs w:val="18"/>
              </w:rPr>
              <w:t xml:space="preserve">Decrease </w:t>
            </w:r>
            <w:r>
              <w:rPr>
                <w:rFonts w:cs="Arial"/>
                <w:sz w:val="20"/>
                <w:szCs w:val="18"/>
              </w:rPr>
              <w:t xml:space="preserve">relative percentage of </w:t>
            </w:r>
            <w:r w:rsidRPr="00F0238E">
              <w:rPr>
                <w:rFonts w:cs="Arial"/>
                <w:sz w:val="20"/>
                <w:szCs w:val="18"/>
              </w:rPr>
              <w:t>obesity among Massachusetts adults and youth by 5%.</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Default="004B20E5" w:rsidP="009C7855">
            <w:pPr>
              <w:jc w:val="center"/>
              <w:rPr>
                <w:rFonts w:cs="Arial"/>
                <w:sz w:val="16"/>
                <w:szCs w:val="18"/>
              </w:rPr>
            </w:pPr>
            <w:r>
              <w:rPr>
                <w:rFonts w:cs="Arial"/>
                <w:sz w:val="16"/>
                <w:szCs w:val="18"/>
              </w:rPr>
              <w:t>2.6.1</w:t>
            </w:r>
          </w:p>
          <w:p w:rsidR="004B20E5" w:rsidRPr="002F2DD0" w:rsidRDefault="004B20E5" w:rsidP="009C7855">
            <w:pPr>
              <w:jc w:val="center"/>
              <w:rPr>
                <w:rFonts w:cs="Arial"/>
                <w:sz w:val="16"/>
                <w:szCs w:val="18"/>
              </w:rPr>
            </w:pPr>
            <w:r>
              <w:rPr>
                <w:rFonts w:cs="Arial"/>
                <w:sz w:val="16"/>
                <w:szCs w:val="18"/>
              </w:rPr>
              <w:t>2.6.2</w:t>
            </w:r>
          </w:p>
        </w:tc>
        <w:tc>
          <w:tcPr>
            <w:tcW w:w="263" w:type="pct"/>
            <w:vAlign w:val="center"/>
          </w:tcPr>
          <w:p w:rsidR="004B20E5" w:rsidRDefault="004B20E5" w:rsidP="009C7855">
            <w:pPr>
              <w:jc w:val="center"/>
              <w:rPr>
                <w:rFonts w:cs="Arial"/>
                <w:sz w:val="16"/>
                <w:szCs w:val="18"/>
              </w:rPr>
            </w:pPr>
            <w:r>
              <w:rPr>
                <w:rFonts w:cs="Arial"/>
                <w:sz w:val="16"/>
                <w:szCs w:val="18"/>
              </w:rPr>
              <w:t>2.6.3</w:t>
            </w:r>
          </w:p>
          <w:p w:rsidR="004B20E5" w:rsidRPr="002F2DD0" w:rsidRDefault="004B20E5" w:rsidP="009C7855">
            <w:pPr>
              <w:jc w:val="center"/>
              <w:rPr>
                <w:rFonts w:cs="Arial"/>
                <w:sz w:val="16"/>
                <w:szCs w:val="18"/>
              </w:rPr>
            </w:pPr>
            <w:r>
              <w:rPr>
                <w:rFonts w:cs="Arial"/>
                <w:sz w:val="16"/>
                <w:szCs w:val="18"/>
              </w:rPr>
              <w:t>2.6.4</w:t>
            </w:r>
          </w:p>
        </w:tc>
        <w:tc>
          <w:tcPr>
            <w:tcW w:w="263" w:type="pct"/>
            <w:vAlign w:val="center"/>
          </w:tcPr>
          <w:p w:rsidR="004B20E5" w:rsidRPr="002F2DD0" w:rsidRDefault="004B20E5" w:rsidP="009C7855">
            <w:pPr>
              <w:jc w:val="center"/>
              <w:rPr>
                <w:rFonts w:cs="Arial"/>
                <w:sz w:val="16"/>
                <w:szCs w:val="18"/>
              </w:rPr>
            </w:pPr>
            <w:r>
              <w:rPr>
                <w:rFonts w:cs="Arial"/>
                <w:sz w:val="16"/>
                <w:szCs w:val="18"/>
              </w:rPr>
              <w:t>2.6.5</w:t>
            </w:r>
          </w:p>
        </w:tc>
        <w:tc>
          <w:tcPr>
            <w:tcW w:w="264" w:type="pct"/>
            <w:vAlign w:val="center"/>
          </w:tcPr>
          <w:p w:rsidR="004B20E5" w:rsidRDefault="004B20E5" w:rsidP="009C7855">
            <w:pPr>
              <w:jc w:val="center"/>
              <w:rPr>
                <w:rFonts w:cs="Arial"/>
                <w:sz w:val="16"/>
                <w:szCs w:val="18"/>
              </w:rPr>
            </w:pPr>
            <w:r w:rsidRPr="002F2DD0">
              <w:rPr>
                <w:rFonts w:cs="Arial"/>
                <w:sz w:val="16"/>
                <w:szCs w:val="18"/>
              </w:rPr>
              <w:t>2.6.</w:t>
            </w:r>
            <w:r>
              <w:rPr>
                <w:rFonts w:cs="Arial"/>
                <w:sz w:val="16"/>
                <w:szCs w:val="18"/>
              </w:rPr>
              <w:t>6</w:t>
            </w:r>
          </w:p>
          <w:p w:rsidR="004B20E5" w:rsidRPr="002F2DD0" w:rsidRDefault="004B20E5" w:rsidP="009C7855">
            <w:pPr>
              <w:jc w:val="center"/>
              <w:rPr>
                <w:rFonts w:cs="Arial"/>
                <w:sz w:val="16"/>
                <w:szCs w:val="18"/>
              </w:rPr>
            </w:pPr>
            <w:r>
              <w:rPr>
                <w:rFonts w:cs="Arial"/>
                <w:sz w:val="16"/>
                <w:szCs w:val="18"/>
              </w:rPr>
              <w:t>2.6.7</w:t>
            </w:r>
          </w:p>
        </w:tc>
        <w:tc>
          <w:tcPr>
            <w:tcW w:w="296" w:type="pct"/>
            <w:vAlign w:val="center"/>
          </w:tcPr>
          <w:p w:rsidR="004B20E5" w:rsidRPr="002F2DD0" w:rsidRDefault="004B20E5" w:rsidP="009C7855">
            <w:pPr>
              <w:jc w:val="center"/>
              <w:rPr>
                <w:rFonts w:cs="Arial"/>
                <w:sz w:val="16"/>
                <w:szCs w:val="18"/>
              </w:rPr>
            </w:pPr>
            <w:r>
              <w:rPr>
                <w:rFonts w:cs="Arial"/>
                <w:sz w:val="16"/>
                <w:szCs w:val="18"/>
              </w:rPr>
              <w:t>2.6.8</w:t>
            </w: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Borders>
              <w:right w:val="nil"/>
            </w:tcBorders>
          </w:tcPr>
          <w:p w:rsidR="004B20E5" w:rsidRPr="009C7855" w:rsidRDefault="004B20E5" w:rsidP="009C7855">
            <w:pPr>
              <w:ind w:left="537" w:hanging="537"/>
              <w:rPr>
                <w:rFonts w:cs="Arial"/>
                <w:b/>
                <w:sz w:val="24"/>
                <w:szCs w:val="28"/>
              </w:rPr>
            </w:pPr>
            <w:r w:rsidRPr="009C7855">
              <w:rPr>
                <w:rFonts w:cs="Arial"/>
                <w:b/>
                <w:sz w:val="24"/>
                <w:szCs w:val="28"/>
              </w:rPr>
              <w:t>Domain 3. Infectious Disease Prevention and Control</w:t>
            </w:r>
          </w:p>
        </w:tc>
        <w:tc>
          <w:tcPr>
            <w:tcW w:w="287"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4" w:type="pct"/>
            <w:tcBorders>
              <w:left w:val="nil"/>
              <w:right w:val="nil"/>
            </w:tcBorders>
            <w:vAlign w:val="center"/>
          </w:tcPr>
          <w:p w:rsidR="004B20E5" w:rsidRPr="002F2DD0" w:rsidRDefault="004B20E5" w:rsidP="009C7855">
            <w:pPr>
              <w:jc w:val="center"/>
              <w:rPr>
                <w:rFonts w:cs="Arial"/>
                <w:sz w:val="16"/>
                <w:szCs w:val="18"/>
              </w:rPr>
            </w:pPr>
          </w:p>
        </w:tc>
        <w:tc>
          <w:tcPr>
            <w:tcW w:w="296" w:type="pct"/>
            <w:tcBorders>
              <w:left w:val="nil"/>
              <w:right w:val="nil"/>
            </w:tcBorders>
            <w:vAlign w:val="center"/>
          </w:tcPr>
          <w:p w:rsidR="004B20E5" w:rsidRPr="002F2DD0" w:rsidRDefault="004B20E5" w:rsidP="009C7855">
            <w:pPr>
              <w:jc w:val="center"/>
              <w:rPr>
                <w:rFonts w:cs="Arial"/>
                <w:sz w:val="16"/>
                <w:szCs w:val="18"/>
              </w:rPr>
            </w:pPr>
          </w:p>
        </w:tc>
        <w:tc>
          <w:tcPr>
            <w:tcW w:w="296" w:type="pct"/>
            <w:tcBorders>
              <w:left w:val="nil"/>
              <w:right w:val="nil"/>
            </w:tcBorders>
            <w:vAlign w:val="center"/>
          </w:tcPr>
          <w:p w:rsidR="004B20E5" w:rsidRPr="002F2DD0" w:rsidRDefault="004B20E5" w:rsidP="009C7855">
            <w:pPr>
              <w:jc w:val="center"/>
              <w:rPr>
                <w:rFonts w:cs="Arial"/>
                <w:sz w:val="16"/>
                <w:szCs w:val="18"/>
              </w:rPr>
            </w:pPr>
          </w:p>
        </w:tc>
        <w:tc>
          <w:tcPr>
            <w:tcW w:w="264" w:type="pct"/>
            <w:tcBorders>
              <w:left w:val="nil"/>
              <w:right w:val="nil"/>
            </w:tcBorders>
            <w:vAlign w:val="center"/>
          </w:tcPr>
          <w:p w:rsidR="004B20E5" w:rsidRPr="002F2DD0" w:rsidRDefault="004B20E5" w:rsidP="009C7855">
            <w:pPr>
              <w:jc w:val="center"/>
              <w:rPr>
                <w:rFonts w:cs="Arial"/>
                <w:sz w:val="16"/>
                <w:szCs w:val="18"/>
              </w:rPr>
            </w:pPr>
          </w:p>
        </w:tc>
        <w:tc>
          <w:tcPr>
            <w:tcW w:w="329" w:type="pct"/>
            <w:tcBorders>
              <w:left w:val="nil"/>
              <w:right w:val="nil"/>
            </w:tcBorders>
            <w:vAlign w:val="center"/>
          </w:tcPr>
          <w:p w:rsidR="004B20E5" w:rsidRPr="002F2DD0" w:rsidRDefault="004B20E5" w:rsidP="009C7855">
            <w:pPr>
              <w:jc w:val="center"/>
              <w:rPr>
                <w:rFonts w:cs="Arial"/>
                <w:sz w:val="16"/>
                <w:szCs w:val="18"/>
              </w:rPr>
            </w:pPr>
          </w:p>
        </w:tc>
        <w:tc>
          <w:tcPr>
            <w:tcW w:w="362" w:type="pct"/>
            <w:tcBorders>
              <w:left w:val="nil"/>
              <w:right w:val="nil"/>
            </w:tcBorders>
            <w:vAlign w:val="center"/>
          </w:tcPr>
          <w:p w:rsidR="004B20E5" w:rsidRPr="002F2DD0" w:rsidRDefault="004B20E5" w:rsidP="009C7855">
            <w:pPr>
              <w:jc w:val="center"/>
              <w:rPr>
                <w:rFonts w:cs="Arial"/>
                <w:sz w:val="16"/>
                <w:szCs w:val="18"/>
              </w:rPr>
            </w:pPr>
          </w:p>
        </w:tc>
        <w:tc>
          <w:tcPr>
            <w:tcW w:w="297" w:type="pct"/>
            <w:tcBorders>
              <w:left w:val="nil"/>
              <w:right w:val="nil"/>
            </w:tcBorders>
            <w:vAlign w:val="center"/>
          </w:tcPr>
          <w:p w:rsidR="004B20E5" w:rsidRPr="002F2DD0" w:rsidRDefault="004B20E5" w:rsidP="009C7855">
            <w:pPr>
              <w:jc w:val="center"/>
              <w:rPr>
                <w:rFonts w:cs="Arial"/>
                <w:sz w:val="16"/>
                <w:szCs w:val="18"/>
              </w:rPr>
            </w:pPr>
          </w:p>
        </w:tc>
        <w:tc>
          <w:tcPr>
            <w:tcW w:w="294" w:type="pct"/>
            <w:tcBorders>
              <w:left w:val="nil"/>
            </w:tcBorders>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6E7EEB">
            <w:pPr>
              <w:ind w:left="537" w:hanging="537"/>
              <w:rPr>
                <w:rFonts w:cs="Arial"/>
                <w:sz w:val="20"/>
                <w:szCs w:val="18"/>
              </w:rPr>
            </w:pPr>
            <w:r w:rsidRPr="002F2DD0">
              <w:rPr>
                <w:rFonts w:cs="Arial"/>
                <w:sz w:val="20"/>
                <w:szCs w:val="18"/>
              </w:rPr>
              <w:t xml:space="preserve">3.1:  </w:t>
            </w:r>
            <w:r w:rsidRPr="002F2DD0">
              <w:rPr>
                <w:rFonts w:cs="Arial"/>
                <w:sz w:val="20"/>
                <w:szCs w:val="18"/>
              </w:rPr>
              <w:tab/>
            </w:r>
            <w:r w:rsidRPr="00F0238E">
              <w:rPr>
                <w:rFonts w:cs="Arial"/>
                <w:sz w:val="20"/>
                <w:szCs w:val="18"/>
              </w:rPr>
              <w:t>Reduce the incidence of selected vaccine preventable diseases/increase immunization rates for selected vaccine preventable disease</w:t>
            </w:r>
            <w:r>
              <w:rPr>
                <w:rFonts w:cs="Arial"/>
                <w:sz w:val="20"/>
                <w:szCs w:val="18"/>
              </w:rPr>
              <w:t>s</w:t>
            </w:r>
            <w:r w:rsidRPr="00F0238E">
              <w:rPr>
                <w:rFonts w:cs="Arial"/>
                <w:sz w:val="20"/>
                <w:szCs w:val="18"/>
              </w:rPr>
              <w:t>.</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3.1.1</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3.1.2</w:t>
            </w:r>
          </w:p>
          <w:p w:rsidR="004B20E5" w:rsidRPr="002F2DD0" w:rsidRDefault="004B20E5" w:rsidP="009C7855">
            <w:pPr>
              <w:jc w:val="center"/>
              <w:rPr>
                <w:rFonts w:cs="Arial"/>
                <w:sz w:val="16"/>
                <w:szCs w:val="18"/>
              </w:rPr>
            </w:pPr>
            <w:r w:rsidRPr="002F2DD0">
              <w:rPr>
                <w:rFonts w:cs="Arial"/>
                <w:sz w:val="16"/>
                <w:szCs w:val="18"/>
              </w:rPr>
              <w:t>3.1.3</w:t>
            </w:r>
          </w:p>
        </w:tc>
        <w:tc>
          <w:tcPr>
            <w:tcW w:w="263"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3.1.4</w:t>
            </w:r>
          </w:p>
          <w:p w:rsidR="004B20E5" w:rsidRPr="002F2DD0" w:rsidRDefault="004B20E5" w:rsidP="009C7855">
            <w:pPr>
              <w:jc w:val="center"/>
              <w:rPr>
                <w:rFonts w:cs="Arial"/>
                <w:sz w:val="16"/>
                <w:szCs w:val="18"/>
              </w:rPr>
            </w:pPr>
            <w:r w:rsidRPr="002F2DD0">
              <w:rPr>
                <w:rFonts w:cs="Arial"/>
                <w:sz w:val="16"/>
                <w:szCs w:val="18"/>
              </w:rPr>
              <w:t>3.1.5</w:t>
            </w:r>
          </w:p>
          <w:p w:rsidR="004B20E5" w:rsidRPr="002F2DD0" w:rsidRDefault="004B20E5" w:rsidP="009C7855">
            <w:pPr>
              <w:jc w:val="center"/>
              <w:rPr>
                <w:rFonts w:cs="Arial"/>
                <w:sz w:val="16"/>
                <w:szCs w:val="18"/>
              </w:rPr>
            </w:pPr>
            <w:r w:rsidRPr="002F2DD0">
              <w:rPr>
                <w:rFonts w:cs="Arial"/>
                <w:sz w:val="16"/>
                <w:szCs w:val="18"/>
              </w:rPr>
              <w:t>3.1.6</w:t>
            </w:r>
          </w:p>
          <w:p w:rsidR="004B20E5" w:rsidRPr="002F2DD0" w:rsidRDefault="004B20E5" w:rsidP="009C7855">
            <w:pPr>
              <w:jc w:val="center"/>
              <w:rPr>
                <w:rFonts w:cs="Arial"/>
                <w:sz w:val="16"/>
                <w:szCs w:val="18"/>
              </w:rPr>
            </w:pPr>
            <w:r w:rsidRPr="002F2DD0">
              <w:rPr>
                <w:rFonts w:cs="Arial"/>
                <w:sz w:val="16"/>
                <w:szCs w:val="18"/>
              </w:rPr>
              <w:t>3.1.7</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6E7EEB">
            <w:pPr>
              <w:ind w:left="537" w:hanging="537"/>
              <w:rPr>
                <w:rFonts w:cs="Arial"/>
                <w:sz w:val="20"/>
                <w:szCs w:val="18"/>
              </w:rPr>
            </w:pPr>
            <w:r w:rsidRPr="002F2DD0">
              <w:rPr>
                <w:rFonts w:cs="Arial"/>
                <w:sz w:val="20"/>
                <w:szCs w:val="18"/>
              </w:rPr>
              <w:t xml:space="preserve">3.2:  </w:t>
            </w:r>
            <w:r w:rsidRPr="002F2DD0">
              <w:rPr>
                <w:rFonts w:cs="Arial"/>
                <w:sz w:val="20"/>
                <w:szCs w:val="18"/>
              </w:rPr>
              <w:tab/>
            </w:r>
            <w:r w:rsidRPr="00F0238E">
              <w:rPr>
                <w:rFonts w:cs="Arial"/>
                <w:sz w:val="20"/>
                <w:szCs w:val="18"/>
              </w:rPr>
              <w:t xml:space="preserve">Decrease </w:t>
            </w:r>
            <w:r>
              <w:rPr>
                <w:rFonts w:cs="Arial"/>
                <w:sz w:val="20"/>
                <w:szCs w:val="18"/>
              </w:rPr>
              <w:t xml:space="preserve">by 10% </w:t>
            </w:r>
            <w:r w:rsidRPr="00F0238E">
              <w:rPr>
                <w:rFonts w:cs="Arial"/>
                <w:sz w:val="20"/>
                <w:szCs w:val="18"/>
              </w:rPr>
              <w:t>Lyme disease reported in children under the age of 19</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3.2.1</w:t>
            </w:r>
          </w:p>
          <w:p w:rsidR="004B20E5" w:rsidRPr="002F2DD0" w:rsidRDefault="004B20E5" w:rsidP="009C7855">
            <w:pPr>
              <w:jc w:val="center"/>
              <w:rPr>
                <w:rFonts w:cs="Arial"/>
                <w:sz w:val="16"/>
                <w:szCs w:val="18"/>
              </w:rPr>
            </w:pPr>
            <w:r w:rsidRPr="002F2DD0">
              <w:rPr>
                <w:rFonts w:cs="Arial"/>
                <w:sz w:val="16"/>
                <w:szCs w:val="18"/>
              </w:rPr>
              <w:t>3.2.2</w:t>
            </w:r>
          </w:p>
          <w:p w:rsidR="004B20E5" w:rsidRPr="002F2DD0" w:rsidRDefault="004B20E5" w:rsidP="009C7855">
            <w:pPr>
              <w:jc w:val="center"/>
              <w:rPr>
                <w:rFonts w:cs="Arial"/>
                <w:sz w:val="16"/>
                <w:szCs w:val="18"/>
              </w:rPr>
            </w:pPr>
            <w:r w:rsidRPr="002F2DD0">
              <w:rPr>
                <w:rFonts w:cs="Arial"/>
                <w:sz w:val="16"/>
                <w:szCs w:val="18"/>
              </w:rPr>
              <w:t>3.2.3</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3.2.4</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3.2.5</w:t>
            </w:r>
          </w:p>
          <w:p w:rsidR="004B20E5" w:rsidRPr="002F2DD0" w:rsidRDefault="004B20E5" w:rsidP="009C7855">
            <w:pPr>
              <w:jc w:val="center"/>
              <w:rPr>
                <w:rFonts w:cs="Arial"/>
                <w:sz w:val="16"/>
                <w:szCs w:val="18"/>
              </w:rPr>
            </w:pPr>
            <w:r w:rsidRPr="002F2DD0">
              <w:rPr>
                <w:rFonts w:cs="Arial"/>
                <w:sz w:val="16"/>
                <w:szCs w:val="18"/>
              </w:rPr>
              <w:t>3.2.6</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6E7EEB">
            <w:pPr>
              <w:ind w:left="537" w:hanging="537"/>
              <w:rPr>
                <w:rFonts w:cs="Arial"/>
                <w:sz w:val="20"/>
                <w:szCs w:val="18"/>
              </w:rPr>
            </w:pPr>
            <w:r w:rsidRPr="002F2DD0">
              <w:rPr>
                <w:rFonts w:cs="Arial"/>
                <w:sz w:val="20"/>
                <w:szCs w:val="18"/>
              </w:rPr>
              <w:t>3.3:</w:t>
            </w:r>
            <w:r w:rsidRPr="002F2DD0">
              <w:rPr>
                <w:rFonts w:cs="Arial"/>
                <w:sz w:val="20"/>
                <w:szCs w:val="18"/>
              </w:rPr>
              <w:tab/>
            </w:r>
            <w:r w:rsidRPr="00F0238E">
              <w:rPr>
                <w:rFonts w:cs="Arial"/>
                <w:sz w:val="20"/>
                <w:szCs w:val="18"/>
              </w:rPr>
              <w:t>Decrease the incidence of sexually transmitted infections (chlamydia, gonorrhea, and syphilis) in adolescents and high risk adult populations.</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3.3.1</w:t>
            </w:r>
          </w:p>
          <w:p w:rsidR="004B20E5" w:rsidRPr="002F2DD0" w:rsidRDefault="004B20E5" w:rsidP="009C7855">
            <w:pPr>
              <w:jc w:val="center"/>
              <w:rPr>
                <w:rFonts w:cs="Arial"/>
                <w:sz w:val="16"/>
                <w:szCs w:val="18"/>
              </w:rPr>
            </w:pPr>
            <w:r w:rsidRPr="002F2DD0">
              <w:rPr>
                <w:rFonts w:cs="Arial"/>
                <w:sz w:val="16"/>
                <w:szCs w:val="18"/>
              </w:rPr>
              <w:t>3.3.2</w:t>
            </w:r>
          </w:p>
          <w:p w:rsidR="004B20E5" w:rsidRPr="002F2DD0" w:rsidRDefault="004B20E5" w:rsidP="009C7855">
            <w:pPr>
              <w:jc w:val="center"/>
              <w:rPr>
                <w:rFonts w:cs="Arial"/>
                <w:sz w:val="16"/>
                <w:szCs w:val="18"/>
              </w:rPr>
            </w:pPr>
            <w:r w:rsidRPr="002F2DD0">
              <w:rPr>
                <w:rFonts w:cs="Arial"/>
                <w:sz w:val="16"/>
                <w:szCs w:val="18"/>
              </w:rPr>
              <w:t>3.3.3</w:t>
            </w:r>
          </w:p>
          <w:p w:rsidR="004B20E5" w:rsidRPr="002F2DD0" w:rsidRDefault="004B20E5" w:rsidP="009C7855">
            <w:pPr>
              <w:jc w:val="center"/>
              <w:rPr>
                <w:rFonts w:cs="Arial"/>
                <w:sz w:val="16"/>
                <w:szCs w:val="18"/>
              </w:rPr>
            </w:pPr>
            <w:r w:rsidRPr="002F2DD0">
              <w:rPr>
                <w:rFonts w:cs="Arial"/>
                <w:sz w:val="16"/>
                <w:szCs w:val="18"/>
              </w:rPr>
              <w:t>3.3.4</w:t>
            </w:r>
          </w:p>
        </w:tc>
        <w:tc>
          <w:tcPr>
            <w:tcW w:w="263"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3.3.5</w:t>
            </w: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 xml:space="preserve">3.4: </w:t>
            </w:r>
            <w:r w:rsidRPr="002F2DD0">
              <w:rPr>
                <w:rFonts w:cs="Arial"/>
                <w:sz w:val="20"/>
                <w:szCs w:val="18"/>
              </w:rPr>
              <w:tab/>
            </w:r>
            <w:r w:rsidRPr="0016549E">
              <w:rPr>
                <w:rFonts w:cs="Arial"/>
                <w:sz w:val="20"/>
                <w:szCs w:val="18"/>
              </w:rPr>
              <w:t xml:space="preserve">Decrease the incidence of newly diagnosed HIV infections overall and among </w:t>
            </w:r>
            <w:r w:rsidRPr="001E441C">
              <w:rPr>
                <w:rFonts w:cs="Arial"/>
                <w:sz w:val="20"/>
                <w:szCs w:val="18"/>
              </w:rPr>
              <w:t xml:space="preserve">men who have sex with men (MSM) </w:t>
            </w:r>
            <w:r w:rsidRPr="0016549E">
              <w:rPr>
                <w:rFonts w:cs="Arial"/>
                <w:sz w:val="20"/>
                <w:szCs w:val="18"/>
              </w:rPr>
              <w:t xml:space="preserve">to meet multiple specified targets, and reduce racial and ethnic </w:t>
            </w:r>
            <w:r>
              <w:rPr>
                <w:rFonts w:cs="Arial"/>
                <w:sz w:val="20"/>
                <w:szCs w:val="18"/>
              </w:rPr>
              <w:t xml:space="preserve">HIV infection </w:t>
            </w:r>
            <w:r w:rsidRPr="0016549E">
              <w:rPr>
                <w:rFonts w:cs="Arial"/>
                <w:sz w:val="20"/>
                <w:szCs w:val="18"/>
              </w:rPr>
              <w:t>disparities by 20%.</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3.4.1</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3.4.2</w:t>
            </w:r>
          </w:p>
          <w:p w:rsidR="004B20E5" w:rsidRPr="002F2DD0" w:rsidRDefault="004B20E5" w:rsidP="009C7855">
            <w:pPr>
              <w:jc w:val="center"/>
              <w:rPr>
                <w:rFonts w:cs="Arial"/>
                <w:sz w:val="16"/>
                <w:szCs w:val="18"/>
              </w:rPr>
            </w:pPr>
            <w:r w:rsidRPr="002F2DD0">
              <w:rPr>
                <w:rFonts w:cs="Arial"/>
                <w:sz w:val="16"/>
                <w:szCs w:val="18"/>
              </w:rPr>
              <w:t>3.4.3</w:t>
            </w:r>
          </w:p>
          <w:p w:rsidR="004B20E5" w:rsidRPr="002F2DD0" w:rsidRDefault="004B20E5" w:rsidP="009C7855">
            <w:pPr>
              <w:jc w:val="center"/>
              <w:rPr>
                <w:rFonts w:cs="Arial"/>
                <w:sz w:val="16"/>
                <w:szCs w:val="18"/>
              </w:rPr>
            </w:pPr>
            <w:r w:rsidRPr="002F2DD0">
              <w:rPr>
                <w:rFonts w:cs="Arial"/>
                <w:sz w:val="16"/>
                <w:szCs w:val="18"/>
              </w:rPr>
              <w:t>3.4.4</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3.4.5</w:t>
            </w:r>
          </w:p>
        </w:tc>
        <w:tc>
          <w:tcPr>
            <w:tcW w:w="264"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3.4.6</w:t>
            </w:r>
          </w:p>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 xml:space="preserve">3.5:  </w:t>
            </w:r>
            <w:r w:rsidRPr="002F2DD0">
              <w:rPr>
                <w:rFonts w:cs="Arial"/>
                <w:sz w:val="20"/>
                <w:szCs w:val="18"/>
              </w:rPr>
              <w:tab/>
            </w:r>
            <w:r w:rsidRPr="00F0238E">
              <w:rPr>
                <w:rFonts w:cs="Arial"/>
                <w:sz w:val="20"/>
                <w:szCs w:val="18"/>
              </w:rPr>
              <w:t>Increase the average time between diagnosis of hepatitis C virus (HCV) infection and death due to hepatitis C virus infection from 3</w:t>
            </w:r>
            <w:r>
              <w:rPr>
                <w:rFonts w:cs="Arial"/>
                <w:sz w:val="20"/>
                <w:szCs w:val="18"/>
              </w:rPr>
              <w:t xml:space="preserve"> years</w:t>
            </w:r>
            <w:r w:rsidRPr="00F0238E">
              <w:rPr>
                <w:rFonts w:cs="Arial"/>
                <w:sz w:val="20"/>
                <w:szCs w:val="18"/>
              </w:rPr>
              <w:t xml:space="preserve"> to 4 years.</w:t>
            </w:r>
          </w:p>
        </w:tc>
        <w:tc>
          <w:tcPr>
            <w:tcW w:w="287" w:type="pct"/>
            <w:vAlign w:val="center"/>
          </w:tcPr>
          <w:p w:rsidR="004B20E5" w:rsidRDefault="004B20E5" w:rsidP="009C7855">
            <w:pPr>
              <w:jc w:val="center"/>
              <w:rPr>
                <w:rFonts w:cs="Arial"/>
                <w:sz w:val="16"/>
                <w:szCs w:val="18"/>
              </w:rPr>
            </w:pPr>
            <w:r w:rsidRPr="002F2DD0">
              <w:rPr>
                <w:rFonts w:cs="Arial"/>
                <w:sz w:val="16"/>
                <w:szCs w:val="18"/>
              </w:rPr>
              <w:t>3.5.1</w:t>
            </w:r>
          </w:p>
          <w:p w:rsidR="004B20E5" w:rsidRPr="002F2DD0" w:rsidRDefault="004B20E5" w:rsidP="009C7855">
            <w:pPr>
              <w:jc w:val="center"/>
              <w:rPr>
                <w:rFonts w:cs="Arial"/>
                <w:sz w:val="16"/>
                <w:szCs w:val="18"/>
              </w:rPr>
            </w:pPr>
            <w:r>
              <w:rPr>
                <w:rFonts w:cs="Arial"/>
                <w:sz w:val="16"/>
                <w:szCs w:val="18"/>
              </w:rPr>
              <w:t>3.5.2</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4437D6">
            <w:pPr>
              <w:jc w:val="center"/>
              <w:rPr>
                <w:rFonts w:cs="Arial"/>
                <w:sz w:val="16"/>
                <w:szCs w:val="18"/>
              </w:rPr>
            </w:pPr>
            <w:r w:rsidRPr="002F2DD0">
              <w:rPr>
                <w:rFonts w:cs="Arial"/>
                <w:sz w:val="16"/>
                <w:szCs w:val="18"/>
              </w:rPr>
              <w:t>3.5.</w:t>
            </w:r>
            <w:r>
              <w:rPr>
                <w:rFonts w:cs="Arial"/>
                <w:sz w:val="16"/>
                <w:szCs w:val="18"/>
              </w:rPr>
              <w:t>3</w:t>
            </w:r>
          </w:p>
        </w:tc>
        <w:tc>
          <w:tcPr>
            <w:tcW w:w="263"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r>
              <w:rPr>
                <w:rFonts w:cs="Arial"/>
                <w:sz w:val="16"/>
                <w:szCs w:val="18"/>
              </w:rPr>
              <w:t>3.5.4</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3.5.</w:t>
            </w:r>
            <w:r>
              <w:rPr>
                <w:rFonts w:cs="Arial"/>
                <w:sz w:val="16"/>
                <w:szCs w:val="18"/>
              </w:rPr>
              <w:t>5</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3.5.</w:t>
            </w:r>
            <w:r>
              <w:rPr>
                <w:rFonts w:cs="Arial"/>
                <w:sz w:val="16"/>
                <w:szCs w:val="18"/>
              </w:rPr>
              <w:t>6</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1E441C">
            <w:pPr>
              <w:ind w:left="537" w:hanging="537"/>
              <w:rPr>
                <w:rFonts w:cs="Arial"/>
                <w:sz w:val="20"/>
                <w:szCs w:val="18"/>
              </w:rPr>
            </w:pPr>
            <w:r w:rsidRPr="002F2DD0">
              <w:rPr>
                <w:rFonts w:cs="Arial"/>
                <w:sz w:val="20"/>
                <w:szCs w:val="18"/>
              </w:rPr>
              <w:t>3.6:</w:t>
            </w:r>
            <w:r w:rsidRPr="002F2DD0">
              <w:rPr>
                <w:rFonts w:cs="Arial"/>
                <w:sz w:val="20"/>
                <w:szCs w:val="18"/>
              </w:rPr>
              <w:tab/>
            </w:r>
            <w:r w:rsidRPr="00F0238E">
              <w:rPr>
                <w:rFonts w:cs="Arial"/>
                <w:sz w:val="20"/>
                <w:szCs w:val="18"/>
              </w:rPr>
              <w:t>Reduce standard infection ratios (SIR) to 1.00 or below for CLABSI’s, SSI’s</w:t>
            </w:r>
            <w:r>
              <w:rPr>
                <w:rFonts w:cs="Arial"/>
                <w:sz w:val="20"/>
                <w:szCs w:val="18"/>
              </w:rPr>
              <w:t xml:space="preserve"> and</w:t>
            </w:r>
            <w:r w:rsidR="00B3449B">
              <w:rPr>
                <w:rFonts w:cs="Arial"/>
                <w:sz w:val="20"/>
                <w:szCs w:val="18"/>
              </w:rPr>
              <w:t xml:space="preserve"> </w:t>
            </w:r>
            <w:r w:rsidRPr="00F0238E">
              <w:rPr>
                <w:rFonts w:cs="Arial"/>
                <w:sz w:val="20"/>
                <w:szCs w:val="18"/>
              </w:rPr>
              <w:t>CAUTI’s, in acute care hospitals through application o</w:t>
            </w:r>
            <w:r>
              <w:rPr>
                <w:rFonts w:cs="Arial"/>
                <w:sz w:val="20"/>
                <w:szCs w:val="18"/>
              </w:rPr>
              <w:t>f evidence-based interventions.</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3.6.1</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3.6.2</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3.6.3</w:t>
            </w:r>
          </w:p>
        </w:tc>
        <w:tc>
          <w:tcPr>
            <w:tcW w:w="264"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3.6.4</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004D1E">
            <w:pPr>
              <w:ind w:left="537" w:hanging="537"/>
              <w:rPr>
                <w:rFonts w:cs="Arial"/>
                <w:sz w:val="20"/>
                <w:szCs w:val="18"/>
              </w:rPr>
            </w:pPr>
            <w:r w:rsidRPr="002F2DD0">
              <w:rPr>
                <w:rFonts w:cs="Arial"/>
                <w:sz w:val="20"/>
                <w:szCs w:val="18"/>
              </w:rPr>
              <w:t>3.7:</w:t>
            </w:r>
            <w:r w:rsidRPr="002F2DD0">
              <w:rPr>
                <w:rFonts w:cs="Arial"/>
                <w:sz w:val="20"/>
                <w:szCs w:val="18"/>
              </w:rPr>
              <w:tab/>
            </w:r>
            <w:r>
              <w:rPr>
                <w:rFonts w:cs="Arial"/>
                <w:sz w:val="20"/>
                <w:szCs w:val="18"/>
              </w:rPr>
              <w:t>L</w:t>
            </w:r>
            <w:r w:rsidRPr="00F0238E">
              <w:rPr>
                <w:rFonts w:cs="Arial"/>
                <w:sz w:val="20"/>
                <w:szCs w:val="18"/>
              </w:rPr>
              <w:t>imit the yearly increase in campylobacter cases to less than 1%</w:t>
            </w:r>
            <w:r>
              <w:rPr>
                <w:rFonts w:cs="Arial"/>
                <w:sz w:val="20"/>
                <w:szCs w:val="18"/>
              </w:rPr>
              <w:t>and m</w:t>
            </w:r>
            <w:r w:rsidRPr="00F0238E">
              <w:rPr>
                <w:rFonts w:cs="Arial"/>
                <w:sz w:val="20"/>
                <w:szCs w:val="18"/>
              </w:rPr>
              <w:t>aintain reported cases of salmonella at fewer than 1,200 per year</w:t>
            </w:r>
            <w:r>
              <w:rPr>
                <w:rFonts w:cs="Arial"/>
                <w:sz w:val="20"/>
                <w:szCs w:val="18"/>
              </w:rPr>
              <w:t>.</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3.7.1</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3.7.2</w:t>
            </w:r>
          </w:p>
          <w:p w:rsidR="004B20E5" w:rsidRDefault="004B20E5" w:rsidP="009C7855">
            <w:pPr>
              <w:jc w:val="center"/>
              <w:rPr>
                <w:rFonts w:cs="Arial"/>
                <w:sz w:val="16"/>
                <w:szCs w:val="18"/>
              </w:rPr>
            </w:pPr>
            <w:r w:rsidRPr="002F2DD0">
              <w:rPr>
                <w:rFonts w:cs="Arial"/>
                <w:sz w:val="16"/>
                <w:szCs w:val="18"/>
              </w:rPr>
              <w:t>3.7.3</w:t>
            </w:r>
          </w:p>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Borders>
              <w:right w:val="nil"/>
            </w:tcBorders>
          </w:tcPr>
          <w:p w:rsidR="004B20E5" w:rsidRPr="009C7855" w:rsidRDefault="004B20E5" w:rsidP="009C7855">
            <w:pPr>
              <w:ind w:left="537" w:hanging="537"/>
              <w:rPr>
                <w:rFonts w:cs="Arial"/>
                <w:b/>
                <w:sz w:val="24"/>
                <w:szCs w:val="28"/>
              </w:rPr>
            </w:pPr>
            <w:r w:rsidRPr="009C7855">
              <w:rPr>
                <w:rFonts w:cs="Arial"/>
                <w:b/>
                <w:sz w:val="24"/>
                <w:szCs w:val="28"/>
              </w:rPr>
              <w:t>Domain 4.</w:t>
            </w:r>
            <w:r w:rsidRPr="009C7855">
              <w:rPr>
                <w:rFonts w:cs="Arial"/>
                <w:b/>
                <w:sz w:val="24"/>
                <w:szCs w:val="28"/>
              </w:rPr>
              <w:tab/>
              <w:t>Substance Abuse Prevention, Intervention, Treatment and Recovery</w:t>
            </w:r>
          </w:p>
        </w:tc>
        <w:tc>
          <w:tcPr>
            <w:tcW w:w="287"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4" w:type="pct"/>
            <w:tcBorders>
              <w:left w:val="nil"/>
              <w:right w:val="nil"/>
            </w:tcBorders>
            <w:vAlign w:val="center"/>
          </w:tcPr>
          <w:p w:rsidR="004B20E5" w:rsidRPr="002F2DD0" w:rsidRDefault="004B20E5" w:rsidP="009C7855">
            <w:pPr>
              <w:jc w:val="center"/>
              <w:rPr>
                <w:rFonts w:cs="Arial"/>
                <w:sz w:val="16"/>
                <w:szCs w:val="18"/>
              </w:rPr>
            </w:pPr>
          </w:p>
        </w:tc>
        <w:tc>
          <w:tcPr>
            <w:tcW w:w="296" w:type="pct"/>
            <w:tcBorders>
              <w:left w:val="nil"/>
              <w:right w:val="nil"/>
            </w:tcBorders>
            <w:vAlign w:val="center"/>
          </w:tcPr>
          <w:p w:rsidR="004B20E5" w:rsidRPr="002F2DD0" w:rsidRDefault="004B20E5" w:rsidP="009C7855">
            <w:pPr>
              <w:jc w:val="center"/>
              <w:rPr>
                <w:rFonts w:cs="Arial"/>
                <w:sz w:val="16"/>
                <w:szCs w:val="18"/>
              </w:rPr>
            </w:pPr>
          </w:p>
        </w:tc>
        <w:tc>
          <w:tcPr>
            <w:tcW w:w="296" w:type="pct"/>
            <w:tcBorders>
              <w:left w:val="nil"/>
              <w:right w:val="nil"/>
            </w:tcBorders>
            <w:vAlign w:val="center"/>
          </w:tcPr>
          <w:p w:rsidR="004B20E5" w:rsidRPr="002F2DD0" w:rsidRDefault="004B20E5" w:rsidP="009C7855">
            <w:pPr>
              <w:jc w:val="center"/>
              <w:rPr>
                <w:rFonts w:cs="Arial"/>
                <w:sz w:val="16"/>
                <w:szCs w:val="18"/>
              </w:rPr>
            </w:pPr>
          </w:p>
        </w:tc>
        <w:tc>
          <w:tcPr>
            <w:tcW w:w="264" w:type="pct"/>
            <w:tcBorders>
              <w:left w:val="nil"/>
              <w:right w:val="nil"/>
            </w:tcBorders>
            <w:vAlign w:val="center"/>
          </w:tcPr>
          <w:p w:rsidR="004B20E5" w:rsidRPr="002F2DD0" w:rsidRDefault="004B20E5" w:rsidP="009C7855">
            <w:pPr>
              <w:jc w:val="center"/>
              <w:rPr>
                <w:rFonts w:cs="Arial"/>
                <w:sz w:val="16"/>
                <w:szCs w:val="18"/>
              </w:rPr>
            </w:pPr>
          </w:p>
        </w:tc>
        <w:tc>
          <w:tcPr>
            <w:tcW w:w="329" w:type="pct"/>
            <w:tcBorders>
              <w:left w:val="nil"/>
              <w:right w:val="nil"/>
            </w:tcBorders>
            <w:vAlign w:val="center"/>
          </w:tcPr>
          <w:p w:rsidR="004B20E5" w:rsidRPr="002F2DD0" w:rsidRDefault="004B20E5" w:rsidP="009C7855">
            <w:pPr>
              <w:jc w:val="center"/>
              <w:rPr>
                <w:rFonts w:cs="Arial"/>
                <w:sz w:val="16"/>
                <w:szCs w:val="18"/>
              </w:rPr>
            </w:pPr>
          </w:p>
        </w:tc>
        <w:tc>
          <w:tcPr>
            <w:tcW w:w="362" w:type="pct"/>
            <w:tcBorders>
              <w:left w:val="nil"/>
              <w:right w:val="nil"/>
            </w:tcBorders>
            <w:vAlign w:val="center"/>
          </w:tcPr>
          <w:p w:rsidR="004B20E5" w:rsidRPr="002F2DD0" w:rsidRDefault="004B20E5" w:rsidP="009C7855">
            <w:pPr>
              <w:jc w:val="center"/>
              <w:rPr>
                <w:rFonts w:cs="Arial"/>
                <w:sz w:val="16"/>
                <w:szCs w:val="18"/>
              </w:rPr>
            </w:pPr>
          </w:p>
        </w:tc>
        <w:tc>
          <w:tcPr>
            <w:tcW w:w="297" w:type="pct"/>
            <w:tcBorders>
              <w:left w:val="nil"/>
              <w:right w:val="nil"/>
            </w:tcBorders>
            <w:vAlign w:val="center"/>
          </w:tcPr>
          <w:p w:rsidR="004B20E5" w:rsidRPr="002F2DD0" w:rsidRDefault="004B20E5" w:rsidP="009C7855">
            <w:pPr>
              <w:jc w:val="center"/>
              <w:rPr>
                <w:rFonts w:cs="Arial"/>
                <w:sz w:val="16"/>
                <w:szCs w:val="18"/>
              </w:rPr>
            </w:pPr>
          </w:p>
        </w:tc>
        <w:tc>
          <w:tcPr>
            <w:tcW w:w="294" w:type="pct"/>
            <w:tcBorders>
              <w:left w:val="nil"/>
            </w:tcBorders>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4.1:</w:t>
            </w:r>
            <w:r w:rsidRPr="002F2DD0">
              <w:rPr>
                <w:rFonts w:cs="Arial"/>
                <w:sz w:val="20"/>
                <w:szCs w:val="18"/>
              </w:rPr>
              <w:tab/>
            </w:r>
            <w:r w:rsidRPr="00F0238E">
              <w:rPr>
                <w:rFonts w:cs="Arial"/>
                <w:sz w:val="20"/>
                <w:szCs w:val="18"/>
              </w:rPr>
              <w:t xml:space="preserve">Reduce the </w:t>
            </w:r>
            <w:r>
              <w:rPr>
                <w:rFonts w:cs="Arial"/>
                <w:sz w:val="20"/>
                <w:szCs w:val="18"/>
              </w:rPr>
              <w:t xml:space="preserve">relative </w:t>
            </w:r>
            <w:r w:rsidRPr="00F0238E">
              <w:rPr>
                <w:rFonts w:cs="Arial"/>
                <w:sz w:val="20"/>
                <w:szCs w:val="18"/>
              </w:rPr>
              <w:t>percentage of youth who report having tried alcohol for the first time before age 13 by 5%.</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4.1.1</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4.1.2</w:t>
            </w:r>
          </w:p>
          <w:p w:rsidR="004B20E5" w:rsidRPr="002F2DD0" w:rsidRDefault="004B20E5" w:rsidP="009C7855">
            <w:pPr>
              <w:jc w:val="center"/>
              <w:rPr>
                <w:rFonts w:cs="Arial"/>
                <w:sz w:val="16"/>
                <w:szCs w:val="18"/>
              </w:rPr>
            </w:pPr>
            <w:r w:rsidRPr="002F2DD0">
              <w:rPr>
                <w:rFonts w:cs="Arial"/>
                <w:sz w:val="16"/>
                <w:szCs w:val="18"/>
              </w:rPr>
              <w:t>4.1.3</w:t>
            </w:r>
          </w:p>
          <w:p w:rsidR="004B20E5" w:rsidRPr="002F2DD0" w:rsidRDefault="004B20E5" w:rsidP="009C7855">
            <w:pPr>
              <w:jc w:val="center"/>
              <w:rPr>
                <w:rFonts w:cs="Arial"/>
                <w:sz w:val="16"/>
                <w:szCs w:val="18"/>
              </w:rPr>
            </w:pPr>
            <w:r w:rsidRPr="002F2DD0">
              <w:rPr>
                <w:rFonts w:cs="Arial"/>
                <w:sz w:val="16"/>
                <w:szCs w:val="18"/>
              </w:rPr>
              <w:t>4.1.4</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4.1.5</w:t>
            </w:r>
          </w:p>
          <w:p w:rsidR="004B20E5" w:rsidRPr="002F2DD0" w:rsidRDefault="004B20E5" w:rsidP="009C7855">
            <w:pPr>
              <w:jc w:val="center"/>
              <w:rPr>
                <w:rFonts w:cs="Arial"/>
                <w:sz w:val="16"/>
                <w:szCs w:val="18"/>
              </w:rPr>
            </w:pPr>
            <w:r w:rsidRPr="002F2DD0">
              <w:rPr>
                <w:rFonts w:cs="Arial"/>
                <w:sz w:val="16"/>
                <w:szCs w:val="18"/>
              </w:rPr>
              <w:t>4.1.6</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4.1.7</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4.2:</w:t>
            </w:r>
            <w:r w:rsidRPr="002F2DD0">
              <w:rPr>
                <w:rFonts w:cs="Arial"/>
                <w:sz w:val="20"/>
                <w:szCs w:val="18"/>
              </w:rPr>
              <w:tab/>
            </w:r>
            <w:r w:rsidRPr="00F0238E">
              <w:rPr>
                <w:rFonts w:cs="Arial"/>
                <w:sz w:val="20"/>
                <w:szCs w:val="18"/>
              </w:rPr>
              <w:t xml:space="preserve">Increase the annual number of healthcare providers trained by </w:t>
            </w:r>
            <w:r w:rsidR="009F3D12">
              <w:rPr>
                <w:rFonts w:cs="Arial"/>
                <w:sz w:val="20"/>
                <w:szCs w:val="18"/>
              </w:rPr>
              <w:t>M</w:t>
            </w:r>
            <w:r w:rsidRPr="00F0238E">
              <w:rPr>
                <w:rFonts w:cs="Arial"/>
                <w:sz w:val="20"/>
                <w:szCs w:val="18"/>
              </w:rPr>
              <w:t>DPH/BSAS to incorporate screening and intervention for unhealthy substance use by 5%.</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4.2.1</w:t>
            </w:r>
          </w:p>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Default="004B20E5" w:rsidP="009C7855">
            <w:pPr>
              <w:jc w:val="center"/>
              <w:rPr>
                <w:rFonts w:cs="Arial"/>
                <w:sz w:val="16"/>
                <w:szCs w:val="18"/>
              </w:rPr>
            </w:pPr>
            <w:r w:rsidRPr="002F2DD0">
              <w:rPr>
                <w:rFonts w:cs="Arial"/>
                <w:sz w:val="16"/>
                <w:szCs w:val="18"/>
              </w:rPr>
              <w:t>4.2.2</w:t>
            </w:r>
          </w:p>
          <w:p w:rsidR="004B20E5" w:rsidRDefault="004B20E5" w:rsidP="00816993">
            <w:pPr>
              <w:jc w:val="center"/>
              <w:rPr>
                <w:rFonts w:cs="Arial"/>
                <w:sz w:val="16"/>
                <w:szCs w:val="18"/>
              </w:rPr>
            </w:pPr>
            <w:r w:rsidRPr="002F2DD0">
              <w:rPr>
                <w:rFonts w:cs="Arial"/>
                <w:sz w:val="16"/>
                <w:szCs w:val="18"/>
              </w:rPr>
              <w:t>4.2.3</w:t>
            </w:r>
          </w:p>
          <w:p w:rsidR="004B20E5" w:rsidRDefault="004B20E5" w:rsidP="00816993">
            <w:pPr>
              <w:jc w:val="center"/>
              <w:rPr>
                <w:rFonts w:cs="Arial"/>
                <w:sz w:val="16"/>
                <w:szCs w:val="18"/>
              </w:rPr>
            </w:pPr>
            <w:r w:rsidRPr="002F2DD0">
              <w:rPr>
                <w:rFonts w:cs="Arial"/>
                <w:sz w:val="16"/>
                <w:szCs w:val="18"/>
              </w:rPr>
              <w:t>4.2.4</w:t>
            </w:r>
          </w:p>
          <w:p w:rsidR="004B20E5" w:rsidRDefault="004B20E5" w:rsidP="00816993">
            <w:pPr>
              <w:jc w:val="center"/>
              <w:rPr>
                <w:rFonts w:cs="Arial"/>
                <w:sz w:val="16"/>
                <w:szCs w:val="18"/>
              </w:rPr>
            </w:pPr>
            <w:r>
              <w:rPr>
                <w:rFonts w:cs="Arial"/>
                <w:sz w:val="16"/>
                <w:szCs w:val="18"/>
              </w:rPr>
              <w:t>4.2.5</w:t>
            </w:r>
          </w:p>
          <w:p w:rsidR="004B20E5" w:rsidRPr="002F2DD0" w:rsidRDefault="004B20E5" w:rsidP="00816993">
            <w:pPr>
              <w:jc w:val="center"/>
              <w:rPr>
                <w:rFonts w:cs="Arial"/>
                <w:sz w:val="16"/>
                <w:szCs w:val="18"/>
              </w:rPr>
            </w:pPr>
            <w:r>
              <w:rPr>
                <w:rFonts w:cs="Arial"/>
                <w:sz w:val="16"/>
                <w:szCs w:val="18"/>
              </w:rPr>
              <w:t>4.2.6</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4.3:</w:t>
            </w:r>
            <w:r w:rsidRPr="002F2DD0">
              <w:rPr>
                <w:rFonts w:cs="Arial"/>
                <w:sz w:val="20"/>
                <w:szCs w:val="18"/>
              </w:rPr>
              <w:tab/>
            </w:r>
            <w:r w:rsidRPr="00F0238E">
              <w:rPr>
                <w:rFonts w:cs="Arial"/>
                <w:sz w:val="20"/>
                <w:szCs w:val="18"/>
              </w:rPr>
              <w:t>Reduce a specified multiple provider episode (MPE) rate in the state by 20% (i.e., the number of individuals who receive at least one Schedule II and/or III prescription opi</w:t>
            </w:r>
            <w:r w:rsidR="00C8042B">
              <w:rPr>
                <w:rFonts w:cs="Arial"/>
                <w:sz w:val="20"/>
                <w:szCs w:val="18"/>
              </w:rPr>
              <w:t>oid</w:t>
            </w:r>
            <w:r w:rsidRPr="00F0238E">
              <w:rPr>
                <w:rFonts w:cs="Arial"/>
                <w:sz w:val="20"/>
                <w:szCs w:val="18"/>
              </w:rPr>
              <w:t xml:space="preserve"> from 4 </w:t>
            </w:r>
            <w:r w:rsidR="00B3449B">
              <w:rPr>
                <w:rFonts w:cs="Arial"/>
                <w:sz w:val="20"/>
                <w:szCs w:val="18"/>
              </w:rPr>
              <w:t xml:space="preserve">or more </w:t>
            </w:r>
            <w:r w:rsidRPr="00F0238E">
              <w:rPr>
                <w:rFonts w:cs="Arial"/>
                <w:sz w:val="20"/>
                <w:szCs w:val="18"/>
              </w:rPr>
              <w:t xml:space="preserve">different prescribers and 4 </w:t>
            </w:r>
            <w:r w:rsidR="00B3449B">
              <w:rPr>
                <w:rFonts w:cs="Arial"/>
                <w:sz w:val="20"/>
                <w:szCs w:val="18"/>
              </w:rPr>
              <w:t xml:space="preserve">or more </w:t>
            </w:r>
            <w:r w:rsidRPr="00F0238E">
              <w:rPr>
                <w:rFonts w:cs="Arial"/>
                <w:sz w:val="20"/>
                <w:szCs w:val="18"/>
              </w:rPr>
              <w:t>different pharmacies during the calendar year divided by the state population).</w:t>
            </w:r>
          </w:p>
        </w:tc>
        <w:tc>
          <w:tcPr>
            <w:tcW w:w="287" w:type="pct"/>
            <w:vAlign w:val="center"/>
          </w:tcPr>
          <w:p w:rsidR="004B20E5" w:rsidRPr="002F2DD0" w:rsidRDefault="004B20E5" w:rsidP="009C7855">
            <w:pPr>
              <w:jc w:val="center"/>
              <w:rPr>
                <w:rFonts w:cs="Arial"/>
                <w:sz w:val="16"/>
                <w:szCs w:val="18"/>
              </w:rPr>
            </w:pPr>
            <w:r>
              <w:rPr>
                <w:rFonts w:cs="Arial"/>
                <w:sz w:val="16"/>
                <w:szCs w:val="18"/>
              </w:rPr>
              <w:t>4.3.1</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Pr>
                <w:rFonts w:cs="Arial"/>
                <w:sz w:val="16"/>
                <w:szCs w:val="18"/>
              </w:rPr>
              <w:t>4.3.2</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4.3.</w:t>
            </w:r>
            <w:r>
              <w:rPr>
                <w:rFonts w:cs="Arial"/>
                <w:sz w:val="16"/>
                <w:szCs w:val="18"/>
              </w:rPr>
              <w:t>3</w:t>
            </w:r>
          </w:p>
        </w:tc>
        <w:tc>
          <w:tcPr>
            <w:tcW w:w="264" w:type="pct"/>
            <w:vAlign w:val="center"/>
          </w:tcPr>
          <w:p w:rsidR="004B20E5" w:rsidRPr="002F2DD0" w:rsidRDefault="004B20E5" w:rsidP="009C7855">
            <w:pPr>
              <w:jc w:val="center"/>
              <w:rPr>
                <w:rFonts w:cs="Arial"/>
                <w:sz w:val="16"/>
                <w:szCs w:val="18"/>
              </w:rPr>
            </w:pPr>
            <w:r>
              <w:rPr>
                <w:rFonts w:cs="Arial"/>
                <w:sz w:val="16"/>
                <w:szCs w:val="18"/>
              </w:rPr>
              <w:t>4.3.4</w:t>
            </w:r>
          </w:p>
        </w:tc>
        <w:tc>
          <w:tcPr>
            <w:tcW w:w="296" w:type="pct"/>
            <w:vAlign w:val="center"/>
          </w:tcPr>
          <w:p w:rsidR="004B20E5" w:rsidRPr="002F2DD0" w:rsidRDefault="004B20E5" w:rsidP="009C7855">
            <w:pPr>
              <w:jc w:val="center"/>
              <w:rPr>
                <w:rFonts w:cs="Arial"/>
                <w:sz w:val="16"/>
                <w:szCs w:val="18"/>
              </w:rPr>
            </w:pPr>
            <w:r>
              <w:rPr>
                <w:rFonts w:cs="Arial"/>
                <w:sz w:val="16"/>
                <w:szCs w:val="18"/>
              </w:rPr>
              <w:t>4.3.5</w:t>
            </w: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4.3.6</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D9064A">
            <w:pPr>
              <w:ind w:left="537" w:hanging="537"/>
              <w:rPr>
                <w:rFonts w:cs="Arial"/>
                <w:sz w:val="20"/>
                <w:szCs w:val="18"/>
              </w:rPr>
            </w:pPr>
            <w:r w:rsidRPr="002F2DD0">
              <w:rPr>
                <w:rFonts w:cs="Arial"/>
                <w:sz w:val="20"/>
                <w:szCs w:val="18"/>
              </w:rPr>
              <w:t>4.4:</w:t>
            </w:r>
            <w:r w:rsidRPr="002F2DD0">
              <w:rPr>
                <w:rFonts w:cs="Arial"/>
                <w:sz w:val="20"/>
                <w:szCs w:val="18"/>
              </w:rPr>
              <w:tab/>
            </w:r>
            <w:r w:rsidRPr="00F0238E">
              <w:rPr>
                <w:rFonts w:cs="Arial"/>
                <w:sz w:val="20"/>
                <w:szCs w:val="18"/>
              </w:rPr>
              <w:t xml:space="preserve">Reduce the number of individuals identified per year </w:t>
            </w:r>
            <w:r w:rsidR="00D9064A">
              <w:rPr>
                <w:rFonts w:cs="Arial"/>
                <w:sz w:val="20"/>
                <w:szCs w:val="18"/>
              </w:rPr>
              <w:t xml:space="preserve">with </w:t>
            </w:r>
            <w:r w:rsidR="00B3449B">
              <w:rPr>
                <w:rFonts w:cs="Arial"/>
                <w:sz w:val="20"/>
                <w:szCs w:val="18"/>
              </w:rPr>
              <w:t xml:space="preserve">combined opioid prescriptions </w:t>
            </w:r>
            <w:r w:rsidR="00D9064A">
              <w:rPr>
                <w:rFonts w:cs="Arial"/>
                <w:sz w:val="20"/>
                <w:szCs w:val="18"/>
              </w:rPr>
              <w:t xml:space="preserve">for </w:t>
            </w:r>
            <w:r w:rsidRPr="00F0238E">
              <w:rPr>
                <w:rFonts w:cs="Arial"/>
                <w:sz w:val="20"/>
                <w:szCs w:val="18"/>
              </w:rPr>
              <w:t>an average morphine milligram equivalent (MME) greater than 100 mg per day by 1</w:t>
            </w:r>
            <w:r>
              <w:rPr>
                <w:rFonts w:cs="Arial"/>
                <w:sz w:val="20"/>
                <w:szCs w:val="18"/>
              </w:rPr>
              <w:t>0</w:t>
            </w:r>
            <w:r w:rsidRPr="00F0238E">
              <w:rPr>
                <w:rFonts w:cs="Arial"/>
                <w:sz w:val="20"/>
                <w:szCs w:val="18"/>
              </w:rPr>
              <w:t>%.</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4.4.1</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4.4.2</w:t>
            </w:r>
          </w:p>
        </w:tc>
        <w:tc>
          <w:tcPr>
            <w:tcW w:w="263" w:type="pct"/>
            <w:vAlign w:val="center"/>
          </w:tcPr>
          <w:p w:rsidR="004B20E5" w:rsidRPr="002F2DD0" w:rsidRDefault="004B20E5" w:rsidP="009C7855">
            <w:pPr>
              <w:jc w:val="center"/>
              <w:rPr>
                <w:rFonts w:cs="Arial"/>
                <w:sz w:val="16"/>
                <w:szCs w:val="18"/>
              </w:rPr>
            </w:pPr>
            <w:r>
              <w:rPr>
                <w:rFonts w:cs="Arial"/>
                <w:sz w:val="16"/>
                <w:szCs w:val="18"/>
              </w:rPr>
              <w:t>4.4.3</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4.4.4</w:t>
            </w: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4.4.5</w:t>
            </w: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4.4.6</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F0238E" w:rsidRDefault="004B20E5" w:rsidP="009C7855">
            <w:pPr>
              <w:ind w:left="537" w:hanging="537"/>
              <w:rPr>
                <w:rFonts w:cs="Arial"/>
                <w:sz w:val="20"/>
                <w:szCs w:val="18"/>
              </w:rPr>
            </w:pPr>
            <w:r w:rsidRPr="00F0238E">
              <w:rPr>
                <w:rFonts w:cs="Arial"/>
                <w:sz w:val="20"/>
                <w:szCs w:val="18"/>
              </w:rPr>
              <w:t>4.5</w:t>
            </w:r>
            <w:r w:rsidRPr="00F0238E">
              <w:rPr>
                <w:rFonts w:cs="Arial"/>
                <w:sz w:val="20"/>
                <w:szCs w:val="18"/>
              </w:rPr>
              <w:tab/>
              <w:t>Ensure that 100% of BSAS-funded prevention coalitions and the integrated communities and municipalities use the Strategic Prevention Framework (SPF</w:t>
            </w:r>
            <w:r>
              <w:rPr>
                <w:rFonts w:cs="Arial"/>
                <w:sz w:val="20"/>
                <w:szCs w:val="18"/>
              </w:rPr>
              <w:t>).</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Default="004B20E5" w:rsidP="009C7855">
            <w:pPr>
              <w:jc w:val="center"/>
              <w:rPr>
                <w:rFonts w:cs="Arial"/>
                <w:sz w:val="16"/>
                <w:szCs w:val="18"/>
              </w:rPr>
            </w:pPr>
            <w:r>
              <w:rPr>
                <w:rFonts w:cs="Arial"/>
                <w:sz w:val="16"/>
                <w:szCs w:val="18"/>
              </w:rPr>
              <w:t>4.5.1</w:t>
            </w:r>
          </w:p>
          <w:p w:rsidR="004B20E5" w:rsidRPr="002F2DD0" w:rsidRDefault="004B20E5" w:rsidP="009C7855">
            <w:pPr>
              <w:jc w:val="center"/>
              <w:rPr>
                <w:rFonts w:cs="Arial"/>
                <w:sz w:val="16"/>
                <w:szCs w:val="18"/>
              </w:rPr>
            </w:pPr>
            <w:r>
              <w:rPr>
                <w:rFonts w:cs="Arial"/>
                <w:sz w:val="16"/>
                <w:szCs w:val="18"/>
              </w:rPr>
              <w:t>4.5.2</w:t>
            </w:r>
          </w:p>
        </w:tc>
        <w:tc>
          <w:tcPr>
            <w:tcW w:w="264"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r>
              <w:rPr>
                <w:rFonts w:cs="Arial"/>
                <w:sz w:val="16"/>
                <w:szCs w:val="18"/>
              </w:rPr>
              <w:t>4.5.3</w:t>
            </w:r>
          </w:p>
        </w:tc>
        <w:tc>
          <w:tcPr>
            <w:tcW w:w="329" w:type="pct"/>
            <w:vAlign w:val="center"/>
          </w:tcPr>
          <w:p w:rsidR="004B20E5" w:rsidRPr="002F2DD0" w:rsidRDefault="004B20E5" w:rsidP="009C7855">
            <w:pPr>
              <w:jc w:val="center"/>
              <w:rPr>
                <w:rFonts w:cs="Arial"/>
                <w:sz w:val="16"/>
                <w:szCs w:val="18"/>
              </w:rPr>
            </w:pPr>
            <w:r>
              <w:rPr>
                <w:rFonts w:cs="Arial"/>
                <w:sz w:val="16"/>
                <w:szCs w:val="18"/>
              </w:rPr>
              <w:t>4.5.4</w:t>
            </w: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004D1E">
            <w:pPr>
              <w:ind w:left="537" w:hanging="537"/>
              <w:rPr>
                <w:rFonts w:cs="Arial"/>
                <w:sz w:val="20"/>
                <w:szCs w:val="18"/>
              </w:rPr>
            </w:pPr>
            <w:r>
              <w:rPr>
                <w:rFonts w:cs="Arial"/>
                <w:sz w:val="20"/>
                <w:szCs w:val="18"/>
              </w:rPr>
              <w:t>4.6</w:t>
            </w:r>
            <w:r>
              <w:rPr>
                <w:rFonts w:cs="Arial"/>
                <w:sz w:val="20"/>
                <w:szCs w:val="18"/>
              </w:rPr>
              <w:tab/>
            </w:r>
            <w:r w:rsidRPr="00F0238E">
              <w:rPr>
                <w:rFonts w:cs="Arial"/>
                <w:sz w:val="20"/>
                <w:szCs w:val="18"/>
              </w:rPr>
              <w:t xml:space="preserve">Increase the </w:t>
            </w:r>
            <w:r>
              <w:rPr>
                <w:rFonts w:cs="Arial"/>
                <w:sz w:val="20"/>
                <w:szCs w:val="18"/>
              </w:rPr>
              <w:t xml:space="preserve">relative percentage </w:t>
            </w:r>
            <w:r w:rsidRPr="00F0238E">
              <w:rPr>
                <w:rFonts w:cs="Arial"/>
                <w:sz w:val="20"/>
                <w:szCs w:val="18"/>
              </w:rPr>
              <w:t xml:space="preserve">of non-white opioid addicted individuals enrolled in </w:t>
            </w:r>
            <w:r w:rsidR="009F3D12">
              <w:rPr>
                <w:rFonts w:cs="Arial"/>
                <w:sz w:val="20"/>
                <w:szCs w:val="18"/>
              </w:rPr>
              <w:t>M</w:t>
            </w:r>
            <w:r w:rsidRPr="00F0238E">
              <w:rPr>
                <w:rFonts w:cs="Arial"/>
                <w:sz w:val="20"/>
                <w:szCs w:val="18"/>
              </w:rPr>
              <w:t>DPH/BSAS-funded medication assisted treatment programs by 5%.</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Default="004B20E5" w:rsidP="009C7855">
            <w:pPr>
              <w:jc w:val="center"/>
              <w:rPr>
                <w:rFonts w:cs="Arial"/>
                <w:sz w:val="16"/>
                <w:szCs w:val="18"/>
              </w:rPr>
            </w:pPr>
            <w:r>
              <w:rPr>
                <w:rFonts w:cs="Arial"/>
                <w:sz w:val="16"/>
                <w:szCs w:val="18"/>
              </w:rPr>
              <w:t>4.6.1</w:t>
            </w:r>
          </w:p>
          <w:p w:rsidR="004B20E5" w:rsidRPr="002F2DD0" w:rsidRDefault="004B20E5" w:rsidP="009C7855">
            <w:pPr>
              <w:jc w:val="center"/>
              <w:rPr>
                <w:rFonts w:cs="Arial"/>
                <w:sz w:val="16"/>
                <w:szCs w:val="18"/>
              </w:rPr>
            </w:pPr>
            <w:r>
              <w:rPr>
                <w:rFonts w:cs="Arial"/>
                <w:sz w:val="16"/>
                <w:szCs w:val="18"/>
              </w:rPr>
              <w:t>4.6.2</w:t>
            </w:r>
          </w:p>
        </w:tc>
        <w:tc>
          <w:tcPr>
            <w:tcW w:w="264" w:type="pct"/>
            <w:vAlign w:val="center"/>
          </w:tcPr>
          <w:p w:rsidR="004B20E5" w:rsidRDefault="004B20E5" w:rsidP="009C7855">
            <w:pPr>
              <w:jc w:val="center"/>
              <w:rPr>
                <w:rFonts w:cs="Arial"/>
                <w:sz w:val="16"/>
                <w:szCs w:val="18"/>
              </w:rPr>
            </w:pPr>
            <w:r>
              <w:rPr>
                <w:rFonts w:cs="Arial"/>
                <w:sz w:val="16"/>
                <w:szCs w:val="18"/>
              </w:rPr>
              <w:t>4.6.3</w:t>
            </w:r>
          </w:p>
          <w:p w:rsidR="004B20E5" w:rsidRPr="002F2DD0" w:rsidRDefault="004B20E5" w:rsidP="009C7855">
            <w:pPr>
              <w:jc w:val="center"/>
              <w:rPr>
                <w:rFonts w:cs="Arial"/>
                <w:sz w:val="16"/>
                <w:szCs w:val="18"/>
              </w:rPr>
            </w:pPr>
            <w:r>
              <w:rPr>
                <w:rFonts w:cs="Arial"/>
                <w:sz w:val="16"/>
                <w:szCs w:val="18"/>
              </w:rPr>
              <w:t>4.6.4</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Default="004B20E5" w:rsidP="009C7855">
            <w:pPr>
              <w:jc w:val="center"/>
              <w:rPr>
                <w:rFonts w:cs="Arial"/>
                <w:sz w:val="16"/>
                <w:szCs w:val="18"/>
              </w:rPr>
            </w:pPr>
            <w:r>
              <w:rPr>
                <w:rFonts w:cs="Arial"/>
                <w:sz w:val="16"/>
                <w:szCs w:val="18"/>
              </w:rPr>
              <w:t>4.6.5</w:t>
            </w:r>
          </w:p>
          <w:p w:rsidR="004B20E5" w:rsidRDefault="004B20E5" w:rsidP="009C7855">
            <w:pPr>
              <w:jc w:val="center"/>
              <w:rPr>
                <w:rFonts w:cs="Arial"/>
                <w:sz w:val="16"/>
                <w:szCs w:val="18"/>
              </w:rPr>
            </w:pPr>
            <w:r>
              <w:rPr>
                <w:rFonts w:cs="Arial"/>
                <w:sz w:val="16"/>
                <w:szCs w:val="18"/>
              </w:rPr>
              <w:t>4.6.6</w:t>
            </w:r>
          </w:p>
          <w:p w:rsidR="004B20E5" w:rsidRPr="002F2DD0" w:rsidRDefault="004B20E5" w:rsidP="009C7855">
            <w:pPr>
              <w:jc w:val="center"/>
              <w:rPr>
                <w:rFonts w:cs="Arial"/>
                <w:sz w:val="16"/>
                <w:szCs w:val="18"/>
              </w:rPr>
            </w:pPr>
            <w:r>
              <w:rPr>
                <w:rFonts w:cs="Arial"/>
                <w:sz w:val="16"/>
                <w:szCs w:val="18"/>
              </w:rPr>
              <w:t>4.6.7</w:t>
            </w: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Borders>
              <w:right w:val="nil"/>
            </w:tcBorders>
          </w:tcPr>
          <w:p w:rsidR="004B20E5" w:rsidRPr="009C7855" w:rsidRDefault="004B20E5" w:rsidP="009C7855">
            <w:pPr>
              <w:ind w:left="537" w:hanging="537"/>
              <w:rPr>
                <w:rFonts w:cs="Arial"/>
                <w:b/>
                <w:sz w:val="24"/>
                <w:szCs w:val="28"/>
              </w:rPr>
            </w:pPr>
            <w:r w:rsidRPr="009C7855">
              <w:rPr>
                <w:rFonts w:cs="Arial"/>
                <w:b/>
                <w:sz w:val="24"/>
                <w:szCs w:val="28"/>
              </w:rPr>
              <w:t>Domain 5:  Injury, Suicide and Violence Prevention</w:t>
            </w:r>
          </w:p>
        </w:tc>
        <w:tc>
          <w:tcPr>
            <w:tcW w:w="287"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4" w:type="pct"/>
            <w:tcBorders>
              <w:left w:val="nil"/>
              <w:right w:val="nil"/>
            </w:tcBorders>
            <w:vAlign w:val="center"/>
          </w:tcPr>
          <w:p w:rsidR="004B20E5" w:rsidRPr="002F2DD0" w:rsidRDefault="004B20E5" w:rsidP="009C7855">
            <w:pPr>
              <w:jc w:val="center"/>
              <w:rPr>
                <w:rFonts w:cs="Arial"/>
                <w:sz w:val="16"/>
                <w:szCs w:val="18"/>
              </w:rPr>
            </w:pPr>
          </w:p>
        </w:tc>
        <w:tc>
          <w:tcPr>
            <w:tcW w:w="296" w:type="pct"/>
            <w:tcBorders>
              <w:left w:val="nil"/>
              <w:right w:val="nil"/>
            </w:tcBorders>
            <w:vAlign w:val="center"/>
          </w:tcPr>
          <w:p w:rsidR="004B20E5" w:rsidRPr="002F2DD0" w:rsidRDefault="004B20E5" w:rsidP="009C7855">
            <w:pPr>
              <w:jc w:val="center"/>
              <w:rPr>
                <w:rFonts w:cs="Arial"/>
                <w:sz w:val="16"/>
                <w:szCs w:val="18"/>
              </w:rPr>
            </w:pPr>
          </w:p>
        </w:tc>
        <w:tc>
          <w:tcPr>
            <w:tcW w:w="296" w:type="pct"/>
            <w:tcBorders>
              <w:left w:val="nil"/>
              <w:right w:val="nil"/>
            </w:tcBorders>
            <w:vAlign w:val="center"/>
          </w:tcPr>
          <w:p w:rsidR="004B20E5" w:rsidRPr="002F2DD0" w:rsidRDefault="004B20E5" w:rsidP="009C7855">
            <w:pPr>
              <w:jc w:val="center"/>
              <w:rPr>
                <w:rFonts w:cs="Arial"/>
                <w:sz w:val="16"/>
                <w:szCs w:val="18"/>
              </w:rPr>
            </w:pPr>
          </w:p>
        </w:tc>
        <w:tc>
          <w:tcPr>
            <w:tcW w:w="264" w:type="pct"/>
            <w:tcBorders>
              <w:left w:val="nil"/>
              <w:right w:val="nil"/>
            </w:tcBorders>
            <w:vAlign w:val="center"/>
          </w:tcPr>
          <w:p w:rsidR="004B20E5" w:rsidRPr="002F2DD0" w:rsidRDefault="004B20E5" w:rsidP="009C7855">
            <w:pPr>
              <w:jc w:val="center"/>
              <w:rPr>
                <w:rFonts w:cs="Arial"/>
                <w:sz w:val="16"/>
                <w:szCs w:val="18"/>
              </w:rPr>
            </w:pPr>
          </w:p>
        </w:tc>
        <w:tc>
          <w:tcPr>
            <w:tcW w:w="329" w:type="pct"/>
            <w:tcBorders>
              <w:left w:val="nil"/>
              <w:right w:val="nil"/>
            </w:tcBorders>
            <w:vAlign w:val="center"/>
          </w:tcPr>
          <w:p w:rsidR="004B20E5" w:rsidRPr="002F2DD0" w:rsidRDefault="004B20E5" w:rsidP="009C7855">
            <w:pPr>
              <w:jc w:val="center"/>
              <w:rPr>
                <w:rFonts w:cs="Arial"/>
                <w:sz w:val="16"/>
                <w:szCs w:val="18"/>
              </w:rPr>
            </w:pPr>
          </w:p>
        </w:tc>
        <w:tc>
          <w:tcPr>
            <w:tcW w:w="362" w:type="pct"/>
            <w:tcBorders>
              <w:left w:val="nil"/>
              <w:right w:val="nil"/>
            </w:tcBorders>
            <w:vAlign w:val="center"/>
          </w:tcPr>
          <w:p w:rsidR="004B20E5" w:rsidRPr="002F2DD0" w:rsidRDefault="004B20E5" w:rsidP="009C7855">
            <w:pPr>
              <w:jc w:val="center"/>
              <w:rPr>
                <w:rFonts w:cs="Arial"/>
                <w:sz w:val="16"/>
                <w:szCs w:val="18"/>
              </w:rPr>
            </w:pPr>
          </w:p>
        </w:tc>
        <w:tc>
          <w:tcPr>
            <w:tcW w:w="297" w:type="pct"/>
            <w:tcBorders>
              <w:left w:val="nil"/>
              <w:right w:val="nil"/>
            </w:tcBorders>
            <w:vAlign w:val="center"/>
          </w:tcPr>
          <w:p w:rsidR="004B20E5" w:rsidRPr="002F2DD0" w:rsidRDefault="004B20E5" w:rsidP="009C7855">
            <w:pPr>
              <w:jc w:val="center"/>
              <w:rPr>
                <w:rFonts w:cs="Arial"/>
                <w:sz w:val="16"/>
                <w:szCs w:val="18"/>
              </w:rPr>
            </w:pPr>
          </w:p>
        </w:tc>
        <w:tc>
          <w:tcPr>
            <w:tcW w:w="294" w:type="pct"/>
            <w:tcBorders>
              <w:left w:val="nil"/>
            </w:tcBorders>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623AC0">
            <w:pPr>
              <w:ind w:left="537" w:hanging="537"/>
              <w:rPr>
                <w:rFonts w:cs="Arial"/>
                <w:sz w:val="20"/>
                <w:szCs w:val="18"/>
              </w:rPr>
            </w:pPr>
            <w:r w:rsidRPr="002F2DD0">
              <w:rPr>
                <w:rFonts w:cs="Arial"/>
                <w:sz w:val="20"/>
                <w:szCs w:val="18"/>
              </w:rPr>
              <w:t>5.1:</w:t>
            </w:r>
            <w:r w:rsidRPr="002F2DD0">
              <w:rPr>
                <w:rFonts w:cs="Arial"/>
                <w:sz w:val="20"/>
                <w:szCs w:val="18"/>
              </w:rPr>
              <w:tab/>
            </w:r>
            <w:r w:rsidRPr="00F0238E">
              <w:rPr>
                <w:rFonts w:cs="Arial"/>
                <w:sz w:val="20"/>
                <w:szCs w:val="18"/>
              </w:rPr>
              <w:t>Stabilize the rate of fatal poisonings, with particular focus on opioid related poisonings.</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5.1.1</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5.1.2</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5.1.3</w:t>
            </w:r>
          </w:p>
          <w:p w:rsidR="004B20E5" w:rsidRPr="002F2DD0" w:rsidRDefault="004B20E5" w:rsidP="009C7855">
            <w:pPr>
              <w:jc w:val="center"/>
              <w:rPr>
                <w:rFonts w:cs="Arial"/>
                <w:sz w:val="16"/>
                <w:szCs w:val="18"/>
              </w:rPr>
            </w:pPr>
            <w:r w:rsidRPr="002F2DD0">
              <w:rPr>
                <w:rFonts w:cs="Arial"/>
                <w:sz w:val="16"/>
                <w:szCs w:val="18"/>
              </w:rPr>
              <w:t>5.1.4</w:t>
            </w:r>
          </w:p>
        </w:tc>
        <w:tc>
          <w:tcPr>
            <w:tcW w:w="264"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5.2:</w:t>
            </w:r>
            <w:r w:rsidRPr="002F2DD0">
              <w:rPr>
                <w:rFonts w:cs="Arial"/>
                <w:sz w:val="20"/>
                <w:szCs w:val="18"/>
              </w:rPr>
              <w:tab/>
            </w:r>
            <w:r w:rsidRPr="00F0238E">
              <w:rPr>
                <w:rFonts w:cs="Arial"/>
                <w:sz w:val="20"/>
                <w:szCs w:val="18"/>
              </w:rPr>
              <w:t>Prevent an increase in the rate of unintentional fall deaths among residents ages 65+ years</w:t>
            </w:r>
            <w:r>
              <w:rPr>
                <w:rFonts w:cs="Arial"/>
                <w:sz w:val="20"/>
                <w:szCs w:val="18"/>
              </w:rPr>
              <w:t>.</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5.2.1</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5.2.2</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5.2.3</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5.2.4</w:t>
            </w:r>
          </w:p>
          <w:p w:rsidR="004B20E5" w:rsidRPr="002F2DD0" w:rsidRDefault="004B20E5" w:rsidP="009C7855">
            <w:pPr>
              <w:jc w:val="center"/>
              <w:rPr>
                <w:rFonts w:cs="Arial"/>
                <w:sz w:val="16"/>
                <w:szCs w:val="18"/>
              </w:rPr>
            </w:pPr>
            <w:r w:rsidRPr="002F2DD0">
              <w:rPr>
                <w:rFonts w:cs="Arial"/>
                <w:sz w:val="16"/>
                <w:szCs w:val="18"/>
              </w:rPr>
              <w:t>5.2.5</w:t>
            </w:r>
          </w:p>
          <w:p w:rsidR="004B20E5" w:rsidRPr="002F2DD0" w:rsidRDefault="004B20E5" w:rsidP="009C7855">
            <w:pPr>
              <w:jc w:val="center"/>
              <w:rPr>
                <w:rFonts w:cs="Arial"/>
                <w:sz w:val="16"/>
                <w:szCs w:val="18"/>
              </w:rPr>
            </w:pPr>
            <w:r w:rsidRPr="002F2DD0">
              <w:rPr>
                <w:rFonts w:cs="Arial"/>
                <w:sz w:val="16"/>
                <w:szCs w:val="18"/>
              </w:rPr>
              <w:t>5.2.6</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5.2.7</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5.2.8</w:t>
            </w:r>
          </w:p>
        </w:tc>
        <w:tc>
          <w:tcPr>
            <w:tcW w:w="329" w:type="pct"/>
            <w:vAlign w:val="center"/>
          </w:tcPr>
          <w:p w:rsidR="004B20E5" w:rsidRPr="002F2DD0" w:rsidRDefault="004B20E5" w:rsidP="009C7855">
            <w:pPr>
              <w:jc w:val="center"/>
              <w:rPr>
                <w:rFonts w:cs="Arial"/>
                <w:sz w:val="16"/>
                <w:szCs w:val="18"/>
              </w:rPr>
            </w:pPr>
            <w:r w:rsidRPr="002F2DD0">
              <w:rPr>
                <w:rFonts w:cs="Arial"/>
                <w:sz w:val="16"/>
                <w:szCs w:val="18"/>
              </w:rPr>
              <w:t>5.2.9</w:t>
            </w: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r w:rsidRPr="002F2DD0">
              <w:rPr>
                <w:rFonts w:cs="Arial"/>
                <w:sz w:val="16"/>
                <w:szCs w:val="18"/>
              </w:rPr>
              <w:t>5.2.10</w:t>
            </w: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5.3:</w:t>
            </w:r>
            <w:r w:rsidRPr="002F2DD0">
              <w:rPr>
                <w:rFonts w:cs="Arial"/>
                <w:sz w:val="20"/>
                <w:szCs w:val="18"/>
              </w:rPr>
              <w:tab/>
            </w:r>
            <w:r w:rsidRPr="00F0238E">
              <w:rPr>
                <w:rFonts w:cs="Arial"/>
                <w:sz w:val="20"/>
                <w:szCs w:val="18"/>
              </w:rPr>
              <w:t>Decrease the rate of unintentional motor vehicle traffic deaths among MA residents by 5%.</w:t>
            </w:r>
          </w:p>
        </w:tc>
        <w:tc>
          <w:tcPr>
            <w:tcW w:w="287" w:type="pct"/>
            <w:vAlign w:val="center"/>
          </w:tcPr>
          <w:p w:rsidR="004B20E5" w:rsidRDefault="004B20E5" w:rsidP="009C7855">
            <w:pPr>
              <w:jc w:val="center"/>
              <w:rPr>
                <w:rFonts w:cs="Arial"/>
                <w:sz w:val="16"/>
                <w:szCs w:val="18"/>
              </w:rPr>
            </w:pPr>
            <w:r w:rsidRPr="002F2DD0">
              <w:rPr>
                <w:rFonts w:cs="Arial"/>
                <w:sz w:val="16"/>
                <w:szCs w:val="18"/>
              </w:rPr>
              <w:t>5.3.1</w:t>
            </w:r>
          </w:p>
          <w:p w:rsidR="004B20E5" w:rsidRPr="002F2DD0" w:rsidRDefault="004B20E5" w:rsidP="009C7855">
            <w:pPr>
              <w:jc w:val="center"/>
              <w:rPr>
                <w:rFonts w:cs="Arial"/>
                <w:sz w:val="16"/>
                <w:szCs w:val="18"/>
              </w:rPr>
            </w:pPr>
            <w:r>
              <w:rPr>
                <w:rFonts w:cs="Arial"/>
                <w:sz w:val="16"/>
                <w:szCs w:val="18"/>
              </w:rPr>
              <w:t>5.3.2</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Default="004B20E5" w:rsidP="009C7855">
            <w:pPr>
              <w:jc w:val="center"/>
              <w:rPr>
                <w:rFonts w:cs="Arial"/>
                <w:sz w:val="16"/>
                <w:szCs w:val="18"/>
              </w:rPr>
            </w:pPr>
            <w:r w:rsidRPr="002F2DD0">
              <w:rPr>
                <w:rFonts w:cs="Arial"/>
                <w:sz w:val="16"/>
                <w:szCs w:val="18"/>
              </w:rPr>
              <w:t>5.3.3</w:t>
            </w:r>
          </w:p>
          <w:p w:rsidR="004B20E5" w:rsidRPr="002F2DD0" w:rsidRDefault="004B20E5" w:rsidP="00816993">
            <w:pPr>
              <w:jc w:val="center"/>
              <w:rPr>
                <w:rFonts w:cs="Arial"/>
                <w:sz w:val="16"/>
                <w:szCs w:val="18"/>
              </w:rPr>
            </w:pPr>
            <w:r w:rsidRPr="002F2DD0">
              <w:rPr>
                <w:rFonts w:cs="Arial"/>
                <w:sz w:val="16"/>
                <w:szCs w:val="18"/>
              </w:rPr>
              <w:t>5.3.4</w:t>
            </w:r>
          </w:p>
          <w:p w:rsidR="004B20E5" w:rsidRDefault="004B20E5" w:rsidP="009C7855">
            <w:pPr>
              <w:jc w:val="center"/>
              <w:rPr>
                <w:rFonts w:cs="Arial"/>
                <w:sz w:val="16"/>
                <w:szCs w:val="18"/>
              </w:rPr>
            </w:pPr>
            <w:r w:rsidRPr="002F2DD0">
              <w:rPr>
                <w:rFonts w:cs="Arial"/>
                <w:sz w:val="16"/>
                <w:szCs w:val="18"/>
              </w:rPr>
              <w:t>5.3.5</w:t>
            </w:r>
          </w:p>
          <w:p w:rsidR="004B20E5" w:rsidRPr="002F2DD0" w:rsidRDefault="004B20E5" w:rsidP="009C7855">
            <w:pPr>
              <w:jc w:val="center"/>
              <w:rPr>
                <w:rFonts w:cs="Arial"/>
                <w:sz w:val="16"/>
                <w:szCs w:val="18"/>
              </w:rPr>
            </w:pPr>
            <w:r>
              <w:rPr>
                <w:rFonts w:cs="Arial"/>
                <w:sz w:val="16"/>
                <w:szCs w:val="18"/>
              </w:rPr>
              <w:t>3.5.6</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5.3.</w:t>
            </w:r>
            <w:r>
              <w:rPr>
                <w:rFonts w:cs="Arial"/>
                <w:sz w:val="16"/>
                <w:szCs w:val="18"/>
              </w:rPr>
              <w:t>7</w:t>
            </w:r>
          </w:p>
        </w:tc>
        <w:tc>
          <w:tcPr>
            <w:tcW w:w="264" w:type="pct"/>
            <w:vAlign w:val="center"/>
          </w:tcPr>
          <w:p w:rsidR="004B20E5" w:rsidRDefault="004B20E5" w:rsidP="009C7855">
            <w:pPr>
              <w:jc w:val="center"/>
              <w:rPr>
                <w:rFonts w:cs="Arial"/>
                <w:sz w:val="16"/>
                <w:szCs w:val="18"/>
              </w:rPr>
            </w:pPr>
            <w:r w:rsidRPr="002F2DD0">
              <w:rPr>
                <w:rFonts w:cs="Arial"/>
                <w:sz w:val="16"/>
                <w:szCs w:val="18"/>
              </w:rPr>
              <w:t>5.3.8</w:t>
            </w:r>
          </w:p>
          <w:p w:rsidR="004B20E5" w:rsidRDefault="004B20E5" w:rsidP="009C7855">
            <w:pPr>
              <w:jc w:val="center"/>
              <w:rPr>
                <w:rFonts w:cs="Arial"/>
                <w:sz w:val="16"/>
                <w:szCs w:val="18"/>
              </w:rPr>
            </w:pPr>
            <w:r w:rsidRPr="002F2DD0">
              <w:rPr>
                <w:rFonts w:cs="Arial"/>
                <w:sz w:val="16"/>
                <w:szCs w:val="18"/>
              </w:rPr>
              <w:t>5.3.9</w:t>
            </w:r>
          </w:p>
          <w:p w:rsidR="004B20E5" w:rsidRDefault="004B20E5" w:rsidP="009C7855">
            <w:pPr>
              <w:jc w:val="center"/>
              <w:rPr>
                <w:rFonts w:cs="Arial"/>
                <w:sz w:val="16"/>
                <w:szCs w:val="18"/>
              </w:rPr>
            </w:pPr>
            <w:r>
              <w:rPr>
                <w:rFonts w:cs="Arial"/>
                <w:sz w:val="16"/>
                <w:szCs w:val="18"/>
              </w:rPr>
              <w:t>5.3.10</w:t>
            </w:r>
          </w:p>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5.3.1</w:t>
            </w:r>
            <w:r>
              <w:rPr>
                <w:rFonts w:cs="Arial"/>
                <w:sz w:val="16"/>
                <w:szCs w:val="18"/>
              </w:rPr>
              <w:t>1</w:t>
            </w: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5.4:</w:t>
            </w:r>
            <w:r w:rsidRPr="002F2DD0">
              <w:rPr>
                <w:rFonts w:cs="Arial"/>
                <w:sz w:val="20"/>
                <w:szCs w:val="18"/>
              </w:rPr>
              <w:tab/>
            </w:r>
            <w:r w:rsidRPr="00F0238E">
              <w:rPr>
                <w:rFonts w:cs="Arial"/>
                <w:sz w:val="20"/>
                <w:szCs w:val="18"/>
              </w:rPr>
              <w:t>Reduce the rate of unintentional injury deaths among residents ages 0-19 years by 10%.</w:t>
            </w:r>
          </w:p>
        </w:tc>
        <w:tc>
          <w:tcPr>
            <w:tcW w:w="287" w:type="pct"/>
            <w:vAlign w:val="center"/>
          </w:tcPr>
          <w:p w:rsidR="004B20E5" w:rsidRDefault="004B20E5" w:rsidP="009C7855">
            <w:pPr>
              <w:jc w:val="center"/>
              <w:rPr>
                <w:rFonts w:cs="Arial"/>
                <w:sz w:val="16"/>
                <w:szCs w:val="18"/>
              </w:rPr>
            </w:pPr>
            <w:r>
              <w:rPr>
                <w:rFonts w:cs="Arial"/>
                <w:sz w:val="16"/>
                <w:szCs w:val="18"/>
              </w:rPr>
              <w:t>5.4.1</w:t>
            </w:r>
          </w:p>
          <w:p w:rsidR="004B20E5" w:rsidRDefault="004B20E5" w:rsidP="009C7855">
            <w:pPr>
              <w:jc w:val="center"/>
              <w:rPr>
                <w:rFonts w:cs="Arial"/>
                <w:sz w:val="16"/>
                <w:szCs w:val="18"/>
              </w:rPr>
            </w:pPr>
            <w:r>
              <w:rPr>
                <w:rFonts w:cs="Arial"/>
                <w:sz w:val="16"/>
                <w:szCs w:val="18"/>
              </w:rPr>
              <w:t>5.4.2</w:t>
            </w:r>
          </w:p>
          <w:p w:rsidR="004B20E5" w:rsidRDefault="004B20E5" w:rsidP="009C7855">
            <w:pPr>
              <w:jc w:val="center"/>
              <w:rPr>
                <w:rFonts w:cs="Arial"/>
                <w:sz w:val="16"/>
                <w:szCs w:val="18"/>
              </w:rPr>
            </w:pPr>
            <w:r>
              <w:rPr>
                <w:rFonts w:cs="Arial"/>
                <w:sz w:val="16"/>
                <w:szCs w:val="18"/>
              </w:rPr>
              <w:t>5.4.3</w:t>
            </w:r>
          </w:p>
          <w:p w:rsidR="004B20E5" w:rsidRPr="002F2DD0" w:rsidRDefault="004B20E5" w:rsidP="009C7855">
            <w:pPr>
              <w:jc w:val="center"/>
              <w:rPr>
                <w:rFonts w:cs="Arial"/>
                <w:sz w:val="16"/>
                <w:szCs w:val="18"/>
              </w:rPr>
            </w:pPr>
            <w:r>
              <w:rPr>
                <w:rFonts w:cs="Arial"/>
                <w:sz w:val="16"/>
                <w:szCs w:val="18"/>
              </w:rPr>
              <w:t>5.4.4</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Default="004B20E5" w:rsidP="009C7855">
            <w:pPr>
              <w:jc w:val="center"/>
              <w:rPr>
                <w:rFonts w:cs="Arial"/>
                <w:sz w:val="16"/>
                <w:szCs w:val="18"/>
              </w:rPr>
            </w:pPr>
            <w:r>
              <w:rPr>
                <w:rFonts w:cs="Arial"/>
                <w:sz w:val="16"/>
                <w:szCs w:val="18"/>
              </w:rPr>
              <w:t>5.4.5</w:t>
            </w:r>
          </w:p>
          <w:p w:rsidR="004B20E5" w:rsidRDefault="004B20E5" w:rsidP="009C7855">
            <w:pPr>
              <w:jc w:val="center"/>
              <w:rPr>
                <w:rFonts w:cs="Arial"/>
                <w:sz w:val="16"/>
                <w:szCs w:val="18"/>
              </w:rPr>
            </w:pPr>
            <w:r>
              <w:rPr>
                <w:rFonts w:cs="Arial"/>
                <w:sz w:val="16"/>
                <w:szCs w:val="18"/>
              </w:rPr>
              <w:t>5.4.6</w:t>
            </w:r>
          </w:p>
          <w:p w:rsidR="004B20E5" w:rsidRDefault="004B20E5" w:rsidP="009C7855">
            <w:pPr>
              <w:jc w:val="center"/>
              <w:rPr>
                <w:rFonts w:cs="Arial"/>
                <w:sz w:val="16"/>
                <w:szCs w:val="18"/>
              </w:rPr>
            </w:pPr>
            <w:r>
              <w:rPr>
                <w:rFonts w:cs="Arial"/>
                <w:sz w:val="16"/>
                <w:szCs w:val="18"/>
              </w:rPr>
              <w:t>5.4.7</w:t>
            </w:r>
          </w:p>
          <w:p w:rsidR="004B20E5" w:rsidRPr="002F2DD0" w:rsidRDefault="004B20E5" w:rsidP="009C7855">
            <w:pPr>
              <w:jc w:val="center"/>
              <w:rPr>
                <w:rFonts w:cs="Arial"/>
                <w:sz w:val="16"/>
                <w:szCs w:val="18"/>
              </w:rPr>
            </w:pPr>
            <w:r>
              <w:rPr>
                <w:rFonts w:cs="Arial"/>
                <w:sz w:val="16"/>
                <w:szCs w:val="18"/>
              </w:rPr>
              <w:t>5.4.8</w:t>
            </w:r>
          </w:p>
        </w:tc>
        <w:tc>
          <w:tcPr>
            <w:tcW w:w="263" w:type="pct"/>
            <w:vAlign w:val="center"/>
          </w:tcPr>
          <w:p w:rsidR="004B20E5" w:rsidRPr="002F2DD0" w:rsidRDefault="004B20E5" w:rsidP="009C7855">
            <w:pPr>
              <w:jc w:val="center"/>
              <w:rPr>
                <w:rFonts w:cs="Arial"/>
                <w:sz w:val="16"/>
                <w:szCs w:val="18"/>
              </w:rPr>
            </w:pPr>
          </w:p>
        </w:tc>
        <w:tc>
          <w:tcPr>
            <w:tcW w:w="264" w:type="pct"/>
            <w:vAlign w:val="center"/>
          </w:tcPr>
          <w:p w:rsidR="004B20E5" w:rsidRDefault="004B20E5" w:rsidP="009C7855">
            <w:pPr>
              <w:jc w:val="center"/>
              <w:rPr>
                <w:rFonts w:cs="Arial"/>
                <w:sz w:val="16"/>
                <w:szCs w:val="18"/>
              </w:rPr>
            </w:pPr>
            <w:r>
              <w:rPr>
                <w:rFonts w:cs="Arial"/>
                <w:sz w:val="16"/>
                <w:szCs w:val="18"/>
              </w:rPr>
              <w:t>5.4.9</w:t>
            </w:r>
          </w:p>
          <w:p w:rsidR="004B20E5" w:rsidRPr="002F2DD0" w:rsidRDefault="004B20E5" w:rsidP="009C7855">
            <w:pPr>
              <w:jc w:val="center"/>
              <w:rPr>
                <w:rFonts w:cs="Arial"/>
                <w:sz w:val="16"/>
                <w:szCs w:val="18"/>
              </w:rPr>
            </w:pPr>
            <w:r>
              <w:rPr>
                <w:rFonts w:cs="Arial"/>
                <w:sz w:val="16"/>
                <w:szCs w:val="18"/>
              </w:rPr>
              <w:t>5.4.10</w:t>
            </w:r>
          </w:p>
        </w:tc>
        <w:tc>
          <w:tcPr>
            <w:tcW w:w="296" w:type="pct"/>
            <w:vAlign w:val="center"/>
          </w:tcPr>
          <w:p w:rsidR="004B20E5" w:rsidRPr="002F2DD0" w:rsidRDefault="004B20E5" w:rsidP="009C7855">
            <w:pPr>
              <w:jc w:val="center"/>
              <w:rPr>
                <w:rFonts w:cs="Arial"/>
                <w:sz w:val="16"/>
                <w:szCs w:val="18"/>
              </w:rPr>
            </w:pPr>
            <w:r>
              <w:rPr>
                <w:rFonts w:cs="Arial"/>
                <w:sz w:val="16"/>
                <w:szCs w:val="18"/>
              </w:rPr>
              <w:t>5.4.11</w:t>
            </w: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r>
              <w:rPr>
                <w:rFonts w:cs="Arial"/>
                <w:sz w:val="16"/>
                <w:szCs w:val="18"/>
              </w:rPr>
              <w:t>5.4.12</w:t>
            </w: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5.5:</w:t>
            </w:r>
            <w:r w:rsidRPr="002F2DD0">
              <w:rPr>
                <w:rFonts w:cs="Arial"/>
                <w:sz w:val="20"/>
                <w:szCs w:val="18"/>
              </w:rPr>
              <w:tab/>
            </w:r>
            <w:r w:rsidRPr="00F0238E">
              <w:rPr>
                <w:rFonts w:cs="Arial"/>
                <w:sz w:val="20"/>
                <w:szCs w:val="18"/>
              </w:rPr>
              <w:t>Prevent an increase in the age adjusted rate of suicide among MA residents, particularly those most at risk.</w:t>
            </w:r>
          </w:p>
        </w:tc>
        <w:tc>
          <w:tcPr>
            <w:tcW w:w="287" w:type="pct"/>
            <w:vAlign w:val="center"/>
          </w:tcPr>
          <w:p w:rsidR="004B20E5" w:rsidRPr="002F2DD0" w:rsidRDefault="004B20E5" w:rsidP="009C7855">
            <w:pPr>
              <w:jc w:val="center"/>
              <w:rPr>
                <w:rFonts w:cs="Arial"/>
                <w:sz w:val="16"/>
                <w:szCs w:val="18"/>
              </w:rPr>
            </w:pPr>
            <w:r>
              <w:rPr>
                <w:rFonts w:cs="Arial"/>
                <w:sz w:val="16"/>
                <w:szCs w:val="18"/>
              </w:rPr>
              <w:t>5.5.1</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Pr>
                <w:rFonts w:cs="Arial"/>
                <w:sz w:val="16"/>
                <w:szCs w:val="18"/>
              </w:rPr>
              <w:t>5.5.2</w:t>
            </w:r>
          </w:p>
        </w:tc>
        <w:tc>
          <w:tcPr>
            <w:tcW w:w="263" w:type="pct"/>
            <w:vAlign w:val="center"/>
          </w:tcPr>
          <w:p w:rsidR="004B20E5" w:rsidRPr="002F2DD0" w:rsidRDefault="004B20E5" w:rsidP="009C7855">
            <w:pPr>
              <w:jc w:val="center"/>
              <w:rPr>
                <w:rFonts w:cs="Arial"/>
                <w:sz w:val="16"/>
                <w:szCs w:val="18"/>
              </w:rPr>
            </w:pPr>
            <w:r>
              <w:rPr>
                <w:rFonts w:cs="Arial"/>
                <w:sz w:val="16"/>
                <w:szCs w:val="18"/>
              </w:rPr>
              <w:t>5.5.3</w:t>
            </w:r>
          </w:p>
        </w:tc>
        <w:tc>
          <w:tcPr>
            <w:tcW w:w="264" w:type="pct"/>
            <w:vAlign w:val="center"/>
          </w:tcPr>
          <w:p w:rsidR="004B20E5" w:rsidRDefault="004B20E5" w:rsidP="009C7855">
            <w:pPr>
              <w:jc w:val="center"/>
              <w:rPr>
                <w:rFonts w:cs="Arial"/>
                <w:sz w:val="16"/>
                <w:szCs w:val="18"/>
              </w:rPr>
            </w:pPr>
            <w:r>
              <w:rPr>
                <w:rFonts w:cs="Arial"/>
                <w:sz w:val="16"/>
                <w:szCs w:val="18"/>
              </w:rPr>
              <w:t>5.5.4</w:t>
            </w:r>
          </w:p>
          <w:p w:rsidR="004B20E5" w:rsidRDefault="004B20E5" w:rsidP="009C7855">
            <w:pPr>
              <w:jc w:val="center"/>
              <w:rPr>
                <w:rFonts w:cs="Arial"/>
                <w:sz w:val="16"/>
                <w:szCs w:val="18"/>
              </w:rPr>
            </w:pPr>
            <w:r>
              <w:rPr>
                <w:rFonts w:cs="Arial"/>
                <w:sz w:val="16"/>
                <w:szCs w:val="18"/>
              </w:rPr>
              <w:t>5.5.5</w:t>
            </w:r>
          </w:p>
          <w:p w:rsidR="004B20E5" w:rsidRDefault="004B20E5" w:rsidP="009C7855">
            <w:pPr>
              <w:jc w:val="center"/>
              <w:rPr>
                <w:rFonts w:cs="Arial"/>
                <w:sz w:val="16"/>
                <w:szCs w:val="18"/>
              </w:rPr>
            </w:pPr>
            <w:r>
              <w:rPr>
                <w:rFonts w:cs="Arial"/>
                <w:sz w:val="16"/>
                <w:szCs w:val="18"/>
              </w:rPr>
              <w:t>5.5.6</w:t>
            </w:r>
          </w:p>
          <w:p w:rsidR="004B20E5" w:rsidRDefault="004B20E5" w:rsidP="009C7855">
            <w:pPr>
              <w:jc w:val="center"/>
              <w:rPr>
                <w:rFonts w:cs="Arial"/>
                <w:sz w:val="16"/>
                <w:szCs w:val="18"/>
              </w:rPr>
            </w:pPr>
            <w:r>
              <w:rPr>
                <w:rFonts w:cs="Arial"/>
                <w:sz w:val="16"/>
                <w:szCs w:val="18"/>
              </w:rPr>
              <w:t>5.5.7</w:t>
            </w:r>
          </w:p>
          <w:p w:rsidR="004B20E5" w:rsidRPr="002F2DD0" w:rsidRDefault="004B20E5" w:rsidP="009C7855">
            <w:pPr>
              <w:jc w:val="center"/>
              <w:rPr>
                <w:rFonts w:cs="Arial"/>
                <w:sz w:val="16"/>
                <w:szCs w:val="18"/>
              </w:rPr>
            </w:pPr>
            <w:r>
              <w:rPr>
                <w:rFonts w:cs="Arial"/>
                <w:sz w:val="16"/>
                <w:szCs w:val="18"/>
              </w:rPr>
              <w:t>5.5.8</w:t>
            </w:r>
          </w:p>
        </w:tc>
        <w:tc>
          <w:tcPr>
            <w:tcW w:w="296" w:type="pct"/>
            <w:vAlign w:val="center"/>
          </w:tcPr>
          <w:p w:rsidR="004B20E5" w:rsidRPr="002F2DD0" w:rsidRDefault="004B20E5" w:rsidP="009C7855">
            <w:pPr>
              <w:jc w:val="center"/>
              <w:rPr>
                <w:rFonts w:cs="Arial"/>
                <w:sz w:val="16"/>
                <w:szCs w:val="18"/>
              </w:rPr>
            </w:pPr>
            <w:r>
              <w:rPr>
                <w:rFonts w:cs="Arial"/>
                <w:sz w:val="16"/>
                <w:szCs w:val="18"/>
              </w:rPr>
              <w:t>5.5.9</w:t>
            </w:r>
          </w:p>
        </w:tc>
        <w:tc>
          <w:tcPr>
            <w:tcW w:w="296" w:type="pct"/>
            <w:vAlign w:val="center"/>
          </w:tcPr>
          <w:p w:rsidR="004B20E5" w:rsidRDefault="004B20E5" w:rsidP="009C7855">
            <w:pPr>
              <w:jc w:val="center"/>
              <w:rPr>
                <w:rFonts w:cs="Arial"/>
                <w:sz w:val="16"/>
                <w:szCs w:val="18"/>
              </w:rPr>
            </w:pPr>
            <w:r>
              <w:rPr>
                <w:rFonts w:cs="Arial"/>
                <w:sz w:val="16"/>
                <w:szCs w:val="18"/>
              </w:rPr>
              <w:t>5.5.10</w:t>
            </w:r>
          </w:p>
          <w:p w:rsidR="004B20E5" w:rsidRPr="002F2DD0" w:rsidRDefault="004B20E5" w:rsidP="009C7855">
            <w:pPr>
              <w:jc w:val="center"/>
              <w:rPr>
                <w:rFonts w:cs="Arial"/>
                <w:sz w:val="16"/>
                <w:szCs w:val="18"/>
              </w:rPr>
            </w:pPr>
            <w:r>
              <w:rPr>
                <w:rFonts w:cs="Arial"/>
                <w:sz w:val="16"/>
                <w:szCs w:val="18"/>
              </w:rPr>
              <w:t>5.5.11</w:t>
            </w:r>
          </w:p>
        </w:tc>
        <w:tc>
          <w:tcPr>
            <w:tcW w:w="264" w:type="pct"/>
            <w:vAlign w:val="center"/>
          </w:tcPr>
          <w:p w:rsidR="004B20E5" w:rsidRDefault="004B20E5" w:rsidP="009C7855">
            <w:pPr>
              <w:jc w:val="center"/>
              <w:rPr>
                <w:rFonts w:cs="Arial"/>
                <w:sz w:val="16"/>
                <w:szCs w:val="18"/>
              </w:rPr>
            </w:pPr>
            <w:r>
              <w:rPr>
                <w:rFonts w:cs="Arial"/>
                <w:sz w:val="16"/>
                <w:szCs w:val="18"/>
              </w:rPr>
              <w:t>5.5.12</w:t>
            </w:r>
          </w:p>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Default="004B20E5" w:rsidP="00532E86">
            <w:pPr>
              <w:jc w:val="center"/>
              <w:rPr>
                <w:rFonts w:cs="Arial"/>
                <w:sz w:val="16"/>
                <w:szCs w:val="18"/>
              </w:rPr>
            </w:pPr>
            <w:r>
              <w:rPr>
                <w:rFonts w:cs="Arial"/>
                <w:sz w:val="16"/>
                <w:szCs w:val="18"/>
              </w:rPr>
              <w:t>5.5.13</w:t>
            </w:r>
          </w:p>
          <w:p w:rsidR="004B20E5" w:rsidRDefault="004B20E5" w:rsidP="00532E86">
            <w:pPr>
              <w:jc w:val="center"/>
              <w:rPr>
                <w:rFonts w:cs="Arial"/>
                <w:sz w:val="16"/>
                <w:szCs w:val="18"/>
              </w:rPr>
            </w:pPr>
            <w:r>
              <w:rPr>
                <w:rFonts w:cs="Arial"/>
                <w:sz w:val="16"/>
                <w:szCs w:val="18"/>
              </w:rPr>
              <w:t>5.5.14</w:t>
            </w:r>
          </w:p>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Default="004B20E5" w:rsidP="009C7855">
            <w:pPr>
              <w:jc w:val="center"/>
              <w:rPr>
                <w:rFonts w:cs="Arial"/>
                <w:sz w:val="16"/>
                <w:szCs w:val="18"/>
              </w:rPr>
            </w:pPr>
            <w:r>
              <w:rPr>
                <w:rFonts w:cs="Arial"/>
                <w:sz w:val="16"/>
                <w:szCs w:val="18"/>
              </w:rPr>
              <w:t>5.5.15</w:t>
            </w:r>
          </w:p>
          <w:p w:rsidR="004B20E5" w:rsidRPr="002F2DD0" w:rsidRDefault="004B20E5" w:rsidP="009C7855">
            <w:pPr>
              <w:jc w:val="center"/>
              <w:rPr>
                <w:rFonts w:cs="Arial"/>
                <w:sz w:val="16"/>
                <w:szCs w:val="18"/>
              </w:rPr>
            </w:pPr>
            <w:r>
              <w:rPr>
                <w:rFonts w:cs="Arial"/>
                <w:sz w:val="16"/>
                <w:szCs w:val="18"/>
              </w:rPr>
              <w:t>5.5.16</w:t>
            </w:r>
          </w:p>
        </w:tc>
      </w:tr>
      <w:tr w:rsidR="004B20E5" w:rsidRPr="00092D1F" w:rsidTr="00717B8F">
        <w:trPr>
          <w:cantSplit/>
        </w:trPr>
        <w:tc>
          <w:tcPr>
            <w:tcW w:w="1522" w:type="pct"/>
          </w:tcPr>
          <w:p w:rsidR="004B20E5" w:rsidRPr="002F2DD0" w:rsidRDefault="004B20E5" w:rsidP="00D9064A">
            <w:pPr>
              <w:ind w:left="537" w:hanging="537"/>
              <w:rPr>
                <w:rFonts w:cs="Arial"/>
                <w:sz w:val="20"/>
                <w:szCs w:val="18"/>
              </w:rPr>
            </w:pPr>
            <w:r w:rsidRPr="002F2DD0">
              <w:rPr>
                <w:rFonts w:cs="Arial"/>
                <w:sz w:val="20"/>
                <w:szCs w:val="18"/>
              </w:rPr>
              <w:t>5.6:</w:t>
            </w:r>
            <w:r w:rsidRPr="002F2DD0">
              <w:rPr>
                <w:rFonts w:cs="Arial"/>
                <w:sz w:val="20"/>
                <w:szCs w:val="18"/>
              </w:rPr>
              <w:tab/>
            </w:r>
            <w:r w:rsidRPr="00F0238E">
              <w:rPr>
                <w:rFonts w:cs="Arial"/>
                <w:sz w:val="20"/>
                <w:szCs w:val="18"/>
              </w:rPr>
              <w:t xml:space="preserve">Reduce rates of work-related injuries among public and private sector employees, particularly those at greatest risk, to meet multiple specified targets.  </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5.6.1</w:t>
            </w:r>
          </w:p>
          <w:p w:rsidR="004B20E5" w:rsidRPr="002F2DD0" w:rsidRDefault="004B20E5" w:rsidP="009C7855">
            <w:pPr>
              <w:jc w:val="center"/>
              <w:rPr>
                <w:rFonts w:cs="Arial"/>
                <w:sz w:val="16"/>
                <w:szCs w:val="18"/>
              </w:rPr>
            </w:pPr>
            <w:r w:rsidRPr="002F2DD0">
              <w:rPr>
                <w:rFonts w:cs="Arial"/>
                <w:sz w:val="16"/>
                <w:szCs w:val="18"/>
              </w:rPr>
              <w:t>5.6.2</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5.6.3</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5.6.4</w:t>
            </w:r>
          </w:p>
          <w:p w:rsidR="004B20E5" w:rsidRPr="002F2DD0" w:rsidRDefault="004B20E5" w:rsidP="009C7855">
            <w:pPr>
              <w:jc w:val="center"/>
              <w:rPr>
                <w:rFonts w:cs="Arial"/>
                <w:sz w:val="16"/>
                <w:szCs w:val="18"/>
              </w:rPr>
            </w:pPr>
            <w:r w:rsidRPr="002F2DD0">
              <w:rPr>
                <w:rFonts w:cs="Arial"/>
                <w:sz w:val="16"/>
                <w:szCs w:val="18"/>
              </w:rPr>
              <w:t>5.6.5</w:t>
            </w:r>
          </w:p>
          <w:p w:rsidR="004B20E5" w:rsidRPr="002F2DD0" w:rsidRDefault="004B20E5" w:rsidP="009C7855">
            <w:pPr>
              <w:jc w:val="center"/>
              <w:rPr>
                <w:rFonts w:cs="Arial"/>
                <w:sz w:val="16"/>
                <w:szCs w:val="18"/>
              </w:rPr>
            </w:pPr>
            <w:r w:rsidRPr="002F2DD0">
              <w:rPr>
                <w:rFonts w:cs="Arial"/>
                <w:sz w:val="16"/>
                <w:szCs w:val="18"/>
              </w:rPr>
              <w:t>5.6.6</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5.6.7</w:t>
            </w:r>
          </w:p>
          <w:p w:rsidR="004B20E5" w:rsidRPr="002F2DD0" w:rsidRDefault="004B20E5" w:rsidP="009C7855">
            <w:pPr>
              <w:jc w:val="center"/>
              <w:rPr>
                <w:rFonts w:cs="Arial"/>
                <w:sz w:val="16"/>
                <w:szCs w:val="18"/>
              </w:rPr>
            </w:pPr>
            <w:r w:rsidRPr="002F2DD0">
              <w:rPr>
                <w:rFonts w:cs="Arial"/>
                <w:sz w:val="16"/>
                <w:szCs w:val="18"/>
              </w:rPr>
              <w:t>5.6.8</w:t>
            </w:r>
          </w:p>
          <w:p w:rsidR="004B20E5" w:rsidRPr="002F2DD0" w:rsidRDefault="004B20E5" w:rsidP="009C7855">
            <w:pPr>
              <w:jc w:val="center"/>
              <w:rPr>
                <w:rFonts w:cs="Arial"/>
                <w:sz w:val="16"/>
                <w:szCs w:val="18"/>
              </w:rPr>
            </w:pPr>
            <w:r w:rsidRPr="002F2DD0">
              <w:rPr>
                <w:rFonts w:cs="Arial"/>
                <w:sz w:val="16"/>
                <w:szCs w:val="18"/>
              </w:rPr>
              <w:t>5.6.9</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5.6.10</w:t>
            </w:r>
          </w:p>
          <w:p w:rsidR="004B20E5" w:rsidRPr="002F2DD0" w:rsidRDefault="004B20E5" w:rsidP="009C7855">
            <w:pPr>
              <w:jc w:val="center"/>
              <w:rPr>
                <w:rFonts w:cs="Arial"/>
                <w:sz w:val="16"/>
                <w:szCs w:val="18"/>
              </w:rPr>
            </w:pPr>
            <w:r w:rsidRPr="002F2DD0">
              <w:rPr>
                <w:rFonts w:cs="Arial"/>
                <w:sz w:val="16"/>
                <w:szCs w:val="18"/>
              </w:rPr>
              <w:t>5.6.11</w:t>
            </w:r>
          </w:p>
          <w:p w:rsidR="004B20E5" w:rsidRPr="002F2DD0" w:rsidRDefault="004B20E5" w:rsidP="009C7855">
            <w:pPr>
              <w:jc w:val="center"/>
              <w:rPr>
                <w:rFonts w:cs="Arial"/>
                <w:sz w:val="16"/>
                <w:szCs w:val="18"/>
              </w:rPr>
            </w:pPr>
            <w:r w:rsidRPr="002F2DD0">
              <w:rPr>
                <w:rFonts w:cs="Arial"/>
                <w:sz w:val="16"/>
                <w:szCs w:val="18"/>
              </w:rPr>
              <w:t>5.6.12</w:t>
            </w: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5.6.13</w:t>
            </w: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r w:rsidRPr="002F2DD0">
              <w:rPr>
                <w:rFonts w:cs="Arial"/>
                <w:sz w:val="16"/>
                <w:szCs w:val="18"/>
              </w:rPr>
              <w:t>5.6.14</w:t>
            </w: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5.7:</w:t>
            </w:r>
            <w:r w:rsidRPr="002F2DD0">
              <w:rPr>
                <w:rFonts w:cs="Arial"/>
                <w:sz w:val="20"/>
                <w:szCs w:val="18"/>
              </w:rPr>
              <w:tab/>
            </w:r>
            <w:r w:rsidRPr="00F0238E">
              <w:rPr>
                <w:rFonts w:cs="Arial"/>
                <w:sz w:val="20"/>
                <w:szCs w:val="18"/>
              </w:rPr>
              <w:t xml:space="preserve">Reduce sexual and domestic violence, with particular focus </w:t>
            </w:r>
            <w:r>
              <w:rPr>
                <w:rFonts w:cs="Arial"/>
                <w:sz w:val="20"/>
                <w:szCs w:val="18"/>
              </w:rPr>
              <w:t xml:space="preserve">on </w:t>
            </w:r>
            <w:r w:rsidRPr="00F0238E">
              <w:rPr>
                <w:rFonts w:cs="Arial"/>
                <w:sz w:val="20"/>
                <w:szCs w:val="18"/>
              </w:rPr>
              <w:t>disparate populations, to meet multiple specified targets.</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Default="004B20E5" w:rsidP="009C7855">
            <w:pPr>
              <w:jc w:val="center"/>
              <w:rPr>
                <w:rFonts w:cs="Arial"/>
                <w:sz w:val="16"/>
                <w:szCs w:val="18"/>
              </w:rPr>
            </w:pPr>
            <w:r>
              <w:rPr>
                <w:rFonts w:cs="Arial"/>
                <w:sz w:val="16"/>
                <w:szCs w:val="18"/>
              </w:rPr>
              <w:t>5.7.1</w:t>
            </w:r>
          </w:p>
          <w:p w:rsidR="004B20E5" w:rsidRPr="002F2DD0" w:rsidRDefault="004B20E5" w:rsidP="009C7855">
            <w:pPr>
              <w:jc w:val="center"/>
              <w:rPr>
                <w:rFonts w:cs="Arial"/>
                <w:sz w:val="16"/>
                <w:szCs w:val="18"/>
              </w:rPr>
            </w:pPr>
            <w:r>
              <w:rPr>
                <w:rFonts w:cs="Arial"/>
                <w:sz w:val="16"/>
                <w:szCs w:val="18"/>
              </w:rPr>
              <w:t>5.7.2</w:t>
            </w:r>
          </w:p>
        </w:tc>
        <w:tc>
          <w:tcPr>
            <w:tcW w:w="263" w:type="pct"/>
            <w:vAlign w:val="center"/>
          </w:tcPr>
          <w:p w:rsidR="004B20E5" w:rsidRDefault="004B20E5" w:rsidP="009C7855">
            <w:pPr>
              <w:jc w:val="center"/>
              <w:rPr>
                <w:rFonts w:cs="Arial"/>
                <w:sz w:val="16"/>
                <w:szCs w:val="18"/>
              </w:rPr>
            </w:pPr>
            <w:r>
              <w:rPr>
                <w:rFonts w:cs="Arial"/>
                <w:sz w:val="16"/>
                <w:szCs w:val="18"/>
              </w:rPr>
              <w:t>5.7.3</w:t>
            </w:r>
          </w:p>
          <w:p w:rsidR="004B20E5" w:rsidRPr="002F2DD0" w:rsidRDefault="004B20E5" w:rsidP="009C7855">
            <w:pPr>
              <w:jc w:val="center"/>
              <w:rPr>
                <w:rFonts w:cs="Arial"/>
                <w:sz w:val="16"/>
                <w:szCs w:val="18"/>
              </w:rPr>
            </w:pPr>
            <w:r>
              <w:rPr>
                <w:rFonts w:cs="Arial"/>
                <w:sz w:val="16"/>
                <w:szCs w:val="18"/>
              </w:rPr>
              <w:t>5.7.4</w:t>
            </w:r>
          </w:p>
        </w:tc>
        <w:tc>
          <w:tcPr>
            <w:tcW w:w="264" w:type="pct"/>
            <w:vAlign w:val="center"/>
          </w:tcPr>
          <w:p w:rsidR="004B20E5" w:rsidRDefault="004B20E5" w:rsidP="00816993">
            <w:pPr>
              <w:jc w:val="center"/>
              <w:rPr>
                <w:rFonts w:cs="Arial"/>
                <w:sz w:val="16"/>
                <w:szCs w:val="18"/>
              </w:rPr>
            </w:pPr>
            <w:r>
              <w:rPr>
                <w:rFonts w:cs="Arial"/>
                <w:sz w:val="16"/>
                <w:szCs w:val="18"/>
              </w:rPr>
              <w:t>5.7.5</w:t>
            </w:r>
          </w:p>
          <w:p w:rsidR="004B20E5" w:rsidRPr="002F2DD0" w:rsidRDefault="004B20E5" w:rsidP="00816993">
            <w:pPr>
              <w:jc w:val="center"/>
              <w:rPr>
                <w:rFonts w:cs="Arial"/>
                <w:sz w:val="16"/>
                <w:szCs w:val="18"/>
              </w:rPr>
            </w:pPr>
            <w:r>
              <w:rPr>
                <w:rFonts w:cs="Arial"/>
                <w:sz w:val="16"/>
                <w:szCs w:val="18"/>
              </w:rPr>
              <w:t>5.7.6</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Default="004B20E5" w:rsidP="009C7855">
            <w:pPr>
              <w:jc w:val="center"/>
              <w:rPr>
                <w:rFonts w:cs="Arial"/>
                <w:sz w:val="16"/>
                <w:szCs w:val="18"/>
              </w:rPr>
            </w:pPr>
            <w:r>
              <w:rPr>
                <w:rFonts w:cs="Arial"/>
                <w:sz w:val="16"/>
                <w:szCs w:val="18"/>
              </w:rPr>
              <w:t>5.7.7</w:t>
            </w:r>
          </w:p>
          <w:p w:rsidR="004B20E5" w:rsidRPr="002F2DD0" w:rsidRDefault="004B20E5" w:rsidP="009C7855">
            <w:pPr>
              <w:jc w:val="center"/>
              <w:rPr>
                <w:rFonts w:cs="Arial"/>
                <w:sz w:val="16"/>
                <w:szCs w:val="18"/>
              </w:rPr>
            </w:pPr>
            <w:r>
              <w:rPr>
                <w:rFonts w:cs="Arial"/>
                <w:sz w:val="16"/>
                <w:szCs w:val="18"/>
              </w:rPr>
              <w:t>5.7.8</w:t>
            </w:r>
          </w:p>
        </w:tc>
        <w:tc>
          <w:tcPr>
            <w:tcW w:w="264" w:type="pct"/>
            <w:vAlign w:val="center"/>
          </w:tcPr>
          <w:p w:rsidR="004B20E5" w:rsidRDefault="004B20E5" w:rsidP="009C7855">
            <w:pPr>
              <w:jc w:val="center"/>
              <w:rPr>
                <w:rFonts w:cs="Arial"/>
                <w:sz w:val="16"/>
                <w:szCs w:val="18"/>
              </w:rPr>
            </w:pPr>
            <w:r>
              <w:rPr>
                <w:rFonts w:cs="Arial"/>
                <w:sz w:val="16"/>
                <w:szCs w:val="18"/>
              </w:rPr>
              <w:t>5.7.9</w:t>
            </w:r>
          </w:p>
          <w:p w:rsidR="004B20E5" w:rsidRDefault="004B20E5" w:rsidP="009C7855">
            <w:pPr>
              <w:jc w:val="center"/>
              <w:rPr>
                <w:rFonts w:cs="Arial"/>
                <w:sz w:val="16"/>
                <w:szCs w:val="18"/>
              </w:rPr>
            </w:pPr>
            <w:r>
              <w:rPr>
                <w:rFonts w:cs="Arial"/>
                <w:sz w:val="16"/>
                <w:szCs w:val="18"/>
              </w:rPr>
              <w:t>5.7.10</w:t>
            </w:r>
          </w:p>
          <w:p w:rsidR="004B20E5" w:rsidRDefault="004B20E5" w:rsidP="009C7855">
            <w:pPr>
              <w:jc w:val="center"/>
              <w:rPr>
                <w:rFonts w:cs="Arial"/>
                <w:sz w:val="16"/>
                <w:szCs w:val="18"/>
              </w:rPr>
            </w:pPr>
            <w:r>
              <w:rPr>
                <w:rFonts w:cs="Arial"/>
                <w:sz w:val="16"/>
                <w:szCs w:val="18"/>
              </w:rPr>
              <w:t>5.7.11</w:t>
            </w:r>
          </w:p>
          <w:p w:rsidR="004B20E5" w:rsidRPr="002F2DD0" w:rsidRDefault="004B20E5" w:rsidP="009C7855">
            <w:pPr>
              <w:jc w:val="center"/>
              <w:rPr>
                <w:rFonts w:cs="Arial"/>
                <w:sz w:val="16"/>
                <w:szCs w:val="18"/>
              </w:rPr>
            </w:pPr>
            <w:r>
              <w:rPr>
                <w:rFonts w:cs="Arial"/>
                <w:sz w:val="16"/>
                <w:szCs w:val="18"/>
              </w:rPr>
              <w:t>5.7.12</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r>
              <w:rPr>
                <w:rFonts w:cs="Arial"/>
                <w:sz w:val="16"/>
                <w:szCs w:val="18"/>
              </w:rPr>
              <w:t>5.7.13</w:t>
            </w:r>
          </w:p>
        </w:tc>
        <w:tc>
          <w:tcPr>
            <w:tcW w:w="297" w:type="pct"/>
            <w:vAlign w:val="center"/>
          </w:tcPr>
          <w:p w:rsidR="004B20E5" w:rsidRPr="002F2DD0" w:rsidRDefault="004B20E5" w:rsidP="009C7855">
            <w:pPr>
              <w:jc w:val="center"/>
              <w:rPr>
                <w:rFonts w:cs="Arial"/>
                <w:sz w:val="16"/>
                <w:szCs w:val="18"/>
              </w:rPr>
            </w:pPr>
            <w:r>
              <w:rPr>
                <w:rFonts w:cs="Arial"/>
                <w:sz w:val="16"/>
                <w:szCs w:val="18"/>
              </w:rPr>
              <w:t>5.7.14</w:t>
            </w: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5.8:</w:t>
            </w:r>
            <w:r w:rsidRPr="002F2DD0">
              <w:rPr>
                <w:rFonts w:cs="Arial"/>
                <w:sz w:val="20"/>
                <w:szCs w:val="18"/>
              </w:rPr>
              <w:tab/>
            </w:r>
            <w:r w:rsidRPr="00F0238E">
              <w:rPr>
                <w:rFonts w:cs="Arial"/>
                <w:sz w:val="20"/>
                <w:szCs w:val="18"/>
              </w:rPr>
              <w:t>Reduce fatal violence among youth age 15-24 with particular focus on disparate populations, to meet multiple specified targets.</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Pr>
                <w:rFonts w:cs="Arial"/>
                <w:sz w:val="16"/>
                <w:szCs w:val="18"/>
              </w:rPr>
              <w:t>5.8.1</w:t>
            </w:r>
          </w:p>
        </w:tc>
        <w:tc>
          <w:tcPr>
            <w:tcW w:w="263" w:type="pct"/>
            <w:vAlign w:val="center"/>
          </w:tcPr>
          <w:p w:rsidR="004B20E5" w:rsidRDefault="004B20E5" w:rsidP="009C7855">
            <w:pPr>
              <w:jc w:val="center"/>
              <w:rPr>
                <w:rFonts w:cs="Arial"/>
                <w:sz w:val="16"/>
                <w:szCs w:val="18"/>
              </w:rPr>
            </w:pPr>
            <w:r>
              <w:rPr>
                <w:rFonts w:cs="Arial"/>
                <w:sz w:val="16"/>
                <w:szCs w:val="18"/>
              </w:rPr>
              <w:t>5.8.2</w:t>
            </w:r>
          </w:p>
          <w:p w:rsidR="004B20E5" w:rsidRDefault="004B20E5" w:rsidP="009C7855">
            <w:pPr>
              <w:jc w:val="center"/>
              <w:rPr>
                <w:rFonts w:cs="Arial"/>
                <w:sz w:val="16"/>
                <w:szCs w:val="18"/>
              </w:rPr>
            </w:pPr>
            <w:r>
              <w:rPr>
                <w:rFonts w:cs="Arial"/>
                <w:sz w:val="16"/>
                <w:szCs w:val="18"/>
              </w:rPr>
              <w:t>5.8.3</w:t>
            </w:r>
          </w:p>
          <w:p w:rsidR="004B20E5" w:rsidRDefault="004B20E5" w:rsidP="009C7855">
            <w:pPr>
              <w:jc w:val="center"/>
              <w:rPr>
                <w:rFonts w:cs="Arial"/>
                <w:sz w:val="16"/>
                <w:szCs w:val="18"/>
              </w:rPr>
            </w:pPr>
            <w:r>
              <w:rPr>
                <w:rFonts w:cs="Arial"/>
                <w:sz w:val="16"/>
                <w:szCs w:val="18"/>
              </w:rPr>
              <w:t>5.8.4</w:t>
            </w:r>
          </w:p>
          <w:p w:rsidR="004B20E5" w:rsidRPr="002F2DD0" w:rsidRDefault="004B20E5" w:rsidP="009C7855">
            <w:pPr>
              <w:jc w:val="center"/>
              <w:rPr>
                <w:rFonts w:cs="Arial"/>
                <w:sz w:val="16"/>
                <w:szCs w:val="18"/>
              </w:rPr>
            </w:pPr>
            <w:r>
              <w:rPr>
                <w:rFonts w:cs="Arial"/>
                <w:sz w:val="16"/>
                <w:szCs w:val="18"/>
              </w:rPr>
              <w:t>5.8.5</w:t>
            </w:r>
          </w:p>
        </w:tc>
        <w:tc>
          <w:tcPr>
            <w:tcW w:w="264" w:type="pct"/>
            <w:vAlign w:val="center"/>
          </w:tcPr>
          <w:p w:rsidR="004B20E5" w:rsidRDefault="004B20E5" w:rsidP="009C7855">
            <w:pPr>
              <w:jc w:val="center"/>
              <w:rPr>
                <w:rFonts w:cs="Arial"/>
                <w:sz w:val="16"/>
                <w:szCs w:val="18"/>
              </w:rPr>
            </w:pPr>
            <w:r>
              <w:rPr>
                <w:rFonts w:cs="Arial"/>
                <w:sz w:val="16"/>
                <w:szCs w:val="18"/>
              </w:rPr>
              <w:t>5.8.6</w:t>
            </w:r>
          </w:p>
          <w:p w:rsidR="004B20E5" w:rsidRPr="002F2DD0" w:rsidRDefault="004B20E5" w:rsidP="009C7855">
            <w:pPr>
              <w:jc w:val="center"/>
              <w:rPr>
                <w:rFonts w:cs="Arial"/>
                <w:sz w:val="16"/>
                <w:szCs w:val="18"/>
              </w:rPr>
            </w:pPr>
            <w:r>
              <w:rPr>
                <w:rFonts w:cs="Arial"/>
                <w:sz w:val="16"/>
                <w:szCs w:val="18"/>
              </w:rPr>
              <w:t>5.8.7</w:t>
            </w:r>
          </w:p>
        </w:tc>
        <w:tc>
          <w:tcPr>
            <w:tcW w:w="296" w:type="pct"/>
            <w:vAlign w:val="center"/>
          </w:tcPr>
          <w:p w:rsidR="004B20E5" w:rsidRPr="002F2DD0" w:rsidRDefault="004B20E5" w:rsidP="009C7855">
            <w:pPr>
              <w:jc w:val="center"/>
              <w:rPr>
                <w:rFonts w:cs="Arial"/>
                <w:sz w:val="16"/>
                <w:szCs w:val="18"/>
              </w:rPr>
            </w:pPr>
            <w:r>
              <w:rPr>
                <w:rFonts w:cs="Arial"/>
                <w:sz w:val="16"/>
                <w:szCs w:val="18"/>
              </w:rPr>
              <w:t>5.8.8</w:t>
            </w:r>
          </w:p>
        </w:tc>
        <w:tc>
          <w:tcPr>
            <w:tcW w:w="296" w:type="pct"/>
            <w:vAlign w:val="center"/>
          </w:tcPr>
          <w:p w:rsidR="004B20E5" w:rsidRDefault="004B20E5" w:rsidP="009C7855">
            <w:pPr>
              <w:jc w:val="center"/>
              <w:rPr>
                <w:rFonts w:cs="Arial"/>
                <w:sz w:val="16"/>
                <w:szCs w:val="18"/>
              </w:rPr>
            </w:pPr>
            <w:r>
              <w:rPr>
                <w:rFonts w:cs="Arial"/>
                <w:sz w:val="16"/>
                <w:szCs w:val="18"/>
              </w:rPr>
              <w:t>5.8.9</w:t>
            </w:r>
          </w:p>
          <w:p w:rsidR="004B20E5" w:rsidRDefault="004B20E5" w:rsidP="009C7855">
            <w:pPr>
              <w:jc w:val="center"/>
              <w:rPr>
                <w:rFonts w:cs="Arial"/>
                <w:sz w:val="16"/>
                <w:szCs w:val="18"/>
              </w:rPr>
            </w:pPr>
            <w:r>
              <w:rPr>
                <w:rFonts w:cs="Arial"/>
                <w:sz w:val="16"/>
                <w:szCs w:val="18"/>
              </w:rPr>
              <w:t>5.8.10</w:t>
            </w:r>
          </w:p>
          <w:p w:rsidR="004B20E5" w:rsidRPr="002F2DD0" w:rsidRDefault="004B20E5" w:rsidP="009C7855">
            <w:pPr>
              <w:jc w:val="center"/>
              <w:rPr>
                <w:rFonts w:cs="Arial"/>
                <w:sz w:val="16"/>
                <w:szCs w:val="18"/>
              </w:rPr>
            </w:pPr>
            <w:r>
              <w:rPr>
                <w:rFonts w:cs="Arial"/>
                <w:sz w:val="16"/>
                <w:szCs w:val="18"/>
              </w:rPr>
              <w:t>5.8.11</w:t>
            </w:r>
          </w:p>
        </w:tc>
        <w:tc>
          <w:tcPr>
            <w:tcW w:w="264" w:type="pct"/>
            <w:vAlign w:val="center"/>
          </w:tcPr>
          <w:p w:rsidR="004B20E5" w:rsidRDefault="004B20E5" w:rsidP="009C7855">
            <w:pPr>
              <w:jc w:val="center"/>
              <w:rPr>
                <w:rFonts w:cs="Arial"/>
                <w:sz w:val="16"/>
                <w:szCs w:val="18"/>
              </w:rPr>
            </w:pPr>
            <w:r>
              <w:rPr>
                <w:rFonts w:cs="Arial"/>
                <w:sz w:val="16"/>
                <w:szCs w:val="18"/>
              </w:rPr>
              <w:t>5.8.12</w:t>
            </w:r>
          </w:p>
          <w:p w:rsidR="004B20E5" w:rsidRPr="002F2DD0" w:rsidRDefault="004B20E5" w:rsidP="009C7855">
            <w:pPr>
              <w:jc w:val="center"/>
              <w:rPr>
                <w:rFonts w:cs="Arial"/>
                <w:sz w:val="16"/>
                <w:szCs w:val="18"/>
              </w:rPr>
            </w:pPr>
            <w:r>
              <w:rPr>
                <w:rFonts w:cs="Arial"/>
                <w:sz w:val="16"/>
                <w:szCs w:val="18"/>
              </w:rPr>
              <w:t>5.8.13</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r>
              <w:rPr>
                <w:rFonts w:cs="Arial"/>
                <w:sz w:val="16"/>
                <w:szCs w:val="18"/>
              </w:rPr>
              <w:t>5.8.14</w:t>
            </w: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532E86">
            <w:pPr>
              <w:ind w:left="537" w:hanging="537"/>
              <w:rPr>
                <w:rFonts w:cs="Arial"/>
                <w:sz w:val="20"/>
                <w:szCs w:val="18"/>
              </w:rPr>
            </w:pPr>
            <w:r w:rsidRPr="002F2DD0">
              <w:rPr>
                <w:rFonts w:cs="Arial"/>
                <w:sz w:val="20"/>
                <w:szCs w:val="18"/>
              </w:rPr>
              <w:t>5.9:</w:t>
            </w:r>
            <w:r w:rsidRPr="002F2DD0">
              <w:rPr>
                <w:rFonts w:cs="Arial"/>
                <w:sz w:val="20"/>
                <w:szCs w:val="18"/>
              </w:rPr>
              <w:tab/>
            </w:r>
            <w:r w:rsidRPr="00F0238E">
              <w:rPr>
                <w:rFonts w:cs="Arial"/>
                <w:sz w:val="20"/>
                <w:szCs w:val="18"/>
              </w:rPr>
              <w:t xml:space="preserve">Reduce the hospital-acquired pressure ulcer prevalence in acute and </w:t>
            </w:r>
            <w:r>
              <w:rPr>
                <w:rFonts w:cs="Arial"/>
                <w:sz w:val="20"/>
                <w:szCs w:val="18"/>
              </w:rPr>
              <w:t>non-acute care hospitals by 10%</w:t>
            </w:r>
            <w:r w:rsidRPr="002F2DD0">
              <w:rPr>
                <w:rFonts w:cs="Arial"/>
                <w:sz w:val="20"/>
                <w:szCs w:val="18"/>
              </w:rPr>
              <w:t>.</w:t>
            </w:r>
          </w:p>
        </w:tc>
        <w:tc>
          <w:tcPr>
            <w:tcW w:w="287" w:type="pct"/>
            <w:vAlign w:val="center"/>
          </w:tcPr>
          <w:p w:rsidR="004B20E5" w:rsidRDefault="004B20E5" w:rsidP="009C7855">
            <w:pPr>
              <w:jc w:val="center"/>
              <w:rPr>
                <w:rFonts w:cs="Arial"/>
                <w:sz w:val="16"/>
                <w:szCs w:val="18"/>
              </w:rPr>
            </w:pPr>
            <w:r>
              <w:rPr>
                <w:rFonts w:cs="Arial"/>
                <w:sz w:val="16"/>
                <w:szCs w:val="18"/>
              </w:rPr>
              <w:t>5.9.1</w:t>
            </w:r>
          </w:p>
          <w:p w:rsidR="004B20E5" w:rsidRPr="002F2DD0" w:rsidRDefault="004B20E5" w:rsidP="009C7855">
            <w:pPr>
              <w:jc w:val="center"/>
              <w:rPr>
                <w:rFonts w:cs="Arial"/>
                <w:sz w:val="16"/>
                <w:szCs w:val="18"/>
              </w:rPr>
            </w:pPr>
            <w:r>
              <w:rPr>
                <w:rFonts w:cs="Arial"/>
                <w:sz w:val="16"/>
                <w:szCs w:val="18"/>
              </w:rPr>
              <w:t>5.9.2</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Pr>
                <w:rFonts w:cs="Arial"/>
                <w:sz w:val="16"/>
                <w:szCs w:val="18"/>
              </w:rPr>
              <w:t>5.9.3</w:t>
            </w:r>
          </w:p>
        </w:tc>
        <w:tc>
          <w:tcPr>
            <w:tcW w:w="263" w:type="pct"/>
            <w:vAlign w:val="center"/>
          </w:tcPr>
          <w:p w:rsidR="004B20E5" w:rsidRDefault="004B20E5" w:rsidP="009C7855">
            <w:pPr>
              <w:jc w:val="center"/>
              <w:rPr>
                <w:rFonts w:cs="Arial"/>
                <w:sz w:val="16"/>
                <w:szCs w:val="18"/>
              </w:rPr>
            </w:pPr>
            <w:r>
              <w:rPr>
                <w:rFonts w:cs="Arial"/>
                <w:sz w:val="16"/>
                <w:szCs w:val="18"/>
              </w:rPr>
              <w:t>5.9.4</w:t>
            </w:r>
          </w:p>
          <w:p w:rsidR="004B20E5" w:rsidRPr="002F2DD0" w:rsidRDefault="004B20E5" w:rsidP="009C7855">
            <w:pPr>
              <w:jc w:val="center"/>
              <w:rPr>
                <w:rFonts w:cs="Arial"/>
                <w:sz w:val="16"/>
                <w:szCs w:val="18"/>
              </w:rPr>
            </w:pPr>
            <w:r>
              <w:rPr>
                <w:rFonts w:cs="Arial"/>
                <w:sz w:val="16"/>
                <w:szCs w:val="18"/>
              </w:rPr>
              <w:t>5.9.5</w:t>
            </w:r>
          </w:p>
        </w:tc>
        <w:tc>
          <w:tcPr>
            <w:tcW w:w="264"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532E86">
            <w:pPr>
              <w:ind w:left="537" w:hanging="537"/>
              <w:rPr>
                <w:rFonts w:cs="Arial"/>
                <w:sz w:val="20"/>
                <w:szCs w:val="18"/>
              </w:rPr>
            </w:pPr>
            <w:r w:rsidRPr="002F2DD0">
              <w:rPr>
                <w:rFonts w:cs="Arial"/>
                <w:sz w:val="20"/>
                <w:szCs w:val="18"/>
              </w:rPr>
              <w:t>5.10:</w:t>
            </w:r>
            <w:r w:rsidRPr="002F2DD0">
              <w:rPr>
                <w:rFonts w:cs="Arial"/>
                <w:sz w:val="20"/>
                <w:szCs w:val="18"/>
              </w:rPr>
              <w:tab/>
            </w:r>
            <w:r w:rsidRPr="00F0238E">
              <w:rPr>
                <w:rFonts w:cs="Arial"/>
                <w:sz w:val="20"/>
                <w:szCs w:val="18"/>
              </w:rPr>
              <w:t xml:space="preserve">Reduce the prevalence of falls with serious injury or death in acute and non-acute care hospitals by </w:t>
            </w:r>
            <w:r>
              <w:rPr>
                <w:rFonts w:cs="Arial"/>
                <w:sz w:val="20"/>
                <w:szCs w:val="18"/>
              </w:rPr>
              <w:t>10</w:t>
            </w:r>
            <w:r w:rsidRPr="00F0238E">
              <w:rPr>
                <w:rFonts w:cs="Arial"/>
                <w:sz w:val="20"/>
                <w:szCs w:val="18"/>
              </w:rPr>
              <w:t>%.</w:t>
            </w:r>
          </w:p>
        </w:tc>
        <w:tc>
          <w:tcPr>
            <w:tcW w:w="287" w:type="pct"/>
            <w:vAlign w:val="center"/>
          </w:tcPr>
          <w:p w:rsidR="004B20E5" w:rsidRDefault="004B20E5" w:rsidP="009C7855">
            <w:pPr>
              <w:jc w:val="center"/>
              <w:rPr>
                <w:rFonts w:cs="Arial"/>
                <w:sz w:val="16"/>
                <w:szCs w:val="18"/>
              </w:rPr>
            </w:pPr>
            <w:r w:rsidRPr="002F2DD0">
              <w:rPr>
                <w:rFonts w:cs="Arial"/>
                <w:sz w:val="16"/>
                <w:szCs w:val="18"/>
              </w:rPr>
              <w:t>5.10.1</w:t>
            </w:r>
          </w:p>
          <w:p w:rsidR="004B20E5" w:rsidRPr="002F2DD0" w:rsidRDefault="004B20E5" w:rsidP="009C7855">
            <w:pPr>
              <w:jc w:val="center"/>
              <w:rPr>
                <w:rFonts w:cs="Arial"/>
                <w:sz w:val="16"/>
                <w:szCs w:val="18"/>
              </w:rPr>
            </w:pPr>
            <w:r>
              <w:rPr>
                <w:rFonts w:cs="Arial"/>
                <w:sz w:val="16"/>
                <w:szCs w:val="18"/>
              </w:rPr>
              <w:t>5.10.2</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5.10.3</w:t>
            </w:r>
          </w:p>
          <w:p w:rsidR="004B20E5" w:rsidRPr="002F2DD0" w:rsidRDefault="004B20E5" w:rsidP="009C7855">
            <w:pPr>
              <w:jc w:val="center"/>
              <w:rPr>
                <w:rFonts w:cs="Arial"/>
                <w:sz w:val="16"/>
                <w:szCs w:val="18"/>
              </w:rPr>
            </w:pPr>
            <w:r w:rsidRPr="002F2DD0">
              <w:rPr>
                <w:rFonts w:cs="Arial"/>
                <w:sz w:val="16"/>
                <w:szCs w:val="18"/>
              </w:rPr>
              <w:t>5.10.4</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5.10.</w:t>
            </w:r>
            <w:r>
              <w:rPr>
                <w:rFonts w:cs="Arial"/>
                <w:sz w:val="16"/>
                <w:szCs w:val="18"/>
              </w:rPr>
              <w:t>5</w:t>
            </w:r>
          </w:p>
        </w:tc>
        <w:tc>
          <w:tcPr>
            <w:tcW w:w="264"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532E86">
            <w:pPr>
              <w:ind w:left="537" w:hanging="537"/>
              <w:rPr>
                <w:rFonts w:cs="Arial"/>
                <w:sz w:val="20"/>
                <w:szCs w:val="18"/>
              </w:rPr>
            </w:pPr>
            <w:r w:rsidRPr="002F2DD0">
              <w:rPr>
                <w:rFonts w:cs="Arial"/>
                <w:sz w:val="20"/>
                <w:szCs w:val="18"/>
              </w:rPr>
              <w:t>5.11:</w:t>
            </w:r>
            <w:r w:rsidRPr="002F2DD0">
              <w:rPr>
                <w:rFonts w:cs="Arial"/>
                <w:sz w:val="20"/>
                <w:szCs w:val="18"/>
              </w:rPr>
              <w:tab/>
            </w:r>
            <w:r w:rsidRPr="00F0238E">
              <w:rPr>
                <w:rFonts w:cs="Arial"/>
                <w:sz w:val="20"/>
                <w:szCs w:val="18"/>
              </w:rPr>
              <w:t xml:space="preserve">Reduce the prevalence of wrong site or side procedures and surgeries in acute and non-acute care hospitals and ambulatory surgical centers by </w:t>
            </w:r>
            <w:r>
              <w:rPr>
                <w:rFonts w:cs="Arial"/>
                <w:sz w:val="20"/>
                <w:szCs w:val="18"/>
              </w:rPr>
              <w:t>10</w:t>
            </w:r>
            <w:r w:rsidRPr="00F0238E">
              <w:rPr>
                <w:rFonts w:cs="Arial"/>
                <w:sz w:val="20"/>
                <w:szCs w:val="18"/>
              </w:rPr>
              <w:t>%. </w:t>
            </w:r>
          </w:p>
        </w:tc>
        <w:tc>
          <w:tcPr>
            <w:tcW w:w="287" w:type="pct"/>
            <w:vAlign w:val="center"/>
          </w:tcPr>
          <w:p w:rsidR="004B20E5" w:rsidRDefault="004B20E5" w:rsidP="009C7855">
            <w:pPr>
              <w:jc w:val="center"/>
              <w:rPr>
                <w:rFonts w:cs="Arial"/>
                <w:sz w:val="16"/>
                <w:szCs w:val="18"/>
              </w:rPr>
            </w:pPr>
            <w:r>
              <w:rPr>
                <w:rFonts w:cs="Arial"/>
                <w:sz w:val="16"/>
                <w:szCs w:val="18"/>
              </w:rPr>
              <w:t>5.11.1</w:t>
            </w:r>
          </w:p>
          <w:p w:rsidR="004B20E5" w:rsidRPr="002F2DD0" w:rsidRDefault="004B20E5" w:rsidP="009C7855">
            <w:pPr>
              <w:jc w:val="center"/>
              <w:rPr>
                <w:rFonts w:cs="Arial"/>
                <w:sz w:val="16"/>
                <w:szCs w:val="18"/>
              </w:rPr>
            </w:pPr>
            <w:r>
              <w:rPr>
                <w:rFonts w:cs="Arial"/>
                <w:sz w:val="16"/>
                <w:szCs w:val="18"/>
              </w:rPr>
              <w:t>5.11.2</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Default="004B20E5" w:rsidP="009C7855">
            <w:pPr>
              <w:jc w:val="center"/>
              <w:rPr>
                <w:rFonts w:cs="Arial"/>
                <w:sz w:val="16"/>
                <w:szCs w:val="18"/>
              </w:rPr>
            </w:pPr>
            <w:r>
              <w:rPr>
                <w:rFonts w:cs="Arial"/>
                <w:sz w:val="16"/>
                <w:szCs w:val="18"/>
              </w:rPr>
              <w:t>5.11.3</w:t>
            </w:r>
          </w:p>
          <w:p w:rsidR="004B20E5" w:rsidRPr="002F2DD0" w:rsidRDefault="004B20E5" w:rsidP="009C7855">
            <w:pPr>
              <w:jc w:val="center"/>
              <w:rPr>
                <w:rFonts w:cs="Arial"/>
                <w:sz w:val="16"/>
                <w:szCs w:val="18"/>
              </w:rPr>
            </w:pPr>
            <w:r>
              <w:rPr>
                <w:rFonts w:cs="Arial"/>
                <w:sz w:val="16"/>
                <w:szCs w:val="18"/>
              </w:rPr>
              <w:t>5.11.4</w:t>
            </w:r>
          </w:p>
        </w:tc>
        <w:tc>
          <w:tcPr>
            <w:tcW w:w="263" w:type="pct"/>
            <w:vAlign w:val="center"/>
          </w:tcPr>
          <w:p w:rsidR="004B20E5" w:rsidRDefault="004B20E5" w:rsidP="009C7855">
            <w:pPr>
              <w:jc w:val="center"/>
              <w:rPr>
                <w:rFonts w:cs="Arial"/>
                <w:sz w:val="16"/>
                <w:szCs w:val="18"/>
              </w:rPr>
            </w:pPr>
            <w:r>
              <w:rPr>
                <w:rFonts w:cs="Arial"/>
                <w:sz w:val="16"/>
                <w:szCs w:val="18"/>
              </w:rPr>
              <w:t>5.11.5</w:t>
            </w:r>
          </w:p>
          <w:p w:rsidR="004B20E5" w:rsidRDefault="004B20E5" w:rsidP="009C7855">
            <w:pPr>
              <w:jc w:val="center"/>
              <w:rPr>
                <w:rFonts w:cs="Arial"/>
                <w:sz w:val="16"/>
                <w:szCs w:val="18"/>
              </w:rPr>
            </w:pPr>
            <w:r>
              <w:rPr>
                <w:rFonts w:cs="Arial"/>
                <w:sz w:val="16"/>
                <w:szCs w:val="18"/>
              </w:rPr>
              <w:t>5.11.6</w:t>
            </w:r>
          </w:p>
          <w:p w:rsidR="004B20E5" w:rsidRPr="002F2DD0" w:rsidRDefault="004B20E5" w:rsidP="009C7855">
            <w:pPr>
              <w:jc w:val="center"/>
              <w:rPr>
                <w:rFonts w:cs="Arial"/>
                <w:sz w:val="16"/>
                <w:szCs w:val="18"/>
              </w:rPr>
            </w:pPr>
            <w:r>
              <w:rPr>
                <w:rFonts w:cs="Arial"/>
                <w:sz w:val="16"/>
                <w:szCs w:val="18"/>
              </w:rPr>
              <w:t>5.11.7</w:t>
            </w:r>
          </w:p>
        </w:tc>
        <w:tc>
          <w:tcPr>
            <w:tcW w:w="264"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Height w:val="539"/>
        </w:trPr>
        <w:tc>
          <w:tcPr>
            <w:tcW w:w="1522" w:type="pct"/>
            <w:tcBorders>
              <w:right w:val="nil"/>
            </w:tcBorders>
            <w:vAlign w:val="center"/>
          </w:tcPr>
          <w:p w:rsidR="004B20E5" w:rsidRPr="009C7855" w:rsidRDefault="004B20E5" w:rsidP="00876533">
            <w:pPr>
              <w:pageBreakBefore/>
              <w:ind w:left="533" w:hanging="533"/>
              <w:rPr>
                <w:rFonts w:cs="Arial"/>
                <w:b/>
                <w:sz w:val="24"/>
                <w:szCs w:val="28"/>
              </w:rPr>
            </w:pPr>
            <w:r w:rsidRPr="009C7855">
              <w:rPr>
                <w:rFonts w:cs="Arial"/>
                <w:b/>
                <w:sz w:val="24"/>
                <w:szCs w:val="28"/>
              </w:rPr>
              <w:t>Domain 6.</w:t>
            </w:r>
            <w:r w:rsidRPr="009C7855">
              <w:rPr>
                <w:rFonts w:cs="Arial"/>
                <w:b/>
                <w:sz w:val="24"/>
                <w:szCs w:val="28"/>
              </w:rPr>
              <w:tab/>
              <w:t>Maternal</w:t>
            </w:r>
            <w:r>
              <w:rPr>
                <w:rFonts w:cs="Arial"/>
                <w:b/>
                <w:sz w:val="24"/>
                <w:szCs w:val="28"/>
              </w:rPr>
              <w:t xml:space="preserve">, </w:t>
            </w:r>
            <w:r w:rsidRPr="009C7855">
              <w:rPr>
                <w:rFonts w:cs="Arial"/>
                <w:b/>
                <w:sz w:val="24"/>
                <w:szCs w:val="28"/>
              </w:rPr>
              <w:t xml:space="preserve">Child </w:t>
            </w:r>
            <w:r>
              <w:rPr>
                <w:rFonts w:cs="Arial"/>
                <w:b/>
                <w:sz w:val="24"/>
                <w:szCs w:val="28"/>
              </w:rPr>
              <w:t xml:space="preserve">and Family </w:t>
            </w:r>
            <w:r w:rsidRPr="009C7855">
              <w:rPr>
                <w:rFonts w:cs="Arial"/>
                <w:b/>
                <w:sz w:val="24"/>
                <w:szCs w:val="28"/>
              </w:rPr>
              <w:t>Health</w:t>
            </w:r>
            <w:r>
              <w:rPr>
                <w:rFonts w:cs="Arial"/>
                <w:b/>
                <w:sz w:val="24"/>
                <w:szCs w:val="28"/>
              </w:rPr>
              <w:t xml:space="preserve"> Promotion</w:t>
            </w:r>
          </w:p>
        </w:tc>
        <w:tc>
          <w:tcPr>
            <w:tcW w:w="287"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4" w:type="pct"/>
            <w:tcBorders>
              <w:left w:val="nil"/>
              <w:right w:val="nil"/>
            </w:tcBorders>
            <w:vAlign w:val="center"/>
          </w:tcPr>
          <w:p w:rsidR="004B20E5" w:rsidRPr="002F2DD0" w:rsidRDefault="004B20E5" w:rsidP="009C7855">
            <w:pPr>
              <w:jc w:val="center"/>
              <w:rPr>
                <w:rFonts w:cs="Arial"/>
                <w:sz w:val="16"/>
                <w:szCs w:val="18"/>
              </w:rPr>
            </w:pPr>
          </w:p>
        </w:tc>
        <w:tc>
          <w:tcPr>
            <w:tcW w:w="296" w:type="pct"/>
            <w:tcBorders>
              <w:left w:val="nil"/>
              <w:right w:val="nil"/>
            </w:tcBorders>
            <w:vAlign w:val="center"/>
          </w:tcPr>
          <w:p w:rsidR="004B20E5" w:rsidRPr="002F2DD0" w:rsidRDefault="004B20E5" w:rsidP="009C7855">
            <w:pPr>
              <w:jc w:val="center"/>
              <w:rPr>
                <w:rFonts w:cs="Arial"/>
                <w:sz w:val="16"/>
                <w:szCs w:val="18"/>
              </w:rPr>
            </w:pPr>
          </w:p>
        </w:tc>
        <w:tc>
          <w:tcPr>
            <w:tcW w:w="296" w:type="pct"/>
            <w:tcBorders>
              <w:left w:val="nil"/>
              <w:right w:val="nil"/>
            </w:tcBorders>
            <w:vAlign w:val="center"/>
          </w:tcPr>
          <w:p w:rsidR="004B20E5" w:rsidRPr="002F2DD0" w:rsidRDefault="004B20E5" w:rsidP="009C7855">
            <w:pPr>
              <w:jc w:val="center"/>
              <w:rPr>
                <w:rFonts w:cs="Arial"/>
                <w:sz w:val="16"/>
                <w:szCs w:val="18"/>
              </w:rPr>
            </w:pPr>
          </w:p>
        </w:tc>
        <w:tc>
          <w:tcPr>
            <w:tcW w:w="264" w:type="pct"/>
            <w:tcBorders>
              <w:left w:val="nil"/>
              <w:right w:val="nil"/>
            </w:tcBorders>
            <w:vAlign w:val="center"/>
          </w:tcPr>
          <w:p w:rsidR="004B20E5" w:rsidRPr="002F2DD0" w:rsidRDefault="004B20E5" w:rsidP="009C7855">
            <w:pPr>
              <w:jc w:val="center"/>
              <w:rPr>
                <w:rFonts w:cs="Arial"/>
                <w:sz w:val="16"/>
                <w:szCs w:val="18"/>
              </w:rPr>
            </w:pPr>
          </w:p>
        </w:tc>
        <w:tc>
          <w:tcPr>
            <w:tcW w:w="329" w:type="pct"/>
            <w:tcBorders>
              <w:left w:val="nil"/>
              <w:right w:val="nil"/>
            </w:tcBorders>
            <w:vAlign w:val="center"/>
          </w:tcPr>
          <w:p w:rsidR="004B20E5" w:rsidRPr="002F2DD0" w:rsidRDefault="004B20E5" w:rsidP="009C7855">
            <w:pPr>
              <w:jc w:val="center"/>
              <w:rPr>
                <w:rFonts w:cs="Arial"/>
                <w:sz w:val="16"/>
                <w:szCs w:val="18"/>
              </w:rPr>
            </w:pPr>
          </w:p>
        </w:tc>
        <w:tc>
          <w:tcPr>
            <w:tcW w:w="362" w:type="pct"/>
            <w:tcBorders>
              <w:left w:val="nil"/>
              <w:right w:val="nil"/>
            </w:tcBorders>
            <w:vAlign w:val="center"/>
          </w:tcPr>
          <w:p w:rsidR="004B20E5" w:rsidRPr="002F2DD0" w:rsidRDefault="004B20E5" w:rsidP="009C7855">
            <w:pPr>
              <w:jc w:val="center"/>
              <w:rPr>
                <w:rFonts w:cs="Arial"/>
                <w:sz w:val="16"/>
                <w:szCs w:val="18"/>
              </w:rPr>
            </w:pPr>
          </w:p>
        </w:tc>
        <w:tc>
          <w:tcPr>
            <w:tcW w:w="297" w:type="pct"/>
            <w:tcBorders>
              <w:left w:val="nil"/>
              <w:right w:val="nil"/>
            </w:tcBorders>
            <w:vAlign w:val="center"/>
          </w:tcPr>
          <w:p w:rsidR="004B20E5" w:rsidRPr="002F2DD0" w:rsidRDefault="004B20E5" w:rsidP="009C7855">
            <w:pPr>
              <w:jc w:val="center"/>
              <w:rPr>
                <w:rFonts w:cs="Arial"/>
                <w:sz w:val="16"/>
                <w:szCs w:val="18"/>
              </w:rPr>
            </w:pPr>
          </w:p>
        </w:tc>
        <w:tc>
          <w:tcPr>
            <w:tcW w:w="294" w:type="pct"/>
            <w:tcBorders>
              <w:left w:val="nil"/>
            </w:tcBorders>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6.1:</w:t>
            </w:r>
            <w:r w:rsidRPr="002F2DD0">
              <w:rPr>
                <w:rFonts w:cs="Arial"/>
                <w:sz w:val="20"/>
                <w:szCs w:val="18"/>
              </w:rPr>
              <w:tab/>
            </w:r>
            <w:r w:rsidRPr="00F0238E">
              <w:rPr>
                <w:rFonts w:cs="Arial"/>
                <w:sz w:val="20"/>
                <w:szCs w:val="18"/>
              </w:rPr>
              <w:t>Reduce the teen birth rate in the highest need communities by 10%.</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6.1.1</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6.1.2</w:t>
            </w:r>
          </w:p>
          <w:p w:rsidR="004B20E5" w:rsidRPr="002F2DD0" w:rsidRDefault="004B20E5" w:rsidP="009C7855">
            <w:pPr>
              <w:jc w:val="center"/>
              <w:rPr>
                <w:rFonts w:cs="Arial"/>
                <w:sz w:val="16"/>
                <w:szCs w:val="18"/>
              </w:rPr>
            </w:pPr>
            <w:r w:rsidRPr="002F2DD0">
              <w:rPr>
                <w:rFonts w:cs="Arial"/>
                <w:sz w:val="16"/>
                <w:szCs w:val="18"/>
              </w:rPr>
              <w:t>6.1.3</w:t>
            </w:r>
          </w:p>
          <w:p w:rsidR="004B20E5" w:rsidRPr="002F2DD0" w:rsidRDefault="004B20E5" w:rsidP="009C7855">
            <w:pPr>
              <w:jc w:val="center"/>
              <w:rPr>
                <w:rFonts w:cs="Arial"/>
                <w:sz w:val="16"/>
                <w:szCs w:val="18"/>
              </w:rPr>
            </w:pPr>
            <w:r w:rsidRPr="002F2DD0">
              <w:rPr>
                <w:rFonts w:cs="Arial"/>
                <w:sz w:val="16"/>
                <w:szCs w:val="18"/>
              </w:rPr>
              <w:t>6.1.4</w:t>
            </w:r>
          </w:p>
          <w:p w:rsidR="004B20E5" w:rsidRPr="002F2DD0" w:rsidRDefault="004B20E5" w:rsidP="009C7855">
            <w:pPr>
              <w:jc w:val="center"/>
              <w:rPr>
                <w:rFonts w:cs="Arial"/>
                <w:sz w:val="16"/>
                <w:szCs w:val="18"/>
              </w:rPr>
            </w:pPr>
            <w:r w:rsidRPr="002F2DD0">
              <w:rPr>
                <w:rFonts w:cs="Arial"/>
                <w:sz w:val="16"/>
                <w:szCs w:val="18"/>
              </w:rPr>
              <w:t>6.1.5</w:t>
            </w:r>
          </w:p>
          <w:p w:rsidR="004B20E5" w:rsidRPr="002F2DD0" w:rsidRDefault="004B20E5" w:rsidP="009C7855">
            <w:pPr>
              <w:jc w:val="center"/>
              <w:rPr>
                <w:rFonts w:cs="Arial"/>
                <w:sz w:val="16"/>
                <w:szCs w:val="18"/>
              </w:rPr>
            </w:pPr>
            <w:r w:rsidRPr="002F2DD0">
              <w:rPr>
                <w:rFonts w:cs="Arial"/>
                <w:sz w:val="16"/>
                <w:szCs w:val="18"/>
              </w:rPr>
              <w:t>6.1.6</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6.1.7</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6.1.8</w:t>
            </w:r>
          </w:p>
          <w:p w:rsidR="004B20E5" w:rsidRPr="002F2DD0" w:rsidRDefault="004B20E5" w:rsidP="009C7855">
            <w:pPr>
              <w:jc w:val="center"/>
              <w:rPr>
                <w:rFonts w:cs="Arial"/>
                <w:sz w:val="16"/>
                <w:szCs w:val="18"/>
              </w:rPr>
            </w:pPr>
            <w:r w:rsidRPr="002F2DD0">
              <w:rPr>
                <w:rFonts w:cs="Arial"/>
                <w:sz w:val="16"/>
                <w:szCs w:val="18"/>
              </w:rPr>
              <w:t>6.1.9</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6.1.10</w:t>
            </w: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r w:rsidRPr="002F2DD0">
              <w:rPr>
                <w:rFonts w:cs="Arial"/>
                <w:sz w:val="16"/>
                <w:szCs w:val="18"/>
              </w:rPr>
              <w:t>6.1.11</w:t>
            </w: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7509D9">
            <w:pPr>
              <w:ind w:left="537" w:hanging="537"/>
              <w:rPr>
                <w:rFonts w:cs="Arial"/>
                <w:sz w:val="20"/>
                <w:szCs w:val="18"/>
              </w:rPr>
            </w:pPr>
            <w:r w:rsidRPr="002F2DD0">
              <w:rPr>
                <w:rFonts w:cs="Arial"/>
                <w:sz w:val="20"/>
                <w:szCs w:val="18"/>
              </w:rPr>
              <w:t>6.2:</w:t>
            </w:r>
            <w:r w:rsidRPr="002F2DD0">
              <w:rPr>
                <w:rFonts w:cs="Arial"/>
                <w:sz w:val="20"/>
                <w:szCs w:val="18"/>
              </w:rPr>
              <w:tab/>
            </w:r>
            <w:r w:rsidRPr="00F0238E">
              <w:rPr>
                <w:rFonts w:cs="Arial"/>
                <w:sz w:val="20"/>
                <w:szCs w:val="18"/>
              </w:rPr>
              <w:t xml:space="preserve">Reduce </w:t>
            </w:r>
            <w:r>
              <w:rPr>
                <w:rFonts w:cs="Arial"/>
                <w:sz w:val="20"/>
                <w:szCs w:val="18"/>
              </w:rPr>
              <w:t xml:space="preserve">the relative percentage of infants with </w:t>
            </w:r>
            <w:r w:rsidRPr="00F0238E">
              <w:rPr>
                <w:rFonts w:cs="Arial"/>
                <w:sz w:val="20"/>
                <w:szCs w:val="18"/>
              </w:rPr>
              <w:t>low birth weight births by 5%</w:t>
            </w:r>
            <w:r>
              <w:rPr>
                <w:rFonts w:cs="Arial"/>
                <w:sz w:val="20"/>
                <w:szCs w:val="18"/>
              </w:rPr>
              <w:t xml:space="preserve"> and premature births by </w:t>
            </w:r>
            <w:r w:rsidR="007509D9">
              <w:rPr>
                <w:rFonts w:cs="Arial"/>
                <w:sz w:val="20"/>
                <w:szCs w:val="18"/>
              </w:rPr>
              <w:t>5</w:t>
            </w:r>
            <w:r>
              <w:rPr>
                <w:rFonts w:cs="Arial"/>
                <w:sz w:val="20"/>
                <w:szCs w:val="18"/>
              </w:rPr>
              <w:t>%</w:t>
            </w:r>
            <w:r w:rsidRPr="00F0238E">
              <w:rPr>
                <w:rFonts w:cs="Arial"/>
                <w:sz w:val="20"/>
                <w:szCs w:val="18"/>
              </w:rPr>
              <w:t>.</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6.2.1</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6.2.2</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6.2.3</w:t>
            </w:r>
          </w:p>
          <w:p w:rsidR="004B20E5" w:rsidRPr="002F2DD0" w:rsidRDefault="004B20E5" w:rsidP="009C7855">
            <w:pPr>
              <w:jc w:val="center"/>
              <w:rPr>
                <w:rFonts w:cs="Arial"/>
                <w:sz w:val="16"/>
                <w:szCs w:val="18"/>
              </w:rPr>
            </w:pPr>
            <w:r w:rsidRPr="002F2DD0">
              <w:rPr>
                <w:rFonts w:cs="Arial"/>
                <w:sz w:val="16"/>
                <w:szCs w:val="18"/>
              </w:rPr>
              <w:t>6.2.4</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6.2.5</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6.2.6</w:t>
            </w:r>
          </w:p>
          <w:p w:rsidR="004B20E5" w:rsidRPr="002F2DD0" w:rsidRDefault="004B20E5" w:rsidP="009C7855">
            <w:pPr>
              <w:jc w:val="center"/>
              <w:rPr>
                <w:rFonts w:cs="Arial"/>
                <w:sz w:val="16"/>
                <w:szCs w:val="18"/>
              </w:rPr>
            </w:pPr>
            <w:r w:rsidRPr="002F2DD0">
              <w:rPr>
                <w:rFonts w:cs="Arial"/>
                <w:sz w:val="16"/>
                <w:szCs w:val="18"/>
              </w:rPr>
              <w:t>6.2.7</w:t>
            </w:r>
          </w:p>
          <w:p w:rsidR="004B20E5" w:rsidRPr="002F2DD0" w:rsidRDefault="004B20E5" w:rsidP="009C7855">
            <w:pPr>
              <w:jc w:val="center"/>
              <w:rPr>
                <w:rFonts w:cs="Arial"/>
                <w:sz w:val="16"/>
                <w:szCs w:val="18"/>
              </w:rPr>
            </w:pPr>
            <w:r w:rsidRPr="002F2DD0">
              <w:rPr>
                <w:rFonts w:cs="Arial"/>
                <w:sz w:val="16"/>
                <w:szCs w:val="18"/>
              </w:rPr>
              <w:t>6.2.8</w:t>
            </w: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6.2.9</w:t>
            </w: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6.2.10</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6.2.11</w:t>
            </w:r>
          </w:p>
        </w:tc>
        <w:tc>
          <w:tcPr>
            <w:tcW w:w="329" w:type="pct"/>
            <w:vAlign w:val="center"/>
          </w:tcPr>
          <w:p w:rsidR="004B20E5" w:rsidRPr="002F2DD0" w:rsidRDefault="004B20E5" w:rsidP="009C7855">
            <w:pPr>
              <w:jc w:val="center"/>
              <w:rPr>
                <w:rFonts w:cs="Arial"/>
                <w:sz w:val="16"/>
                <w:szCs w:val="18"/>
              </w:rPr>
            </w:pPr>
            <w:r w:rsidRPr="002F2DD0">
              <w:rPr>
                <w:rFonts w:cs="Arial"/>
                <w:sz w:val="16"/>
                <w:szCs w:val="18"/>
              </w:rPr>
              <w:t>6.2.12</w:t>
            </w:r>
          </w:p>
        </w:tc>
        <w:tc>
          <w:tcPr>
            <w:tcW w:w="362" w:type="pct"/>
            <w:vAlign w:val="center"/>
          </w:tcPr>
          <w:p w:rsidR="004B20E5" w:rsidRPr="002F2DD0" w:rsidRDefault="004B20E5" w:rsidP="009C7855">
            <w:pPr>
              <w:jc w:val="center"/>
              <w:rPr>
                <w:rFonts w:cs="Arial"/>
                <w:sz w:val="16"/>
                <w:szCs w:val="18"/>
              </w:rPr>
            </w:pPr>
            <w:r w:rsidRPr="002F2DD0">
              <w:rPr>
                <w:rFonts w:cs="Arial"/>
                <w:sz w:val="16"/>
                <w:szCs w:val="18"/>
              </w:rPr>
              <w:t>6.2.13</w:t>
            </w: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r w:rsidRPr="002F2DD0">
              <w:rPr>
                <w:rFonts w:cs="Arial"/>
                <w:sz w:val="16"/>
                <w:szCs w:val="18"/>
              </w:rPr>
              <w:t>6.2.14</w:t>
            </w: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6.3:</w:t>
            </w:r>
            <w:r w:rsidRPr="002F2DD0">
              <w:rPr>
                <w:rFonts w:cs="Arial"/>
                <w:sz w:val="20"/>
                <w:szCs w:val="18"/>
              </w:rPr>
              <w:tab/>
            </w:r>
            <w:r w:rsidRPr="00F0238E">
              <w:rPr>
                <w:rFonts w:cs="Arial"/>
                <w:sz w:val="20"/>
                <w:szCs w:val="18"/>
              </w:rPr>
              <w:t>Increase the proportion of infants who are breastfed to meet multiple specified targets.</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6.3.1</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6.3.2</w:t>
            </w:r>
          </w:p>
          <w:p w:rsidR="004B20E5" w:rsidRPr="002F2DD0" w:rsidRDefault="004B20E5" w:rsidP="009C7855">
            <w:pPr>
              <w:jc w:val="center"/>
              <w:rPr>
                <w:rFonts w:cs="Arial"/>
                <w:sz w:val="16"/>
                <w:szCs w:val="18"/>
              </w:rPr>
            </w:pPr>
            <w:r w:rsidRPr="002F2DD0">
              <w:rPr>
                <w:rFonts w:cs="Arial"/>
                <w:sz w:val="16"/>
                <w:szCs w:val="18"/>
              </w:rPr>
              <w:t>6.3.3</w:t>
            </w:r>
          </w:p>
          <w:p w:rsidR="004B20E5" w:rsidRPr="002F2DD0" w:rsidRDefault="004B20E5" w:rsidP="009C7855">
            <w:pPr>
              <w:jc w:val="center"/>
              <w:rPr>
                <w:rFonts w:cs="Arial"/>
                <w:sz w:val="16"/>
                <w:szCs w:val="18"/>
              </w:rPr>
            </w:pPr>
            <w:r w:rsidRPr="002F2DD0">
              <w:rPr>
                <w:rFonts w:cs="Arial"/>
                <w:sz w:val="16"/>
                <w:szCs w:val="18"/>
              </w:rPr>
              <w:t>6.3.4</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6.3.5</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6.3.6</w:t>
            </w:r>
          </w:p>
          <w:p w:rsidR="004B20E5" w:rsidRPr="002F2DD0" w:rsidRDefault="004B20E5" w:rsidP="009C7855">
            <w:pPr>
              <w:jc w:val="center"/>
              <w:rPr>
                <w:rFonts w:cs="Arial"/>
                <w:sz w:val="16"/>
                <w:szCs w:val="18"/>
              </w:rPr>
            </w:pPr>
            <w:r w:rsidRPr="002F2DD0">
              <w:rPr>
                <w:rFonts w:cs="Arial"/>
                <w:sz w:val="16"/>
                <w:szCs w:val="18"/>
              </w:rPr>
              <w:t>6.3.7</w:t>
            </w:r>
          </w:p>
          <w:p w:rsidR="004B20E5" w:rsidRPr="002F2DD0" w:rsidRDefault="004B20E5" w:rsidP="009C7855">
            <w:pPr>
              <w:jc w:val="center"/>
              <w:rPr>
                <w:rFonts w:cs="Arial"/>
                <w:sz w:val="16"/>
                <w:szCs w:val="18"/>
              </w:rPr>
            </w:pPr>
            <w:r w:rsidRPr="002F2DD0">
              <w:rPr>
                <w:rFonts w:cs="Arial"/>
                <w:sz w:val="16"/>
                <w:szCs w:val="18"/>
              </w:rPr>
              <w:t>6.3.8</w:t>
            </w:r>
          </w:p>
          <w:p w:rsidR="004B20E5" w:rsidRPr="002F2DD0" w:rsidRDefault="004B20E5" w:rsidP="009C7855">
            <w:pPr>
              <w:jc w:val="center"/>
              <w:rPr>
                <w:rFonts w:cs="Arial"/>
                <w:sz w:val="16"/>
                <w:szCs w:val="18"/>
              </w:rPr>
            </w:pPr>
            <w:r w:rsidRPr="002F2DD0">
              <w:rPr>
                <w:rFonts w:cs="Arial"/>
                <w:sz w:val="16"/>
                <w:szCs w:val="18"/>
              </w:rPr>
              <w:t>6.3.9</w:t>
            </w:r>
          </w:p>
          <w:p w:rsidR="004B20E5" w:rsidRPr="002F2DD0" w:rsidRDefault="004B20E5" w:rsidP="009C7855">
            <w:pPr>
              <w:jc w:val="center"/>
              <w:rPr>
                <w:rFonts w:cs="Arial"/>
                <w:sz w:val="16"/>
                <w:szCs w:val="18"/>
              </w:rPr>
            </w:pPr>
            <w:r w:rsidRPr="002F2DD0">
              <w:rPr>
                <w:rFonts w:cs="Arial"/>
                <w:sz w:val="16"/>
                <w:szCs w:val="18"/>
              </w:rPr>
              <w:t>6.3.10</w:t>
            </w:r>
          </w:p>
          <w:p w:rsidR="004B20E5" w:rsidRPr="002F2DD0" w:rsidRDefault="004B20E5" w:rsidP="009C7855">
            <w:pPr>
              <w:jc w:val="center"/>
              <w:rPr>
                <w:rFonts w:cs="Arial"/>
                <w:sz w:val="16"/>
                <w:szCs w:val="18"/>
              </w:rPr>
            </w:pPr>
            <w:r w:rsidRPr="002F2DD0">
              <w:rPr>
                <w:rFonts w:cs="Arial"/>
                <w:sz w:val="16"/>
                <w:szCs w:val="18"/>
              </w:rPr>
              <w:t>6.3.11</w:t>
            </w:r>
          </w:p>
          <w:p w:rsidR="004B20E5" w:rsidRPr="002F2DD0" w:rsidRDefault="004B20E5" w:rsidP="009C7855">
            <w:pPr>
              <w:jc w:val="center"/>
              <w:rPr>
                <w:rFonts w:cs="Arial"/>
                <w:sz w:val="16"/>
                <w:szCs w:val="18"/>
              </w:rPr>
            </w:pPr>
            <w:r w:rsidRPr="002F2DD0">
              <w:rPr>
                <w:rFonts w:cs="Arial"/>
                <w:sz w:val="16"/>
                <w:szCs w:val="18"/>
              </w:rPr>
              <w:t>6.3.12</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6.3.13</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6.3.14</w:t>
            </w:r>
          </w:p>
          <w:p w:rsidR="004B20E5" w:rsidRPr="002F2DD0" w:rsidRDefault="004B20E5" w:rsidP="009C7855">
            <w:pPr>
              <w:jc w:val="center"/>
              <w:rPr>
                <w:rFonts w:cs="Arial"/>
                <w:sz w:val="16"/>
                <w:szCs w:val="18"/>
              </w:rPr>
            </w:pPr>
            <w:r w:rsidRPr="002F2DD0">
              <w:rPr>
                <w:rFonts w:cs="Arial"/>
                <w:sz w:val="16"/>
                <w:szCs w:val="18"/>
              </w:rPr>
              <w:t>6.3.15</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4846D5">
            <w:pPr>
              <w:ind w:left="537" w:hanging="537"/>
              <w:rPr>
                <w:rFonts w:cs="Arial"/>
                <w:sz w:val="20"/>
                <w:szCs w:val="18"/>
              </w:rPr>
            </w:pPr>
            <w:r w:rsidRPr="002F2DD0">
              <w:rPr>
                <w:rFonts w:cs="Arial"/>
                <w:sz w:val="20"/>
                <w:szCs w:val="18"/>
              </w:rPr>
              <w:t>6.4:</w:t>
            </w:r>
            <w:r w:rsidRPr="002F2DD0">
              <w:rPr>
                <w:rFonts w:cs="Arial"/>
                <w:sz w:val="20"/>
                <w:szCs w:val="18"/>
              </w:rPr>
              <w:tab/>
            </w:r>
            <w:r w:rsidRPr="00F0238E">
              <w:rPr>
                <w:rFonts w:cs="Arial"/>
                <w:sz w:val="20"/>
                <w:szCs w:val="18"/>
              </w:rPr>
              <w:t xml:space="preserve">Increase the proportion of pregnant women who receive </w:t>
            </w:r>
            <w:r w:rsidR="009170FB">
              <w:rPr>
                <w:rFonts w:cs="Arial"/>
                <w:sz w:val="20"/>
                <w:szCs w:val="18"/>
              </w:rPr>
              <w:t>teeth cleaning</w:t>
            </w:r>
            <w:r w:rsidRPr="00F0238E">
              <w:rPr>
                <w:rFonts w:cs="Arial"/>
                <w:sz w:val="20"/>
                <w:szCs w:val="18"/>
              </w:rPr>
              <w:t xml:space="preserve"> before and during pregnancy </w:t>
            </w:r>
            <w:r>
              <w:rPr>
                <w:rFonts w:cs="Arial"/>
                <w:sz w:val="20"/>
                <w:szCs w:val="18"/>
              </w:rPr>
              <w:t>by 5%</w:t>
            </w:r>
            <w:r w:rsidRPr="00F0238E">
              <w:rPr>
                <w:rFonts w:cs="Arial"/>
                <w:sz w:val="20"/>
                <w:szCs w:val="18"/>
              </w:rPr>
              <w:t>.</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6.4.1</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6.4.2</w:t>
            </w:r>
          </w:p>
        </w:tc>
        <w:tc>
          <w:tcPr>
            <w:tcW w:w="263" w:type="pct"/>
            <w:vAlign w:val="center"/>
          </w:tcPr>
          <w:p w:rsidR="004B20E5" w:rsidRPr="002F2DD0" w:rsidRDefault="004B20E5" w:rsidP="009C7855">
            <w:pPr>
              <w:jc w:val="center"/>
              <w:rPr>
                <w:rFonts w:cs="Arial"/>
                <w:sz w:val="16"/>
                <w:szCs w:val="18"/>
              </w:rPr>
            </w:pPr>
            <w:r>
              <w:rPr>
                <w:rFonts w:cs="Arial"/>
                <w:sz w:val="16"/>
                <w:szCs w:val="18"/>
              </w:rPr>
              <w:t>6.4.3</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6.4.4</w:t>
            </w:r>
          </w:p>
        </w:tc>
        <w:tc>
          <w:tcPr>
            <w:tcW w:w="264" w:type="pct"/>
            <w:vAlign w:val="center"/>
          </w:tcPr>
          <w:p w:rsidR="004B20E5" w:rsidRDefault="004B20E5" w:rsidP="009C7855">
            <w:pPr>
              <w:jc w:val="center"/>
              <w:rPr>
                <w:rFonts w:cs="Arial"/>
                <w:sz w:val="16"/>
                <w:szCs w:val="18"/>
              </w:rPr>
            </w:pPr>
            <w:r>
              <w:rPr>
                <w:rFonts w:cs="Arial"/>
                <w:sz w:val="16"/>
                <w:szCs w:val="18"/>
              </w:rPr>
              <w:t>6.4.5</w:t>
            </w:r>
          </w:p>
          <w:p w:rsidR="004B20E5" w:rsidRDefault="004B20E5" w:rsidP="009C7855">
            <w:pPr>
              <w:jc w:val="center"/>
              <w:rPr>
                <w:rFonts w:cs="Arial"/>
                <w:sz w:val="16"/>
                <w:szCs w:val="18"/>
              </w:rPr>
            </w:pPr>
            <w:r>
              <w:rPr>
                <w:rFonts w:cs="Arial"/>
                <w:sz w:val="16"/>
                <w:szCs w:val="18"/>
              </w:rPr>
              <w:t>6.4.6</w:t>
            </w:r>
          </w:p>
          <w:p w:rsidR="004B20E5" w:rsidRDefault="004B20E5" w:rsidP="009C7855">
            <w:pPr>
              <w:jc w:val="center"/>
              <w:rPr>
                <w:rFonts w:cs="Arial"/>
                <w:sz w:val="16"/>
                <w:szCs w:val="18"/>
              </w:rPr>
            </w:pPr>
            <w:r>
              <w:rPr>
                <w:rFonts w:cs="Arial"/>
                <w:sz w:val="16"/>
                <w:szCs w:val="18"/>
              </w:rPr>
              <w:t>6.4.7</w:t>
            </w:r>
          </w:p>
          <w:p w:rsidR="004B20E5" w:rsidRPr="002F2DD0" w:rsidRDefault="004B20E5" w:rsidP="009C7855">
            <w:pPr>
              <w:jc w:val="center"/>
              <w:rPr>
                <w:rFonts w:cs="Arial"/>
                <w:sz w:val="16"/>
                <w:szCs w:val="18"/>
              </w:rPr>
            </w:pPr>
            <w:r>
              <w:rPr>
                <w:rFonts w:cs="Arial"/>
                <w:sz w:val="16"/>
                <w:szCs w:val="18"/>
              </w:rPr>
              <w:t>6.4.8</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6.4.</w:t>
            </w:r>
            <w:r>
              <w:rPr>
                <w:rFonts w:cs="Arial"/>
                <w:sz w:val="16"/>
                <w:szCs w:val="18"/>
              </w:rPr>
              <w:t>9</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6.4.</w:t>
            </w:r>
            <w:r>
              <w:rPr>
                <w:rFonts w:cs="Arial"/>
                <w:sz w:val="16"/>
                <w:szCs w:val="18"/>
              </w:rPr>
              <w:t>10</w:t>
            </w:r>
          </w:p>
          <w:p w:rsidR="004B20E5" w:rsidRPr="002F2DD0" w:rsidRDefault="004B20E5" w:rsidP="009C7855">
            <w:pPr>
              <w:jc w:val="center"/>
              <w:rPr>
                <w:rFonts w:cs="Arial"/>
                <w:sz w:val="16"/>
                <w:szCs w:val="18"/>
              </w:rPr>
            </w:pPr>
            <w:r w:rsidRPr="002F2DD0">
              <w:rPr>
                <w:rFonts w:cs="Arial"/>
                <w:sz w:val="16"/>
                <w:szCs w:val="18"/>
              </w:rPr>
              <w:t>6.4.</w:t>
            </w:r>
            <w:r>
              <w:rPr>
                <w:rFonts w:cs="Arial"/>
                <w:sz w:val="16"/>
                <w:szCs w:val="18"/>
              </w:rPr>
              <w:t>11</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F16410">
            <w:pPr>
              <w:ind w:left="537" w:hanging="537"/>
              <w:rPr>
                <w:rFonts w:cs="Arial"/>
                <w:sz w:val="20"/>
                <w:szCs w:val="18"/>
              </w:rPr>
            </w:pPr>
            <w:r w:rsidRPr="002F2DD0">
              <w:rPr>
                <w:rFonts w:cs="Arial"/>
                <w:sz w:val="20"/>
                <w:szCs w:val="18"/>
              </w:rPr>
              <w:t>6.5:</w:t>
            </w:r>
            <w:r w:rsidRPr="002F2DD0">
              <w:rPr>
                <w:rFonts w:cs="Arial"/>
                <w:sz w:val="20"/>
                <w:szCs w:val="18"/>
              </w:rPr>
              <w:tab/>
            </w:r>
            <w:r w:rsidRPr="00F0238E">
              <w:rPr>
                <w:rFonts w:cs="Arial"/>
                <w:sz w:val="20"/>
                <w:szCs w:val="18"/>
              </w:rPr>
              <w:t xml:space="preserve">Increase the </w:t>
            </w:r>
            <w:r>
              <w:rPr>
                <w:rFonts w:cs="Arial"/>
                <w:sz w:val="20"/>
                <w:szCs w:val="18"/>
              </w:rPr>
              <w:t>relative percentage</w:t>
            </w:r>
            <w:r w:rsidR="00D9064A">
              <w:rPr>
                <w:rFonts w:cs="Arial"/>
                <w:sz w:val="20"/>
                <w:szCs w:val="18"/>
              </w:rPr>
              <w:t xml:space="preserve"> </w:t>
            </w:r>
            <w:r w:rsidRPr="00F0238E">
              <w:rPr>
                <w:rFonts w:cs="Arial"/>
                <w:sz w:val="20"/>
                <w:szCs w:val="18"/>
              </w:rPr>
              <w:t xml:space="preserve">of children and adolescents who have a </w:t>
            </w:r>
            <w:r w:rsidR="00A1594F">
              <w:rPr>
                <w:rFonts w:cs="Arial"/>
                <w:sz w:val="20"/>
                <w:szCs w:val="18"/>
              </w:rPr>
              <w:t>m</w:t>
            </w:r>
            <w:r w:rsidRPr="00F0238E">
              <w:rPr>
                <w:rFonts w:cs="Arial"/>
                <w:sz w:val="20"/>
                <w:szCs w:val="18"/>
              </w:rPr>
              <w:t xml:space="preserve">edical </w:t>
            </w:r>
            <w:r w:rsidR="00A1594F">
              <w:rPr>
                <w:rFonts w:cs="Arial"/>
                <w:sz w:val="20"/>
                <w:szCs w:val="18"/>
              </w:rPr>
              <w:t>h</w:t>
            </w:r>
            <w:r w:rsidRPr="00F0238E">
              <w:rPr>
                <w:rFonts w:cs="Arial"/>
                <w:sz w:val="20"/>
                <w:szCs w:val="18"/>
              </w:rPr>
              <w:t xml:space="preserve">ome </w:t>
            </w:r>
            <w:r>
              <w:rPr>
                <w:rFonts w:cs="Arial"/>
                <w:sz w:val="20"/>
                <w:szCs w:val="18"/>
              </w:rPr>
              <w:t>by 10%, especially children and youth with special health care needs</w:t>
            </w:r>
            <w:r w:rsidRPr="00F0238E">
              <w:rPr>
                <w:rFonts w:cs="Arial"/>
                <w:sz w:val="20"/>
                <w:szCs w:val="18"/>
              </w:rPr>
              <w:t>.</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6.5.1</w:t>
            </w:r>
          </w:p>
          <w:p w:rsidR="004B20E5" w:rsidRPr="002F2DD0" w:rsidRDefault="004B20E5" w:rsidP="009C7855">
            <w:pPr>
              <w:jc w:val="center"/>
              <w:rPr>
                <w:rFonts w:cs="Arial"/>
                <w:sz w:val="16"/>
                <w:szCs w:val="18"/>
              </w:rPr>
            </w:pPr>
          </w:p>
        </w:tc>
        <w:tc>
          <w:tcPr>
            <w:tcW w:w="263" w:type="pct"/>
            <w:vAlign w:val="center"/>
          </w:tcPr>
          <w:p w:rsidR="004B20E5" w:rsidRPr="002F2DD0" w:rsidRDefault="004B20E5" w:rsidP="004846D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6.5.2</w:t>
            </w:r>
          </w:p>
        </w:tc>
        <w:tc>
          <w:tcPr>
            <w:tcW w:w="263" w:type="pct"/>
            <w:vAlign w:val="center"/>
          </w:tcPr>
          <w:p w:rsidR="004B20E5" w:rsidRPr="002F2DD0" w:rsidRDefault="004B20E5" w:rsidP="009C7855">
            <w:pPr>
              <w:jc w:val="center"/>
              <w:rPr>
                <w:rFonts w:cs="Arial"/>
                <w:sz w:val="16"/>
                <w:szCs w:val="18"/>
              </w:rPr>
            </w:pPr>
          </w:p>
        </w:tc>
        <w:tc>
          <w:tcPr>
            <w:tcW w:w="264" w:type="pct"/>
            <w:vAlign w:val="center"/>
          </w:tcPr>
          <w:p w:rsidR="004B20E5" w:rsidRDefault="004B20E5" w:rsidP="004846D5">
            <w:pPr>
              <w:jc w:val="center"/>
              <w:rPr>
                <w:rFonts w:cs="Arial"/>
                <w:sz w:val="16"/>
                <w:szCs w:val="18"/>
              </w:rPr>
            </w:pPr>
            <w:r w:rsidRPr="002F2DD0">
              <w:rPr>
                <w:rFonts w:cs="Arial"/>
                <w:sz w:val="16"/>
                <w:szCs w:val="18"/>
              </w:rPr>
              <w:t>6.5.3</w:t>
            </w:r>
          </w:p>
          <w:p w:rsidR="004B20E5" w:rsidRPr="002F2DD0" w:rsidRDefault="004B20E5" w:rsidP="004846D5">
            <w:pPr>
              <w:jc w:val="center"/>
              <w:rPr>
                <w:rFonts w:cs="Arial"/>
                <w:sz w:val="16"/>
                <w:szCs w:val="18"/>
              </w:rPr>
            </w:pPr>
            <w:r w:rsidRPr="002F2DD0">
              <w:rPr>
                <w:rFonts w:cs="Arial"/>
                <w:sz w:val="16"/>
                <w:szCs w:val="18"/>
              </w:rPr>
              <w:t>6.5.4</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Default="004B20E5" w:rsidP="009C7855">
            <w:pPr>
              <w:jc w:val="center"/>
              <w:rPr>
                <w:rFonts w:cs="Arial"/>
                <w:sz w:val="16"/>
                <w:szCs w:val="18"/>
              </w:rPr>
            </w:pPr>
            <w:r w:rsidRPr="002F2DD0">
              <w:rPr>
                <w:rFonts w:cs="Arial"/>
                <w:sz w:val="16"/>
                <w:szCs w:val="18"/>
              </w:rPr>
              <w:t>6.5.5</w:t>
            </w:r>
          </w:p>
          <w:p w:rsidR="004B20E5" w:rsidRPr="002F2DD0" w:rsidRDefault="004B20E5" w:rsidP="009C7855">
            <w:pPr>
              <w:jc w:val="center"/>
              <w:rPr>
                <w:rFonts w:cs="Arial"/>
                <w:sz w:val="16"/>
                <w:szCs w:val="18"/>
              </w:rPr>
            </w:pPr>
            <w:r w:rsidRPr="002F2DD0">
              <w:rPr>
                <w:rFonts w:cs="Arial"/>
                <w:sz w:val="16"/>
                <w:szCs w:val="18"/>
              </w:rPr>
              <w:t>6.5.6</w:t>
            </w:r>
          </w:p>
        </w:tc>
        <w:tc>
          <w:tcPr>
            <w:tcW w:w="264" w:type="pct"/>
            <w:vAlign w:val="center"/>
          </w:tcPr>
          <w:p w:rsidR="004B20E5" w:rsidRPr="002F2DD0" w:rsidRDefault="004B20E5" w:rsidP="00225240">
            <w:pPr>
              <w:jc w:val="center"/>
              <w:rPr>
                <w:rFonts w:cs="Arial"/>
                <w:sz w:val="16"/>
                <w:szCs w:val="18"/>
              </w:rPr>
            </w:pPr>
            <w:r w:rsidRPr="002F2DD0">
              <w:rPr>
                <w:rFonts w:cs="Arial"/>
                <w:sz w:val="16"/>
                <w:szCs w:val="18"/>
              </w:rPr>
              <w:t>6.5.7</w:t>
            </w:r>
          </w:p>
          <w:p w:rsidR="004B20E5" w:rsidRPr="002F2DD0" w:rsidRDefault="004B20E5" w:rsidP="009C7855">
            <w:pPr>
              <w:jc w:val="center"/>
              <w:rPr>
                <w:rFonts w:cs="Arial"/>
                <w:sz w:val="16"/>
                <w:szCs w:val="18"/>
              </w:rPr>
            </w:pPr>
            <w:r w:rsidRPr="002F2DD0">
              <w:rPr>
                <w:rFonts w:cs="Arial"/>
                <w:sz w:val="16"/>
                <w:szCs w:val="18"/>
              </w:rPr>
              <w:t>6.5.8</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6.6:</w:t>
            </w:r>
            <w:r w:rsidRPr="002F2DD0">
              <w:rPr>
                <w:rFonts w:cs="Arial"/>
                <w:sz w:val="20"/>
                <w:szCs w:val="18"/>
              </w:rPr>
              <w:tab/>
            </w:r>
            <w:r w:rsidRPr="00F0238E">
              <w:rPr>
                <w:rFonts w:cs="Arial"/>
                <w:sz w:val="20"/>
                <w:szCs w:val="18"/>
              </w:rPr>
              <w:t>Develop consensus definitions and comprehensive data sources to identify and measure positive early childhood health and development.</w:t>
            </w:r>
          </w:p>
        </w:tc>
        <w:tc>
          <w:tcPr>
            <w:tcW w:w="287" w:type="pct"/>
            <w:vAlign w:val="center"/>
          </w:tcPr>
          <w:p w:rsidR="004B20E5" w:rsidRDefault="004B20E5" w:rsidP="009C7855">
            <w:pPr>
              <w:jc w:val="center"/>
              <w:rPr>
                <w:rFonts w:cs="Arial"/>
                <w:sz w:val="16"/>
                <w:szCs w:val="18"/>
              </w:rPr>
            </w:pPr>
            <w:r w:rsidRPr="002F2DD0">
              <w:rPr>
                <w:rFonts w:cs="Arial"/>
                <w:sz w:val="16"/>
                <w:szCs w:val="18"/>
              </w:rPr>
              <w:t>6.6.1</w:t>
            </w:r>
          </w:p>
          <w:p w:rsidR="004B20E5" w:rsidRPr="002F2DD0" w:rsidRDefault="004B20E5" w:rsidP="009C7855">
            <w:pPr>
              <w:jc w:val="center"/>
              <w:rPr>
                <w:rFonts w:cs="Arial"/>
                <w:sz w:val="16"/>
                <w:szCs w:val="18"/>
              </w:rPr>
            </w:pPr>
            <w:r>
              <w:rPr>
                <w:rFonts w:cs="Arial"/>
                <w:sz w:val="16"/>
                <w:szCs w:val="18"/>
              </w:rPr>
              <w:t>6.6.2</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6.6.</w:t>
            </w:r>
            <w:r>
              <w:rPr>
                <w:rFonts w:cs="Arial"/>
                <w:sz w:val="16"/>
                <w:szCs w:val="18"/>
              </w:rPr>
              <w:t>3</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6.6.</w:t>
            </w:r>
            <w:r>
              <w:rPr>
                <w:rFonts w:cs="Arial"/>
                <w:sz w:val="16"/>
                <w:szCs w:val="18"/>
              </w:rPr>
              <w:t>4</w:t>
            </w:r>
          </w:p>
          <w:p w:rsidR="004B20E5" w:rsidRPr="002F2DD0" w:rsidRDefault="004B20E5" w:rsidP="009C7855">
            <w:pPr>
              <w:jc w:val="center"/>
              <w:rPr>
                <w:rFonts w:cs="Arial"/>
                <w:sz w:val="16"/>
                <w:szCs w:val="18"/>
              </w:rPr>
            </w:pPr>
            <w:r w:rsidRPr="002F2DD0">
              <w:rPr>
                <w:rFonts w:cs="Arial"/>
                <w:sz w:val="16"/>
                <w:szCs w:val="18"/>
              </w:rPr>
              <w:t>6.6.</w:t>
            </w:r>
            <w:r>
              <w:rPr>
                <w:rFonts w:cs="Arial"/>
                <w:sz w:val="16"/>
                <w:szCs w:val="18"/>
              </w:rPr>
              <w:t>5</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6.6.</w:t>
            </w:r>
            <w:r>
              <w:rPr>
                <w:rFonts w:cs="Arial"/>
                <w:sz w:val="16"/>
                <w:szCs w:val="18"/>
              </w:rPr>
              <w:t>6</w:t>
            </w:r>
          </w:p>
          <w:p w:rsidR="004B20E5" w:rsidRDefault="004B20E5" w:rsidP="009C7855">
            <w:pPr>
              <w:jc w:val="center"/>
              <w:rPr>
                <w:rFonts w:cs="Arial"/>
                <w:sz w:val="16"/>
                <w:szCs w:val="18"/>
              </w:rPr>
            </w:pPr>
            <w:r w:rsidRPr="002F2DD0">
              <w:rPr>
                <w:rFonts w:cs="Arial"/>
                <w:sz w:val="16"/>
                <w:szCs w:val="18"/>
              </w:rPr>
              <w:t>6.6.</w:t>
            </w:r>
            <w:r>
              <w:rPr>
                <w:rFonts w:cs="Arial"/>
                <w:sz w:val="16"/>
                <w:szCs w:val="18"/>
              </w:rPr>
              <w:t>7</w:t>
            </w:r>
          </w:p>
          <w:p w:rsidR="004B20E5" w:rsidRDefault="004B20E5" w:rsidP="009C7855">
            <w:pPr>
              <w:jc w:val="center"/>
              <w:rPr>
                <w:rFonts w:cs="Arial"/>
                <w:sz w:val="16"/>
                <w:szCs w:val="18"/>
              </w:rPr>
            </w:pPr>
            <w:r>
              <w:rPr>
                <w:rFonts w:cs="Arial"/>
                <w:sz w:val="16"/>
                <w:szCs w:val="18"/>
              </w:rPr>
              <w:t>6.6.8</w:t>
            </w:r>
          </w:p>
          <w:p w:rsidR="004B20E5" w:rsidRPr="002F2DD0" w:rsidRDefault="004B20E5" w:rsidP="009C7855">
            <w:pPr>
              <w:jc w:val="center"/>
              <w:rPr>
                <w:rFonts w:cs="Arial"/>
                <w:sz w:val="16"/>
                <w:szCs w:val="18"/>
              </w:rPr>
            </w:pPr>
            <w:r>
              <w:rPr>
                <w:rFonts w:cs="Arial"/>
                <w:sz w:val="16"/>
                <w:szCs w:val="18"/>
              </w:rPr>
              <w:t>6.6.9</w:t>
            </w: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6.6.</w:t>
            </w:r>
            <w:r>
              <w:rPr>
                <w:rFonts w:cs="Arial"/>
                <w:sz w:val="16"/>
                <w:szCs w:val="18"/>
              </w:rPr>
              <w:t>10</w:t>
            </w: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6.6.</w:t>
            </w:r>
            <w:r>
              <w:rPr>
                <w:rFonts w:cs="Arial"/>
                <w:sz w:val="16"/>
                <w:szCs w:val="18"/>
              </w:rPr>
              <w:t>11</w:t>
            </w:r>
          </w:p>
          <w:p w:rsidR="004B20E5" w:rsidRPr="002F2DD0" w:rsidRDefault="004B20E5" w:rsidP="009C7855">
            <w:pPr>
              <w:jc w:val="center"/>
              <w:rPr>
                <w:rFonts w:cs="Arial"/>
                <w:sz w:val="16"/>
                <w:szCs w:val="18"/>
              </w:rPr>
            </w:pPr>
            <w:r w:rsidRPr="002F2DD0">
              <w:rPr>
                <w:rFonts w:cs="Arial"/>
                <w:sz w:val="16"/>
                <w:szCs w:val="18"/>
              </w:rPr>
              <w:t>6.6.</w:t>
            </w:r>
            <w:r>
              <w:rPr>
                <w:rFonts w:cs="Arial"/>
                <w:sz w:val="16"/>
                <w:szCs w:val="18"/>
              </w:rPr>
              <w:t>12</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6.6.1</w:t>
            </w:r>
            <w:r>
              <w:rPr>
                <w:rFonts w:cs="Arial"/>
                <w:sz w:val="16"/>
                <w:szCs w:val="18"/>
              </w:rPr>
              <w:t>3</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r>
              <w:rPr>
                <w:rFonts w:cs="Arial"/>
                <w:sz w:val="16"/>
                <w:szCs w:val="18"/>
              </w:rPr>
              <w:t>6.6.14</w:t>
            </w: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r>
              <w:rPr>
                <w:rFonts w:cs="Arial"/>
                <w:sz w:val="16"/>
                <w:szCs w:val="18"/>
              </w:rPr>
              <w:t>6.6.15</w:t>
            </w:r>
          </w:p>
        </w:tc>
      </w:tr>
      <w:tr w:rsidR="004B20E5" w:rsidTr="00717B8F">
        <w:trPr>
          <w:cantSplit/>
        </w:trPr>
        <w:tc>
          <w:tcPr>
            <w:tcW w:w="1522" w:type="pct"/>
            <w:tcBorders>
              <w:right w:val="nil"/>
            </w:tcBorders>
          </w:tcPr>
          <w:p w:rsidR="004B20E5" w:rsidRPr="009C7855" w:rsidRDefault="004B20E5">
            <w:pPr>
              <w:keepNext/>
              <w:ind w:left="533" w:hanging="533"/>
              <w:rPr>
                <w:rFonts w:cs="Arial"/>
                <w:b/>
                <w:sz w:val="24"/>
                <w:szCs w:val="28"/>
              </w:rPr>
            </w:pPr>
            <w:r w:rsidRPr="009C7855">
              <w:rPr>
                <w:rFonts w:cs="Arial"/>
                <w:b/>
                <w:sz w:val="24"/>
                <w:szCs w:val="28"/>
              </w:rPr>
              <w:t>Domain 7.</w:t>
            </w:r>
            <w:r w:rsidRPr="009C7855">
              <w:rPr>
                <w:rFonts w:cs="Arial"/>
                <w:b/>
                <w:sz w:val="24"/>
                <w:szCs w:val="28"/>
              </w:rPr>
              <w:tab/>
            </w:r>
            <w:r w:rsidR="00CC4FA8">
              <w:rPr>
                <w:rFonts w:cs="Arial"/>
                <w:b/>
                <w:sz w:val="24"/>
                <w:szCs w:val="28"/>
              </w:rPr>
              <w:t>Environmental Risk Factors and Health</w:t>
            </w:r>
          </w:p>
        </w:tc>
        <w:tc>
          <w:tcPr>
            <w:tcW w:w="287"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3" w:type="pct"/>
            <w:tcBorders>
              <w:left w:val="nil"/>
              <w:right w:val="nil"/>
            </w:tcBorders>
            <w:vAlign w:val="center"/>
          </w:tcPr>
          <w:p w:rsidR="004B20E5" w:rsidRPr="002F2DD0" w:rsidRDefault="004B20E5" w:rsidP="009C7855">
            <w:pPr>
              <w:jc w:val="center"/>
              <w:rPr>
                <w:rFonts w:cs="Arial"/>
                <w:sz w:val="16"/>
                <w:szCs w:val="18"/>
              </w:rPr>
            </w:pPr>
          </w:p>
        </w:tc>
        <w:tc>
          <w:tcPr>
            <w:tcW w:w="264" w:type="pct"/>
            <w:tcBorders>
              <w:left w:val="nil"/>
              <w:right w:val="nil"/>
            </w:tcBorders>
            <w:vAlign w:val="center"/>
          </w:tcPr>
          <w:p w:rsidR="004B20E5" w:rsidRPr="002F2DD0" w:rsidRDefault="004B20E5" w:rsidP="009C7855">
            <w:pPr>
              <w:jc w:val="center"/>
              <w:rPr>
                <w:rFonts w:cs="Arial"/>
                <w:sz w:val="16"/>
                <w:szCs w:val="18"/>
              </w:rPr>
            </w:pPr>
          </w:p>
        </w:tc>
        <w:tc>
          <w:tcPr>
            <w:tcW w:w="296" w:type="pct"/>
            <w:tcBorders>
              <w:left w:val="nil"/>
              <w:right w:val="nil"/>
            </w:tcBorders>
            <w:vAlign w:val="center"/>
          </w:tcPr>
          <w:p w:rsidR="004B20E5" w:rsidRPr="002F2DD0" w:rsidRDefault="004B20E5" w:rsidP="009C7855">
            <w:pPr>
              <w:jc w:val="center"/>
              <w:rPr>
                <w:rFonts w:cs="Arial"/>
                <w:sz w:val="16"/>
                <w:szCs w:val="18"/>
              </w:rPr>
            </w:pPr>
          </w:p>
        </w:tc>
        <w:tc>
          <w:tcPr>
            <w:tcW w:w="296" w:type="pct"/>
            <w:tcBorders>
              <w:left w:val="nil"/>
              <w:right w:val="nil"/>
            </w:tcBorders>
            <w:vAlign w:val="center"/>
          </w:tcPr>
          <w:p w:rsidR="004B20E5" w:rsidRPr="002F2DD0" w:rsidRDefault="004B20E5" w:rsidP="009C7855">
            <w:pPr>
              <w:jc w:val="center"/>
              <w:rPr>
                <w:rFonts w:cs="Arial"/>
                <w:sz w:val="16"/>
                <w:szCs w:val="18"/>
              </w:rPr>
            </w:pPr>
          </w:p>
        </w:tc>
        <w:tc>
          <w:tcPr>
            <w:tcW w:w="264" w:type="pct"/>
            <w:tcBorders>
              <w:left w:val="nil"/>
              <w:right w:val="nil"/>
            </w:tcBorders>
            <w:vAlign w:val="center"/>
          </w:tcPr>
          <w:p w:rsidR="004B20E5" w:rsidRPr="002F2DD0" w:rsidRDefault="004B20E5" w:rsidP="009C7855">
            <w:pPr>
              <w:jc w:val="center"/>
              <w:rPr>
                <w:rFonts w:cs="Arial"/>
                <w:sz w:val="16"/>
                <w:szCs w:val="18"/>
              </w:rPr>
            </w:pPr>
          </w:p>
        </w:tc>
        <w:tc>
          <w:tcPr>
            <w:tcW w:w="329" w:type="pct"/>
            <w:tcBorders>
              <w:left w:val="nil"/>
              <w:right w:val="nil"/>
            </w:tcBorders>
            <w:vAlign w:val="center"/>
          </w:tcPr>
          <w:p w:rsidR="004B20E5" w:rsidRPr="002F2DD0" w:rsidRDefault="004B20E5" w:rsidP="009C7855">
            <w:pPr>
              <w:jc w:val="center"/>
              <w:rPr>
                <w:rFonts w:cs="Arial"/>
                <w:sz w:val="16"/>
                <w:szCs w:val="18"/>
              </w:rPr>
            </w:pPr>
          </w:p>
        </w:tc>
        <w:tc>
          <w:tcPr>
            <w:tcW w:w="362" w:type="pct"/>
            <w:tcBorders>
              <w:left w:val="nil"/>
              <w:right w:val="nil"/>
            </w:tcBorders>
            <w:vAlign w:val="center"/>
          </w:tcPr>
          <w:p w:rsidR="004B20E5" w:rsidRPr="002F2DD0" w:rsidRDefault="004B20E5" w:rsidP="009C7855">
            <w:pPr>
              <w:jc w:val="center"/>
              <w:rPr>
                <w:rFonts w:cs="Arial"/>
                <w:sz w:val="16"/>
                <w:szCs w:val="18"/>
              </w:rPr>
            </w:pPr>
          </w:p>
        </w:tc>
        <w:tc>
          <w:tcPr>
            <w:tcW w:w="297" w:type="pct"/>
            <w:tcBorders>
              <w:left w:val="nil"/>
              <w:right w:val="nil"/>
            </w:tcBorders>
            <w:vAlign w:val="center"/>
          </w:tcPr>
          <w:p w:rsidR="004B20E5" w:rsidRPr="002F2DD0" w:rsidRDefault="004B20E5" w:rsidP="009C7855">
            <w:pPr>
              <w:jc w:val="center"/>
              <w:rPr>
                <w:rFonts w:cs="Arial"/>
                <w:sz w:val="16"/>
                <w:szCs w:val="18"/>
              </w:rPr>
            </w:pPr>
          </w:p>
        </w:tc>
        <w:tc>
          <w:tcPr>
            <w:tcW w:w="294" w:type="pct"/>
            <w:tcBorders>
              <w:left w:val="nil"/>
            </w:tcBorders>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7.1:</w:t>
            </w:r>
            <w:r w:rsidRPr="002F2DD0">
              <w:rPr>
                <w:rFonts w:cs="Arial"/>
                <w:sz w:val="20"/>
                <w:szCs w:val="18"/>
              </w:rPr>
              <w:tab/>
            </w:r>
            <w:r w:rsidRPr="00F0238E">
              <w:rPr>
                <w:rFonts w:cs="Arial"/>
                <w:sz w:val="20"/>
                <w:szCs w:val="18"/>
              </w:rPr>
              <w:t>Increase blood level screening rates in high-risk communities (as defined by low socioeconomic status, percent old housing stock, and other factors) by 10%</w:t>
            </w:r>
            <w:r>
              <w:rPr>
                <w:rFonts w:cs="Arial"/>
                <w:sz w:val="20"/>
                <w:szCs w:val="18"/>
              </w:rPr>
              <w:t xml:space="preserve"> (relative)</w:t>
            </w:r>
            <w:r w:rsidRPr="00F0238E">
              <w:rPr>
                <w:rFonts w:cs="Arial"/>
                <w:sz w:val="20"/>
                <w:szCs w:val="18"/>
              </w:rPr>
              <w:t>.</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7.1.1</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7.1.2</w:t>
            </w:r>
          </w:p>
          <w:p w:rsidR="004B20E5" w:rsidRPr="002F2DD0" w:rsidRDefault="004B20E5" w:rsidP="009C7855">
            <w:pPr>
              <w:jc w:val="center"/>
              <w:rPr>
                <w:rFonts w:cs="Arial"/>
                <w:sz w:val="16"/>
                <w:szCs w:val="18"/>
              </w:rPr>
            </w:pPr>
            <w:r w:rsidRPr="002F2DD0">
              <w:rPr>
                <w:rFonts w:cs="Arial"/>
                <w:sz w:val="16"/>
                <w:szCs w:val="18"/>
              </w:rPr>
              <w:t>7.1.3</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7.1.4</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7.1.5</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7.1.6</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r w:rsidRPr="002F2DD0">
              <w:rPr>
                <w:rFonts w:cs="Arial"/>
                <w:sz w:val="16"/>
                <w:szCs w:val="18"/>
              </w:rPr>
              <w:t>7.1.7</w:t>
            </w:r>
          </w:p>
        </w:tc>
      </w:tr>
      <w:tr w:rsidR="004B20E5" w:rsidRPr="00092D1F" w:rsidTr="00717B8F">
        <w:trPr>
          <w:cantSplit/>
          <w:trHeight w:val="1160"/>
        </w:trPr>
        <w:tc>
          <w:tcPr>
            <w:tcW w:w="1522" w:type="pct"/>
          </w:tcPr>
          <w:p w:rsidR="004B20E5" w:rsidRPr="002F2DD0" w:rsidRDefault="004B20E5" w:rsidP="004846D5">
            <w:pPr>
              <w:ind w:left="537" w:hanging="537"/>
              <w:rPr>
                <w:rFonts w:cs="Arial"/>
                <w:sz w:val="20"/>
                <w:szCs w:val="18"/>
              </w:rPr>
            </w:pPr>
            <w:r w:rsidRPr="002F2DD0">
              <w:rPr>
                <w:rFonts w:cs="Arial"/>
                <w:sz w:val="20"/>
                <w:szCs w:val="18"/>
              </w:rPr>
              <w:t>7.2:</w:t>
            </w:r>
            <w:r w:rsidRPr="002F2DD0">
              <w:rPr>
                <w:rFonts w:cs="Arial"/>
                <w:sz w:val="20"/>
                <w:szCs w:val="18"/>
              </w:rPr>
              <w:tab/>
            </w:r>
            <w:r w:rsidRPr="00F0238E">
              <w:rPr>
                <w:rFonts w:cs="Arial"/>
                <w:sz w:val="20"/>
                <w:szCs w:val="18"/>
              </w:rPr>
              <w:t>Reduce the prevalence rate of blood lead levels of &gt; 25 µg/dL in persons 16 years or older by 5%</w:t>
            </w:r>
            <w:r>
              <w:rPr>
                <w:rFonts w:cs="Arial"/>
                <w:sz w:val="20"/>
                <w:szCs w:val="18"/>
              </w:rPr>
              <w:t xml:space="preserve"> (relative)</w:t>
            </w:r>
            <w:r w:rsidRPr="00F0238E">
              <w:rPr>
                <w:rFonts w:cs="Arial"/>
                <w:sz w:val="20"/>
                <w:szCs w:val="18"/>
              </w:rPr>
              <w:t>.   (Consistent with HP 2020 objective OSH-7)</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7.2.1</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7.2.2</w:t>
            </w: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7.2.3</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7.2.4</w:t>
            </w: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7.2.5</w:t>
            </w: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7.2.6</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7.3:</w:t>
            </w:r>
            <w:r w:rsidRPr="002F2DD0">
              <w:rPr>
                <w:rFonts w:cs="Arial"/>
                <w:sz w:val="20"/>
                <w:szCs w:val="18"/>
              </w:rPr>
              <w:tab/>
            </w:r>
            <w:r w:rsidRPr="00F0238E">
              <w:rPr>
                <w:rFonts w:cs="Arial"/>
                <w:sz w:val="20"/>
                <w:szCs w:val="18"/>
              </w:rPr>
              <w:t>Implement steps to improve indoor environmental quality by providing Division of Capital Asset Management and Maintenance (DCAMM) pre-occupancy assessments within an average of two weeks of inspection</w:t>
            </w:r>
            <w:r w:rsidRPr="002F2DD0">
              <w:rPr>
                <w:rFonts w:cs="Arial"/>
                <w:sz w:val="20"/>
                <w:szCs w:val="18"/>
              </w:rPr>
              <w:t>.</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7.3.1</w:t>
            </w:r>
          </w:p>
          <w:p w:rsidR="004B20E5" w:rsidRDefault="004B20E5" w:rsidP="009C7855">
            <w:pPr>
              <w:jc w:val="center"/>
              <w:rPr>
                <w:rFonts w:cs="Arial"/>
                <w:sz w:val="16"/>
                <w:szCs w:val="18"/>
              </w:rPr>
            </w:pPr>
            <w:r w:rsidRPr="002F2DD0">
              <w:rPr>
                <w:rFonts w:cs="Arial"/>
                <w:sz w:val="16"/>
                <w:szCs w:val="18"/>
              </w:rPr>
              <w:t>7.3.2</w:t>
            </w:r>
          </w:p>
          <w:p w:rsidR="004B20E5" w:rsidRPr="002F2DD0" w:rsidRDefault="004B20E5" w:rsidP="009C7855">
            <w:pPr>
              <w:jc w:val="center"/>
              <w:rPr>
                <w:rFonts w:cs="Arial"/>
                <w:sz w:val="16"/>
                <w:szCs w:val="18"/>
              </w:rPr>
            </w:pPr>
            <w:r>
              <w:rPr>
                <w:rFonts w:cs="Arial"/>
                <w:sz w:val="16"/>
                <w:szCs w:val="18"/>
              </w:rPr>
              <w:t>7.3.3</w:t>
            </w:r>
          </w:p>
        </w:tc>
        <w:tc>
          <w:tcPr>
            <w:tcW w:w="263"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225240">
            <w:pPr>
              <w:jc w:val="center"/>
              <w:rPr>
                <w:rFonts w:cs="Arial"/>
                <w:sz w:val="16"/>
                <w:szCs w:val="18"/>
              </w:rPr>
            </w:pPr>
            <w:r w:rsidRPr="002F2DD0">
              <w:rPr>
                <w:rFonts w:cs="Arial"/>
                <w:sz w:val="16"/>
                <w:szCs w:val="18"/>
              </w:rPr>
              <w:t>7.3.</w:t>
            </w:r>
            <w:r>
              <w:rPr>
                <w:rFonts w:cs="Arial"/>
                <w:sz w:val="16"/>
                <w:szCs w:val="18"/>
              </w:rPr>
              <w:t>4</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225240">
            <w:pPr>
              <w:jc w:val="center"/>
              <w:rPr>
                <w:rFonts w:cs="Arial"/>
                <w:sz w:val="16"/>
                <w:szCs w:val="18"/>
              </w:rPr>
            </w:pPr>
            <w:r w:rsidRPr="002F2DD0">
              <w:rPr>
                <w:rFonts w:cs="Arial"/>
                <w:sz w:val="16"/>
                <w:szCs w:val="18"/>
              </w:rPr>
              <w:t>7.3.</w:t>
            </w:r>
            <w:r>
              <w:rPr>
                <w:rFonts w:cs="Arial"/>
                <w:sz w:val="16"/>
                <w:szCs w:val="18"/>
              </w:rPr>
              <w:t>5</w:t>
            </w:r>
          </w:p>
        </w:tc>
        <w:tc>
          <w:tcPr>
            <w:tcW w:w="294" w:type="pct"/>
            <w:vAlign w:val="center"/>
          </w:tcPr>
          <w:p w:rsidR="004B20E5" w:rsidRPr="002F2DD0" w:rsidRDefault="004B20E5" w:rsidP="009C7855">
            <w:pPr>
              <w:jc w:val="center"/>
              <w:rPr>
                <w:rFonts w:cs="Arial"/>
                <w:sz w:val="16"/>
                <w:szCs w:val="18"/>
              </w:rPr>
            </w:pPr>
            <w:r w:rsidRPr="002F2DD0">
              <w:rPr>
                <w:rFonts w:cs="Arial"/>
                <w:sz w:val="16"/>
                <w:szCs w:val="18"/>
              </w:rPr>
              <w:t>7.3.6 7.3.7 7.3.</w:t>
            </w:r>
            <w:r>
              <w:rPr>
                <w:rFonts w:cs="Arial"/>
                <w:sz w:val="16"/>
                <w:szCs w:val="18"/>
              </w:rPr>
              <w:t>8</w:t>
            </w: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7.4:</w:t>
            </w:r>
            <w:r w:rsidRPr="002F2DD0">
              <w:rPr>
                <w:rFonts w:cs="Arial"/>
                <w:sz w:val="20"/>
                <w:szCs w:val="18"/>
              </w:rPr>
              <w:tab/>
            </w:r>
            <w:r w:rsidRPr="00F0238E">
              <w:rPr>
                <w:rFonts w:cs="Arial"/>
                <w:sz w:val="20"/>
                <w:szCs w:val="18"/>
              </w:rPr>
              <w:t xml:space="preserve">Reduce the number of avoidable complaints of poor housing conditions by increasing the number of local inspectors trained by 10%.  </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7.4.1</w:t>
            </w:r>
          </w:p>
          <w:p w:rsidR="004B20E5" w:rsidRPr="002F2DD0" w:rsidRDefault="004B20E5" w:rsidP="009C7855">
            <w:pPr>
              <w:jc w:val="center"/>
              <w:rPr>
                <w:rFonts w:cs="Arial"/>
                <w:sz w:val="16"/>
                <w:szCs w:val="18"/>
              </w:rPr>
            </w:pPr>
            <w:r w:rsidRPr="002F2DD0">
              <w:rPr>
                <w:rFonts w:cs="Arial"/>
                <w:sz w:val="16"/>
                <w:szCs w:val="18"/>
              </w:rPr>
              <w:t>7.4.2</w:t>
            </w:r>
          </w:p>
          <w:p w:rsidR="004B20E5" w:rsidRPr="002F2DD0" w:rsidRDefault="004B20E5" w:rsidP="009C7855">
            <w:pPr>
              <w:jc w:val="center"/>
              <w:rPr>
                <w:rFonts w:cs="Arial"/>
                <w:sz w:val="16"/>
                <w:szCs w:val="18"/>
              </w:rPr>
            </w:pPr>
            <w:r>
              <w:rPr>
                <w:rFonts w:cs="Arial"/>
                <w:sz w:val="16"/>
                <w:szCs w:val="18"/>
              </w:rPr>
              <w:t>7.4.3</w:t>
            </w:r>
          </w:p>
        </w:tc>
        <w:tc>
          <w:tcPr>
            <w:tcW w:w="263" w:type="pct"/>
            <w:vAlign w:val="center"/>
          </w:tcPr>
          <w:p w:rsidR="004B20E5" w:rsidRPr="002F2DD0" w:rsidRDefault="004B20E5" w:rsidP="00225240">
            <w:pPr>
              <w:jc w:val="center"/>
              <w:rPr>
                <w:rFonts w:cs="Arial"/>
                <w:sz w:val="16"/>
                <w:szCs w:val="18"/>
              </w:rPr>
            </w:pPr>
            <w:r w:rsidRPr="002F2DD0">
              <w:rPr>
                <w:rFonts w:cs="Arial"/>
                <w:sz w:val="16"/>
                <w:szCs w:val="18"/>
              </w:rPr>
              <w:t>7.4.4</w:t>
            </w:r>
          </w:p>
        </w:tc>
        <w:tc>
          <w:tcPr>
            <w:tcW w:w="264" w:type="pct"/>
            <w:vAlign w:val="center"/>
          </w:tcPr>
          <w:p w:rsidR="004B20E5" w:rsidRDefault="004B20E5" w:rsidP="00225240">
            <w:pPr>
              <w:jc w:val="center"/>
              <w:rPr>
                <w:rFonts w:cs="Arial"/>
                <w:sz w:val="16"/>
                <w:szCs w:val="18"/>
              </w:rPr>
            </w:pPr>
            <w:r w:rsidRPr="002F2DD0">
              <w:rPr>
                <w:rFonts w:cs="Arial"/>
                <w:sz w:val="16"/>
                <w:szCs w:val="18"/>
              </w:rPr>
              <w:t>7.4.5</w:t>
            </w:r>
          </w:p>
          <w:p w:rsidR="004B20E5" w:rsidRPr="002F2DD0" w:rsidRDefault="004B20E5" w:rsidP="009C7855">
            <w:pPr>
              <w:jc w:val="center"/>
              <w:rPr>
                <w:rFonts w:cs="Arial"/>
                <w:sz w:val="16"/>
                <w:szCs w:val="18"/>
              </w:rPr>
            </w:pPr>
            <w:r w:rsidRPr="002F2DD0">
              <w:rPr>
                <w:rFonts w:cs="Arial"/>
                <w:sz w:val="16"/>
                <w:szCs w:val="18"/>
              </w:rPr>
              <w:t>7.4.6</w:t>
            </w:r>
          </w:p>
        </w:tc>
        <w:tc>
          <w:tcPr>
            <w:tcW w:w="296" w:type="pct"/>
            <w:vAlign w:val="center"/>
          </w:tcPr>
          <w:p w:rsidR="004B20E5" w:rsidRPr="002F2DD0" w:rsidRDefault="004B20E5" w:rsidP="009C7855">
            <w:pPr>
              <w:jc w:val="center"/>
              <w:rPr>
                <w:rFonts w:cs="Arial"/>
                <w:sz w:val="16"/>
                <w:szCs w:val="18"/>
              </w:rPr>
            </w:pPr>
            <w:r w:rsidRPr="002F2DD0">
              <w:rPr>
                <w:rFonts w:cs="Arial"/>
                <w:sz w:val="16"/>
                <w:szCs w:val="18"/>
              </w:rPr>
              <w:t>7.4.7</w:t>
            </w: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7.4.8</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Default="004B20E5" w:rsidP="009C7855">
            <w:pPr>
              <w:jc w:val="center"/>
              <w:rPr>
                <w:rFonts w:cs="Arial"/>
                <w:sz w:val="16"/>
                <w:szCs w:val="18"/>
              </w:rPr>
            </w:pPr>
            <w:r w:rsidRPr="002F2DD0">
              <w:rPr>
                <w:rFonts w:cs="Arial"/>
                <w:sz w:val="16"/>
                <w:szCs w:val="18"/>
              </w:rPr>
              <w:t>7.4.9</w:t>
            </w:r>
          </w:p>
          <w:p w:rsidR="004B20E5" w:rsidRPr="002F2DD0" w:rsidRDefault="004B20E5" w:rsidP="009C7855">
            <w:pPr>
              <w:jc w:val="center"/>
              <w:rPr>
                <w:rFonts w:cs="Arial"/>
                <w:sz w:val="16"/>
                <w:szCs w:val="18"/>
              </w:rPr>
            </w:pPr>
            <w:r w:rsidRPr="002F2DD0">
              <w:rPr>
                <w:rFonts w:cs="Arial"/>
                <w:sz w:val="16"/>
                <w:szCs w:val="18"/>
              </w:rPr>
              <w:t>7.4.10</w:t>
            </w:r>
          </w:p>
        </w:tc>
        <w:tc>
          <w:tcPr>
            <w:tcW w:w="294" w:type="pct"/>
            <w:vAlign w:val="center"/>
          </w:tcPr>
          <w:p w:rsidR="004B20E5" w:rsidRPr="002F2DD0" w:rsidRDefault="004B20E5" w:rsidP="009C7855">
            <w:pPr>
              <w:jc w:val="center"/>
              <w:rPr>
                <w:rFonts w:cs="Arial"/>
                <w:sz w:val="16"/>
                <w:szCs w:val="18"/>
              </w:rPr>
            </w:pP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7.5:</w:t>
            </w:r>
            <w:r w:rsidRPr="002F2DD0">
              <w:rPr>
                <w:rFonts w:cs="Arial"/>
                <w:sz w:val="20"/>
                <w:szCs w:val="18"/>
              </w:rPr>
              <w:tab/>
            </w:r>
            <w:r w:rsidRPr="00F0238E">
              <w:rPr>
                <w:rFonts w:cs="Arial"/>
                <w:sz w:val="20"/>
                <w:szCs w:val="18"/>
              </w:rPr>
              <w:t>Reduce the number of foodborne illness outbreaks by increasing the number of mandatory local health inspections of retail food establishments.</w:t>
            </w:r>
          </w:p>
        </w:tc>
        <w:tc>
          <w:tcPr>
            <w:tcW w:w="287"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Default="004B20E5" w:rsidP="009C7855">
            <w:pPr>
              <w:jc w:val="center"/>
              <w:rPr>
                <w:rFonts w:cs="Arial"/>
                <w:sz w:val="16"/>
                <w:szCs w:val="18"/>
              </w:rPr>
            </w:pPr>
            <w:r w:rsidRPr="002F2DD0">
              <w:rPr>
                <w:rFonts w:cs="Arial"/>
                <w:sz w:val="16"/>
                <w:szCs w:val="18"/>
              </w:rPr>
              <w:t>7.5.1</w:t>
            </w:r>
          </w:p>
          <w:p w:rsidR="004B20E5" w:rsidRDefault="004B20E5" w:rsidP="00F60854">
            <w:pPr>
              <w:jc w:val="center"/>
              <w:rPr>
                <w:rFonts w:cs="Arial"/>
                <w:sz w:val="16"/>
                <w:szCs w:val="18"/>
              </w:rPr>
            </w:pPr>
            <w:r w:rsidRPr="002F2DD0">
              <w:rPr>
                <w:rFonts w:cs="Arial"/>
                <w:sz w:val="16"/>
                <w:szCs w:val="18"/>
              </w:rPr>
              <w:t>7.5.2</w:t>
            </w:r>
          </w:p>
          <w:p w:rsidR="004B20E5" w:rsidRDefault="004B20E5" w:rsidP="00F60854">
            <w:pPr>
              <w:jc w:val="center"/>
              <w:rPr>
                <w:rFonts w:cs="Arial"/>
                <w:sz w:val="16"/>
                <w:szCs w:val="18"/>
              </w:rPr>
            </w:pPr>
            <w:r w:rsidRPr="002F2DD0">
              <w:rPr>
                <w:rFonts w:cs="Arial"/>
                <w:sz w:val="16"/>
                <w:szCs w:val="18"/>
              </w:rPr>
              <w:t>7.5.3</w:t>
            </w:r>
          </w:p>
          <w:p w:rsidR="004B20E5" w:rsidRPr="002F2DD0" w:rsidRDefault="004B20E5" w:rsidP="00F60854">
            <w:pPr>
              <w:jc w:val="center"/>
              <w:rPr>
                <w:rFonts w:cs="Arial"/>
                <w:sz w:val="16"/>
                <w:szCs w:val="18"/>
              </w:rPr>
            </w:pPr>
            <w:r w:rsidRPr="002F2DD0">
              <w:rPr>
                <w:rFonts w:cs="Arial"/>
                <w:sz w:val="16"/>
                <w:szCs w:val="18"/>
              </w:rPr>
              <w:t>7.5.4</w:t>
            </w:r>
          </w:p>
          <w:p w:rsidR="004B20E5" w:rsidRPr="002F2DD0" w:rsidRDefault="004B20E5" w:rsidP="00F60854">
            <w:pPr>
              <w:jc w:val="center"/>
              <w:rPr>
                <w:rFonts w:cs="Arial"/>
                <w:sz w:val="16"/>
                <w:szCs w:val="18"/>
              </w:rPr>
            </w:pPr>
            <w:r w:rsidRPr="002F2DD0">
              <w:rPr>
                <w:rFonts w:cs="Arial"/>
                <w:sz w:val="16"/>
                <w:szCs w:val="18"/>
              </w:rPr>
              <w:t>7.5.5</w:t>
            </w:r>
          </w:p>
        </w:tc>
        <w:tc>
          <w:tcPr>
            <w:tcW w:w="263" w:type="pct"/>
            <w:vAlign w:val="center"/>
          </w:tcPr>
          <w:p w:rsidR="004B20E5" w:rsidRPr="002F2DD0" w:rsidRDefault="004B20E5" w:rsidP="009C7855">
            <w:pPr>
              <w:jc w:val="center"/>
              <w:rPr>
                <w:rFonts w:cs="Arial"/>
                <w:sz w:val="16"/>
                <w:szCs w:val="18"/>
              </w:rPr>
            </w:pPr>
            <w:r>
              <w:rPr>
                <w:rFonts w:cs="Arial"/>
                <w:sz w:val="16"/>
                <w:szCs w:val="18"/>
              </w:rPr>
              <w:t>7.5.6</w:t>
            </w:r>
          </w:p>
        </w:tc>
        <w:tc>
          <w:tcPr>
            <w:tcW w:w="264" w:type="pct"/>
            <w:vAlign w:val="center"/>
          </w:tcPr>
          <w:p w:rsidR="004B20E5" w:rsidRPr="002F2DD0" w:rsidRDefault="004B20E5" w:rsidP="009C7855">
            <w:pPr>
              <w:jc w:val="center"/>
              <w:rPr>
                <w:rFonts w:cs="Arial"/>
                <w:sz w:val="16"/>
                <w:szCs w:val="18"/>
              </w:rPr>
            </w:pPr>
            <w:r w:rsidRPr="002F2DD0">
              <w:rPr>
                <w:rFonts w:cs="Arial"/>
                <w:sz w:val="16"/>
                <w:szCs w:val="18"/>
              </w:rPr>
              <w:t>7.5.</w:t>
            </w:r>
            <w:r>
              <w:rPr>
                <w:rFonts w:cs="Arial"/>
                <w:sz w:val="16"/>
                <w:szCs w:val="18"/>
              </w:rPr>
              <w:t>7</w:t>
            </w:r>
          </w:p>
          <w:p w:rsidR="004B20E5" w:rsidRDefault="004B20E5" w:rsidP="009C7855">
            <w:pPr>
              <w:jc w:val="center"/>
              <w:rPr>
                <w:rFonts w:cs="Arial"/>
                <w:sz w:val="16"/>
                <w:szCs w:val="18"/>
              </w:rPr>
            </w:pPr>
            <w:r w:rsidRPr="002F2DD0">
              <w:rPr>
                <w:rFonts w:cs="Arial"/>
                <w:sz w:val="16"/>
                <w:szCs w:val="18"/>
              </w:rPr>
              <w:t>7.5.</w:t>
            </w:r>
            <w:r>
              <w:rPr>
                <w:rFonts w:cs="Arial"/>
                <w:sz w:val="16"/>
                <w:szCs w:val="18"/>
              </w:rPr>
              <w:t>8</w:t>
            </w:r>
          </w:p>
          <w:p w:rsidR="004B20E5" w:rsidRPr="002F2DD0" w:rsidRDefault="004B20E5" w:rsidP="00F60854">
            <w:pPr>
              <w:jc w:val="center"/>
              <w:rPr>
                <w:rFonts w:cs="Arial"/>
                <w:sz w:val="16"/>
                <w:szCs w:val="18"/>
              </w:rPr>
            </w:pPr>
            <w:r>
              <w:rPr>
                <w:rFonts w:cs="Arial"/>
                <w:sz w:val="16"/>
                <w:szCs w:val="18"/>
              </w:rPr>
              <w:t>7.5.9</w:t>
            </w:r>
          </w:p>
        </w:tc>
        <w:tc>
          <w:tcPr>
            <w:tcW w:w="296" w:type="pct"/>
            <w:vAlign w:val="center"/>
          </w:tcPr>
          <w:p w:rsidR="004B20E5" w:rsidRPr="002F2DD0" w:rsidRDefault="004B20E5" w:rsidP="00F60854">
            <w:pPr>
              <w:jc w:val="center"/>
              <w:rPr>
                <w:rFonts w:cs="Arial"/>
                <w:sz w:val="16"/>
                <w:szCs w:val="18"/>
              </w:rPr>
            </w:pPr>
            <w:r>
              <w:rPr>
                <w:rFonts w:cs="Arial"/>
                <w:sz w:val="16"/>
                <w:szCs w:val="18"/>
              </w:rPr>
              <w:t>7.5.10</w:t>
            </w: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Default="004B20E5" w:rsidP="009C7855">
            <w:pPr>
              <w:jc w:val="center"/>
              <w:rPr>
                <w:rFonts w:cs="Arial"/>
                <w:sz w:val="16"/>
                <w:szCs w:val="18"/>
              </w:rPr>
            </w:pPr>
            <w:r w:rsidRPr="002F2DD0">
              <w:rPr>
                <w:rFonts w:cs="Arial"/>
                <w:sz w:val="16"/>
                <w:szCs w:val="18"/>
              </w:rPr>
              <w:t>7.5.</w:t>
            </w:r>
            <w:r>
              <w:rPr>
                <w:rFonts w:cs="Arial"/>
                <w:sz w:val="16"/>
                <w:szCs w:val="18"/>
              </w:rPr>
              <w:t>11</w:t>
            </w:r>
          </w:p>
          <w:p w:rsidR="004B20E5" w:rsidRDefault="004B20E5" w:rsidP="009C7855">
            <w:pPr>
              <w:jc w:val="center"/>
              <w:rPr>
                <w:rFonts w:cs="Arial"/>
                <w:sz w:val="16"/>
                <w:szCs w:val="18"/>
              </w:rPr>
            </w:pPr>
            <w:r>
              <w:rPr>
                <w:rFonts w:cs="Arial"/>
                <w:sz w:val="16"/>
                <w:szCs w:val="18"/>
              </w:rPr>
              <w:t>7.5.12</w:t>
            </w:r>
          </w:p>
          <w:p w:rsidR="004B20E5" w:rsidRDefault="004B20E5" w:rsidP="009C7855">
            <w:pPr>
              <w:jc w:val="center"/>
              <w:rPr>
                <w:rFonts w:cs="Arial"/>
                <w:sz w:val="16"/>
                <w:szCs w:val="18"/>
              </w:rPr>
            </w:pPr>
            <w:r>
              <w:rPr>
                <w:rFonts w:cs="Arial"/>
                <w:sz w:val="16"/>
                <w:szCs w:val="18"/>
              </w:rPr>
              <w:t>7.5.13</w:t>
            </w:r>
          </w:p>
          <w:p w:rsidR="004B20E5" w:rsidRDefault="004B20E5" w:rsidP="009C7855">
            <w:pPr>
              <w:jc w:val="center"/>
              <w:rPr>
                <w:rFonts w:cs="Arial"/>
                <w:sz w:val="16"/>
                <w:szCs w:val="18"/>
              </w:rPr>
            </w:pPr>
            <w:r>
              <w:rPr>
                <w:rFonts w:cs="Arial"/>
                <w:sz w:val="16"/>
                <w:szCs w:val="18"/>
              </w:rPr>
              <w:t>7.5.14</w:t>
            </w:r>
          </w:p>
          <w:p w:rsidR="004B20E5" w:rsidRDefault="004B20E5" w:rsidP="009C7855">
            <w:pPr>
              <w:jc w:val="center"/>
              <w:rPr>
                <w:rFonts w:cs="Arial"/>
                <w:sz w:val="16"/>
                <w:szCs w:val="18"/>
              </w:rPr>
            </w:pPr>
            <w:r>
              <w:rPr>
                <w:rFonts w:cs="Arial"/>
                <w:sz w:val="16"/>
                <w:szCs w:val="18"/>
              </w:rPr>
              <w:t>7.5.15</w:t>
            </w:r>
          </w:p>
          <w:p w:rsidR="004B20E5" w:rsidRPr="002F2DD0" w:rsidRDefault="004B20E5" w:rsidP="009C7855">
            <w:pPr>
              <w:jc w:val="center"/>
              <w:rPr>
                <w:rFonts w:cs="Arial"/>
                <w:sz w:val="16"/>
                <w:szCs w:val="18"/>
              </w:rPr>
            </w:pPr>
            <w:r>
              <w:rPr>
                <w:rFonts w:cs="Arial"/>
                <w:sz w:val="16"/>
                <w:szCs w:val="18"/>
              </w:rPr>
              <w:t>7.5.16</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Default="004B20E5" w:rsidP="009C7855">
            <w:pPr>
              <w:jc w:val="center"/>
              <w:rPr>
                <w:rFonts w:cs="Arial"/>
                <w:sz w:val="16"/>
                <w:szCs w:val="18"/>
              </w:rPr>
            </w:pPr>
            <w:r>
              <w:rPr>
                <w:rFonts w:cs="Arial"/>
                <w:sz w:val="16"/>
                <w:szCs w:val="18"/>
              </w:rPr>
              <w:t>7.5.17</w:t>
            </w:r>
          </w:p>
          <w:p w:rsidR="004B20E5" w:rsidRDefault="004B20E5" w:rsidP="009C7855">
            <w:pPr>
              <w:jc w:val="center"/>
              <w:rPr>
                <w:rFonts w:cs="Arial"/>
                <w:sz w:val="16"/>
                <w:szCs w:val="18"/>
              </w:rPr>
            </w:pPr>
            <w:r>
              <w:rPr>
                <w:rFonts w:cs="Arial"/>
                <w:sz w:val="16"/>
                <w:szCs w:val="18"/>
              </w:rPr>
              <w:t>7.5.18</w:t>
            </w:r>
          </w:p>
          <w:p w:rsidR="004B20E5" w:rsidRDefault="004B20E5" w:rsidP="009C7855">
            <w:pPr>
              <w:jc w:val="center"/>
              <w:rPr>
                <w:rFonts w:cs="Arial"/>
                <w:sz w:val="16"/>
                <w:szCs w:val="18"/>
              </w:rPr>
            </w:pPr>
            <w:r>
              <w:rPr>
                <w:rFonts w:cs="Arial"/>
                <w:sz w:val="16"/>
                <w:szCs w:val="18"/>
              </w:rPr>
              <w:t>7.5.19</w:t>
            </w:r>
          </w:p>
          <w:p w:rsidR="004B20E5" w:rsidRPr="002F2DD0" w:rsidRDefault="004B20E5" w:rsidP="009C7855">
            <w:pPr>
              <w:jc w:val="center"/>
              <w:rPr>
                <w:rFonts w:cs="Arial"/>
                <w:sz w:val="16"/>
                <w:szCs w:val="18"/>
              </w:rPr>
            </w:pPr>
            <w:r>
              <w:rPr>
                <w:rFonts w:cs="Arial"/>
                <w:sz w:val="16"/>
                <w:szCs w:val="18"/>
              </w:rPr>
              <w:t>7.5.20</w:t>
            </w:r>
          </w:p>
        </w:tc>
      </w:tr>
      <w:tr w:rsidR="004B20E5" w:rsidRPr="00092D1F" w:rsidTr="00717B8F">
        <w:trPr>
          <w:cantSplit/>
        </w:trPr>
        <w:tc>
          <w:tcPr>
            <w:tcW w:w="1522" w:type="pct"/>
          </w:tcPr>
          <w:p w:rsidR="004B20E5" w:rsidRPr="002F2DD0" w:rsidRDefault="004B20E5" w:rsidP="009C7855">
            <w:pPr>
              <w:ind w:left="537" w:hanging="537"/>
              <w:rPr>
                <w:rFonts w:cs="Arial"/>
                <w:sz w:val="20"/>
                <w:szCs w:val="18"/>
              </w:rPr>
            </w:pPr>
            <w:r w:rsidRPr="002F2DD0">
              <w:rPr>
                <w:rFonts w:cs="Arial"/>
                <w:sz w:val="20"/>
                <w:szCs w:val="18"/>
              </w:rPr>
              <w:t>7.6:</w:t>
            </w:r>
            <w:r w:rsidRPr="002F2DD0">
              <w:rPr>
                <w:rFonts w:cs="Arial"/>
                <w:sz w:val="20"/>
                <w:szCs w:val="18"/>
              </w:rPr>
              <w:tab/>
            </w:r>
            <w:r w:rsidRPr="00F0238E">
              <w:rPr>
                <w:rFonts w:cs="Arial"/>
                <w:sz w:val="20"/>
                <w:szCs w:val="18"/>
              </w:rPr>
              <w:t>Enhance local and state capacity for climate change/adaptation by increasing the number of local health officials trained by 10% annually.</w:t>
            </w:r>
          </w:p>
        </w:tc>
        <w:tc>
          <w:tcPr>
            <w:tcW w:w="287" w:type="pct"/>
            <w:vAlign w:val="center"/>
          </w:tcPr>
          <w:p w:rsidR="004B20E5" w:rsidRPr="002F2DD0" w:rsidRDefault="004B20E5" w:rsidP="009C7855">
            <w:pPr>
              <w:jc w:val="center"/>
              <w:rPr>
                <w:rFonts w:cs="Arial"/>
                <w:sz w:val="16"/>
                <w:szCs w:val="18"/>
              </w:rPr>
            </w:pPr>
            <w:r>
              <w:rPr>
                <w:rFonts w:cs="Arial"/>
                <w:sz w:val="16"/>
                <w:szCs w:val="18"/>
              </w:rPr>
              <w:t>7.6.1</w:t>
            </w:r>
          </w:p>
        </w:tc>
        <w:tc>
          <w:tcPr>
            <w:tcW w:w="263" w:type="pct"/>
            <w:vAlign w:val="center"/>
          </w:tcPr>
          <w:p w:rsidR="004B20E5" w:rsidRPr="002F2DD0" w:rsidRDefault="004B20E5" w:rsidP="009C7855">
            <w:pPr>
              <w:jc w:val="center"/>
              <w:rPr>
                <w:rFonts w:cs="Arial"/>
                <w:sz w:val="16"/>
                <w:szCs w:val="18"/>
              </w:rPr>
            </w:pPr>
            <w:r>
              <w:rPr>
                <w:rFonts w:cs="Arial"/>
                <w:sz w:val="16"/>
                <w:szCs w:val="18"/>
              </w:rPr>
              <w:t>7.6.2</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Pr>
                <w:rFonts w:cs="Arial"/>
                <w:sz w:val="16"/>
                <w:szCs w:val="18"/>
              </w:rPr>
              <w:t>7.6.3</w:t>
            </w:r>
          </w:p>
        </w:tc>
        <w:tc>
          <w:tcPr>
            <w:tcW w:w="264" w:type="pct"/>
            <w:vAlign w:val="center"/>
          </w:tcPr>
          <w:p w:rsidR="004B20E5" w:rsidRDefault="004B20E5" w:rsidP="009C7855">
            <w:pPr>
              <w:jc w:val="center"/>
              <w:rPr>
                <w:rFonts w:cs="Arial"/>
                <w:sz w:val="16"/>
                <w:szCs w:val="18"/>
              </w:rPr>
            </w:pPr>
            <w:r>
              <w:rPr>
                <w:rFonts w:cs="Arial"/>
                <w:sz w:val="16"/>
                <w:szCs w:val="18"/>
              </w:rPr>
              <w:t>7.6.4</w:t>
            </w:r>
          </w:p>
          <w:p w:rsidR="004B20E5" w:rsidRPr="002F2DD0" w:rsidRDefault="004B20E5" w:rsidP="009C7855">
            <w:pPr>
              <w:jc w:val="center"/>
              <w:rPr>
                <w:rFonts w:cs="Arial"/>
                <w:sz w:val="16"/>
                <w:szCs w:val="18"/>
              </w:rPr>
            </w:pPr>
            <w:r>
              <w:rPr>
                <w:rFonts w:cs="Arial"/>
                <w:sz w:val="16"/>
                <w:szCs w:val="18"/>
              </w:rPr>
              <w:t>7.6.5</w:t>
            </w: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r>
              <w:rPr>
                <w:rFonts w:cs="Arial"/>
                <w:sz w:val="16"/>
                <w:szCs w:val="18"/>
              </w:rPr>
              <w:t>7.6.6</w:t>
            </w: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Default="004B20E5" w:rsidP="009C7855">
            <w:pPr>
              <w:jc w:val="center"/>
              <w:rPr>
                <w:rFonts w:cs="Arial"/>
                <w:sz w:val="16"/>
                <w:szCs w:val="18"/>
              </w:rPr>
            </w:pPr>
            <w:r>
              <w:rPr>
                <w:rFonts w:cs="Arial"/>
                <w:sz w:val="16"/>
                <w:szCs w:val="18"/>
              </w:rPr>
              <w:t>7.6.7</w:t>
            </w:r>
          </w:p>
          <w:p w:rsidR="004B20E5" w:rsidRDefault="004B20E5" w:rsidP="009C7855">
            <w:pPr>
              <w:jc w:val="center"/>
              <w:rPr>
                <w:rFonts w:cs="Arial"/>
                <w:sz w:val="16"/>
                <w:szCs w:val="18"/>
              </w:rPr>
            </w:pPr>
            <w:r>
              <w:rPr>
                <w:rFonts w:cs="Arial"/>
                <w:sz w:val="16"/>
                <w:szCs w:val="18"/>
              </w:rPr>
              <w:t>7.6.8</w:t>
            </w:r>
          </w:p>
          <w:p w:rsidR="004B20E5" w:rsidRPr="002F2DD0" w:rsidRDefault="004B20E5" w:rsidP="009C7855">
            <w:pPr>
              <w:jc w:val="center"/>
              <w:rPr>
                <w:rFonts w:cs="Arial"/>
                <w:sz w:val="16"/>
                <w:szCs w:val="18"/>
              </w:rPr>
            </w:pPr>
            <w:r>
              <w:rPr>
                <w:rFonts w:cs="Arial"/>
                <w:sz w:val="16"/>
                <w:szCs w:val="18"/>
              </w:rPr>
              <w:t>7.6.9</w:t>
            </w:r>
          </w:p>
        </w:tc>
      </w:tr>
      <w:tr w:rsidR="004B20E5" w:rsidRPr="00092D1F" w:rsidTr="00717B8F">
        <w:trPr>
          <w:cantSplit/>
        </w:trPr>
        <w:tc>
          <w:tcPr>
            <w:tcW w:w="1522" w:type="pct"/>
          </w:tcPr>
          <w:p w:rsidR="004B20E5" w:rsidRPr="002F2DD0" w:rsidRDefault="004B20E5" w:rsidP="004846D5">
            <w:pPr>
              <w:ind w:left="537" w:hanging="537"/>
              <w:rPr>
                <w:rFonts w:cs="Arial"/>
                <w:sz w:val="20"/>
                <w:szCs w:val="18"/>
              </w:rPr>
            </w:pPr>
            <w:r w:rsidRPr="002F2DD0">
              <w:rPr>
                <w:rFonts w:cs="Arial"/>
                <w:sz w:val="20"/>
                <w:szCs w:val="18"/>
              </w:rPr>
              <w:t>7.</w:t>
            </w:r>
            <w:r>
              <w:rPr>
                <w:rFonts w:cs="Arial"/>
                <w:sz w:val="20"/>
                <w:szCs w:val="18"/>
              </w:rPr>
              <w:t>7</w:t>
            </w:r>
            <w:r w:rsidRPr="002F2DD0">
              <w:rPr>
                <w:rFonts w:cs="Arial"/>
                <w:sz w:val="20"/>
                <w:szCs w:val="18"/>
              </w:rPr>
              <w:t>:</w:t>
            </w:r>
            <w:r w:rsidRPr="002F2DD0">
              <w:rPr>
                <w:rFonts w:cs="Arial"/>
                <w:sz w:val="20"/>
                <w:szCs w:val="18"/>
              </w:rPr>
              <w:tab/>
            </w:r>
            <w:r w:rsidRPr="00F0238E">
              <w:rPr>
                <w:rFonts w:cs="Arial"/>
                <w:sz w:val="20"/>
                <w:szCs w:val="18"/>
              </w:rPr>
              <w:t>Enhance local capacity to respond to environmental health inquiries by use of the Environmental Public Health Tracking (EPHT) network by 10%.</w:t>
            </w:r>
          </w:p>
        </w:tc>
        <w:tc>
          <w:tcPr>
            <w:tcW w:w="287" w:type="pct"/>
            <w:vAlign w:val="center"/>
          </w:tcPr>
          <w:p w:rsidR="004B20E5" w:rsidRPr="002F2DD0" w:rsidRDefault="004B20E5" w:rsidP="009C7855">
            <w:pPr>
              <w:jc w:val="center"/>
              <w:rPr>
                <w:rFonts w:cs="Arial"/>
                <w:sz w:val="16"/>
                <w:szCs w:val="18"/>
              </w:rPr>
            </w:pPr>
            <w:r w:rsidRPr="002F2DD0">
              <w:rPr>
                <w:rFonts w:cs="Arial"/>
                <w:sz w:val="16"/>
                <w:szCs w:val="18"/>
              </w:rPr>
              <w:t>7.</w:t>
            </w:r>
            <w:r>
              <w:rPr>
                <w:rFonts w:cs="Arial"/>
                <w:sz w:val="16"/>
                <w:szCs w:val="18"/>
              </w:rPr>
              <w:t>7</w:t>
            </w:r>
            <w:r w:rsidRPr="002F2DD0">
              <w:rPr>
                <w:rFonts w:cs="Arial"/>
                <w:sz w:val="16"/>
                <w:szCs w:val="18"/>
              </w:rPr>
              <w:t>.1</w:t>
            </w:r>
          </w:p>
          <w:p w:rsidR="004B20E5" w:rsidRPr="002F2DD0" w:rsidRDefault="004B20E5" w:rsidP="009C7855">
            <w:pPr>
              <w:jc w:val="center"/>
              <w:rPr>
                <w:rFonts w:cs="Arial"/>
                <w:sz w:val="16"/>
                <w:szCs w:val="18"/>
              </w:rPr>
            </w:pPr>
            <w:r w:rsidRPr="002F2DD0">
              <w:rPr>
                <w:rFonts w:cs="Arial"/>
                <w:sz w:val="16"/>
                <w:szCs w:val="18"/>
              </w:rPr>
              <w:t>7.</w:t>
            </w:r>
            <w:r>
              <w:rPr>
                <w:rFonts w:cs="Arial"/>
                <w:sz w:val="16"/>
                <w:szCs w:val="18"/>
              </w:rPr>
              <w:t>7</w:t>
            </w:r>
            <w:r w:rsidRPr="002F2DD0">
              <w:rPr>
                <w:rFonts w:cs="Arial"/>
                <w:sz w:val="16"/>
                <w:szCs w:val="18"/>
              </w:rPr>
              <w:t>.2</w:t>
            </w:r>
          </w:p>
          <w:p w:rsidR="004B20E5" w:rsidRDefault="004B20E5" w:rsidP="00F60854">
            <w:pPr>
              <w:jc w:val="center"/>
              <w:rPr>
                <w:rFonts w:cs="Arial"/>
                <w:sz w:val="16"/>
                <w:szCs w:val="18"/>
              </w:rPr>
            </w:pPr>
            <w:r w:rsidRPr="002F2DD0">
              <w:rPr>
                <w:rFonts w:cs="Arial"/>
                <w:sz w:val="16"/>
                <w:szCs w:val="18"/>
              </w:rPr>
              <w:t>7.</w:t>
            </w:r>
            <w:r>
              <w:rPr>
                <w:rFonts w:cs="Arial"/>
                <w:sz w:val="16"/>
                <w:szCs w:val="18"/>
              </w:rPr>
              <w:t>7</w:t>
            </w:r>
            <w:r w:rsidRPr="002F2DD0">
              <w:rPr>
                <w:rFonts w:cs="Arial"/>
                <w:sz w:val="16"/>
                <w:szCs w:val="18"/>
              </w:rPr>
              <w:t>.3</w:t>
            </w:r>
          </w:p>
          <w:p w:rsidR="004B20E5" w:rsidRPr="002F2DD0" w:rsidRDefault="004B20E5" w:rsidP="009C7855">
            <w:pPr>
              <w:jc w:val="center"/>
              <w:rPr>
                <w:rFonts w:cs="Arial"/>
                <w:sz w:val="16"/>
                <w:szCs w:val="18"/>
              </w:rPr>
            </w:pPr>
            <w:r w:rsidRPr="002F2DD0">
              <w:rPr>
                <w:rFonts w:cs="Arial"/>
                <w:sz w:val="16"/>
                <w:szCs w:val="18"/>
              </w:rPr>
              <w:t>7.</w:t>
            </w:r>
            <w:r>
              <w:rPr>
                <w:rFonts w:cs="Arial"/>
                <w:sz w:val="16"/>
                <w:szCs w:val="18"/>
              </w:rPr>
              <w:t>7</w:t>
            </w:r>
            <w:r w:rsidRPr="002F2DD0">
              <w:rPr>
                <w:rFonts w:cs="Arial"/>
                <w:sz w:val="16"/>
                <w:szCs w:val="18"/>
              </w:rPr>
              <w:t>.4</w:t>
            </w:r>
          </w:p>
        </w:tc>
        <w:tc>
          <w:tcPr>
            <w:tcW w:w="263" w:type="pct"/>
            <w:vAlign w:val="center"/>
          </w:tcPr>
          <w:p w:rsidR="004B20E5" w:rsidRPr="002F2DD0" w:rsidRDefault="004B20E5" w:rsidP="009C7855">
            <w:pPr>
              <w:jc w:val="center"/>
              <w:rPr>
                <w:rFonts w:cs="Arial"/>
                <w:sz w:val="16"/>
                <w:szCs w:val="18"/>
              </w:rPr>
            </w:pPr>
          </w:p>
        </w:tc>
        <w:tc>
          <w:tcPr>
            <w:tcW w:w="263" w:type="pct"/>
            <w:vAlign w:val="center"/>
          </w:tcPr>
          <w:p w:rsidR="004B20E5" w:rsidRPr="002F2DD0" w:rsidRDefault="004B20E5" w:rsidP="009C7855">
            <w:pPr>
              <w:jc w:val="center"/>
              <w:rPr>
                <w:rFonts w:cs="Arial"/>
                <w:sz w:val="16"/>
                <w:szCs w:val="18"/>
              </w:rPr>
            </w:pPr>
            <w:r w:rsidRPr="002F2DD0">
              <w:rPr>
                <w:rFonts w:cs="Arial"/>
                <w:sz w:val="16"/>
                <w:szCs w:val="18"/>
              </w:rPr>
              <w:t>7.</w:t>
            </w:r>
            <w:r>
              <w:rPr>
                <w:rFonts w:cs="Arial"/>
                <w:sz w:val="16"/>
                <w:szCs w:val="18"/>
              </w:rPr>
              <w:t>7</w:t>
            </w:r>
            <w:r w:rsidRPr="002F2DD0">
              <w:rPr>
                <w:rFonts w:cs="Arial"/>
                <w:sz w:val="16"/>
                <w:szCs w:val="18"/>
              </w:rPr>
              <w:t>.5</w:t>
            </w:r>
          </w:p>
          <w:p w:rsidR="004B20E5" w:rsidRDefault="004B20E5" w:rsidP="009C7855">
            <w:pPr>
              <w:jc w:val="center"/>
              <w:rPr>
                <w:rFonts w:cs="Arial"/>
                <w:sz w:val="16"/>
                <w:szCs w:val="18"/>
              </w:rPr>
            </w:pPr>
            <w:r w:rsidRPr="002F2DD0">
              <w:rPr>
                <w:rFonts w:cs="Arial"/>
                <w:sz w:val="16"/>
                <w:szCs w:val="18"/>
              </w:rPr>
              <w:t>7.</w:t>
            </w:r>
            <w:r>
              <w:rPr>
                <w:rFonts w:cs="Arial"/>
                <w:sz w:val="16"/>
                <w:szCs w:val="18"/>
              </w:rPr>
              <w:t>7.6</w:t>
            </w:r>
          </w:p>
          <w:p w:rsidR="004B20E5" w:rsidRDefault="004B20E5" w:rsidP="009C7855">
            <w:pPr>
              <w:jc w:val="center"/>
              <w:rPr>
                <w:rFonts w:cs="Arial"/>
                <w:sz w:val="16"/>
                <w:szCs w:val="18"/>
              </w:rPr>
            </w:pPr>
            <w:r>
              <w:rPr>
                <w:rFonts w:cs="Arial"/>
                <w:sz w:val="16"/>
                <w:szCs w:val="18"/>
              </w:rPr>
              <w:t>7.7.7</w:t>
            </w:r>
          </w:p>
          <w:p w:rsidR="004B20E5" w:rsidRDefault="004B20E5" w:rsidP="009C7855">
            <w:pPr>
              <w:jc w:val="center"/>
              <w:rPr>
                <w:rFonts w:cs="Arial"/>
                <w:sz w:val="16"/>
                <w:szCs w:val="18"/>
              </w:rPr>
            </w:pPr>
            <w:r>
              <w:rPr>
                <w:rFonts w:cs="Arial"/>
                <w:sz w:val="16"/>
                <w:szCs w:val="18"/>
              </w:rPr>
              <w:t>7.7.8</w:t>
            </w:r>
          </w:p>
          <w:p w:rsidR="004B20E5" w:rsidRPr="002F2DD0" w:rsidRDefault="004B20E5" w:rsidP="009C7855">
            <w:pPr>
              <w:jc w:val="center"/>
              <w:rPr>
                <w:rFonts w:cs="Arial"/>
                <w:sz w:val="16"/>
                <w:szCs w:val="18"/>
              </w:rPr>
            </w:pPr>
            <w:r>
              <w:rPr>
                <w:rFonts w:cs="Arial"/>
                <w:sz w:val="16"/>
                <w:szCs w:val="18"/>
              </w:rPr>
              <w:t>7.7.9</w:t>
            </w:r>
          </w:p>
        </w:tc>
        <w:tc>
          <w:tcPr>
            <w:tcW w:w="263" w:type="pct"/>
            <w:vAlign w:val="center"/>
          </w:tcPr>
          <w:p w:rsidR="004B20E5" w:rsidRDefault="004B20E5" w:rsidP="009C7855">
            <w:pPr>
              <w:jc w:val="center"/>
              <w:rPr>
                <w:rFonts w:cs="Arial"/>
                <w:sz w:val="16"/>
                <w:szCs w:val="18"/>
              </w:rPr>
            </w:pPr>
            <w:r>
              <w:rPr>
                <w:rFonts w:cs="Arial"/>
                <w:sz w:val="16"/>
                <w:szCs w:val="18"/>
              </w:rPr>
              <w:t>7.7.10</w:t>
            </w:r>
          </w:p>
          <w:p w:rsidR="004B20E5" w:rsidRDefault="004B20E5" w:rsidP="009C7855">
            <w:pPr>
              <w:jc w:val="center"/>
              <w:rPr>
                <w:rFonts w:cs="Arial"/>
                <w:sz w:val="16"/>
                <w:szCs w:val="18"/>
              </w:rPr>
            </w:pPr>
            <w:r>
              <w:rPr>
                <w:rFonts w:cs="Arial"/>
                <w:sz w:val="16"/>
                <w:szCs w:val="18"/>
              </w:rPr>
              <w:t>7.7.11</w:t>
            </w:r>
          </w:p>
          <w:p w:rsidR="004B20E5" w:rsidRPr="002F2DD0" w:rsidRDefault="004B20E5" w:rsidP="009C7855">
            <w:pPr>
              <w:jc w:val="center"/>
              <w:rPr>
                <w:rFonts w:cs="Arial"/>
                <w:sz w:val="16"/>
                <w:szCs w:val="18"/>
              </w:rPr>
            </w:pPr>
            <w:r>
              <w:rPr>
                <w:rFonts w:cs="Arial"/>
                <w:sz w:val="16"/>
                <w:szCs w:val="18"/>
              </w:rPr>
              <w:t>7.7.12</w:t>
            </w:r>
          </w:p>
        </w:tc>
        <w:tc>
          <w:tcPr>
            <w:tcW w:w="264" w:type="pct"/>
            <w:vAlign w:val="center"/>
          </w:tcPr>
          <w:p w:rsidR="004B20E5" w:rsidRPr="002F2DD0" w:rsidRDefault="004B20E5" w:rsidP="009C7855">
            <w:pPr>
              <w:jc w:val="center"/>
              <w:rPr>
                <w:rFonts w:cs="Arial"/>
                <w:sz w:val="16"/>
                <w:szCs w:val="18"/>
              </w:rPr>
            </w:pPr>
          </w:p>
        </w:tc>
        <w:tc>
          <w:tcPr>
            <w:tcW w:w="296" w:type="pct"/>
            <w:vAlign w:val="center"/>
          </w:tcPr>
          <w:p w:rsidR="004B20E5" w:rsidRPr="002F2DD0" w:rsidRDefault="004B20E5" w:rsidP="009C7855">
            <w:pPr>
              <w:jc w:val="center"/>
              <w:rPr>
                <w:rFonts w:cs="Arial"/>
                <w:sz w:val="16"/>
                <w:szCs w:val="18"/>
              </w:rPr>
            </w:pPr>
          </w:p>
        </w:tc>
        <w:tc>
          <w:tcPr>
            <w:tcW w:w="296" w:type="pct"/>
            <w:vAlign w:val="center"/>
          </w:tcPr>
          <w:p w:rsidR="004B20E5" w:rsidRDefault="004B20E5" w:rsidP="009C7855">
            <w:pPr>
              <w:jc w:val="center"/>
              <w:rPr>
                <w:rFonts w:cs="Arial"/>
                <w:sz w:val="16"/>
                <w:szCs w:val="18"/>
              </w:rPr>
            </w:pPr>
            <w:r>
              <w:rPr>
                <w:rFonts w:cs="Arial"/>
                <w:sz w:val="16"/>
                <w:szCs w:val="18"/>
              </w:rPr>
              <w:t>7.7.13</w:t>
            </w:r>
          </w:p>
          <w:p w:rsidR="004B20E5" w:rsidRDefault="004B20E5" w:rsidP="009C7855">
            <w:pPr>
              <w:jc w:val="center"/>
              <w:rPr>
                <w:rFonts w:cs="Arial"/>
                <w:sz w:val="16"/>
                <w:szCs w:val="18"/>
              </w:rPr>
            </w:pPr>
            <w:r>
              <w:rPr>
                <w:rFonts w:cs="Arial"/>
                <w:sz w:val="16"/>
                <w:szCs w:val="18"/>
              </w:rPr>
              <w:t>7.7.14</w:t>
            </w:r>
          </w:p>
          <w:p w:rsidR="004B20E5" w:rsidRDefault="004B20E5" w:rsidP="009C7855">
            <w:pPr>
              <w:jc w:val="center"/>
              <w:rPr>
                <w:rFonts w:cs="Arial"/>
                <w:sz w:val="16"/>
                <w:szCs w:val="18"/>
              </w:rPr>
            </w:pPr>
            <w:r>
              <w:rPr>
                <w:rFonts w:cs="Arial"/>
                <w:sz w:val="16"/>
                <w:szCs w:val="18"/>
              </w:rPr>
              <w:t>7.7.15</w:t>
            </w:r>
          </w:p>
          <w:p w:rsidR="004B20E5" w:rsidRPr="002F2DD0" w:rsidRDefault="004B20E5" w:rsidP="009C7855">
            <w:pPr>
              <w:jc w:val="center"/>
              <w:rPr>
                <w:rFonts w:cs="Arial"/>
                <w:sz w:val="16"/>
                <w:szCs w:val="18"/>
              </w:rPr>
            </w:pPr>
          </w:p>
        </w:tc>
        <w:tc>
          <w:tcPr>
            <w:tcW w:w="264" w:type="pct"/>
            <w:vAlign w:val="center"/>
          </w:tcPr>
          <w:p w:rsidR="004B20E5" w:rsidRPr="002F2DD0" w:rsidRDefault="004B20E5" w:rsidP="009C7855">
            <w:pPr>
              <w:jc w:val="center"/>
              <w:rPr>
                <w:rFonts w:cs="Arial"/>
                <w:sz w:val="16"/>
                <w:szCs w:val="18"/>
              </w:rPr>
            </w:pPr>
          </w:p>
        </w:tc>
        <w:tc>
          <w:tcPr>
            <w:tcW w:w="329" w:type="pct"/>
            <w:vAlign w:val="center"/>
          </w:tcPr>
          <w:p w:rsidR="004B20E5" w:rsidRPr="002F2DD0" w:rsidRDefault="004B20E5" w:rsidP="009C7855">
            <w:pPr>
              <w:jc w:val="center"/>
              <w:rPr>
                <w:rFonts w:cs="Arial"/>
                <w:sz w:val="16"/>
                <w:szCs w:val="18"/>
              </w:rPr>
            </w:pPr>
          </w:p>
        </w:tc>
        <w:tc>
          <w:tcPr>
            <w:tcW w:w="362" w:type="pct"/>
            <w:vAlign w:val="center"/>
          </w:tcPr>
          <w:p w:rsidR="004B20E5" w:rsidRPr="002F2DD0" w:rsidRDefault="004B20E5" w:rsidP="009C7855">
            <w:pPr>
              <w:jc w:val="center"/>
              <w:rPr>
                <w:rFonts w:cs="Arial"/>
                <w:sz w:val="16"/>
                <w:szCs w:val="18"/>
              </w:rPr>
            </w:pPr>
          </w:p>
        </w:tc>
        <w:tc>
          <w:tcPr>
            <w:tcW w:w="297" w:type="pct"/>
            <w:vAlign w:val="center"/>
          </w:tcPr>
          <w:p w:rsidR="004B20E5" w:rsidRPr="002F2DD0" w:rsidRDefault="004B20E5" w:rsidP="009C7855">
            <w:pPr>
              <w:jc w:val="center"/>
              <w:rPr>
                <w:rFonts w:cs="Arial"/>
                <w:sz w:val="16"/>
                <w:szCs w:val="18"/>
              </w:rPr>
            </w:pPr>
          </w:p>
        </w:tc>
        <w:tc>
          <w:tcPr>
            <w:tcW w:w="294" w:type="pct"/>
            <w:vAlign w:val="center"/>
          </w:tcPr>
          <w:p w:rsidR="004B20E5" w:rsidRDefault="004B20E5" w:rsidP="009C7855">
            <w:pPr>
              <w:jc w:val="center"/>
              <w:rPr>
                <w:rFonts w:cs="Arial"/>
                <w:sz w:val="16"/>
                <w:szCs w:val="18"/>
              </w:rPr>
            </w:pPr>
            <w:r>
              <w:rPr>
                <w:rFonts w:cs="Arial"/>
                <w:sz w:val="16"/>
                <w:szCs w:val="18"/>
              </w:rPr>
              <w:t>7.7.16</w:t>
            </w:r>
          </w:p>
          <w:p w:rsidR="004B20E5" w:rsidRPr="002F2DD0" w:rsidRDefault="004B20E5" w:rsidP="009C7855">
            <w:pPr>
              <w:jc w:val="center"/>
              <w:rPr>
                <w:rFonts w:cs="Arial"/>
                <w:sz w:val="16"/>
                <w:szCs w:val="18"/>
              </w:rPr>
            </w:pPr>
            <w:r>
              <w:rPr>
                <w:rFonts w:cs="Arial"/>
                <w:sz w:val="16"/>
                <w:szCs w:val="18"/>
              </w:rPr>
              <w:t>7.7.17</w:t>
            </w:r>
          </w:p>
        </w:tc>
      </w:tr>
    </w:tbl>
    <w:p w:rsidR="004B20E5" w:rsidRDefault="004B20E5" w:rsidP="00AD0251">
      <w:pPr>
        <w:pStyle w:val="Heading2LARGE"/>
      </w:pPr>
    </w:p>
    <w:p w:rsidR="004B20E5" w:rsidRDefault="004B20E5" w:rsidP="003910E1"/>
    <w:p w:rsidR="004B20E5" w:rsidRDefault="004B20E5" w:rsidP="003910E1"/>
    <w:p w:rsidR="004B20E5" w:rsidRDefault="004B20E5" w:rsidP="000C4318"/>
    <w:p w:rsidR="004B20E5" w:rsidRDefault="004B20E5" w:rsidP="000C4318"/>
    <w:p w:rsidR="004B20E5" w:rsidRDefault="004B20E5" w:rsidP="00F83EAC">
      <w:pPr>
        <w:pStyle w:val="Heading1"/>
        <w:sectPr w:rsidR="004B20E5" w:rsidSect="00C04E0B">
          <w:headerReference w:type="even" r:id="rId49"/>
          <w:headerReference w:type="default" r:id="rId50"/>
          <w:footerReference w:type="even" r:id="rId51"/>
          <w:footerReference w:type="default" r:id="rId52"/>
          <w:headerReference w:type="first" r:id="rId53"/>
          <w:endnotePr>
            <w:numFmt w:val="decimal"/>
          </w:endnotePr>
          <w:pgSz w:w="15840" w:h="12240" w:orient="landscape" w:code="1"/>
          <w:pgMar w:top="1080" w:right="1080" w:bottom="1080" w:left="1080" w:header="648" w:footer="504" w:gutter="0"/>
          <w:cols w:space="720"/>
          <w:docGrid w:linePitch="360"/>
        </w:sectPr>
      </w:pPr>
    </w:p>
    <w:p w:rsidR="004B20E5" w:rsidRDefault="004B20E5" w:rsidP="00AD0251">
      <w:pPr>
        <w:pStyle w:val="Heading2LARGE"/>
      </w:pPr>
      <w:bookmarkStart w:id="64" w:name="_Toc398819290"/>
      <w:r>
        <w:t>Appendix C:  Overview Data Matrix on Health Behaviors and Outcomes</w:t>
      </w:r>
      <w:bookmarkEnd w:id="64"/>
    </w:p>
    <w:p w:rsidR="004B20E5" w:rsidRDefault="004B20E5" w:rsidP="00790826"/>
    <w:p w:rsidR="004B20E5" w:rsidRDefault="004B20E5" w:rsidP="009F37B0">
      <w:pPr>
        <w:jc w:val="center"/>
        <w:rPr>
          <w:b/>
          <w:sz w:val="21"/>
        </w:rPr>
      </w:pPr>
      <w:r>
        <w:rPr>
          <w:b/>
          <w:sz w:val="21"/>
        </w:rPr>
        <w:t>Overview Data Matrix on Heath Behaviors and Outcomes</w:t>
      </w:r>
    </w:p>
    <w:p w:rsidR="004B20E5" w:rsidRDefault="004B20E5" w:rsidP="009F37B0">
      <w:pPr>
        <w:jc w:val="center"/>
        <w:rPr>
          <w:b/>
          <w:sz w:val="21"/>
        </w:rPr>
      </w:pPr>
      <w:r>
        <w:rPr>
          <w:b/>
          <w:sz w:val="21"/>
        </w:rPr>
        <w:t>Massachusetts State Health Assessment and Improvement Plan – For September 26, 2013 Planning Session</w:t>
      </w:r>
    </w:p>
    <w:p w:rsidR="004B20E5" w:rsidRPr="002A07A0" w:rsidRDefault="004B20E5" w:rsidP="009F37B0">
      <w:pPr>
        <w:rPr>
          <w:sz w:val="13"/>
          <w:szCs w:val="1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9"/>
        <w:gridCol w:w="1467"/>
        <w:gridCol w:w="1887"/>
        <w:gridCol w:w="2073"/>
        <w:gridCol w:w="3327"/>
        <w:gridCol w:w="2043"/>
        <w:gridCol w:w="31"/>
        <w:gridCol w:w="1609"/>
      </w:tblGrid>
      <w:tr w:rsidR="004B20E5" w:rsidRPr="00666093" w:rsidTr="0012696F">
        <w:trPr>
          <w:cantSplit/>
          <w:trHeight w:val="386"/>
          <w:tblHeader/>
        </w:trPr>
        <w:tc>
          <w:tcPr>
            <w:tcW w:w="525" w:type="pct"/>
            <w:tcBorders>
              <w:right w:val="single" w:sz="4" w:space="0" w:color="FFFFFF"/>
            </w:tcBorders>
            <w:shd w:val="solid" w:color="auto" w:fill="auto"/>
            <w:vAlign w:val="center"/>
          </w:tcPr>
          <w:p w:rsidR="004B20E5" w:rsidRPr="00666093" w:rsidRDefault="004B20E5" w:rsidP="00F83336">
            <w:pPr>
              <w:rPr>
                <w:b/>
                <w:color w:val="FFFFFF"/>
                <w:sz w:val="18"/>
                <w:szCs w:val="18"/>
              </w:rPr>
            </w:pPr>
          </w:p>
        </w:tc>
        <w:tc>
          <w:tcPr>
            <w:tcW w:w="528" w:type="pct"/>
            <w:tcBorders>
              <w:left w:val="single" w:sz="4" w:space="0" w:color="FFFFFF"/>
              <w:right w:val="single" w:sz="4" w:space="0" w:color="FFFFFF"/>
            </w:tcBorders>
            <w:shd w:val="solid" w:color="auto" w:fill="auto"/>
            <w:vAlign w:val="center"/>
          </w:tcPr>
          <w:p w:rsidR="004B20E5" w:rsidRPr="00666093" w:rsidRDefault="004B20E5" w:rsidP="00666093">
            <w:pPr>
              <w:jc w:val="center"/>
              <w:rPr>
                <w:b/>
                <w:i/>
                <w:color w:val="FFFFFF"/>
                <w:sz w:val="18"/>
                <w:szCs w:val="18"/>
              </w:rPr>
            </w:pPr>
            <w:r w:rsidRPr="00666093">
              <w:rPr>
                <w:b/>
                <w:i/>
                <w:color w:val="FFFFFF"/>
                <w:sz w:val="18"/>
                <w:szCs w:val="18"/>
              </w:rPr>
              <w:t>Mortality Rate or Years of Potential Life Lost (YPLL)</w:t>
            </w:r>
          </w:p>
        </w:tc>
        <w:tc>
          <w:tcPr>
            <w:tcW w:w="679" w:type="pct"/>
            <w:tcBorders>
              <w:left w:val="single" w:sz="4" w:space="0" w:color="FFFFFF"/>
              <w:right w:val="single" w:sz="4" w:space="0" w:color="FFFFFF"/>
            </w:tcBorders>
            <w:shd w:val="solid" w:color="auto" w:fill="auto"/>
            <w:vAlign w:val="center"/>
          </w:tcPr>
          <w:p w:rsidR="004B20E5" w:rsidRPr="00666093" w:rsidRDefault="004B20E5" w:rsidP="00666093">
            <w:pPr>
              <w:jc w:val="center"/>
              <w:rPr>
                <w:b/>
                <w:i/>
                <w:color w:val="FFFFFF"/>
                <w:sz w:val="18"/>
                <w:szCs w:val="18"/>
              </w:rPr>
            </w:pPr>
            <w:r w:rsidRPr="00666093">
              <w:rPr>
                <w:b/>
                <w:i/>
                <w:color w:val="FFFFFF"/>
                <w:sz w:val="18"/>
                <w:szCs w:val="18"/>
              </w:rPr>
              <w:t>Incidence, Prevalence, or Hospitalization</w:t>
            </w:r>
          </w:p>
        </w:tc>
        <w:tc>
          <w:tcPr>
            <w:tcW w:w="746" w:type="pct"/>
            <w:tcBorders>
              <w:left w:val="single" w:sz="4" w:space="0" w:color="FFFFFF"/>
              <w:right w:val="single" w:sz="4" w:space="0" w:color="FFFFFF"/>
            </w:tcBorders>
            <w:shd w:val="solid" w:color="auto" w:fill="auto"/>
            <w:vAlign w:val="center"/>
          </w:tcPr>
          <w:p w:rsidR="004B20E5" w:rsidRPr="00666093" w:rsidRDefault="004B20E5" w:rsidP="00666093">
            <w:pPr>
              <w:jc w:val="center"/>
              <w:rPr>
                <w:b/>
                <w:i/>
                <w:color w:val="FFFFFF"/>
                <w:sz w:val="18"/>
                <w:szCs w:val="18"/>
              </w:rPr>
            </w:pPr>
            <w:r w:rsidRPr="00666093">
              <w:rPr>
                <w:b/>
                <w:i/>
                <w:color w:val="FFFFFF"/>
                <w:sz w:val="18"/>
                <w:szCs w:val="18"/>
              </w:rPr>
              <w:t>Related Costs</w:t>
            </w:r>
          </w:p>
        </w:tc>
        <w:tc>
          <w:tcPr>
            <w:tcW w:w="1197" w:type="pct"/>
            <w:tcBorders>
              <w:left w:val="single" w:sz="4" w:space="0" w:color="FFFFFF"/>
              <w:right w:val="single" w:sz="4" w:space="0" w:color="FFFFFF"/>
            </w:tcBorders>
            <w:shd w:val="solid" w:color="auto" w:fill="auto"/>
            <w:vAlign w:val="center"/>
          </w:tcPr>
          <w:p w:rsidR="004B20E5" w:rsidRPr="00666093" w:rsidRDefault="004B20E5" w:rsidP="00666093">
            <w:pPr>
              <w:jc w:val="center"/>
              <w:rPr>
                <w:b/>
                <w:i/>
                <w:color w:val="FFFFFF"/>
                <w:sz w:val="18"/>
                <w:szCs w:val="18"/>
              </w:rPr>
            </w:pPr>
            <w:r w:rsidRPr="00666093">
              <w:rPr>
                <w:b/>
                <w:i/>
                <w:color w:val="FFFFFF"/>
                <w:sz w:val="18"/>
                <w:szCs w:val="18"/>
              </w:rPr>
              <w:t>Disparities and At-Risk Populations</w:t>
            </w:r>
          </w:p>
        </w:tc>
        <w:tc>
          <w:tcPr>
            <w:tcW w:w="746" w:type="pct"/>
            <w:gridSpan w:val="2"/>
            <w:tcBorders>
              <w:left w:val="single" w:sz="4" w:space="0" w:color="FFFFFF"/>
              <w:right w:val="single" w:sz="4" w:space="0" w:color="FFFFFF"/>
            </w:tcBorders>
            <w:shd w:val="solid" w:color="auto" w:fill="auto"/>
            <w:vAlign w:val="center"/>
          </w:tcPr>
          <w:p w:rsidR="004B20E5" w:rsidRPr="00666093" w:rsidRDefault="004B20E5" w:rsidP="00666093">
            <w:pPr>
              <w:jc w:val="center"/>
              <w:rPr>
                <w:b/>
                <w:i/>
                <w:color w:val="FFFFFF"/>
                <w:sz w:val="18"/>
                <w:szCs w:val="18"/>
              </w:rPr>
            </w:pPr>
            <w:r w:rsidRPr="00666093">
              <w:rPr>
                <w:b/>
                <w:i/>
                <w:color w:val="FFFFFF"/>
                <w:sz w:val="18"/>
                <w:szCs w:val="18"/>
              </w:rPr>
              <w:t>Key Trends</w:t>
            </w:r>
          </w:p>
        </w:tc>
        <w:tc>
          <w:tcPr>
            <w:tcW w:w="579" w:type="pct"/>
            <w:tcBorders>
              <w:left w:val="single" w:sz="4" w:space="0" w:color="FFFFFF"/>
            </w:tcBorders>
            <w:shd w:val="solid" w:color="auto" w:fill="auto"/>
            <w:vAlign w:val="center"/>
          </w:tcPr>
          <w:p w:rsidR="004B20E5" w:rsidRPr="00666093" w:rsidRDefault="004B20E5" w:rsidP="00666093">
            <w:pPr>
              <w:jc w:val="center"/>
              <w:rPr>
                <w:b/>
                <w:i/>
                <w:color w:val="FFFFFF"/>
                <w:sz w:val="18"/>
                <w:szCs w:val="18"/>
              </w:rPr>
            </w:pPr>
            <w:r w:rsidRPr="00666093">
              <w:rPr>
                <w:b/>
                <w:color w:val="FFFFFF"/>
                <w:sz w:val="18"/>
                <w:szCs w:val="18"/>
              </w:rPr>
              <w:t>Alignment with State or Nat’l Frameworks*</w:t>
            </w:r>
          </w:p>
        </w:tc>
      </w:tr>
      <w:tr w:rsidR="004B20E5" w:rsidRPr="00666093" w:rsidTr="00666093">
        <w:trPr>
          <w:cantSplit/>
        </w:trPr>
        <w:tc>
          <w:tcPr>
            <w:tcW w:w="5000" w:type="pct"/>
            <w:gridSpan w:val="8"/>
            <w:shd w:val="pct10" w:color="auto" w:fill="auto"/>
          </w:tcPr>
          <w:p w:rsidR="004B20E5" w:rsidRPr="00666093" w:rsidRDefault="004B20E5" w:rsidP="00F83336">
            <w:pPr>
              <w:rPr>
                <w:b/>
                <w:i/>
                <w:sz w:val="18"/>
                <w:szCs w:val="18"/>
              </w:rPr>
            </w:pPr>
            <w:r>
              <w:rPr>
                <w:b/>
                <w:i/>
                <w:sz w:val="18"/>
                <w:szCs w:val="18"/>
              </w:rPr>
              <w:t>Maternal, Child, and Family Health Promotion</w:t>
            </w:r>
          </w:p>
        </w:tc>
      </w:tr>
      <w:tr w:rsidR="004B20E5" w:rsidRPr="00666093" w:rsidTr="0012696F">
        <w:trPr>
          <w:cantSplit/>
        </w:trPr>
        <w:tc>
          <w:tcPr>
            <w:tcW w:w="525" w:type="pct"/>
          </w:tcPr>
          <w:p w:rsidR="004B20E5" w:rsidRPr="00666093" w:rsidRDefault="004B20E5" w:rsidP="003672D6">
            <w:pPr>
              <w:rPr>
                <w:b/>
                <w:sz w:val="18"/>
                <w:szCs w:val="18"/>
              </w:rPr>
            </w:pPr>
            <w:r w:rsidRPr="00666093">
              <w:rPr>
                <w:b/>
                <w:sz w:val="18"/>
                <w:szCs w:val="18"/>
              </w:rPr>
              <w:t>Teen pregnancy</w:t>
            </w:r>
          </w:p>
        </w:tc>
        <w:tc>
          <w:tcPr>
            <w:tcW w:w="528" w:type="pct"/>
          </w:tcPr>
          <w:p w:rsidR="004B20E5" w:rsidRPr="00666093" w:rsidRDefault="004B20E5" w:rsidP="003672D6">
            <w:pPr>
              <w:rPr>
                <w:sz w:val="18"/>
                <w:szCs w:val="18"/>
              </w:rPr>
            </w:pPr>
          </w:p>
        </w:tc>
        <w:tc>
          <w:tcPr>
            <w:tcW w:w="679" w:type="pct"/>
          </w:tcPr>
          <w:p w:rsidR="004B20E5" w:rsidRPr="00666093" w:rsidRDefault="004B20E5" w:rsidP="003672D6">
            <w:pPr>
              <w:rPr>
                <w:sz w:val="18"/>
                <w:szCs w:val="18"/>
              </w:rPr>
            </w:pPr>
            <w:r w:rsidRPr="00666093">
              <w:rPr>
                <w:sz w:val="18"/>
                <w:szCs w:val="18"/>
              </w:rPr>
              <w:t>1</w:t>
            </w:r>
            <w:r>
              <w:rPr>
                <w:sz w:val="18"/>
                <w:szCs w:val="18"/>
              </w:rPr>
              <w:t>4.0</w:t>
            </w:r>
            <w:r w:rsidRPr="00666093">
              <w:rPr>
                <w:sz w:val="18"/>
                <w:szCs w:val="18"/>
              </w:rPr>
              <w:t xml:space="preserve"> births per 1,000 females aged 15-19</w:t>
            </w:r>
            <w:r w:rsidRPr="00935C18">
              <w:rPr>
                <w:rStyle w:val="EndnoteReference"/>
              </w:rPr>
              <w:endnoteReference w:id="28"/>
            </w:r>
          </w:p>
        </w:tc>
        <w:tc>
          <w:tcPr>
            <w:tcW w:w="746" w:type="pct"/>
          </w:tcPr>
          <w:p w:rsidR="004B20E5" w:rsidRPr="00666093" w:rsidRDefault="004B20E5" w:rsidP="003672D6">
            <w:pPr>
              <w:rPr>
                <w:sz w:val="18"/>
                <w:szCs w:val="18"/>
              </w:rPr>
            </w:pPr>
            <w:r w:rsidRPr="00666093">
              <w:rPr>
                <w:rFonts w:cs="Tahoma"/>
                <w:sz w:val="18"/>
                <w:szCs w:val="18"/>
              </w:rPr>
              <w:t>Teen childbirth in MA cost taxpayers $178 million</w:t>
            </w:r>
            <w:r w:rsidRPr="00935C18">
              <w:rPr>
                <w:rStyle w:val="EndnoteReference"/>
              </w:rPr>
              <w:endnoteReference w:id="29"/>
            </w:r>
          </w:p>
        </w:tc>
        <w:tc>
          <w:tcPr>
            <w:tcW w:w="1197" w:type="pct"/>
          </w:tcPr>
          <w:p w:rsidR="004B20E5" w:rsidRPr="00666093" w:rsidRDefault="004B20E5" w:rsidP="003672D6">
            <w:pPr>
              <w:rPr>
                <w:sz w:val="18"/>
                <w:szCs w:val="18"/>
              </w:rPr>
            </w:pPr>
            <w:r w:rsidRPr="00666093">
              <w:rPr>
                <w:sz w:val="18"/>
                <w:szCs w:val="18"/>
              </w:rPr>
              <w:t>Highest rate among Hispanics (4</w:t>
            </w:r>
            <w:r>
              <w:rPr>
                <w:sz w:val="18"/>
                <w:szCs w:val="18"/>
              </w:rPr>
              <w:t>7</w:t>
            </w:r>
            <w:r w:rsidRPr="00666093">
              <w:rPr>
                <w:sz w:val="18"/>
                <w:szCs w:val="18"/>
              </w:rPr>
              <w:t>.</w:t>
            </w:r>
            <w:r>
              <w:rPr>
                <w:sz w:val="18"/>
                <w:szCs w:val="18"/>
              </w:rPr>
              <w:t>2</w:t>
            </w:r>
            <w:r w:rsidRPr="00666093">
              <w:rPr>
                <w:sz w:val="18"/>
                <w:szCs w:val="18"/>
              </w:rPr>
              <w:t xml:space="preserve"> births per 1,000 females aged 15-19) followed by Black teens (rate of 2</w:t>
            </w:r>
            <w:r>
              <w:rPr>
                <w:sz w:val="18"/>
                <w:szCs w:val="18"/>
              </w:rPr>
              <w:t>4</w:t>
            </w:r>
            <w:r w:rsidRPr="00666093">
              <w:rPr>
                <w:sz w:val="18"/>
                <w:szCs w:val="18"/>
              </w:rPr>
              <w:t>.</w:t>
            </w:r>
            <w:r>
              <w:rPr>
                <w:sz w:val="18"/>
                <w:szCs w:val="18"/>
              </w:rPr>
              <w:t>5</w:t>
            </w:r>
            <w:r w:rsidRPr="00666093">
              <w:rPr>
                <w:sz w:val="18"/>
                <w:szCs w:val="18"/>
              </w:rPr>
              <w:t>)</w:t>
            </w:r>
            <w:r w:rsidRPr="00935C18">
              <w:rPr>
                <w:rStyle w:val="EndnoteReference"/>
              </w:rPr>
              <w:endnoteReference w:id="30"/>
            </w:r>
          </w:p>
        </w:tc>
        <w:tc>
          <w:tcPr>
            <w:tcW w:w="746" w:type="pct"/>
            <w:gridSpan w:val="2"/>
          </w:tcPr>
          <w:p w:rsidR="004B20E5" w:rsidRPr="00666093" w:rsidRDefault="004B20E5" w:rsidP="003672D6">
            <w:pPr>
              <w:rPr>
                <w:sz w:val="18"/>
                <w:szCs w:val="18"/>
              </w:rPr>
            </w:pPr>
            <w:r w:rsidRPr="00666093">
              <w:rPr>
                <w:sz w:val="18"/>
                <w:szCs w:val="18"/>
              </w:rPr>
              <w:t>↓ over last 10 years among all racial/ethnic groups by 40-50%</w:t>
            </w:r>
          </w:p>
        </w:tc>
        <w:tc>
          <w:tcPr>
            <w:tcW w:w="579" w:type="pct"/>
          </w:tcPr>
          <w:p w:rsidR="004B20E5" w:rsidRPr="00666093" w:rsidRDefault="004B20E5" w:rsidP="003672D6">
            <w:pPr>
              <w:rPr>
                <w:sz w:val="18"/>
                <w:szCs w:val="18"/>
              </w:rPr>
            </w:pPr>
            <w:r w:rsidRPr="00666093">
              <w:rPr>
                <w:sz w:val="18"/>
                <w:szCs w:val="18"/>
              </w:rPr>
              <w:t>WB</w:t>
            </w:r>
          </w:p>
          <w:p w:rsidR="004B20E5" w:rsidRPr="00666093" w:rsidRDefault="004B20E5" w:rsidP="003672D6">
            <w:pPr>
              <w:rPr>
                <w:sz w:val="18"/>
                <w:szCs w:val="18"/>
              </w:rPr>
            </w:pPr>
            <w:r w:rsidRPr="00666093">
              <w:rPr>
                <w:sz w:val="18"/>
                <w:szCs w:val="18"/>
              </w:rPr>
              <w:t>HP2020</w:t>
            </w:r>
          </w:p>
        </w:tc>
      </w:tr>
      <w:tr w:rsidR="004B20E5" w:rsidRPr="00666093" w:rsidTr="0012696F">
        <w:trPr>
          <w:cantSplit/>
        </w:trPr>
        <w:tc>
          <w:tcPr>
            <w:tcW w:w="525" w:type="pct"/>
          </w:tcPr>
          <w:p w:rsidR="004B20E5" w:rsidRPr="00666093" w:rsidRDefault="004B20E5" w:rsidP="003672D6">
            <w:pPr>
              <w:rPr>
                <w:b/>
                <w:sz w:val="18"/>
                <w:szCs w:val="18"/>
              </w:rPr>
            </w:pPr>
            <w:r w:rsidRPr="00666093">
              <w:rPr>
                <w:b/>
                <w:sz w:val="18"/>
                <w:szCs w:val="18"/>
              </w:rPr>
              <w:t xml:space="preserve">Infant mortality </w:t>
            </w:r>
          </w:p>
        </w:tc>
        <w:tc>
          <w:tcPr>
            <w:tcW w:w="528" w:type="pct"/>
          </w:tcPr>
          <w:p w:rsidR="004B20E5" w:rsidRPr="00666093" w:rsidRDefault="004B20E5" w:rsidP="003672D6">
            <w:pPr>
              <w:rPr>
                <w:sz w:val="18"/>
                <w:szCs w:val="18"/>
              </w:rPr>
            </w:pPr>
            <w:r w:rsidRPr="00666093">
              <w:rPr>
                <w:sz w:val="18"/>
                <w:szCs w:val="18"/>
              </w:rPr>
              <w:t>4.</w:t>
            </w:r>
            <w:r>
              <w:rPr>
                <w:sz w:val="18"/>
                <w:szCs w:val="18"/>
              </w:rPr>
              <w:t xml:space="preserve">3 </w:t>
            </w:r>
            <w:r w:rsidRPr="00666093">
              <w:rPr>
                <w:sz w:val="18"/>
                <w:szCs w:val="18"/>
              </w:rPr>
              <w:t>deaths per 1,000 live births</w:t>
            </w:r>
            <w:r w:rsidRPr="00935C18">
              <w:rPr>
                <w:rStyle w:val="EndnoteReference"/>
              </w:rPr>
              <w:endnoteReference w:id="31"/>
            </w:r>
          </w:p>
        </w:tc>
        <w:tc>
          <w:tcPr>
            <w:tcW w:w="679" w:type="pct"/>
          </w:tcPr>
          <w:p w:rsidR="004B20E5" w:rsidRPr="00666093" w:rsidRDefault="004B20E5" w:rsidP="003672D6">
            <w:pPr>
              <w:rPr>
                <w:sz w:val="18"/>
                <w:szCs w:val="18"/>
              </w:rPr>
            </w:pPr>
          </w:p>
        </w:tc>
        <w:tc>
          <w:tcPr>
            <w:tcW w:w="746" w:type="pct"/>
          </w:tcPr>
          <w:p w:rsidR="004B20E5" w:rsidRPr="00666093" w:rsidRDefault="004B20E5" w:rsidP="003672D6">
            <w:pPr>
              <w:rPr>
                <w:sz w:val="18"/>
                <w:szCs w:val="18"/>
              </w:rPr>
            </w:pPr>
          </w:p>
        </w:tc>
        <w:tc>
          <w:tcPr>
            <w:tcW w:w="1197" w:type="pct"/>
          </w:tcPr>
          <w:p w:rsidR="004B20E5" w:rsidRPr="00666093" w:rsidRDefault="004B20E5" w:rsidP="003672D6">
            <w:pPr>
              <w:rPr>
                <w:sz w:val="18"/>
                <w:szCs w:val="18"/>
              </w:rPr>
            </w:pPr>
            <w:r w:rsidRPr="00666093">
              <w:rPr>
                <w:sz w:val="18"/>
                <w:szCs w:val="18"/>
              </w:rPr>
              <w:t xml:space="preserve">Death rates per 1,000 live births: 8.2 Black, non-Hispanic; </w:t>
            </w:r>
            <w:r>
              <w:rPr>
                <w:sz w:val="18"/>
                <w:szCs w:val="18"/>
              </w:rPr>
              <w:t>5.4</w:t>
            </w:r>
            <w:r w:rsidRPr="00666093">
              <w:rPr>
                <w:sz w:val="18"/>
                <w:szCs w:val="18"/>
              </w:rPr>
              <w:t xml:space="preserve"> Hispanic; </w:t>
            </w:r>
            <w:r>
              <w:rPr>
                <w:sz w:val="18"/>
                <w:szCs w:val="18"/>
              </w:rPr>
              <w:t>2.6</w:t>
            </w:r>
            <w:r w:rsidRPr="00666093">
              <w:rPr>
                <w:sz w:val="18"/>
                <w:szCs w:val="18"/>
              </w:rPr>
              <w:t xml:space="preserve"> Asian; 3.</w:t>
            </w:r>
            <w:r>
              <w:rPr>
                <w:sz w:val="18"/>
                <w:szCs w:val="18"/>
              </w:rPr>
              <w:t>5</w:t>
            </w:r>
            <w:r w:rsidRPr="00666093">
              <w:rPr>
                <w:sz w:val="18"/>
                <w:szCs w:val="18"/>
              </w:rPr>
              <w:t xml:space="preserve"> White, non-Hispanic</w:t>
            </w:r>
            <w:r w:rsidRPr="00935C18">
              <w:rPr>
                <w:rStyle w:val="EndnoteReference"/>
              </w:rPr>
              <w:endnoteReference w:id="32"/>
            </w:r>
          </w:p>
        </w:tc>
        <w:tc>
          <w:tcPr>
            <w:tcW w:w="746" w:type="pct"/>
            <w:gridSpan w:val="2"/>
          </w:tcPr>
          <w:p w:rsidR="004B20E5" w:rsidRPr="00666093" w:rsidRDefault="004B20E5" w:rsidP="003672D6">
            <w:pPr>
              <w:rPr>
                <w:sz w:val="18"/>
                <w:szCs w:val="18"/>
              </w:rPr>
            </w:pPr>
            <w:r w:rsidRPr="00666093">
              <w:rPr>
                <w:sz w:val="18"/>
                <w:szCs w:val="18"/>
              </w:rPr>
              <w:t xml:space="preserve">↓among Blacks in last 20 years. Very slight ↓ among Whites and Asians; rates vary (both ↓and ↑) among Hispanics </w:t>
            </w:r>
          </w:p>
        </w:tc>
        <w:tc>
          <w:tcPr>
            <w:tcW w:w="579" w:type="pct"/>
          </w:tcPr>
          <w:p w:rsidR="004B20E5" w:rsidRPr="00666093" w:rsidRDefault="004B20E5" w:rsidP="003672D6">
            <w:pPr>
              <w:rPr>
                <w:sz w:val="18"/>
                <w:szCs w:val="18"/>
              </w:rPr>
            </w:pPr>
            <w:r w:rsidRPr="00666093">
              <w:rPr>
                <w:sz w:val="18"/>
                <w:szCs w:val="18"/>
              </w:rPr>
              <w:t>HP2020</w:t>
            </w:r>
          </w:p>
        </w:tc>
      </w:tr>
      <w:tr w:rsidR="004B20E5" w:rsidRPr="00666093" w:rsidTr="0012696F">
        <w:trPr>
          <w:cantSplit/>
        </w:trPr>
        <w:tc>
          <w:tcPr>
            <w:tcW w:w="525" w:type="pct"/>
          </w:tcPr>
          <w:p w:rsidR="004B20E5" w:rsidRPr="00666093" w:rsidRDefault="004B20E5" w:rsidP="003672D6">
            <w:pPr>
              <w:rPr>
                <w:b/>
                <w:sz w:val="18"/>
                <w:szCs w:val="18"/>
              </w:rPr>
            </w:pPr>
            <w:r w:rsidRPr="00666093">
              <w:rPr>
                <w:b/>
                <w:sz w:val="18"/>
                <w:szCs w:val="18"/>
              </w:rPr>
              <w:t>Negative birth outcomes (preterm and low birth weight)</w:t>
            </w:r>
          </w:p>
        </w:tc>
        <w:tc>
          <w:tcPr>
            <w:tcW w:w="528" w:type="pct"/>
          </w:tcPr>
          <w:p w:rsidR="004B20E5" w:rsidRPr="00666093" w:rsidRDefault="004B20E5" w:rsidP="003672D6">
            <w:pPr>
              <w:rPr>
                <w:sz w:val="18"/>
                <w:szCs w:val="18"/>
              </w:rPr>
            </w:pPr>
          </w:p>
        </w:tc>
        <w:tc>
          <w:tcPr>
            <w:tcW w:w="679" w:type="pct"/>
          </w:tcPr>
          <w:p w:rsidR="004B20E5" w:rsidRPr="00666093" w:rsidRDefault="004B20E5" w:rsidP="003672D6">
            <w:pPr>
              <w:rPr>
                <w:sz w:val="18"/>
                <w:szCs w:val="18"/>
              </w:rPr>
            </w:pPr>
            <w:r w:rsidRPr="00666093">
              <w:rPr>
                <w:sz w:val="18"/>
                <w:szCs w:val="18"/>
              </w:rPr>
              <w:t>8.6</w:t>
            </w:r>
            <w:r>
              <w:rPr>
                <w:sz w:val="18"/>
                <w:szCs w:val="18"/>
              </w:rPr>
              <w:t>%</w:t>
            </w:r>
            <w:r w:rsidRPr="00666093">
              <w:rPr>
                <w:sz w:val="18"/>
                <w:szCs w:val="18"/>
              </w:rPr>
              <w:t xml:space="preserve"> preterm births (&lt;37 weeks) r</w:t>
            </w:r>
            <w:r w:rsidRPr="00935C18">
              <w:rPr>
                <w:rStyle w:val="EndnoteReference"/>
              </w:rPr>
              <w:endnoteReference w:id="33"/>
            </w:r>
          </w:p>
          <w:p w:rsidR="004B20E5" w:rsidRPr="00666093" w:rsidRDefault="004B20E5" w:rsidP="003672D6">
            <w:pPr>
              <w:rPr>
                <w:sz w:val="8"/>
                <w:szCs w:val="8"/>
              </w:rPr>
            </w:pPr>
          </w:p>
          <w:p w:rsidR="004B20E5" w:rsidRPr="00666093" w:rsidRDefault="004B20E5" w:rsidP="003672D6">
            <w:pPr>
              <w:rPr>
                <w:sz w:val="18"/>
                <w:szCs w:val="18"/>
              </w:rPr>
            </w:pPr>
            <w:r w:rsidRPr="00666093">
              <w:rPr>
                <w:sz w:val="18"/>
                <w:szCs w:val="18"/>
              </w:rPr>
              <w:t>7.6</w:t>
            </w:r>
            <w:r>
              <w:rPr>
                <w:sz w:val="18"/>
                <w:szCs w:val="18"/>
              </w:rPr>
              <w:t>%</w:t>
            </w:r>
            <w:r w:rsidRPr="00666093">
              <w:rPr>
                <w:sz w:val="18"/>
                <w:szCs w:val="18"/>
              </w:rPr>
              <w:t xml:space="preserve"> low birthweight </w:t>
            </w:r>
            <w:r w:rsidRPr="00935C18">
              <w:rPr>
                <w:rStyle w:val="EndnoteReference"/>
              </w:rPr>
              <w:endnoteReference w:id="34"/>
            </w:r>
          </w:p>
        </w:tc>
        <w:tc>
          <w:tcPr>
            <w:tcW w:w="746" w:type="pct"/>
          </w:tcPr>
          <w:p w:rsidR="004B20E5" w:rsidRPr="00666093" w:rsidRDefault="004B20E5" w:rsidP="003672D6">
            <w:pPr>
              <w:rPr>
                <w:sz w:val="18"/>
                <w:szCs w:val="18"/>
              </w:rPr>
            </w:pPr>
            <w:r w:rsidRPr="00666093">
              <w:rPr>
                <w:rFonts w:cs="Tahoma"/>
                <w:sz w:val="18"/>
                <w:szCs w:val="18"/>
              </w:rPr>
              <w:t>Preterm birth costs the US $26 billion annually</w:t>
            </w:r>
            <w:r w:rsidRPr="00935C18">
              <w:rPr>
                <w:rStyle w:val="EndnoteReference"/>
              </w:rPr>
              <w:endnoteReference w:id="35"/>
            </w:r>
          </w:p>
        </w:tc>
        <w:tc>
          <w:tcPr>
            <w:tcW w:w="1197" w:type="pct"/>
          </w:tcPr>
          <w:p w:rsidR="004B20E5" w:rsidRPr="00666093" w:rsidRDefault="004B20E5" w:rsidP="003672D6">
            <w:pPr>
              <w:rPr>
                <w:sz w:val="18"/>
                <w:szCs w:val="18"/>
              </w:rPr>
            </w:pPr>
            <w:r w:rsidRPr="00666093">
              <w:rPr>
                <w:sz w:val="18"/>
                <w:szCs w:val="18"/>
              </w:rPr>
              <w:t>Blacks have highest rates by far for both. For preterm birth, Black experience 10</w:t>
            </w:r>
            <w:r>
              <w:rPr>
                <w:sz w:val="18"/>
                <w:szCs w:val="18"/>
              </w:rPr>
              <w:t>.1%</w:t>
            </w:r>
            <w:r w:rsidRPr="00666093">
              <w:rPr>
                <w:sz w:val="18"/>
                <w:szCs w:val="18"/>
              </w:rPr>
              <w:t xml:space="preserve"> preterm births per 1 followed by Hispanics (9</w:t>
            </w:r>
            <w:r>
              <w:rPr>
                <w:sz w:val="18"/>
                <w:szCs w:val="18"/>
              </w:rPr>
              <w:t>.2%</w:t>
            </w:r>
            <w:r w:rsidRPr="00666093">
              <w:rPr>
                <w:sz w:val="18"/>
                <w:szCs w:val="18"/>
              </w:rPr>
              <w:t>).</w:t>
            </w:r>
            <w:r w:rsidRPr="00935C18">
              <w:rPr>
                <w:rStyle w:val="EndnoteReference"/>
              </w:rPr>
              <w:endnoteReference w:id="36"/>
            </w:r>
          </w:p>
        </w:tc>
        <w:tc>
          <w:tcPr>
            <w:tcW w:w="746" w:type="pct"/>
            <w:gridSpan w:val="2"/>
          </w:tcPr>
          <w:p w:rsidR="004B20E5" w:rsidRPr="00666093" w:rsidRDefault="004B20E5" w:rsidP="003672D6">
            <w:pPr>
              <w:rPr>
                <w:sz w:val="18"/>
                <w:szCs w:val="18"/>
              </w:rPr>
            </w:pPr>
            <w:r w:rsidRPr="00666093">
              <w:rPr>
                <w:sz w:val="18"/>
                <w:szCs w:val="18"/>
              </w:rPr>
              <w:t>↑ in preterm and LBW births in last decade, even when adjusting for plurality</w:t>
            </w:r>
          </w:p>
        </w:tc>
        <w:tc>
          <w:tcPr>
            <w:tcW w:w="579" w:type="pct"/>
          </w:tcPr>
          <w:p w:rsidR="004B20E5" w:rsidRPr="00666093" w:rsidRDefault="004B20E5" w:rsidP="003672D6">
            <w:pPr>
              <w:rPr>
                <w:sz w:val="18"/>
                <w:szCs w:val="18"/>
              </w:rPr>
            </w:pPr>
            <w:r w:rsidRPr="00666093">
              <w:rPr>
                <w:sz w:val="18"/>
                <w:szCs w:val="18"/>
              </w:rPr>
              <w:t>HP2020</w:t>
            </w:r>
          </w:p>
        </w:tc>
      </w:tr>
      <w:tr w:rsidR="004B20E5" w:rsidRPr="00666093" w:rsidTr="00666093">
        <w:trPr>
          <w:cantSplit/>
        </w:trPr>
        <w:tc>
          <w:tcPr>
            <w:tcW w:w="5000" w:type="pct"/>
            <w:gridSpan w:val="8"/>
            <w:shd w:val="pct10" w:color="auto" w:fill="auto"/>
          </w:tcPr>
          <w:p w:rsidR="004B20E5" w:rsidRPr="00666093" w:rsidRDefault="004B20E5" w:rsidP="005B19AC">
            <w:pPr>
              <w:pageBreakBefore/>
              <w:rPr>
                <w:b/>
                <w:i/>
                <w:sz w:val="18"/>
                <w:szCs w:val="18"/>
              </w:rPr>
            </w:pPr>
            <w:r w:rsidRPr="00666093">
              <w:rPr>
                <w:b/>
                <w:i/>
                <w:sz w:val="18"/>
                <w:szCs w:val="18"/>
              </w:rPr>
              <w:t>Chronic Disease Prevention and Control</w:t>
            </w:r>
          </w:p>
        </w:tc>
      </w:tr>
      <w:tr w:rsidR="004B20E5" w:rsidRPr="00666093" w:rsidTr="0012696F">
        <w:trPr>
          <w:cantSplit/>
        </w:trPr>
        <w:tc>
          <w:tcPr>
            <w:tcW w:w="525" w:type="pct"/>
          </w:tcPr>
          <w:p w:rsidR="004B20E5" w:rsidRPr="00666093" w:rsidRDefault="004B20E5" w:rsidP="00730A1C">
            <w:pPr>
              <w:rPr>
                <w:b/>
                <w:sz w:val="18"/>
                <w:szCs w:val="18"/>
              </w:rPr>
            </w:pPr>
            <w:r w:rsidRPr="00666093">
              <w:rPr>
                <w:b/>
                <w:sz w:val="18"/>
                <w:szCs w:val="18"/>
              </w:rPr>
              <w:t xml:space="preserve">Tobacco use </w:t>
            </w:r>
          </w:p>
        </w:tc>
        <w:tc>
          <w:tcPr>
            <w:tcW w:w="528" w:type="pct"/>
          </w:tcPr>
          <w:p w:rsidR="004B20E5" w:rsidRPr="00666093" w:rsidRDefault="004B20E5" w:rsidP="00730A1C">
            <w:pPr>
              <w:rPr>
                <w:sz w:val="18"/>
                <w:szCs w:val="18"/>
              </w:rPr>
            </w:pPr>
            <w:r w:rsidRPr="00666093">
              <w:rPr>
                <w:sz w:val="18"/>
                <w:szCs w:val="18"/>
              </w:rPr>
              <w:t>Over 7,700 deaths annually in MA attributed to smoking</w:t>
            </w:r>
            <w:r w:rsidRPr="00935C18">
              <w:rPr>
                <w:rStyle w:val="EndnoteReference"/>
              </w:rPr>
              <w:endnoteReference w:id="37"/>
            </w:r>
          </w:p>
        </w:tc>
        <w:tc>
          <w:tcPr>
            <w:tcW w:w="679" w:type="pct"/>
          </w:tcPr>
          <w:p w:rsidR="004B20E5" w:rsidRPr="00666093" w:rsidRDefault="004B20E5" w:rsidP="00730A1C">
            <w:pPr>
              <w:rPr>
                <w:sz w:val="18"/>
                <w:szCs w:val="18"/>
              </w:rPr>
            </w:pPr>
            <w:r w:rsidRPr="00666093">
              <w:rPr>
                <w:sz w:val="18"/>
                <w:szCs w:val="18"/>
              </w:rPr>
              <w:t>1</w:t>
            </w:r>
            <w:r>
              <w:rPr>
                <w:sz w:val="18"/>
                <w:szCs w:val="18"/>
              </w:rPr>
              <w:t>6.4</w:t>
            </w:r>
            <w:r w:rsidRPr="00666093">
              <w:rPr>
                <w:sz w:val="18"/>
                <w:szCs w:val="18"/>
              </w:rPr>
              <w:t>% of adults smoke</w:t>
            </w:r>
            <w:r w:rsidRPr="00935C18">
              <w:rPr>
                <w:rStyle w:val="EndnoteReference"/>
              </w:rPr>
              <w:endnoteReference w:id="38"/>
            </w:r>
          </w:p>
          <w:p w:rsidR="004B20E5" w:rsidRPr="00666093" w:rsidRDefault="004B20E5" w:rsidP="00730A1C">
            <w:pPr>
              <w:rPr>
                <w:sz w:val="8"/>
                <w:szCs w:val="8"/>
              </w:rPr>
            </w:pPr>
          </w:p>
          <w:p w:rsidR="004B20E5" w:rsidRPr="00666093" w:rsidRDefault="004B20E5" w:rsidP="00730A1C">
            <w:pPr>
              <w:rPr>
                <w:sz w:val="18"/>
                <w:szCs w:val="18"/>
              </w:rPr>
            </w:pPr>
            <w:r w:rsidRPr="00666093">
              <w:rPr>
                <w:sz w:val="18"/>
                <w:szCs w:val="18"/>
              </w:rPr>
              <w:t>3</w:t>
            </w:r>
            <w:r>
              <w:rPr>
                <w:sz w:val="18"/>
                <w:szCs w:val="18"/>
              </w:rPr>
              <w:t>2</w:t>
            </w:r>
            <w:r w:rsidRPr="00666093">
              <w:rPr>
                <w:sz w:val="18"/>
                <w:szCs w:val="18"/>
              </w:rPr>
              <w:t>% of high school students have ever smoked and 1</w:t>
            </w:r>
            <w:r>
              <w:rPr>
                <w:sz w:val="18"/>
                <w:szCs w:val="18"/>
              </w:rPr>
              <w:t>1</w:t>
            </w:r>
            <w:r w:rsidRPr="00666093">
              <w:rPr>
                <w:sz w:val="18"/>
                <w:szCs w:val="18"/>
              </w:rPr>
              <w:t>% currently smoke</w:t>
            </w:r>
            <w:r w:rsidRPr="00935C18">
              <w:rPr>
                <w:rStyle w:val="EndnoteReference"/>
              </w:rPr>
              <w:endnoteReference w:id="39"/>
            </w:r>
          </w:p>
        </w:tc>
        <w:tc>
          <w:tcPr>
            <w:tcW w:w="746" w:type="pct"/>
          </w:tcPr>
          <w:p w:rsidR="004B20E5" w:rsidRPr="00666093" w:rsidRDefault="004B20E5" w:rsidP="00730A1C">
            <w:pPr>
              <w:rPr>
                <w:sz w:val="18"/>
                <w:szCs w:val="18"/>
              </w:rPr>
            </w:pPr>
            <w:r w:rsidRPr="00666093">
              <w:rPr>
                <w:sz w:val="18"/>
                <w:szCs w:val="18"/>
              </w:rPr>
              <w:t>$4.3 billion in MA healthcare costs due to smoking ($1.5 billion in ambulatory costs; $972 million in hospital costs)</w:t>
            </w:r>
            <w:r w:rsidRPr="00935C18">
              <w:rPr>
                <w:rStyle w:val="EndnoteReference"/>
              </w:rPr>
              <w:endnoteReference w:id="40"/>
            </w:r>
          </w:p>
        </w:tc>
        <w:tc>
          <w:tcPr>
            <w:tcW w:w="1197" w:type="pct"/>
          </w:tcPr>
          <w:p w:rsidR="004B20E5" w:rsidRPr="00666093" w:rsidRDefault="004B20E5" w:rsidP="00730A1C">
            <w:pPr>
              <w:rPr>
                <w:sz w:val="18"/>
                <w:szCs w:val="18"/>
              </w:rPr>
            </w:pPr>
            <w:r w:rsidRPr="00666093">
              <w:rPr>
                <w:sz w:val="18"/>
                <w:szCs w:val="18"/>
              </w:rPr>
              <w:t>Groups with highest smoking rates include: LGBT (2</w:t>
            </w:r>
            <w:r>
              <w:rPr>
                <w:sz w:val="18"/>
                <w:szCs w:val="18"/>
              </w:rPr>
              <w:t>1.8</w:t>
            </w:r>
            <w:r w:rsidRPr="00666093">
              <w:rPr>
                <w:sz w:val="18"/>
                <w:szCs w:val="18"/>
              </w:rPr>
              <w:t>%), less than high school education (</w:t>
            </w:r>
            <w:r>
              <w:rPr>
                <w:sz w:val="18"/>
                <w:szCs w:val="18"/>
              </w:rPr>
              <w:t>25.0</w:t>
            </w:r>
            <w:r w:rsidRPr="00666093">
              <w:rPr>
                <w:sz w:val="18"/>
                <w:szCs w:val="18"/>
              </w:rPr>
              <w:t xml:space="preserve">%), </w:t>
            </w:r>
            <w:r>
              <w:rPr>
                <w:sz w:val="18"/>
                <w:szCs w:val="18"/>
              </w:rPr>
              <w:t>people with disabilities</w:t>
            </w:r>
            <w:r w:rsidRPr="00666093">
              <w:rPr>
                <w:sz w:val="18"/>
                <w:szCs w:val="18"/>
              </w:rPr>
              <w:t xml:space="preserve"> (23%)</w:t>
            </w:r>
            <w:r>
              <w:rPr>
                <w:sz w:val="18"/>
                <w:szCs w:val="18"/>
              </w:rPr>
              <w:t>, those with poor mental health (36.3%) and those on MassHealth (32.3%)</w:t>
            </w:r>
            <w:r w:rsidRPr="00935C18">
              <w:rPr>
                <w:rStyle w:val="EndnoteReference"/>
              </w:rPr>
              <w:endnoteReference w:id="41"/>
            </w:r>
          </w:p>
        </w:tc>
        <w:tc>
          <w:tcPr>
            <w:tcW w:w="746" w:type="pct"/>
            <w:gridSpan w:val="2"/>
          </w:tcPr>
          <w:p w:rsidR="004B20E5" w:rsidRDefault="004B20E5" w:rsidP="00730A1C">
            <w:pPr>
              <w:rPr>
                <w:sz w:val="18"/>
                <w:szCs w:val="18"/>
              </w:rPr>
            </w:pPr>
            <w:r w:rsidRPr="00666093">
              <w:rPr>
                <w:sz w:val="18"/>
                <w:szCs w:val="18"/>
              </w:rPr>
              <w:t xml:space="preserve"> Overall ↓ in last 10 years among MA adult and youth smoking</w:t>
            </w:r>
            <w:r>
              <w:rPr>
                <w:sz w:val="18"/>
                <w:szCs w:val="18"/>
              </w:rPr>
              <w:t xml:space="preserve">; </w:t>
            </w:r>
          </w:p>
          <w:p w:rsidR="004B20E5" w:rsidRPr="00666093" w:rsidRDefault="004B20E5" w:rsidP="00730A1C">
            <w:pPr>
              <w:rPr>
                <w:sz w:val="18"/>
                <w:szCs w:val="18"/>
              </w:rPr>
            </w:pPr>
            <w:r w:rsidRPr="00666093">
              <w:rPr>
                <w:sz w:val="18"/>
                <w:szCs w:val="18"/>
              </w:rPr>
              <w:t>↑</w:t>
            </w:r>
            <w:r>
              <w:rPr>
                <w:sz w:val="18"/>
                <w:szCs w:val="18"/>
              </w:rPr>
              <w:t xml:space="preserve"> in youth e-cigarette use from 2011 to 2013</w:t>
            </w:r>
          </w:p>
        </w:tc>
        <w:tc>
          <w:tcPr>
            <w:tcW w:w="579" w:type="pct"/>
          </w:tcPr>
          <w:p w:rsidR="004B20E5" w:rsidRPr="00666093" w:rsidRDefault="004B20E5" w:rsidP="00730A1C">
            <w:pPr>
              <w:rPr>
                <w:sz w:val="18"/>
                <w:szCs w:val="18"/>
              </w:rPr>
            </w:pPr>
            <w:r w:rsidRPr="00666093">
              <w:rPr>
                <w:sz w:val="18"/>
                <w:szCs w:val="18"/>
              </w:rPr>
              <w:t>MDPH SP</w:t>
            </w:r>
          </w:p>
          <w:p w:rsidR="004B20E5" w:rsidRPr="00666093" w:rsidRDefault="004B20E5" w:rsidP="00730A1C">
            <w:pPr>
              <w:rPr>
                <w:sz w:val="18"/>
                <w:szCs w:val="18"/>
              </w:rPr>
            </w:pPr>
            <w:r w:rsidRPr="00666093">
              <w:rPr>
                <w:sz w:val="18"/>
                <w:szCs w:val="18"/>
              </w:rPr>
              <w:t>PrevTrust</w:t>
            </w:r>
          </w:p>
          <w:p w:rsidR="004B20E5" w:rsidRPr="00666093" w:rsidRDefault="004B20E5" w:rsidP="00730A1C">
            <w:pPr>
              <w:rPr>
                <w:sz w:val="18"/>
                <w:szCs w:val="18"/>
              </w:rPr>
            </w:pPr>
            <w:r w:rsidRPr="00666093">
              <w:rPr>
                <w:sz w:val="18"/>
                <w:szCs w:val="18"/>
              </w:rPr>
              <w:t>WB</w:t>
            </w:r>
          </w:p>
          <w:p w:rsidR="004B20E5" w:rsidRPr="00666093" w:rsidRDefault="004B20E5" w:rsidP="00730A1C">
            <w:pPr>
              <w:rPr>
                <w:sz w:val="18"/>
                <w:szCs w:val="18"/>
              </w:rPr>
            </w:pPr>
            <w:r w:rsidRPr="00666093">
              <w:rPr>
                <w:sz w:val="18"/>
                <w:szCs w:val="18"/>
              </w:rPr>
              <w:t>NPS</w:t>
            </w:r>
          </w:p>
          <w:p w:rsidR="004B20E5" w:rsidRPr="00666093" w:rsidRDefault="004B20E5" w:rsidP="00730A1C">
            <w:pPr>
              <w:rPr>
                <w:sz w:val="18"/>
                <w:szCs w:val="18"/>
              </w:rPr>
            </w:pPr>
            <w:r w:rsidRPr="00666093">
              <w:rPr>
                <w:sz w:val="18"/>
                <w:szCs w:val="18"/>
              </w:rPr>
              <w:t>HP2020</w:t>
            </w:r>
          </w:p>
        </w:tc>
      </w:tr>
      <w:tr w:rsidR="004B20E5" w:rsidRPr="00666093" w:rsidTr="0012696F">
        <w:trPr>
          <w:cantSplit/>
        </w:trPr>
        <w:tc>
          <w:tcPr>
            <w:tcW w:w="525" w:type="pct"/>
          </w:tcPr>
          <w:p w:rsidR="004B20E5" w:rsidRPr="00666093" w:rsidRDefault="004B20E5" w:rsidP="00F83336">
            <w:pPr>
              <w:rPr>
                <w:b/>
                <w:sz w:val="18"/>
                <w:szCs w:val="18"/>
              </w:rPr>
            </w:pPr>
            <w:r w:rsidRPr="00666093">
              <w:rPr>
                <w:b/>
                <w:sz w:val="18"/>
                <w:szCs w:val="18"/>
              </w:rPr>
              <w:t>Physical activity and healthy eating</w:t>
            </w:r>
          </w:p>
        </w:tc>
        <w:tc>
          <w:tcPr>
            <w:tcW w:w="528" w:type="pct"/>
          </w:tcPr>
          <w:p w:rsidR="004B20E5" w:rsidRPr="00666093" w:rsidRDefault="004B20E5" w:rsidP="00F83336">
            <w:pPr>
              <w:rPr>
                <w:sz w:val="18"/>
                <w:szCs w:val="18"/>
              </w:rPr>
            </w:pPr>
          </w:p>
        </w:tc>
        <w:tc>
          <w:tcPr>
            <w:tcW w:w="679" w:type="pct"/>
          </w:tcPr>
          <w:p w:rsidR="004B20E5" w:rsidRPr="00666093" w:rsidRDefault="004B20E5" w:rsidP="00F83336">
            <w:pPr>
              <w:rPr>
                <w:sz w:val="18"/>
                <w:szCs w:val="18"/>
              </w:rPr>
            </w:pPr>
            <w:r w:rsidRPr="00666093">
              <w:rPr>
                <w:sz w:val="18"/>
                <w:szCs w:val="18"/>
              </w:rPr>
              <w:t>56.3% of adults met aerobic guidelines</w:t>
            </w:r>
            <w:r w:rsidRPr="00925017">
              <w:rPr>
                <w:rStyle w:val="EndnoteReference"/>
              </w:rPr>
              <w:endnoteReference w:id="42"/>
            </w:r>
          </w:p>
          <w:p w:rsidR="004B20E5" w:rsidRPr="00666093" w:rsidRDefault="004B20E5" w:rsidP="00F83336">
            <w:pPr>
              <w:rPr>
                <w:sz w:val="8"/>
                <w:szCs w:val="8"/>
              </w:rPr>
            </w:pPr>
          </w:p>
          <w:p w:rsidR="004B20E5" w:rsidRDefault="004B20E5" w:rsidP="00F83336">
            <w:pPr>
              <w:rPr>
                <w:sz w:val="18"/>
                <w:szCs w:val="18"/>
              </w:rPr>
            </w:pPr>
            <w:r w:rsidRPr="00666093">
              <w:rPr>
                <w:sz w:val="18"/>
                <w:szCs w:val="18"/>
              </w:rPr>
              <w:t>18.8% of adults eat 5 or more servings of fruits or vegetables/day</w:t>
            </w:r>
            <w:r w:rsidRPr="00925017">
              <w:rPr>
                <w:rStyle w:val="EndnoteReference"/>
              </w:rPr>
              <w:endnoteReference w:id="43"/>
            </w:r>
          </w:p>
          <w:p w:rsidR="004B20E5" w:rsidRDefault="004B20E5" w:rsidP="00F83336">
            <w:pPr>
              <w:rPr>
                <w:sz w:val="18"/>
                <w:szCs w:val="18"/>
              </w:rPr>
            </w:pPr>
          </w:p>
          <w:p w:rsidR="004B20E5" w:rsidRDefault="004B20E5" w:rsidP="00A47642">
            <w:pPr>
              <w:rPr>
                <w:sz w:val="18"/>
                <w:szCs w:val="18"/>
              </w:rPr>
            </w:pPr>
            <w:r>
              <w:rPr>
                <w:sz w:val="18"/>
                <w:szCs w:val="18"/>
              </w:rPr>
              <w:t>22.5% of high school students eat 3+ servings of fruit per day/14.6% eat 3+ servings of vegetables</w:t>
            </w:r>
            <w:r>
              <w:rPr>
                <w:rStyle w:val="EndnoteReference"/>
                <w:sz w:val="18"/>
                <w:szCs w:val="18"/>
              </w:rPr>
              <w:endnoteReference w:id="44"/>
            </w:r>
          </w:p>
          <w:p w:rsidR="004B20E5" w:rsidRDefault="004B20E5" w:rsidP="00A47642">
            <w:pPr>
              <w:rPr>
                <w:sz w:val="18"/>
                <w:szCs w:val="18"/>
              </w:rPr>
            </w:pPr>
          </w:p>
          <w:p w:rsidR="004B20E5" w:rsidRDefault="004B20E5" w:rsidP="00A47642">
            <w:pPr>
              <w:rPr>
                <w:sz w:val="18"/>
                <w:szCs w:val="18"/>
              </w:rPr>
            </w:pPr>
            <w:r w:rsidRPr="008C1F89">
              <w:rPr>
                <w:sz w:val="18"/>
                <w:szCs w:val="18"/>
              </w:rPr>
              <w:t xml:space="preserve">28.7% </w:t>
            </w:r>
            <w:r>
              <w:rPr>
                <w:sz w:val="18"/>
                <w:szCs w:val="18"/>
              </w:rPr>
              <w:t>of middle school students eat 3+ servings of fruit per day/</w:t>
            </w:r>
            <w:r w:rsidRPr="008C1F89">
              <w:rPr>
                <w:sz w:val="18"/>
                <w:szCs w:val="18"/>
              </w:rPr>
              <w:t>20%</w:t>
            </w:r>
            <w:r>
              <w:rPr>
                <w:sz w:val="18"/>
                <w:szCs w:val="18"/>
              </w:rPr>
              <w:t xml:space="preserve"> eat 3+ servings of vegetables</w:t>
            </w:r>
            <w:r>
              <w:rPr>
                <w:rStyle w:val="EndnoteReference"/>
                <w:sz w:val="18"/>
                <w:szCs w:val="18"/>
              </w:rPr>
              <w:endnoteReference w:id="45"/>
            </w:r>
          </w:p>
          <w:p w:rsidR="004B20E5" w:rsidRDefault="004B20E5" w:rsidP="00A47642">
            <w:pPr>
              <w:rPr>
                <w:sz w:val="18"/>
                <w:szCs w:val="18"/>
              </w:rPr>
            </w:pPr>
          </w:p>
          <w:p w:rsidR="004B20E5" w:rsidRDefault="004B20E5" w:rsidP="00A47642">
            <w:pPr>
              <w:rPr>
                <w:sz w:val="18"/>
                <w:szCs w:val="18"/>
              </w:rPr>
            </w:pPr>
            <w:r>
              <w:rPr>
                <w:sz w:val="18"/>
                <w:szCs w:val="18"/>
              </w:rPr>
              <w:t>66.4% of high school students and 64.6% of middle school students report consuming 0-1 servings of sugar-sweetened beverages per day</w:t>
            </w:r>
            <w:r>
              <w:rPr>
                <w:rStyle w:val="EndnoteReference"/>
                <w:sz w:val="18"/>
                <w:szCs w:val="18"/>
              </w:rPr>
              <w:endnoteReference w:id="46"/>
            </w:r>
          </w:p>
          <w:p w:rsidR="004B20E5" w:rsidRDefault="004B20E5" w:rsidP="00A47642">
            <w:pPr>
              <w:rPr>
                <w:sz w:val="18"/>
                <w:szCs w:val="18"/>
              </w:rPr>
            </w:pPr>
          </w:p>
          <w:p w:rsidR="004B20E5" w:rsidRPr="00666093" w:rsidRDefault="004B20E5" w:rsidP="00A47642">
            <w:pPr>
              <w:rPr>
                <w:sz w:val="18"/>
                <w:szCs w:val="18"/>
              </w:rPr>
            </w:pPr>
            <w:r>
              <w:rPr>
                <w:sz w:val="18"/>
                <w:szCs w:val="18"/>
              </w:rPr>
              <w:t>47.4% of high school students and 51.9% of middle school students report getting 60 minutes of physical activity 5 or more days per week</w:t>
            </w:r>
            <w:r>
              <w:rPr>
                <w:rStyle w:val="EndnoteReference"/>
                <w:sz w:val="18"/>
                <w:szCs w:val="18"/>
              </w:rPr>
              <w:endnoteReference w:id="47"/>
            </w:r>
          </w:p>
        </w:tc>
        <w:tc>
          <w:tcPr>
            <w:tcW w:w="746" w:type="pct"/>
          </w:tcPr>
          <w:p w:rsidR="004B20E5" w:rsidRPr="00666093" w:rsidRDefault="004B20E5" w:rsidP="00F83336">
            <w:pPr>
              <w:rPr>
                <w:sz w:val="18"/>
                <w:szCs w:val="18"/>
              </w:rPr>
            </w:pPr>
            <w:r w:rsidRPr="00666093">
              <w:rPr>
                <w:sz w:val="18"/>
                <w:szCs w:val="18"/>
              </w:rPr>
              <w:t>(see obesity data)</w:t>
            </w:r>
          </w:p>
        </w:tc>
        <w:tc>
          <w:tcPr>
            <w:tcW w:w="1197" w:type="pct"/>
          </w:tcPr>
          <w:p w:rsidR="004B20E5" w:rsidRPr="00666093" w:rsidRDefault="004B20E5" w:rsidP="00F83336">
            <w:pPr>
              <w:rPr>
                <w:sz w:val="18"/>
                <w:szCs w:val="18"/>
              </w:rPr>
            </w:pPr>
            <w:r w:rsidRPr="00666093">
              <w:rPr>
                <w:sz w:val="18"/>
                <w:szCs w:val="18"/>
              </w:rPr>
              <w:t>Those least likely to meet physical activity guidelines: Hispanics (44%) and Asians (50.4%) and those with less than HS education (42.4%)</w:t>
            </w:r>
            <w:r w:rsidRPr="00925017">
              <w:rPr>
                <w:rStyle w:val="EndnoteReference"/>
              </w:rPr>
              <w:endnoteReference w:id="48"/>
            </w:r>
          </w:p>
          <w:p w:rsidR="004B20E5" w:rsidRPr="00666093" w:rsidRDefault="004B20E5" w:rsidP="00F83336">
            <w:pPr>
              <w:rPr>
                <w:sz w:val="8"/>
                <w:szCs w:val="8"/>
              </w:rPr>
            </w:pPr>
          </w:p>
          <w:p w:rsidR="004B20E5" w:rsidRPr="00666093" w:rsidRDefault="004B20E5" w:rsidP="00F83336">
            <w:pPr>
              <w:rPr>
                <w:sz w:val="18"/>
                <w:szCs w:val="18"/>
              </w:rPr>
            </w:pPr>
            <w:r w:rsidRPr="00666093">
              <w:rPr>
                <w:sz w:val="18"/>
                <w:szCs w:val="18"/>
              </w:rPr>
              <w:t>Gender gap for f/v consumption, with 14.7% of males meeting guideline (vs. 22.5% of females)</w:t>
            </w:r>
            <w:r w:rsidRPr="00925017">
              <w:rPr>
                <w:rStyle w:val="EndnoteReference"/>
              </w:rPr>
              <w:endnoteReference w:id="49"/>
            </w:r>
          </w:p>
        </w:tc>
        <w:tc>
          <w:tcPr>
            <w:tcW w:w="746" w:type="pct"/>
            <w:gridSpan w:val="2"/>
          </w:tcPr>
          <w:p w:rsidR="004B20E5" w:rsidRPr="00666093" w:rsidRDefault="004B20E5" w:rsidP="00F83336">
            <w:pPr>
              <w:rPr>
                <w:sz w:val="18"/>
                <w:szCs w:val="18"/>
              </w:rPr>
            </w:pPr>
            <w:r w:rsidRPr="00666093">
              <w:rPr>
                <w:sz w:val="18"/>
                <w:szCs w:val="18"/>
              </w:rPr>
              <w:t xml:space="preserve">↓ in fruit consumption over the last 10 years among adults </w:t>
            </w:r>
          </w:p>
        </w:tc>
        <w:tc>
          <w:tcPr>
            <w:tcW w:w="579" w:type="pct"/>
          </w:tcPr>
          <w:p w:rsidR="004B20E5" w:rsidRPr="00666093" w:rsidRDefault="004B20E5" w:rsidP="00F83336">
            <w:pPr>
              <w:rPr>
                <w:sz w:val="18"/>
                <w:szCs w:val="18"/>
              </w:rPr>
            </w:pPr>
            <w:r w:rsidRPr="00666093">
              <w:rPr>
                <w:sz w:val="18"/>
                <w:szCs w:val="18"/>
              </w:rPr>
              <w:t>MDPH SP</w:t>
            </w:r>
          </w:p>
          <w:p w:rsidR="004B20E5" w:rsidRPr="00666093" w:rsidRDefault="004B20E5" w:rsidP="00F83336">
            <w:pPr>
              <w:rPr>
                <w:sz w:val="18"/>
                <w:szCs w:val="18"/>
              </w:rPr>
            </w:pPr>
            <w:r w:rsidRPr="00666093">
              <w:rPr>
                <w:sz w:val="18"/>
                <w:szCs w:val="18"/>
              </w:rPr>
              <w:t>PrevTrust</w:t>
            </w:r>
          </w:p>
          <w:p w:rsidR="004B20E5" w:rsidRPr="00666093" w:rsidRDefault="004B20E5" w:rsidP="00F83336">
            <w:pPr>
              <w:rPr>
                <w:sz w:val="18"/>
                <w:szCs w:val="18"/>
              </w:rPr>
            </w:pPr>
            <w:r w:rsidRPr="00666093">
              <w:rPr>
                <w:sz w:val="18"/>
                <w:szCs w:val="18"/>
              </w:rPr>
              <w:t>WB</w:t>
            </w:r>
          </w:p>
          <w:p w:rsidR="004B20E5" w:rsidRPr="00666093" w:rsidRDefault="004B20E5" w:rsidP="00F83336">
            <w:pPr>
              <w:rPr>
                <w:sz w:val="18"/>
                <w:szCs w:val="18"/>
              </w:rPr>
            </w:pPr>
            <w:r w:rsidRPr="00666093">
              <w:rPr>
                <w:sz w:val="18"/>
                <w:szCs w:val="18"/>
              </w:rPr>
              <w:t>NPS</w:t>
            </w:r>
          </w:p>
          <w:p w:rsidR="004B20E5" w:rsidRPr="00666093" w:rsidRDefault="004B20E5" w:rsidP="00F83336">
            <w:pPr>
              <w:rPr>
                <w:sz w:val="18"/>
                <w:szCs w:val="18"/>
              </w:rPr>
            </w:pPr>
            <w:r w:rsidRPr="00666093">
              <w:rPr>
                <w:sz w:val="18"/>
                <w:szCs w:val="18"/>
              </w:rPr>
              <w:t>HP2020</w:t>
            </w:r>
          </w:p>
        </w:tc>
      </w:tr>
      <w:tr w:rsidR="004B20E5" w:rsidRPr="00666093" w:rsidTr="0012696F">
        <w:trPr>
          <w:cantSplit/>
        </w:trPr>
        <w:tc>
          <w:tcPr>
            <w:tcW w:w="525" w:type="pct"/>
          </w:tcPr>
          <w:p w:rsidR="004B20E5" w:rsidRPr="00666093" w:rsidRDefault="004B20E5" w:rsidP="00F83336">
            <w:pPr>
              <w:rPr>
                <w:b/>
                <w:sz w:val="18"/>
                <w:szCs w:val="18"/>
              </w:rPr>
            </w:pPr>
            <w:r w:rsidRPr="00666093">
              <w:rPr>
                <w:b/>
                <w:sz w:val="18"/>
                <w:szCs w:val="18"/>
              </w:rPr>
              <w:t xml:space="preserve">Obesity </w:t>
            </w:r>
          </w:p>
        </w:tc>
        <w:tc>
          <w:tcPr>
            <w:tcW w:w="528" w:type="pct"/>
          </w:tcPr>
          <w:p w:rsidR="004B20E5" w:rsidRPr="00666093" w:rsidRDefault="004B20E5" w:rsidP="00F83336">
            <w:pPr>
              <w:rPr>
                <w:sz w:val="18"/>
                <w:szCs w:val="18"/>
              </w:rPr>
            </w:pPr>
          </w:p>
        </w:tc>
        <w:tc>
          <w:tcPr>
            <w:tcW w:w="679" w:type="pct"/>
          </w:tcPr>
          <w:p w:rsidR="004B20E5" w:rsidRPr="00666093" w:rsidRDefault="004B20E5" w:rsidP="00C82F7D">
            <w:pPr>
              <w:rPr>
                <w:sz w:val="18"/>
                <w:szCs w:val="18"/>
              </w:rPr>
            </w:pPr>
            <w:r w:rsidRPr="00666093">
              <w:rPr>
                <w:sz w:val="18"/>
                <w:szCs w:val="18"/>
              </w:rPr>
              <w:t>22.</w:t>
            </w:r>
            <w:r>
              <w:rPr>
                <w:sz w:val="18"/>
                <w:szCs w:val="18"/>
              </w:rPr>
              <w:t>9</w:t>
            </w:r>
            <w:r w:rsidRPr="00666093">
              <w:rPr>
                <w:sz w:val="18"/>
                <w:szCs w:val="18"/>
              </w:rPr>
              <w:t>% of adults are obese (5</w:t>
            </w:r>
            <w:r>
              <w:rPr>
                <w:sz w:val="18"/>
                <w:szCs w:val="18"/>
              </w:rPr>
              <w:t>8.8</w:t>
            </w:r>
            <w:r w:rsidRPr="00666093">
              <w:rPr>
                <w:sz w:val="18"/>
                <w:szCs w:val="18"/>
              </w:rPr>
              <w:t>% considered overweight or obese)</w:t>
            </w:r>
            <w:r w:rsidRPr="00935C18">
              <w:rPr>
                <w:rStyle w:val="EndnoteReference"/>
              </w:rPr>
              <w:endnoteReference w:id="50"/>
            </w:r>
          </w:p>
          <w:p w:rsidR="004B20E5" w:rsidRPr="00666093" w:rsidRDefault="004B20E5" w:rsidP="00C82F7D">
            <w:pPr>
              <w:rPr>
                <w:sz w:val="8"/>
                <w:szCs w:val="8"/>
              </w:rPr>
            </w:pPr>
          </w:p>
          <w:p w:rsidR="004B20E5" w:rsidRPr="00666093" w:rsidRDefault="004B20E5" w:rsidP="00F83336">
            <w:pPr>
              <w:rPr>
                <w:sz w:val="8"/>
                <w:szCs w:val="8"/>
              </w:rPr>
            </w:pPr>
            <w:r w:rsidRPr="00666093">
              <w:rPr>
                <w:sz w:val="18"/>
                <w:szCs w:val="18"/>
              </w:rPr>
              <w:t>1</w:t>
            </w:r>
            <w:r>
              <w:rPr>
                <w:sz w:val="18"/>
                <w:szCs w:val="18"/>
              </w:rPr>
              <w:t>5.7</w:t>
            </w:r>
            <w:r w:rsidRPr="00666093">
              <w:rPr>
                <w:sz w:val="18"/>
                <w:szCs w:val="18"/>
              </w:rPr>
              <w:t xml:space="preserve">% of </w:t>
            </w:r>
            <w:r>
              <w:rPr>
                <w:sz w:val="18"/>
                <w:szCs w:val="18"/>
              </w:rPr>
              <w:t>MA</w:t>
            </w:r>
            <w:r w:rsidRPr="00666093">
              <w:rPr>
                <w:sz w:val="18"/>
                <w:szCs w:val="18"/>
              </w:rPr>
              <w:t xml:space="preserve"> students</w:t>
            </w:r>
            <w:r>
              <w:rPr>
                <w:sz w:val="18"/>
                <w:szCs w:val="18"/>
              </w:rPr>
              <w:t xml:space="preserve"> in 1st, 4th, 7</w:t>
            </w:r>
            <w:r w:rsidRPr="000037D3">
              <w:rPr>
                <w:sz w:val="18"/>
                <w:szCs w:val="18"/>
                <w:vertAlign w:val="superscript"/>
              </w:rPr>
              <w:t>th</w:t>
            </w:r>
            <w:r>
              <w:rPr>
                <w:sz w:val="18"/>
                <w:szCs w:val="18"/>
              </w:rPr>
              <w:t>, and 10</w:t>
            </w:r>
            <w:r w:rsidRPr="000037D3">
              <w:rPr>
                <w:sz w:val="18"/>
                <w:szCs w:val="18"/>
                <w:vertAlign w:val="superscript"/>
              </w:rPr>
              <w:t>th</w:t>
            </w:r>
            <w:r>
              <w:rPr>
                <w:sz w:val="18"/>
                <w:szCs w:val="18"/>
              </w:rPr>
              <w:t xml:space="preserve"> grades</w:t>
            </w:r>
            <w:r w:rsidRPr="00666093">
              <w:rPr>
                <w:sz w:val="18"/>
                <w:szCs w:val="18"/>
              </w:rPr>
              <w:t xml:space="preserve"> are obese</w:t>
            </w:r>
            <w:r w:rsidRPr="00935C18">
              <w:rPr>
                <w:rStyle w:val="EndnoteReference"/>
              </w:rPr>
              <w:endnoteReference w:id="51"/>
            </w:r>
          </w:p>
          <w:p w:rsidR="004B20E5" w:rsidRPr="00666093" w:rsidRDefault="004B20E5" w:rsidP="00A47642">
            <w:pPr>
              <w:rPr>
                <w:sz w:val="18"/>
                <w:szCs w:val="18"/>
              </w:rPr>
            </w:pPr>
          </w:p>
        </w:tc>
        <w:tc>
          <w:tcPr>
            <w:tcW w:w="746" w:type="pct"/>
          </w:tcPr>
          <w:p w:rsidR="004B20E5" w:rsidRPr="00666093" w:rsidRDefault="004B20E5" w:rsidP="00F83336">
            <w:pPr>
              <w:rPr>
                <w:sz w:val="18"/>
                <w:szCs w:val="18"/>
              </w:rPr>
            </w:pPr>
            <w:r w:rsidRPr="00666093">
              <w:rPr>
                <w:sz w:val="18"/>
                <w:szCs w:val="18"/>
              </w:rPr>
              <w:t>$3.5 billion in obesity-related MA healthcare expenditures</w:t>
            </w:r>
            <w:r w:rsidRPr="00925017">
              <w:rPr>
                <w:rStyle w:val="EndnoteReference"/>
              </w:rPr>
              <w:endnoteReference w:id="52"/>
            </w:r>
          </w:p>
          <w:p w:rsidR="004B20E5" w:rsidRPr="00666093" w:rsidRDefault="004B20E5" w:rsidP="00F83336">
            <w:pPr>
              <w:rPr>
                <w:sz w:val="8"/>
                <w:szCs w:val="8"/>
              </w:rPr>
            </w:pPr>
          </w:p>
          <w:p w:rsidR="004B20E5" w:rsidRPr="00666093" w:rsidRDefault="004B20E5" w:rsidP="00F83336">
            <w:pPr>
              <w:rPr>
                <w:sz w:val="18"/>
                <w:szCs w:val="18"/>
              </w:rPr>
            </w:pPr>
            <w:r w:rsidRPr="00666093">
              <w:rPr>
                <w:sz w:val="18"/>
                <w:szCs w:val="18"/>
              </w:rPr>
              <w:t>7.6% of all MA healthcare costs due to obesity</w:t>
            </w:r>
            <w:r w:rsidRPr="00925017">
              <w:rPr>
                <w:rStyle w:val="EndnoteReference"/>
              </w:rPr>
              <w:endnoteReference w:id="53"/>
            </w:r>
          </w:p>
        </w:tc>
        <w:tc>
          <w:tcPr>
            <w:tcW w:w="1197" w:type="pct"/>
          </w:tcPr>
          <w:p w:rsidR="004B20E5" w:rsidRPr="00666093" w:rsidRDefault="004B20E5" w:rsidP="00F83336">
            <w:pPr>
              <w:rPr>
                <w:sz w:val="18"/>
                <w:szCs w:val="18"/>
              </w:rPr>
            </w:pPr>
            <w:r w:rsidRPr="00666093">
              <w:rPr>
                <w:sz w:val="18"/>
                <w:szCs w:val="18"/>
              </w:rPr>
              <w:t>Groups with highest adult obesity rates: American Indians (34%),</w:t>
            </w:r>
            <w:r w:rsidRPr="00925017">
              <w:rPr>
                <w:rStyle w:val="EndnoteReference"/>
              </w:rPr>
              <w:endnoteReference w:id="54"/>
            </w:r>
            <w:r w:rsidRPr="00666093">
              <w:rPr>
                <w:sz w:val="18"/>
                <w:szCs w:val="18"/>
              </w:rPr>
              <w:t xml:space="preserve"> Black (31.6%), Hispanic (30.9%), less than HS education (31.1%), </w:t>
            </w:r>
            <w:r>
              <w:rPr>
                <w:sz w:val="18"/>
                <w:szCs w:val="18"/>
              </w:rPr>
              <w:t>people with disabilities</w:t>
            </w:r>
            <w:r w:rsidRPr="00666093">
              <w:rPr>
                <w:sz w:val="18"/>
                <w:szCs w:val="18"/>
              </w:rPr>
              <w:t xml:space="preserve"> (33.7%) and Western (26.1%) and South East (25.8%) regions of MA</w:t>
            </w:r>
            <w:r w:rsidRPr="00925017">
              <w:rPr>
                <w:rStyle w:val="EndnoteReference"/>
              </w:rPr>
              <w:endnoteReference w:id="55"/>
            </w:r>
          </w:p>
          <w:p w:rsidR="004B20E5" w:rsidRPr="00666093" w:rsidRDefault="004B20E5" w:rsidP="00F83336">
            <w:pPr>
              <w:rPr>
                <w:sz w:val="18"/>
                <w:szCs w:val="18"/>
              </w:rPr>
            </w:pPr>
          </w:p>
          <w:p w:rsidR="004B20E5" w:rsidRPr="00666093" w:rsidRDefault="004B20E5" w:rsidP="00F83336">
            <w:pPr>
              <w:rPr>
                <w:sz w:val="18"/>
                <w:szCs w:val="18"/>
              </w:rPr>
            </w:pPr>
          </w:p>
        </w:tc>
        <w:tc>
          <w:tcPr>
            <w:tcW w:w="746" w:type="pct"/>
            <w:gridSpan w:val="2"/>
          </w:tcPr>
          <w:p w:rsidR="004B20E5" w:rsidRPr="00666093" w:rsidRDefault="004B20E5" w:rsidP="00F83336">
            <w:pPr>
              <w:rPr>
                <w:sz w:val="18"/>
                <w:szCs w:val="18"/>
              </w:rPr>
            </w:pPr>
            <w:r w:rsidRPr="00666093">
              <w:rPr>
                <w:sz w:val="18"/>
                <w:szCs w:val="18"/>
              </w:rPr>
              <w:t>Overall ↑ in rates in past 15 years</w:t>
            </w:r>
          </w:p>
        </w:tc>
        <w:tc>
          <w:tcPr>
            <w:tcW w:w="579" w:type="pct"/>
          </w:tcPr>
          <w:p w:rsidR="004B20E5" w:rsidRPr="00666093" w:rsidRDefault="004B20E5" w:rsidP="00F83336">
            <w:pPr>
              <w:rPr>
                <w:sz w:val="18"/>
                <w:szCs w:val="18"/>
              </w:rPr>
            </w:pPr>
            <w:r w:rsidRPr="00666093">
              <w:rPr>
                <w:sz w:val="18"/>
                <w:szCs w:val="18"/>
              </w:rPr>
              <w:t>MDPH SP</w:t>
            </w:r>
          </w:p>
          <w:p w:rsidR="004B20E5" w:rsidRPr="00666093" w:rsidRDefault="004B20E5" w:rsidP="00F83336">
            <w:pPr>
              <w:rPr>
                <w:sz w:val="18"/>
                <w:szCs w:val="18"/>
              </w:rPr>
            </w:pPr>
            <w:r w:rsidRPr="00666093">
              <w:rPr>
                <w:sz w:val="18"/>
                <w:szCs w:val="18"/>
              </w:rPr>
              <w:t>PrevTrust</w:t>
            </w:r>
          </w:p>
          <w:p w:rsidR="004B20E5" w:rsidRPr="00666093" w:rsidRDefault="004B20E5" w:rsidP="00F83336">
            <w:pPr>
              <w:rPr>
                <w:sz w:val="18"/>
                <w:szCs w:val="18"/>
              </w:rPr>
            </w:pPr>
            <w:r w:rsidRPr="00666093">
              <w:rPr>
                <w:sz w:val="18"/>
                <w:szCs w:val="18"/>
              </w:rPr>
              <w:t>WB</w:t>
            </w:r>
          </w:p>
          <w:p w:rsidR="004B20E5" w:rsidRPr="00666093" w:rsidRDefault="004B20E5" w:rsidP="00F83336">
            <w:pPr>
              <w:rPr>
                <w:sz w:val="18"/>
                <w:szCs w:val="18"/>
              </w:rPr>
            </w:pPr>
            <w:r w:rsidRPr="00666093">
              <w:rPr>
                <w:sz w:val="18"/>
                <w:szCs w:val="18"/>
              </w:rPr>
              <w:t>NPS</w:t>
            </w:r>
          </w:p>
          <w:p w:rsidR="004B20E5" w:rsidRPr="00666093" w:rsidRDefault="004B20E5" w:rsidP="00F83336">
            <w:pPr>
              <w:rPr>
                <w:sz w:val="18"/>
                <w:szCs w:val="18"/>
              </w:rPr>
            </w:pPr>
            <w:r w:rsidRPr="00666093">
              <w:rPr>
                <w:sz w:val="18"/>
                <w:szCs w:val="18"/>
              </w:rPr>
              <w:t>HP2020</w:t>
            </w:r>
          </w:p>
        </w:tc>
      </w:tr>
      <w:tr w:rsidR="004B20E5" w:rsidRPr="00666093" w:rsidTr="0012696F">
        <w:trPr>
          <w:cantSplit/>
        </w:trPr>
        <w:tc>
          <w:tcPr>
            <w:tcW w:w="525" w:type="pct"/>
          </w:tcPr>
          <w:p w:rsidR="004B20E5" w:rsidRPr="00666093" w:rsidRDefault="004B20E5" w:rsidP="00F83336">
            <w:pPr>
              <w:rPr>
                <w:b/>
                <w:sz w:val="18"/>
                <w:szCs w:val="18"/>
              </w:rPr>
            </w:pPr>
            <w:r w:rsidRPr="00666093">
              <w:rPr>
                <w:b/>
                <w:sz w:val="18"/>
                <w:szCs w:val="18"/>
              </w:rPr>
              <w:t>Hypertension/High Blood Pressure</w:t>
            </w:r>
          </w:p>
        </w:tc>
        <w:tc>
          <w:tcPr>
            <w:tcW w:w="528" w:type="pct"/>
          </w:tcPr>
          <w:p w:rsidR="004B20E5" w:rsidRPr="00666093" w:rsidRDefault="004B20E5" w:rsidP="00F83336">
            <w:pPr>
              <w:rPr>
                <w:sz w:val="18"/>
                <w:szCs w:val="18"/>
              </w:rPr>
            </w:pPr>
          </w:p>
        </w:tc>
        <w:tc>
          <w:tcPr>
            <w:tcW w:w="679" w:type="pct"/>
          </w:tcPr>
          <w:p w:rsidR="004B20E5" w:rsidRPr="00666093" w:rsidRDefault="004B20E5" w:rsidP="00F83336">
            <w:pPr>
              <w:rPr>
                <w:sz w:val="18"/>
                <w:szCs w:val="18"/>
              </w:rPr>
            </w:pPr>
            <w:r w:rsidRPr="00666093">
              <w:rPr>
                <w:sz w:val="18"/>
                <w:szCs w:val="18"/>
              </w:rPr>
              <w:t>29.2% of MA adults report high blood pressure</w:t>
            </w:r>
            <w:r w:rsidRPr="00925017">
              <w:rPr>
                <w:rStyle w:val="EndnoteReference"/>
              </w:rPr>
              <w:endnoteReference w:id="56"/>
            </w:r>
          </w:p>
          <w:p w:rsidR="004B20E5" w:rsidRPr="00666093" w:rsidRDefault="004B20E5" w:rsidP="00F83336">
            <w:pPr>
              <w:rPr>
                <w:sz w:val="8"/>
                <w:szCs w:val="8"/>
              </w:rPr>
            </w:pPr>
          </w:p>
          <w:p w:rsidR="004B20E5" w:rsidRPr="00666093" w:rsidRDefault="004B20E5" w:rsidP="00F83336">
            <w:pPr>
              <w:rPr>
                <w:sz w:val="18"/>
                <w:szCs w:val="18"/>
              </w:rPr>
            </w:pPr>
            <w:r w:rsidRPr="00666093">
              <w:rPr>
                <w:sz w:val="18"/>
                <w:szCs w:val="18"/>
              </w:rPr>
              <w:t>54 hospitalizations per 100,000 for hypertension</w:t>
            </w:r>
            <w:r w:rsidRPr="00925017">
              <w:rPr>
                <w:rStyle w:val="EndnoteReference"/>
              </w:rPr>
              <w:endnoteReference w:id="57"/>
            </w:r>
          </w:p>
        </w:tc>
        <w:tc>
          <w:tcPr>
            <w:tcW w:w="746" w:type="pct"/>
          </w:tcPr>
          <w:p w:rsidR="004B20E5" w:rsidRPr="00666093" w:rsidRDefault="004B20E5" w:rsidP="00F83336">
            <w:pPr>
              <w:rPr>
                <w:sz w:val="18"/>
                <w:szCs w:val="18"/>
              </w:rPr>
            </w:pPr>
            <w:r w:rsidRPr="00666093">
              <w:rPr>
                <w:sz w:val="18"/>
                <w:szCs w:val="18"/>
              </w:rPr>
              <w:t>$82.7 million in MA hospital costs when hypertension is main diagnosis</w:t>
            </w:r>
            <w:r w:rsidRPr="00925017">
              <w:rPr>
                <w:rStyle w:val="EndnoteReference"/>
              </w:rPr>
              <w:endnoteReference w:id="58"/>
            </w:r>
          </w:p>
        </w:tc>
        <w:tc>
          <w:tcPr>
            <w:tcW w:w="1197" w:type="pct"/>
          </w:tcPr>
          <w:p w:rsidR="004B20E5" w:rsidRPr="00666093" w:rsidRDefault="004B20E5" w:rsidP="00A43F80">
            <w:pPr>
              <w:rPr>
                <w:sz w:val="18"/>
                <w:szCs w:val="18"/>
              </w:rPr>
            </w:pPr>
            <w:r w:rsidRPr="00666093">
              <w:rPr>
                <w:sz w:val="18"/>
                <w:szCs w:val="18"/>
              </w:rPr>
              <w:t xml:space="preserve">Rates highest among Blacks (34.6%), Whites (30.1%), </w:t>
            </w:r>
            <w:r>
              <w:rPr>
                <w:sz w:val="18"/>
                <w:szCs w:val="18"/>
              </w:rPr>
              <w:t>people with disabilities</w:t>
            </w:r>
            <w:r w:rsidRPr="00666093">
              <w:rPr>
                <w:sz w:val="18"/>
                <w:szCs w:val="18"/>
              </w:rPr>
              <w:t xml:space="preserve"> (42.9%), and those with less than HS education (37.1%) as well as those living in Western, North East, and the South East regions of MA</w:t>
            </w:r>
            <w:r w:rsidRPr="00925017">
              <w:rPr>
                <w:rStyle w:val="EndnoteReference"/>
              </w:rPr>
              <w:endnoteReference w:id="59"/>
            </w:r>
          </w:p>
        </w:tc>
        <w:tc>
          <w:tcPr>
            <w:tcW w:w="746" w:type="pct"/>
            <w:gridSpan w:val="2"/>
          </w:tcPr>
          <w:p w:rsidR="004B20E5" w:rsidRPr="00666093" w:rsidRDefault="004B20E5" w:rsidP="00C82F7D">
            <w:pPr>
              <w:rPr>
                <w:sz w:val="18"/>
                <w:szCs w:val="18"/>
              </w:rPr>
            </w:pPr>
            <w:r w:rsidRPr="00666093">
              <w:rPr>
                <w:sz w:val="18"/>
                <w:szCs w:val="18"/>
              </w:rPr>
              <w:t>Overall ↑ in rates in past 1</w:t>
            </w:r>
            <w:r>
              <w:rPr>
                <w:sz w:val="18"/>
                <w:szCs w:val="18"/>
              </w:rPr>
              <w:t xml:space="preserve">0 </w:t>
            </w:r>
            <w:r w:rsidRPr="00666093">
              <w:rPr>
                <w:sz w:val="18"/>
                <w:szCs w:val="18"/>
              </w:rPr>
              <w:t>years</w:t>
            </w:r>
          </w:p>
        </w:tc>
        <w:tc>
          <w:tcPr>
            <w:tcW w:w="579" w:type="pct"/>
          </w:tcPr>
          <w:p w:rsidR="004B20E5" w:rsidRPr="00666093" w:rsidRDefault="004B20E5" w:rsidP="00F83336">
            <w:pPr>
              <w:rPr>
                <w:sz w:val="18"/>
                <w:szCs w:val="18"/>
              </w:rPr>
            </w:pPr>
            <w:r w:rsidRPr="00666093">
              <w:rPr>
                <w:sz w:val="18"/>
                <w:szCs w:val="18"/>
              </w:rPr>
              <w:t>MDPH SP</w:t>
            </w:r>
          </w:p>
          <w:p w:rsidR="004B20E5" w:rsidRPr="00666093" w:rsidRDefault="004B20E5" w:rsidP="00F83336">
            <w:pPr>
              <w:rPr>
                <w:sz w:val="18"/>
                <w:szCs w:val="18"/>
              </w:rPr>
            </w:pPr>
            <w:r w:rsidRPr="00666093">
              <w:rPr>
                <w:sz w:val="18"/>
                <w:szCs w:val="18"/>
              </w:rPr>
              <w:t>PrevTrust</w:t>
            </w:r>
          </w:p>
          <w:p w:rsidR="004B20E5" w:rsidRPr="00666093" w:rsidRDefault="004B20E5" w:rsidP="00F83336">
            <w:pPr>
              <w:rPr>
                <w:sz w:val="18"/>
                <w:szCs w:val="18"/>
              </w:rPr>
            </w:pPr>
            <w:r w:rsidRPr="00666093">
              <w:rPr>
                <w:sz w:val="18"/>
                <w:szCs w:val="18"/>
              </w:rPr>
              <w:t>HP2020</w:t>
            </w:r>
          </w:p>
        </w:tc>
      </w:tr>
      <w:tr w:rsidR="004B20E5" w:rsidRPr="00666093" w:rsidTr="0012696F">
        <w:trPr>
          <w:cantSplit/>
        </w:trPr>
        <w:tc>
          <w:tcPr>
            <w:tcW w:w="525" w:type="pct"/>
          </w:tcPr>
          <w:p w:rsidR="004B20E5" w:rsidRPr="00666093" w:rsidRDefault="004B20E5" w:rsidP="00F83336">
            <w:pPr>
              <w:rPr>
                <w:b/>
                <w:sz w:val="18"/>
                <w:szCs w:val="18"/>
              </w:rPr>
            </w:pPr>
            <w:r w:rsidRPr="00666093">
              <w:rPr>
                <w:b/>
                <w:sz w:val="18"/>
                <w:szCs w:val="18"/>
              </w:rPr>
              <w:t>High Cholesterol</w:t>
            </w:r>
          </w:p>
        </w:tc>
        <w:tc>
          <w:tcPr>
            <w:tcW w:w="528" w:type="pct"/>
          </w:tcPr>
          <w:p w:rsidR="004B20E5" w:rsidRPr="00666093" w:rsidRDefault="004B20E5" w:rsidP="00F83336">
            <w:pPr>
              <w:rPr>
                <w:sz w:val="18"/>
                <w:szCs w:val="18"/>
              </w:rPr>
            </w:pPr>
          </w:p>
        </w:tc>
        <w:tc>
          <w:tcPr>
            <w:tcW w:w="679" w:type="pct"/>
          </w:tcPr>
          <w:p w:rsidR="004B20E5" w:rsidRPr="00666093" w:rsidRDefault="004B20E5" w:rsidP="00103288">
            <w:pPr>
              <w:rPr>
                <w:sz w:val="18"/>
                <w:szCs w:val="18"/>
              </w:rPr>
            </w:pPr>
            <w:r w:rsidRPr="00666093">
              <w:rPr>
                <w:sz w:val="18"/>
                <w:szCs w:val="18"/>
              </w:rPr>
              <w:t>34.3% of adults report high cholesterol</w:t>
            </w:r>
            <w:r>
              <w:rPr>
                <w:rStyle w:val="EndnoteReference"/>
                <w:sz w:val="18"/>
                <w:szCs w:val="18"/>
              </w:rPr>
              <w:endnoteReference w:id="60"/>
            </w:r>
          </w:p>
        </w:tc>
        <w:tc>
          <w:tcPr>
            <w:tcW w:w="746" w:type="pct"/>
          </w:tcPr>
          <w:p w:rsidR="004B20E5" w:rsidRPr="00666093" w:rsidRDefault="004B20E5" w:rsidP="00103288">
            <w:pPr>
              <w:rPr>
                <w:sz w:val="18"/>
                <w:szCs w:val="18"/>
              </w:rPr>
            </w:pPr>
            <w:r w:rsidRPr="00666093">
              <w:rPr>
                <w:sz w:val="18"/>
                <w:szCs w:val="18"/>
              </w:rPr>
              <w:t>$37.2 billion spent in U.S. on cholesterol-related services / medications</w:t>
            </w:r>
            <w:r>
              <w:rPr>
                <w:rStyle w:val="EndnoteReference"/>
                <w:sz w:val="18"/>
                <w:szCs w:val="18"/>
              </w:rPr>
              <w:endnoteReference w:id="61"/>
            </w:r>
          </w:p>
        </w:tc>
        <w:tc>
          <w:tcPr>
            <w:tcW w:w="1197" w:type="pct"/>
          </w:tcPr>
          <w:p w:rsidR="004B20E5" w:rsidRPr="00666093" w:rsidRDefault="004B20E5" w:rsidP="00103288">
            <w:pPr>
              <w:rPr>
                <w:sz w:val="18"/>
                <w:szCs w:val="18"/>
              </w:rPr>
            </w:pPr>
            <w:r w:rsidRPr="00666093">
              <w:rPr>
                <w:sz w:val="18"/>
                <w:szCs w:val="18"/>
              </w:rPr>
              <w:t xml:space="preserve">Groups most likely with high cholesterol: </w:t>
            </w:r>
            <w:r>
              <w:rPr>
                <w:sz w:val="18"/>
                <w:szCs w:val="18"/>
              </w:rPr>
              <w:t>people with disabilities</w:t>
            </w:r>
            <w:r w:rsidRPr="00666093">
              <w:rPr>
                <w:sz w:val="18"/>
                <w:szCs w:val="18"/>
              </w:rPr>
              <w:t xml:space="preserve"> (46.6%), those with less than HS education (41.9%), and those living in North East (36.2%) and South East (35.7%) regions</w:t>
            </w:r>
            <w:r>
              <w:rPr>
                <w:rStyle w:val="EndnoteReference"/>
                <w:sz w:val="18"/>
                <w:szCs w:val="18"/>
              </w:rPr>
              <w:endnoteReference w:id="62"/>
            </w:r>
          </w:p>
        </w:tc>
        <w:tc>
          <w:tcPr>
            <w:tcW w:w="746" w:type="pct"/>
            <w:gridSpan w:val="2"/>
          </w:tcPr>
          <w:p w:rsidR="004B20E5" w:rsidRPr="00666093" w:rsidRDefault="004B20E5" w:rsidP="00F83336">
            <w:pPr>
              <w:rPr>
                <w:sz w:val="18"/>
                <w:szCs w:val="18"/>
              </w:rPr>
            </w:pPr>
            <w:r w:rsidRPr="00666093">
              <w:rPr>
                <w:sz w:val="18"/>
                <w:szCs w:val="18"/>
              </w:rPr>
              <w:t>Overall ↑ in past 15 years</w:t>
            </w:r>
          </w:p>
        </w:tc>
        <w:tc>
          <w:tcPr>
            <w:tcW w:w="579" w:type="pct"/>
          </w:tcPr>
          <w:p w:rsidR="004B20E5" w:rsidRPr="00666093" w:rsidRDefault="004B20E5" w:rsidP="00F83336">
            <w:pPr>
              <w:rPr>
                <w:sz w:val="18"/>
                <w:szCs w:val="18"/>
              </w:rPr>
            </w:pPr>
            <w:r w:rsidRPr="00666093">
              <w:rPr>
                <w:sz w:val="18"/>
                <w:szCs w:val="18"/>
              </w:rPr>
              <w:t>MDPH SP</w:t>
            </w:r>
          </w:p>
          <w:p w:rsidR="004B20E5" w:rsidRPr="00666093" w:rsidRDefault="004B20E5" w:rsidP="00F83336">
            <w:pPr>
              <w:rPr>
                <w:sz w:val="18"/>
                <w:szCs w:val="18"/>
              </w:rPr>
            </w:pPr>
            <w:r w:rsidRPr="00666093">
              <w:rPr>
                <w:sz w:val="18"/>
                <w:szCs w:val="18"/>
              </w:rPr>
              <w:t>PrevTrust</w:t>
            </w:r>
          </w:p>
          <w:p w:rsidR="004B20E5" w:rsidRPr="00666093" w:rsidRDefault="004B20E5" w:rsidP="00F83336">
            <w:pPr>
              <w:rPr>
                <w:sz w:val="18"/>
                <w:szCs w:val="18"/>
              </w:rPr>
            </w:pPr>
            <w:r w:rsidRPr="00666093">
              <w:rPr>
                <w:sz w:val="18"/>
                <w:szCs w:val="18"/>
              </w:rPr>
              <w:t>HP2020</w:t>
            </w:r>
          </w:p>
        </w:tc>
      </w:tr>
      <w:tr w:rsidR="004B20E5" w:rsidRPr="00666093" w:rsidTr="0012696F">
        <w:trPr>
          <w:cantSplit/>
        </w:trPr>
        <w:tc>
          <w:tcPr>
            <w:tcW w:w="525" w:type="pct"/>
          </w:tcPr>
          <w:p w:rsidR="004B20E5" w:rsidRPr="00666093" w:rsidRDefault="004B20E5" w:rsidP="00F83336">
            <w:pPr>
              <w:rPr>
                <w:b/>
                <w:sz w:val="18"/>
                <w:szCs w:val="18"/>
              </w:rPr>
            </w:pPr>
            <w:r w:rsidRPr="00666093">
              <w:rPr>
                <w:b/>
                <w:sz w:val="18"/>
                <w:szCs w:val="18"/>
              </w:rPr>
              <w:t>Cardiovascular Disease (CVD)  and Stroke</w:t>
            </w:r>
          </w:p>
        </w:tc>
        <w:tc>
          <w:tcPr>
            <w:tcW w:w="528" w:type="pct"/>
          </w:tcPr>
          <w:p w:rsidR="004B20E5" w:rsidRPr="00666093" w:rsidRDefault="004B20E5" w:rsidP="00F83336">
            <w:pPr>
              <w:rPr>
                <w:sz w:val="18"/>
                <w:szCs w:val="18"/>
              </w:rPr>
            </w:pPr>
            <w:r w:rsidRPr="00666093">
              <w:rPr>
                <w:sz w:val="18"/>
                <w:szCs w:val="18"/>
              </w:rPr>
              <w:t>149.4 deaths per 100,000 residents from CVD</w:t>
            </w:r>
            <w:r w:rsidRPr="00925017">
              <w:rPr>
                <w:rStyle w:val="EndnoteReference"/>
              </w:rPr>
              <w:endnoteReference w:id="63"/>
            </w:r>
            <w:r w:rsidRPr="00666093">
              <w:rPr>
                <w:sz w:val="18"/>
                <w:szCs w:val="18"/>
              </w:rPr>
              <w:t xml:space="preserve"> and 47,753 years of potential life lost (YPLL)</w:t>
            </w:r>
            <w:r w:rsidRPr="00925017">
              <w:rPr>
                <w:rStyle w:val="EndnoteReference"/>
              </w:rPr>
              <w:endnoteReference w:id="64"/>
            </w:r>
          </w:p>
          <w:p w:rsidR="004B20E5" w:rsidRPr="00666093" w:rsidRDefault="004B20E5" w:rsidP="00F83336">
            <w:pPr>
              <w:rPr>
                <w:sz w:val="8"/>
                <w:szCs w:val="8"/>
              </w:rPr>
            </w:pPr>
          </w:p>
          <w:p w:rsidR="004B20E5" w:rsidRPr="00666093" w:rsidRDefault="004B20E5" w:rsidP="00F83336">
            <w:pPr>
              <w:rPr>
                <w:sz w:val="18"/>
                <w:szCs w:val="18"/>
              </w:rPr>
            </w:pPr>
            <w:r w:rsidRPr="00666093">
              <w:rPr>
                <w:sz w:val="18"/>
                <w:szCs w:val="18"/>
              </w:rPr>
              <w:t>31.2 deaths per 100,000 residents from stroke</w:t>
            </w:r>
            <w:r w:rsidRPr="00925017">
              <w:rPr>
                <w:rStyle w:val="EndnoteReference"/>
              </w:rPr>
              <w:endnoteReference w:id="65"/>
            </w:r>
            <w:r w:rsidRPr="00666093">
              <w:rPr>
                <w:sz w:val="18"/>
                <w:szCs w:val="18"/>
              </w:rPr>
              <w:t xml:space="preserve"> and 7,276 YPLL</w:t>
            </w:r>
            <w:r w:rsidRPr="00925017">
              <w:rPr>
                <w:rStyle w:val="EndnoteReference"/>
              </w:rPr>
              <w:endnoteReference w:id="66"/>
            </w:r>
          </w:p>
        </w:tc>
        <w:tc>
          <w:tcPr>
            <w:tcW w:w="679" w:type="pct"/>
          </w:tcPr>
          <w:p w:rsidR="004B20E5" w:rsidRPr="00666093" w:rsidRDefault="004B20E5" w:rsidP="00F83336">
            <w:pPr>
              <w:rPr>
                <w:sz w:val="18"/>
                <w:szCs w:val="18"/>
              </w:rPr>
            </w:pPr>
            <w:r w:rsidRPr="00666093">
              <w:rPr>
                <w:sz w:val="18"/>
                <w:szCs w:val="18"/>
              </w:rPr>
              <w:t>5.2% of adults ever diagnosed with angina or heart disease</w:t>
            </w:r>
            <w:r w:rsidRPr="00925017">
              <w:rPr>
                <w:rStyle w:val="EndnoteReference"/>
              </w:rPr>
              <w:endnoteReference w:id="67"/>
            </w:r>
          </w:p>
          <w:p w:rsidR="004B20E5" w:rsidRPr="00666093" w:rsidRDefault="004B20E5" w:rsidP="00F83336">
            <w:pPr>
              <w:rPr>
                <w:sz w:val="8"/>
                <w:szCs w:val="8"/>
              </w:rPr>
            </w:pPr>
          </w:p>
          <w:p w:rsidR="004B20E5" w:rsidRPr="00666093" w:rsidRDefault="004B20E5" w:rsidP="00F83336">
            <w:pPr>
              <w:rPr>
                <w:sz w:val="18"/>
                <w:szCs w:val="18"/>
              </w:rPr>
            </w:pPr>
            <w:r w:rsidRPr="00666093">
              <w:rPr>
                <w:sz w:val="18"/>
                <w:szCs w:val="18"/>
              </w:rPr>
              <w:t>3.1% of adults report having a stroke</w:t>
            </w:r>
            <w:r w:rsidRPr="00925017">
              <w:rPr>
                <w:rStyle w:val="EndnoteReference"/>
              </w:rPr>
              <w:endnoteReference w:id="68"/>
            </w:r>
          </w:p>
          <w:p w:rsidR="004B20E5" w:rsidRPr="00666093" w:rsidRDefault="004B20E5" w:rsidP="00F83336">
            <w:pPr>
              <w:rPr>
                <w:sz w:val="8"/>
                <w:szCs w:val="8"/>
              </w:rPr>
            </w:pPr>
          </w:p>
          <w:p w:rsidR="004B20E5" w:rsidRPr="00666093" w:rsidRDefault="004B20E5" w:rsidP="00F83336">
            <w:pPr>
              <w:rPr>
                <w:sz w:val="18"/>
                <w:szCs w:val="18"/>
              </w:rPr>
            </w:pPr>
            <w:r w:rsidRPr="00666093">
              <w:rPr>
                <w:sz w:val="18"/>
                <w:szCs w:val="18"/>
              </w:rPr>
              <w:t xml:space="preserve">261  stroke hospitalizations per 100,000 </w:t>
            </w:r>
            <w:r w:rsidRPr="00925017">
              <w:rPr>
                <w:rStyle w:val="EndnoteReference"/>
              </w:rPr>
              <w:endnoteReference w:id="69"/>
            </w:r>
          </w:p>
        </w:tc>
        <w:tc>
          <w:tcPr>
            <w:tcW w:w="746" w:type="pct"/>
          </w:tcPr>
          <w:p w:rsidR="004B20E5" w:rsidRPr="00666093" w:rsidRDefault="004B20E5" w:rsidP="00F83336">
            <w:pPr>
              <w:rPr>
                <w:sz w:val="18"/>
                <w:szCs w:val="18"/>
              </w:rPr>
            </w:pPr>
            <w:r w:rsidRPr="00666093">
              <w:rPr>
                <w:sz w:val="18"/>
                <w:szCs w:val="18"/>
              </w:rPr>
              <w:t>$3.4 billion in inpatient hospital charges in MA for cardiovascular disease</w:t>
            </w:r>
            <w:r w:rsidRPr="00925017">
              <w:rPr>
                <w:rStyle w:val="EndnoteReference"/>
              </w:rPr>
              <w:endnoteReference w:id="70"/>
            </w:r>
          </w:p>
          <w:p w:rsidR="004B20E5" w:rsidRPr="00666093" w:rsidRDefault="004B20E5" w:rsidP="00F83336">
            <w:pPr>
              <w:rPr>
                <w:sz w:val="8"/>
                <w:szCs w:val="8"/>
              </w:rPr>
            </w:pPr>
          </w:p>
          <w:p w:rsidR="004B20E5" w:rsidRPr="00666093" w:rsidRDefault="004B20E5" w:rsidP="00F83336">
            <w:pPr>
              <w:rPr>
                <w:sz w:val="18"/>
                <w:szCs w:val="18"/>
              </w:rPr>
            </w:pPr>
            <w:r w:rsidRPr="00666093">
              <w:rPr>
                <w:sz w:val="18"/>
                <w:szCs w:val="18"/>
              </w:rPr>
              <w:t>$1.2 billion in direct and indirect costs in MA for stroke</w:t>
            </w:r>
            <w:r w:rsidRPr="00925017">
              <w:rPr>
                <w:rStyle w:val="EndnoteReference"/>
              </w:rPr>
              <w:endnoteReference w:id="71"/>
            </w:r>
          </w:p>
        </w:tc>
        <w:tc>
          <w:tcPr>
            <w:tcW w:w="1197" w:type="pct"/>
          </w:tcPr>
          <w:p w:rsidR="004B20E5" w:rsidRPr="00666093" w:rsidRDefault="004B20E5" w:rsidP="00F83336">
            <w:pPr>
              <w:rPr>
                <w:sz w:val="18"/>
                <w:szCs w:val="18"/>
              </w:rPr>
            </w:pPr>
            <w:r w:rsidRPr="00666093">
              <w:rPr>
                <w:sz w:val="18"/>
                <w:szCs w:val="18"/>
              </w:rPr>
              <w:t xml:space="preserve">Groups most likely diagnosed with heart disease or stroke: </w:t>
            </w:r>
            <w:r>
              <w:rPr>
                <w:sz w:val="18"/>
                <w:szCs w:val="18"/>
              </w:rPr>
              <w:t>people with disabilities</w:t>
            </w:r>
            <w:r w:rsidRPr="00666093">
              <w:rPr>
                <w:sz w:val="18"/>
                <w:szCs w:val="18"/>
              </w:rPr>
              <w:t>, those with less than $25,000 income, and residents in Western, Central, and South East regions</w:t>
            </w:r>
            <w:r w:rsidRPr="00925017">
              <w:rPr>
                <w:rStyle w:val="EndnoteReference"/>
              </w:rPr>
              <w:endnoteReference w:id="72"/>
            </w:r>
          </w:p>
          <w:p w:rsidR="004B20E5" w:rsidRPr="00666093" w:rsidRDefault="004B20E5" w:rsidP="00F83336">
            <w:pPr>
              <w:rPr>
                <w:sz w:val="18"/>
                <w:szCs w:val="18"/>
              </w:rPr>
            </w:pPr>
          </w:p>
        </w:tc>
        <w:tc>
          <w:tcPr>
            <w:tcW w:w="746" w:type="pct"/>
            <w:gridSpan w:val="2"/>
          </w:tcPr>
          <w:p w:rsidR="004B20E5" w:rsidRPr="00666093" w:rsidRDefault="004B20E5" w:rsidP="00F83336">
            <w:pPr>
              <w:rPr>
                <w:sz w:val="18"/>
                <w:szCs w:val="18"/>
              </w:rPr>
            </w:pPr>
            <w:r w:rsidRPr="00666093">
              <w:rPr>
                <w:sz w:val="18"/>
                <w:szCs w:val="18"/>
              </w:rPr>
              <w:t xml:space="preserve">Overall ↓ in past 15 years in heart disease and stroke age-adjusted death rates </w:t>
            </w:r>
          </w:p>
        </w:tc>
        <w:tc>
          <w:tcPr>
            <w:tcW w:w="579" w:type="pct"/>
          </w:tcPr>
          <w:p w:rsidR="004B20E5" w:rsidRPr="00666093" w:rsidRDefault="004B20E5" w:rsidP="00F83336">
            <w:pPr>
              <w:rPr>
                <w:sz w:val="18"/>
                <w:szCs w:val="18"/>
              </w:rPr>
            </w:pPr>
            <w:r w:rsidRPr="00666093">
              <w:rPr>
                <w:sz w:val="18"/>
                <w:szCs w:val="18"/>
              </w:rPr>
              <w:t>MDPH SP</w:t>
            </w:r>
          </w:p>
          <w:p w:rsidR="004B20E5" w:rsidRPr="00666093" w:rsidRDefault="004B20E5" w:rsidP="00F83336">
            <w:pPr>
              <w:rPr>
                <w:sz w:val="18"/>
                <w:szCs w:val="18"/>
              </w:rPr>
            </w:pPr>
            <w:r w:rsidRPr="00666093">
              <w:rPr>
                <w:sz w:val="18"/>
                <w:szCs w:val="18"/>
              </w:rPr>
              <w:t>HP2020</w:t>
            </w:r>
          </w:p>
        </w:tc>
      </w:tr>
      <w:tr w:rsidR="004B20E5" w:rsidRPr="00666093" w:rsidTr="0012696F">
        <w:trPr>
          <w:cantSplit/>
        </w:trPr>
        <w:tc>
          <w:tcPr>
            <w:tcW w:w="525" w:type="pct"/>
          </w:tcPr>
          <w:p w:rsidR="004B20E5" w:rsidRPr="00666093" w:rsidRDefault="004B20E5" w:rsidP="00F83336">
            <w:pPr>
              <w:rPr>
                <w:b/>
                <w:sz w:val="18"/>
                <w:szCs w:val="18"/>
              </w:rPr>
            </w:pPr>
            <w:r w:rsidRPr="00666093">
              <w:rPr>
                <w:b/>
                <w:sz w:val="18"/>
                <w:szCs w:val="18"/>
              </w:rPr>
              <w:t xml:space="preserve">Diabetes </w:t>
            </w:r>
          </w:p>
        </w:tc>
        <w:tc>
          <w:tcPr>
            <w:tcW w:w="528" w:type="pct"/>
          </w:tcPr>
          <w:p w:rsidR="004B20E5" w:rsidRPr="00666093" w:rsidRDefault="004B20E5" w:rsidP="00F83336">
            <w:pPr>
              <w:rPr>
                <w:sz w:val="18"/>
                <w:szCs w:val="18"/>
              </w:rPr>
            </w:pPr>
            <w:r w:rsidRPr="00666093">
              <w:rPr>
                <w:sz w:val="18"/>
                <w:szCs w:val="18"/>
              </w:rPr>
              <w:t>13.3 diabetes deaths per 100,000 residents</w:t>
            </w:r>
            <w:r w:rsidRPr="00925017">
              <w:rPr>
                <w:rStyle w:val="EndnoteReference"/>
              </w:rPr>
              <w:endnoteReference w:id="73"/>
            </w:r>
            <w:r w:rsidRPr="00666093">
              <w:rPr>
                <w:sz w:val="18"/>
                <w:szCs w:val="18"/>
              </w:rPr>
              <w:t xml:space="preserve"> and 6,122 YPLL</w:t>
            </w:r>
            <w:r w:rsidRPr="00925017">
              <w:rPr>
                <w:rStyle w:val="EndnoteReference"/>
              </w:rPr>
              <w:endnoteReference w:id="74"/>
            </w:r>
          </w:p>
        </w:tc>
        <w:tc>
          <w:tcPr>
            <w:tcW w:w="679" w:type="pct"/>
          </w:tcPr>
          <w:p w:rsidR="004B20E5" w:rsidRPr="00666093" w:rsidRDefault="004B20E5" w:rsidP="00F83336">
            <w:pPr>
              <w:rPr>
                <w:sz w:val="18"/>
                <w:szCs w:val="18"/>
              </w:rPr>
            </w:pPr>
            <w:r w:rsidRPr="00666093">
              <w:rPr>
                <w:sz w:val="18"/>
                <w:szCs w:val="18"/>
              </w:rPr>
              <w:t>8</w:t>
            </w:r>
            <w:r>
              <w:rPr>
                <w:sz w:val="18"/>
                <w:szCs w:val="18"/>
              </w:rPr>
              <w:t>.3</w:t>
            </w:r>
            <w:r w:rsidRPr="00666093">
              <w:rPr>
                <w:sz w:val="18"/>
                <w:szCs w:val="18"/>
              </w:rPr>
              <w:t>% of adults have diabetes</w:t>
            </w:r>
            <w:r w:rsidRPr="00925017">
              <w:rPr>
                <w:rStyle w:val="EndnoteReference"/>
              </w:rPr>
              <w:endnoteReference w:id="75"/>
            </w:r>
          </w:p>
          <w:p w:rsidR="004B20E5" w:rsidRPr="00666093" w:rsidRDefault="004B20E5" w:rsidP="00F83336">
            <w:pPr>
              <w:rPr>
                <w:sz w:val="8"/>
                <w:szCs w:val="8"/>
              </w:rPr>
            </w:pPr>
          </w:p>
          <w:p w:rsidR="004B20E5" w:rsidRPr="00666093" w:rsidRDefault="004B20E5" w:rsidP="006B57CB">
            <w:pPr>
              <w:rPr>
                <w:sz w:val="18"/>
                <w:szCs w:val="18"/>
              </w:rPr>
            </w:pPr>
            <w:r w:rsidRPr="00666093">
              <w:rPr>
                <w:sz w:val="18"/>
                <w:szCs w:val="18"/>
              </w:rPr>
              <w:t>108 hospitalizations per 100,000 population</w:t>
            </w:r>
            <w:r>
              <w:rPr>
                <w:sz w:val="18"/>
                <w:szCs w:val="18"/>
              </w:rPr>
              <w:t xml:space="preserve"> (Type 2 only)</w:t>
            </w:r>
          </w:p>
          <w:p w:rsidR="004B20E5" w:rsidRPr="00666093" w:rsidRDefault="004B20E5" w:rsidP="00F83336">
            <w:pPr>
              <w:rPr>
                <w:sz w:val="8"/>
                <w:szCs w:val="8"/>
              </w:rPr>
            </w:pPr>
          </w:p>
          <w:p w:rsidR="004B20E5" w:rsidRPr="00666093" w:rsidRDefault="004B20E5" w:rsidP="00F83336">
            <w:pPr>
              <w:rPr>
                <w:sz w:val="18"/>
                <w:szCs w:val="18"/>
              </w:rPr>
            </w:pPr>
            <w:r w:rsidRPr="00666093">
              <w:rPr>
                <w:sz w:val="18"/>
                <w:szCs w:val="18"/>
              </w:rPr>
              <w:t>130 ED visits per 100,000</w:t>
            </w:r>
            <w:r>
              <w:rPr>
                <w:sz w:val="18"/>
                <w:szCs w:val="18"/>
              </w:rPr>
              <w:t xml:space="preserve"> (Type 2 only) </w:t>
            </w:r>
            <w:r w:rsidRPr="00C671EB">
              <w:rPr>
                <w:rStyle w:val="EndnoteReference"/>
                <w:sz w:val="18"/>
                <w:szCs w:val="18"/>
              </w:rPr>
              <w:endnoteReference w:id="76"/>
            </w:r>
          </w:p>
        </w:tc>
        <w:tc>
          <w:tcPr>
            <w:tcW w:w="746" w:type="pct"/>
          </w:tcPr>
          <w:p w:rsidR="004B20E5" w:rsidRPr="00666093" w:rsidRDefault="004B20E5" w:rsidP="00F83336">
            <w:pPr>
              <w:rPr>
                <w:sz w:val="18"/>
                <w:szCs w:val="18"/>
              </w:rPr>
            </w:pPr>
            <w:r w:rsidRPr="00666093">
              <w:rPr>
                <w:sz w:val="18"/>
                <w:szCs w:val="18"/>
              </w:rPr>
              <w:t>Nearly $150 million in MA inpatient hospitalizations with diabetes as admitting diagnosis</w:t>
            </w:r>
            <w:r w:rsidRPr="00925017">
              <w:rPr>
                <w:rStyle w:val="EndnoteReference"/>
              </w:rPr>
              <w:endnoteReference w:id="77"/>
            </w:r>
          </w:p>
        </w:tc>
        <w:tc>
          <w:tcPr>
            <w:tcW w:w="1197" w:type="pct"/>
          </w:tcPr>
          <w:p w:rsidR="004B20E5" w:rsidRPr="00666093" w:rsidRDefault="004B20E5" w:rsidP="00F83336">
            <w:pPr>
              <w:rPr>
                <w:sz w:val="18"/>
                <w:szCs w:val="18"/>
              </w:rPr>
            </w:pPr>
            <w:r w:rsidRPr="00666093">
              <w:rPr>
                <w:sz w:val="18"/>
                <w:szCs w:val="18"/>
              </w:rPr>
              <w:t>Rates highest among Blacks (</w:t>
            </w:r>
            <w:r>
              <w:rPr>
                <w:sz w:val="18"/>
                <w:szCs w:val="18"/>
              </w:rPr>
              <w:t>10.9</w:t>
            </w:r>
            <w:r w:rsidRPr="00666093">
              <w:rPr>
                <w:sz w:val="18"/>
                <w:szCs w:val="18"/>
              </w:rPr>
              <w:t>%), Hispanics (</w:t>
            </w:r>
            <w:r>
              <w:rPr>
                <w:sz w:val="18"/>
                <w:szCs w:val="18"/>
              </w:rPr>
              <w:t>10.4</w:t>
            </w:r>
            <w:r w:rsidRPr="00666093">
              <w:rPr>
                <w:sz w:val="18"/>
                <w:szCs w:val="18"/>
              </w:rPr>
              <w:t xml:space="preserve">%), the </w:t>
            </w:r>
            <w:r>
              <w:rPr>
                <w:sz w:val="18"/>
                <w:szCs w:val="18"/>
              </w:rPr>
              <w:t>people with disabilities</w:t>
            </w:r>
            <w:r w:rsidRPr="00666093">
              <w:rPr>
                <w:sz w:val="18"/>
                <w:szCs w:val="18"/>
              </w:rPr>
              <w:t xml:space="preserve"> (</w:t>
            </w:r>
            <w:r>
              <w:rPr>
                <w:sz w:val="18"/>
                <w:szCs w:val="18"/>
              </w:rPr>
              <w:t>17.1</w:t>
            </w:r>
            <w:r w:rsidRPr="00666093">
              <w:rPr>
                <w:sz w:val="18"/>
                <w:szCs w:val="18"/>
              </w:rPr>
              <w:t>%), those with less than a HS education (</w:t>
            </w:r>
            <w:r>
              <w:rPr>
                <w:sz w:val="18"/>
                <w:szCs w:val="18"/>
              </w:rPr>
              <w:t>13.1</w:t>
            </w:r>
            <w:r w:rsidRPr="00666093">
              <w:rPr>
                <w:sz w:val="18"/>
                <w:szCs w:val="18"/>
              </w:rPr>
              <w:t>%), and residents in the South East, Western, and North East regions</w:t>
            </w:r>
            <w:r w:rsidRPr="00925017">
              <w:rPr>
                <w:rStyle w:val="EndnoteReference"/>
              </w:rPr>
              <w:endnoteReference w:id="78"/>
            </w:r>
          </w:p>
          <w:p w:rsidR="004B20E5" w:rsidRPr="00666093" w:rsidRDefault="004B20E5" w:rsidP="00F83336">
            <w:pPr>
              <w:rPr>
                <w:sz w:val="18"/>
                <w:szCs w:val="18"/>
              </w:rPr>
            </w:pPr>
          </w:p>
        </w:tc>
        <w:tc>
          <w:tcPr>
            <w:tcW w:w="746" w:type="pct"/>
            <w:gridSpan w:val="2"/>
          </w:tcPr>
          <w:p w:rsidR="004B20E5" w:rsidRPr="00666093" w:rsidRDefault="004B20E5" w:rsidP="00F83336">
            <w:pPr>
              <w:rPr>
                <w:sz w:val="18"/>
                <w:szCs w:val="18"/>
              </w:rPr>
            </w:pPr>
            <w:r w:rsidRPr="00666093">
              <w:rPr>
                <w:sz w:val="18"/>
                <w:szCs w:val="18"/>
              </w:rPr>
              <w:t>Very slight ↑in percentage of adults with diabetes in past several years</w:t>
            </w:r>
          </w:p>
        </w:tc>
        <w:tc>
          <w:tcPr>
            <w:tcW w:w="579" w:type="pct"/>
          </w:tcPr>
          <w:p w:rsidR="004B20E5" w:rsidRPr="00666093" w:rsidRDefault="004B20E5" w:rsidP="00F83336">
            <w:pPr>
              <w:rPr>
                <w:sz w:val="18"/>
                <w:szCs w:val="18"/>
              </w:rPr>
            </w:pPr>
            <w:r w:rsidRPr="00666093">
              <w:rPr>
                <w:sz w:val="18"/>
                <w:szCs w:val="18"/>
              </w:rPr>
              <w:t>MDPH SP</w:t>
            </w:r>
          </w:p>
          <w:p w:rsidR="004B20E5" w:rsidRPr="00666093" w:rsidRDefault="004B20E5" w:rsidP="00F83336">
            <w:pPr>
              <w:rPr>
                <w:sz w:val="18"/>
                <w:szCs w:val="18"/>
              </w:rPr>
            </w:pPr>
            <w:r w:rsidRPr="00666093">
              <w:rPr>
                <w:sz w:val="18"/>
                <w:szCs w:val="18"/>
              </w:rPr>
              <w:t>PrevTrust</w:t>
            </w:r>
          </w:p>
          <w:p w:rsidR="004B20E5" w:rsidRPr="00666093" w:rsidRDefault="004B20E5" w:rsidP="00F83336">
            <w:pPr>
              <w:rPr>
                <w:sz w:val="18"/>
                <w:szCs w:val="18"/>
              </w:rPr>
            </w:pPr>
            <w:r w:rsidRPr="00666093">
              <w:rPr>
                <w:sz w:val="18"/>
                <w:szCs w:val="18"/>
              </w:rPr>
              <w:t>HP2020</w:t>
            </w:r>
          </w:p>
        </w:tc>
      </w:tr>
      <w:tr w:rsidR="004B20E5" w:rsidRPr="00666093" w:rsidTr="0012696F">
        <w:trPr>
          <w:cantSplit/>
        </w:trPr>
        <w:tc>
          <w:tcPr>
            <w:tcW w:w="525" w:type="pct"/>
          </w:tcPr>
          <w:p w:rsidR="004B20E5" w:rsidRPr="00666093" w:rsidRDefault="004B20E5" w:rsidP="006B57CB">
            <w:pPr>
              <w:rPr>
                <w:b/>
                <w:sz w:val="18"/>
                <w:szCs w:val="18"/>
              </w:rPr>
            </w:pPr>
            <w:r w:rsidRPr="00666093">
              <w:rPr>
                <w:b/>
                <w:sz w:val="18"/>
                <w:szCs w:val="18"/>
              </w:rPr>
              <w:t>Cancer</w:t>
            </w:r>
          </w:p>
        </w:tc>
        <w:tc>
          <w:tcPr>
            <w:tcW w:w="528" w:type="pct"/>
          </w:tcPr>
          <w:p w:rsidR="004B20E5" w:rsidRPr="00666093" w:rsidRDefault="004B20E5" w:rsidP="006B57CB">
            <w:pPr>
              <w:rPr>
                <w:sz w:val="18"/>
                <w:szCs w:val="18"/>
              </w:rPr>
            </w:pPr>
            <w:r>
              <w:rPr>
                <w:sz w:val="18"/>
                <w:szCs w:val="18"/>
              </w:rPr>
              <w:t>166</w:t>
            </w:r>
            <w:r w:rsidRPr="00666093">
              <w:rPr>
                <w:sz w:val="18"/>
                <w:szCs w:val="18"/>
              </w:rPr>
              <w:t>.0 cancer (all site) deaths per 100,000 residents</w:t>
            </w:r>
            <w:r w:rsidRPr="00C671EB">
              <w:rPr>
                <w:rStyle w:val="EndnoteReference"/>
                <w:sz w:val="18"/>
                <w:szCs w:val="18"/>
              </w:rPr>
              <w:endnoteReference w:id="79"/>
            </w:r>
            <w:r>
              <w:rPr>
                <w:sz w:val="18"/>
                <w:szCs w:val="18"/>
              </w:rPr>
              <w:t xml:space="preserve"> and </w:t>
            </w:r>
            <w:r w:rsidRPr="00050618">
              <w:rPr>
                <w:sz w:val="18"/>
                <w:szCs w:val="18"/>
              </w:rPr>
              <w:t>90,696</w:t>
            </w:r>
            <w:r w:rsidRPr="00666093">
              <w:rPr>
                <w:sz w:val="18"/>
                <w:szCs w:val="18"/>
              </w:rPr>
              <w:t xml:space="preserve"> YPLL</w:t>
            </w:r>
            <w:r w:rsidRPr="00C671EB">
              <w:rPr>
                <w:rStyle w:val="EndnoteReference"/>
                <w:sz w:val="18"/>
                <w:szCs w:val="18"/>
              </w:rPr>
              <w:endnoteReference w:id="80"/>
            </w:r>
          </w:p>
        </w:tc>
        <w:tc>
          <w:tcPr>
            <w:tcW w:w="679" w:type="pct"/>
          </w:tcPr>
          <w:p w:rsidR="004B20E5" w:rsidRPr="00666093" w:rsidRDefault="004B20E5" w:rsidP="006B57CB">
            <w:pPr>
              <w:rPr>
                <w:sz w:val="18"/>
                <w:szCs w:val="18"/>
              </w:rPr>
            </w:pPr>
            <w:r w:rsidRPr="00666093">
              <w:rPr>
                <w:sz w:val="18"/>
                <w:szCs w:val="18"/>
              </w:rPr>
              <w:t>1</w:t>
            </w:r>
            <w:r>
              <w:rPr>
                <w:sz w:val="18"/>
                <w:szCs w:val="18"/>
              </w:rPr>
              <w:t>1.0</w:t>
            </w:r>
            <w:r w:rsidRPr="00666093">
              <w:rPr>
                <w:sz w:val="18"/>
                <w:szCs w:val="18"/>
              </w:rPr>
              <w:t>% of adults ever diagnosed with cancer</w:t>
            </w:r>
            <w:r w:rsidRPr="00C671EB">
              <w:rPr>
                <w:rStyle w:val="EndnoteReference"/>
                <w:sz w:val="18"/>
                <w:szCs w:val="18"/>
              </w:rPr>
              <w:endnoteReference w:id="81"/>
            </w:r>
          </w:p>
          <w:p w:rsidR="004B20E5" w:rsidRPr="00666093" w:rsidRDefault="004B20E5" w:rsidP="006B57CB">
            <w:pPr>
              <w:rPr>
                <w:sz w:val="18"/>
                <w:szCs w:val="18"/>
              </w:rPr>
            </w:pPr>
          </w:p>
          <w:p w:rsidR="004B20E5" w:rsidRPr="00666093" w:rsidRDefault="004B20E5" w:rsidP="006B57CB">
            <w:pPr>
              <w:rPr>
                <w:sz w:val="18"/>
                <w:szCs w:val="18"/>
              </w:rPr>
            </w:pPr>
          </w:p>
          <w:p w:rsidR="004B20E5" w:rsidRPr="00666093" w:rsidRDefault="004B20E5" w:rsidP="006B57CB">
            <w:pPr>
              <w:rPr>
                <w:sz w:val="18"/>
                <w:szCs w:val="18"/>
              </w:rPr>
            </w:pPr>
          </w:p>
        </w:tc>
        <w:tc>
          <w:tcPr>
            <w:tcW w:w="746" w:type="pct"/>
          </w:tcPr>
          <w:p w:rsidR="004B20E5" w:rsidRPr="00666093" w:rsidRDefault="004B20E5" w:rsidP="006B57CB">
            <w:pPr>
              <w:rPr>
                <w:sz w:val="18"/>
                <w:szCs w:val="18"/>
              </w:rPr>
            </w:pPr>
            <w:r w:rsidRPr="00666093">
              <w:rPr>
                <w:sz w:val="18"/>
                <w:szCs w:val="18"/>
              </w:rPr>
              <w:t>Colorectal cancer alone accrues $133 million in MA for inpatient hospital charges</w:t>
            </w:r>
            <w:r w:rsidRPr="00925017">
              <w:rPr>
                <w:rStyle w:val="EndnoteReference"/>
              </w:rPr>
              <w:endnoteReference w:id="82"/>
            </w:r>
          </w:p>
        </w:tc>
        <w:tc>
          <w:tcPr>
            <w:tcW w:w="1197" w:type="pct"/>
          </w:tcPr>
          <w:p w:rsidR="004B20E5" w:rsidRPr="00666093" w:rsidRDefault="004B20E5" w:rsidP="006B57CB">
            <w:pPr>
              <w:rPr>
                <w:sz w:val="18"/>
                <w:szCs w:val="18"/>
              </w:rPr>
            </w:pPr>
            <w:r w:rsidRPr="00666093">
              <w:rPr>
                <w:sz w:val="18"/>
                <w:szCs w:val="18"/>
              </w:rPr>
              <w:t>Both cancer incidence and mortality are higher in Black males than in</w:t>
            </w:r>
            <w:r>
              <w:rPr>
                <w:sz w:val="18"/>
                <w:szCs w:val="18"/>
              </w:rPr>
              <w:t> White males. Among females,  overall can</w:t>
            </w:r>
            <w:r w:rsidRPr="00666093">
              <w:rPr>
                <w:sz w:val="18"/>
                <w:szCs w:val="18"/>
              </w:rPr>
              <w:t>cer inciden</w:t>
            </w:r>
            <w:r>
              <w:rPr>
                <w:sz w:val="18"/>
                <w:szCs w:val="18"/>
              </w:rPr>
              <w:t xml:space="preserve">ce is highest among Whites and </w:t>
            </w:r>
            <w:r w:rsidRPr="00666093">
              <w:rPr>
                <w:sz w:val="18"/>
                <w:szCs w:val="18"/>
              </w:rPr>
              <w:t>overall m</w:t>
            </w:r>
            <w:r>
              <w:rPr>
                <w:sz w:val="18"/>
                <w:szCs w:val="18"/>
              </w:rPr>
              <w:t>ortality is also highest among Whites</w:t>
            </w:r>
            <w:r>
              <w:rPr>
                <w:rStyle w:val="EndnoteReference"/>
                <w:sz w:val="18"/>
                <w:szCs w:val="18"/>
              </w:rPr>
              <w:endnoteReference w:id="83"/>
            </w:r>
            <w:r w:rsidRPr="00666093">
              <w:rPr>
                <w:sz w:val="18"/>
                <w:szCs w:val="18"/>
              </w:rPr>
              <w:t>.</w:t>
            </w:r>
          </w:p>
          <w:p w:rsidR="004B20E5" w:rsidRPr="00666093" w:rsidRDefault="004B20E5" w:rsidP="006B57CB">
            <w:pPr>
              <w:rPr>
                <w:sz w:val="18"/>
                <w:szCs w:val="18"/>
              </w:rPr>
            </w:pPr>
          </w:p>
        </w:tc>
        <w:tc>
          <w:tcPr>
            <w:tcW w:w="746" w:type="pct"/>
            <w:gridSpan w:val="2"/>
          </w:tcPr>
          <w:p w:rsidR="004B20E5" w:rsidRPr="00666093" w:rsidRDefault="004B20E5" w:rsidP="006B57CB">
            <w:pPr>
              <w:rPr>
                <w:sz w:val="18"/>
                <w:szCs w:val="18"/>
              </w:rPr>
            </w:pPr>
            <w:r w:rsidRPr="00666093">
              <w:rPr>
                <w:sz w:val="18"/>
                <w:szCs w:val="18"/>
              </w:rPr>
              <w:t xml:space="preserve">Slight ↓ in </w:t>
            </w:r>
            <w:r>
              <w:rPr>
                <w:sz w:val="18"/>
                <w:szCs w:val="18"/>
              </w:rPr>
              <w:t xml:space="preserve">both </w:t>
            </w:r>
            <w:r w:rsidRPr="00666093">
              <w:rPr>
                <w:sz w:val="18"/>
                <w:szCs w:val="18"/>
              </w:rPr>
              <w:t xml:space="preserve">cancer </w:t>
            </w:r>
            <w:r>
              <w:rPr>
                <w:sz w:val="18"/>
                <w:szCs w:val="18"/>
              </w:rPr>
              <w:t xml:space="preserve">incidence and </w:t>
            </w:r>
            <w:r w:rsidRPr="00666093">
              <w:rPr>
                <w:sz w:val="18"/>
                <w:szCs w:val="18"/>
              </w:rPr>
              <w:t>deaths (all site) in past 10 years</w:t>
            </w:r>
          </w:p>
        </w:tc>
        <w:tc>
          <w:tcPr>
            <w:tcW w:w="579" w:type="pct"/>
          </w:tcPr>
          <w:p w:rsidR="004B20E5" w:rsidRPr="00666093" w:rsidRDefault="004B20E5" w:rsidP="006B57CB">
            <w:pPr>
              <w:rPr>
                <w:sz w:val="18"/>
                <w:szCs w:val="18"/>
              </w:rPr>
            </w:pPr>
            <w:r w:rsidRPr="00666093">
              <w:rPr>
                <w:sz w:val="18"/>
                <w:szCs w:val="18"/>
              </w:rPr>
              <w:t>MDPH SP</w:t>
            </w:r>
          </w:p>
          <w:p w:rsidR="004B20E5" w:rsidRPr="00666093" w:rsidRDefault="004B20E5" w:rsidP="006B57CB">
            <w:pPr>
              <w:rPr>
                <w:sz w:val="18"/>
                <w:szCs w:val="18"/>
                <w:highlight w:val="yellow"/>
              </w:rPr>
            </w:pPr>
            <w:r w:rsidRPr="00666093">
              <w:rPr>
                <w:sz w:val="18"/>
                <w:szCs w:val="18"/>
              </w:rPr>
              <w:t>HP2020</w:t>
            </w:r>
          </w:p>
        </w:tc>
      </w:tr>
      <w:tr w:rsidR="004B20E5" w:rsidRPr="00666093" w:rsidTr="0012696F">
        <w:trPr>
          <w:cantSplit/>
          <w:trHeight w:val="2915"/>
        </w:trPr>
        <w:tc>
          <w:tcPr>
            <w:tcW w:w="525" w:type="pct"/>
          </w:tcPr>
          <w:p w:rsidR="004B20E5" w:rsidRPr="00666093" w:rsidRDefault="004B20E5" w:rsidP="00F83336">
            <w:pPr>
              <w:rPr>
                <w:b/>
                <w:sz w:val="18"/>
                <w:szCs w:val="18"/>
              </w:rPr>
            </w:pPr>
            <w:r w:rsidRPr="00666093">
              <w:rPr>
                <w:b/>
                <w:sz w:val="18"/>
                <w:szCs w:val="18"/>
              </w:rPr>
              <w:t>Asthma and COPD</w:t>
            </w:r>
          </w:p>
        </w:tc>
        <w:tc>
          <w:tcPr>
            <w:tcW w:w="528" w:type="pct"/>
          </w:tcPr>
          <w:p w:rsidR="004B20E5" w:rsidRPr="00666093" w:rsidRDefault="004B20E5" w:rsidP="00F83336">
            <w:pPr>
              <w:rPr>
                <w:sz w:val="18"/>
                <w:szCs w:val="18"/>
              </w:rPr>
            </w:pPr>
            <w:r w:rsidRPr="00666093">
              <w:rPr>
                <w:sz w:val="18"/>
                <w:szCs w:val="18"/>
              </w:rPr>
              <w:t>Asthma deaths per 100,000 residents: 0.63 per 100,000 for 35-64 years old and 2.99 for 65+ years old</w:t>
            </w:r>
            <w:r w:rsidRPr="00925017">
              <w:rPr>
                <w:rStyle w:val="EndnoteReference"/>
              </w:rPr>
              <w:endnoteReference w:id="84"/>
            </w:r>
          </w:p>
          <w:p w:rsidR="004B20E5" w:rsidRPr="00666093" w:rsidRDefault="004B20E5" w:rsidP="00F83336">
            <w:pPr>
              <w:rPr>
                <w:sz w:val="8"/>
                <w:szCs w:val="8"/>
              </w:rPr>
            </w:pPr>
          </w:p>
          <w:p w:rsidR="004B20E5" w:rsidRPr="00666093" w:rsidRDefault="004B20E5" w:rsidP="00F83336">
            <w:pPr>
              <w:rPr>
                <w:sz w:val="18"/>
                <w:szCs w:val="18"/>
              </w:rPr>
            </w:pPr>
            <w:r w:rsidRPr="00666093">
              <w:rPr>
                <w:sz w:val="18"/>
                <w:szCs w:val="18"/>
              </w:rPr>
              <w:t>84.4 COPD deaths per 100,000 residents</w:t>
            </w:r>
            <w:r w:rsidRPr="00925017">
              <w:rPr>
                <w:rStyle w:val="EndnoteReference"/>
              </w:rPr>
              <w:endnoteReference w:id="85"/>
            </w:r>
          </w:p>
        </w:tc>
        <w:tc>
          <w:tcPr>
            <w:tcW w:w="679" w:type="pct"/>
          </w:tcPr>
          <w:p w:rsidR="004B20E5" w:rsidRPr="00666093" w:rsidRDefault="004B20E5" w:rsidP="00F83336">
            <w:pPr>
              <w:rPr>
                <w:sz w:val="18"/>
                <w:szCs w:val="18"/>
              </w:rPr>
            </w:pPr>
            <w:r w:rsidRPr="00666093">
              <w:rPr>
                <w:sz w:val="18"/>
                <w:szCs w:val="18"/>
              </w:rPr>
              <w:t>10.7% of adults currently have asthma</w:t>
            </w:r>
            <w:r w:rsidRPr="00925017">
              <w:rPr>
                <w:rStyle w:val="EndnoteReference"/>
              </w:rPr>
              <w:endnoteReference w:id="86"/>
            </w:r>
          </w:p>
          <w:p w:rsidR="004B20E5" w:rsidRPr="00666093" w:rsidRDefault="004B20E5" w:rsidP="00F83336">
            <w:pPr>
              <w:rPr>
                <w:sz w:val="8"/>
                <w:szCs w:val="8"/>
              </w:rPr>
            </w:pPr>
          </w:p>
          <w:p w:rsidR="004B20E5" w:rsidRPr="00666093" w:rsidRDefault="004B20E5" w:rsidP="00F83336">
            <w:pPr>
              <w:rPr>
                <w:sz w:val="18"/>
                <w:szCs w:val="18"/>
              </w:rPr>
            </w:pPr>
            <w:r w:rsidRPr="00666093">
              <w:rPr>
                <w:sz w:val="18"/>
                <w:szCs w:val="18"/>
              </w:rPr>
              <w:t>24% of high school students report having asthma</w:t>
            </w:r>
            <w:r w:rsidRPr="00925017">
              <w:rPr>
                <w:rStyle w:val="EndnoteReference"/>
              </w:rPr>
              <w:endnoteReference w:id="87"/>
            </w:r>
          </w:p>
          <w:p w:rsidR="004B20E5" w:rsidRPr="00666093" w:rsidRDefault="004B20E5" w:rsidP="00F83336">
            <w:pPr>
              <w:rPr>
                <w:sz w:val="8"/>
                <w:szCs w:val="8"/>
              </w:rPr>
            </w:pPr>
          </w:p>
          <w:p w:rsidR="004B20E5" w:rsidRPr="00666093" w:rsidRDefault="004B20E5" w:rsidP="00F83336">
            <w:pPr>
              <w:rPr>
                <w:sz w:val="18"/>
                <w:szCs w:val="18"/>
              </w:rPr>
            </w:pPr>
            <w:r w:rsidRPr="00666093">
              <w:rPr>
                <w:sz w:val="18"/>
                <w:szCs w:val="18"/>
              </w:rPr>
              <w:t>18.4 in-patient admissions for asthma per 10,000 population  hospitalized due to asthma (inpatient)</w:t>
            </w:r>
            <w:r w:rsidRPr="00925017">
              <w:rPr>
                <w:rStyle w:val="EndnoteReference"/>
              </w:rPr>
              <w:endnoteReference w:id="88"/>
            </w:r>
            <w:r w:rsidRPr="00666093">
              <w:rPr>
                <w:sz w:val="18"/>
                <w:szCs w:val="18"/>
              </w:rPr>
              <w:t xml:space="preserve"> and 57.8 ED visits for asthma per 10,000 population</w:t>
            </w:r>
            <w:r w:rsidRPr="00925017">
              <w:rPr>
                <w:rStyle w:val="EndnoteReference"/>
              </w:rPr>
              <w:endnoteReference w:id="89"/>
            </w:r>
          </w:p>
        </w:tc>
        <w:tc>
          <w:tcPr>
            <w:tcW w:w="746" w:type="pct"/>
          </w:tcPr>
          <w:p w:rsidR="004B20E5" w:rsidRPr="00666093" w:rsidRDefault="004B20E5" w:rsidP="00F83336">
            <w:pPr>
              <w:rPr>
                <w:sz w:val="18"/>
                <w:szCs w:val="18"/>
              </w:rPr>
            </w:pPr>
            <w:r w:rsidRPr="00666093">
              <w:rPr>
                <w:sz w:val="18"/>
                <w:szCs w:val="18"/>
              </w:rPr>
              <w:t>$88.9 million in hospitalization charges in MA due to asthma</w:t>
            </w:r>
            <w:r w:rsidRPr="00925017">
              <w:rPr>
                <w:rStyle w:val="EndnoteReference"/>
              </w:rPr>
              <w:endnoteReference w:id="90"/>
            </w:r>
          </w:p>
          <w:p w:rsidR="004B20E5" w:rsidRPr="00666093" w:rsidRDefault="004B20E5" w:rsidP="00F83336">
            <w:pPr>
              <w:rPr>
                <w:sz w:val="18"/>
                <w:szCs w:val="18"/>
              </w:rPr>
            </w:pPr>
          </w:p>
          <w:p w:rsidR="004B20E5" w:rsidRPr="00666093" w:rsidRDefault="004B20E5" w:rsidP="00F83336">
            <w:pPr>
              <w:rPr>
                <w:sz w:val="18"/>
                <w:szCs w:val="18"/>
              </w:rPr>
            </w:pPr>
            <w:r w:rsidRPr="00666093">
              <w:rPr>
                <w:sz w:val="18"/>
                <w:szCs w:val="18"/>
              </w:rPr>
              <w:t>$34 million in ED charges in MA due to asthma</w:t>
            </w:r>
            <w:r w:rsidRPr="00925017">
              <w:rPr>
                <w:rStyle w:val="EndnoteReference"/>
              </w:rPr>
              <w:endnoteReference w:id="91"/>
            </w:r>
          </w:p>
        </w:tc>
        <w:tc>
          <w:tcPr>
            <w:tcW w:w="1197" w:type="pct"/>
          </w:tcPr>
          <w:p w:rsidR="004B20E5" w:rsidRPr="00666093" w:rsidRDefault="004B20E5" w:rsidP="00F83336">
            <w:pPr>
              <w:rPr>
                <w:sz w:val="18"/>
                <w:szCs w:val="18"/>
              </w:rPr>
            </w:pPr>
            <w:r w:rsidRPr="00666093">
              <w:rPr>
                <w:sz w:val="18"/>
                <w:szCs w:val="18"/>
              </w:rPr>
              <w:t>Asthma hospitalization rate highest among 0-4 yrs old &amp; 65+ yrs old, Hispanic and Black residents, and Southeast and Boston residents</w:t>
            </w:r>
          </w:p>
        </w:tc>
        <w:tc>
          <w:tcPr>
            <w:tcW w:w="746" w:type="pct"/>
            <w:gridSpan w:val="2"/>
          </w:tcPr>
          <w:p w:rsidR="004B20E5" w:rsidRPr="00666093" w:rsidRDefault="004B20E5" w:rsidP="00F83336">
            <w:pPr>
              <w:rPr>
                <w:sz w:val="18"/>
                <w:szCs w:val="18"/>
              </w:rPr>
            </w:pPr>
            <w:r w:rsidRPr="00666093">
              <w:rPr>
                <w:sz w:val="18"/>
                <w:szCs w:val="18"/>
              </w:rPr>
              <w:t>Slight ↑ in preventable hospitalizations for asthma, while recent slight ↓in asthma related ED visits, specifically for those with 2 or more visits</w:t>
            </w:r>
          </w:p>
        </w:tc>
        <w:tc>
          <w:tcPr>
            <w:tcW w:w="579" w:type="pct"/>
          </w:tcPr>
          <w:p w:rsidR="004B20E5" w:rsidRPr="00666093" w:rsidRDefault="004B20E5" w:rsidP="00F83336">
            <w:pPr>
              <w:rPr>
                <w:sz w:val="18"/>
                <w:szCs w:val="18"/>
              </w:rPr>
            </w:pPr>
            <w:r w:rsidRPr="00666093">
              <w:rPr>
                <w:sz w:val="18"/>
                <w:szCs w:val="18"/>
              </w:rPr>
              <w:t>MDPH SP</w:t>
            </w:r>
          </w:p>
          <w:p w:rsidR="004B20E5" w:rsidRPr="00666093" w:rsidRDefault="004B20E5" w:rsidP="00F83336">
            <w:pPr>
              <w:rPr>
                <w:sz w:val="18"/>
                <w:szCs w:val="18"/>
              </w:rPr>
            </w:pPr>
            <w:r w:rsidRPr="00666093">
              <w:rPr>
                <w:sz w:val="18"/>
                <w:szCs w:val="18"/>
              </w:rPr>
              <w:t>PrevTrust</w:t>
            </w:r>
          </w:p>
          <w:p w:rsidR="004B20E5" w:rsidRPr="00666093" w:rsidRDefault="004B20E5" w:rsidP="00F83336">
            <w:pPr>
              <w:rPr>
                <w:sz w:val="18"/>
                <w:szCs w:val="18"/>
              </w:rPr>
            </w:pPr>
            <w:r w:rsidRPr="00666093">
              <w:rPr>
                <w:sz w:val="18"/>
                <w:szCs w:val="18"/>
              </w:rPr>
              <w:t>HP2020</w:t>
            </w:r>
          </w:p>
          <w:p w:rsidR="004B20E5" w:rsidRPr="00666093" w:rsidRDefault="004B20E5" w:rsidP="00F83336">
            <w:pPr>
              <w:rPr>
                <w:sz w:val="18"/>
                <w:szCs w:val="18"/>
              </w:rPr>
            </w:pPr>
          </w:p>
        </w:tc>
      </w:tr>
      <w:tr w:rsidR="004B20E5" w:rsidRPr="00666093" w:rsidTr="0012696F">
        <w:trPr>
          <w:cantSplit/>
          <w:trHeight w:val="1025"/>
        </w:trPr>
        <w:tc>
          <w:tcPr>
            <w:tcW w:w="525" w:type="pct"/>
          </w:tcPr>
          <w:p w:rsidR="004B20E5" w:rsidRPr="00666093" w:rsidRDefault="004B20E5" w:rsidP="00262CDE">
            <w:pPr>
              <w:rPr>
                <w:b/>
                <w:sz w:val="18"/>
                <w:szCs w:val="18"/>
              </w:rPr>
            </w:pPr>
            <w:r>
              <w:rPr>
                <w:b/>
                <w:sz w:val="18"/>
                <w:szCs w:val="18"/>
              </w:rPr>
              <w:t>Pediatric A</w:t>
            </w:r>
            <w:r w:rsidRPr="00262CDE">
              <w:rPr>
                <w:b/>
                <w:sz w:val="18"/>
                <w:szCs w:val="18"/>
              </w:rPr>
              <w:t>sthma</w:t>
            </w:r>
          </w:p>
        </w:tc>
        <w:tc>
          <w:tcPr>
            <w:tcW w:w="528" w:type="pct"/>
          </w:tcPr>
          <w:p w:rsidR="004B20E5" w:rsidRPr="00262CDE" w:rsidRDefault="004B20E5" w:rsidP="00262CDE">
            <w:pPr>
              <w:rPr>
                <w:sz w:val="18"/>
                <w:szCs w:val="18"/>
              </w:rPr>
            </w:pPr>
          </w:p>
        </w:tc>
        <w:tc>
          <w:tcPr>
            <w:tcW w:w="679" w:type="pct"/>
          </w:tcPr>
          <w:p w:rsidR="004B20E5" w:rsidRPr="00262CDE" w:rsidRDefault="004B20E5" w:rsidP="00262CDE">
            <w:pPr>
              <w:rPr>
                <w:sz w:val="18"/>
                <w:szCs w:val="18"/>
              </w:rPr>
            </w:pPr>
            <w:r w:rsidRPr="00262CDE">
              <w:rPr>
                <w:sz w:val="18"/>
                <w:szCs w:val="18"/>
              </w:rPr>
              <w:t>Statewide prevalence of pediatric asthma in 5-14 year old age group was 12% in the 2012-2013 school year.</w:t>
            </w:r>
            <w:r>
              <w:rPr>
                <w:rStyle w:val="EndnoteReference"/>
                <w:sz w:val="18"/>
                <w:szCs w:val="18"/>
              </w:rPr>
              <w:endnoteReference w:id="92"/>
            </w:r>
          </w:p>
        </w:tc>
        <w:tc>
          <w:tcPr>
            <w:tcW w:w="746" w:type="pct"/>
          </w:tcPr>
          <w:p w:rsidR="004B20E5" w:rsidRPr="00262CDE" w:rsidRDefault="004B20E5" w:rsidP="00262CDE">
            <w:pPr>
              <w:rPr>
                <w:sz w:val="18"/>
                <w:szCs w:val="18"/>
              </w:rPr>
            </w:pPr>
            <w:r w:rsidRPr="00262CDE">
              <w:rPr>
                <w:sz w:val="18"/>
                <w:szCs w:val="18"/>
              </w:rPr>
              <w:t>The estimated cost of treating asthma in those under the age of 18 in the US is $3.2 billion per year.</w:t>
            </w:r>
            <w:r>
              <w:rPr>
                <w:rStyle w:val="EndnoteReference"/>
                <w:sz w:val="18"/>
                <w:szCs w:val="18"/>
              </w:rPr>
              <w:endnoteReference w:id="93"/>
            </w:r>
          </w:p>
        </w:tc>
        <w:tc>
          <w:tcPr>
            <w:tcW w:w="1197" w:type="pct"/>
          </w:tcPr>
          <w:p w:rsidR="004B20E5" w:rsidRPr="00262CDE" w:rsidRDefault="004B20E5" w:rsidP="00262CDE">
            <w:pPr>
              <w:rPr>
                <w:sz w:val="18"/>
                <w:szCs w:val="18"/>
              </w:rPr>
            </w:pPr>
            <w:r w:rsidRPr="00262CDE">
              <w:rPr>
                <w:sz w:val="18"/>
                <w:szCs w:val="18"/>
              </w:rPr>
              <w:t>Among Massachusetts children, the prevalence of asthma is higher among Black non-Hispanic and Hispanic children than among White non-Hispanic children (although not statistically significantly higher).</w:t>
            </w:r>
            <w:r>
              <w:rPr>
                <w:rStyle w:val="EndnoteReference"/>
                <w:sz w:val="18"/>
                <w:szCs w:val="18"/>
              </w:rPr>
              <w:endnoteReference w:id="94"/>
            </w:r>
          </w:p>
        </w:tc>
        <w:tc>
          <w:tcPr>
            <w:tcW w:w="746" w:type="pct"/>
            <w:gridSpan w:val="2"/>
          </w:tcPr>
          <w:p w:rsidR="004B20E5" w:rsidRPr="00262CDE" w:rsidRDefault="004B20E5" w:rsidP="00262CDE">
            <w:pPr>
              <w:rPr>
                <w:sz w:val="18"/>
                <w:szCs w:val="18"/>
              </w:rPr>
            </w:pPr>
            <w:r w:rsidRPr="00262CDE">
              <w:rPr>
                <w:sz w:val="18"/>
                <w:szCs w:val="18"/>
              </w:rPr>
              <w:t>The prevalence of asthma has been increasing in children and adults since 1980.</w:t>
            </w:r>
            <w:r>
              <w:rPr>
                <w:rStyle w:val="EndnoteReference"/>
                <w:sz w:val="18"/>
                <w:szCs w:val="18"/>
              </w:rPr>
              <w:endnoteReference w:id="95"/>
            </w:r>
          </w:p>
        </w:tc>
        <w:tc>
          <w:tcPr>
            <w:tcW w:w="579" w:type="pct"/>
          </w:tcPr>
          <w:p w:rsidR="004B20E5" w:rsidRPr="00262CDE" w:rsidRDefault="004B20E5" w:rsidP="00262CDE">
            <w:pPr>
              <w:rPr>
                <w:sz w:val="18"/>
                <w:szCs w:val="18"/>
              </w:rPr>
            </w:pPr>
            <w:r w:rsidRPr="00262CDE">
              <w:rPr>
                <w:sz w:val="18"/>
                <w:szCs w:val="18"/>
              </w:rPr>
              <w:t>HP 2020</w:t>
            </w:r>
          </w:p>
        </w:tc>
      </w:tr>
      <w:tr w:rsidR="004B20E5" w:rsidRPr="00666093" w:rsidTr="0012696F">
        <w:trPr>
          <w:cantSplit/>
          <w:trHeight w:val="935"/>
        </w:trPr>
        <w:tc>
          <w:tcPr>
            <w:tcW w:w="525" w:type="pct"/>
          </w:tcPr>
          <w:p w:rsidR="004B20E5" w:rsidRPr="00666093" w:rsidRDefault="004B20E5" w:rsidP="00F83336">
            <w:pPr>
              <w:rPr>
                <w:b/>
                <w:sz w:val="18"/>
                <w:szCs w:val="18"/>
              </w:rPr>
            </w:pPr>
            <w:r w:rsidRPr="00666093">
              <w:rPr>
                <w:b/>
                <w:sz w:val="18"/>
                <w:szCs w:val="18"/>
              </w:rPr>
              <w:t xml:space="preserve">Oral Health </w:t>
            </w:r>
          </w:p>
        </w:tc>
        <w:tc>
          <w:tcPr>
            <w:tcW w:w="528" w:type="pct"/>
          </w:tcPr>
          <w:p w:rsidR="004B20E5" w:rsidRPr="00666093" w:rsidRDefault="004B20E5" w:rsidP="00F83336">
            <w:pPr>
              <w:rPr>
                <w:sz w:val="18"/>
                <w:szCs w:val="18"/>
              </w:rPr>
            </w:pPr>
          </w:p>
        </w:tc>
        <w:tc>
          <w:tcPr>
            <w:tcW w:w="679" w:type="pct"/>
          </w:tcPr>
          <w:p w:rsidR="004B20E5" w:rsidRPr="00666093" w:rsidRDefault="004B20E5" w:rsidP="00F83336">
            <w:pPr>
              <w:rPr>
                <w:sz w:val="18"/>
                <w:szCs w:val="18"/>
              </w:rPr>
            </w:pPr>
            <w:r w:rsidRPr="00666093">
              <w:rPr>
                <w:sz w:val="18"/>
                <w:szCs w:val="18"/>
              </w:rPr>
              <w:t>17% of MA 3</w:t>
            </w:r>
            <w:r w:rsidRPr="00666093">
              <w:rPr>
                <w:sz w:val="18"/>
                <w:szCs w:val="18"/>
                <w:vertAlign w:val="superscript"/>
              </w:rPr>
              <w:t>rd</w:t>
            </w:r>
            <w:r w:rsidRPr="00666093">
              <w:rPr>
                <w:sz w:val="18"/>
                <w:szCs w:val="18"/>
              </w:rPr>
              <w:t xml:space="preserve"> graders had untreated dental decay</w:t>
            </w:r>
          </w:p>
          <w:p w:rsidR="004B20E5" w:rsidRPr="00666093" w:rsidRDefault="004B20E5" w:rsidP="00F83336">
            <w:pPr>
              <w:rPr>
                <w:sz w:val="8"/>
                <w:szCs w:val="8"/>
              </w:rPr>
            </w:pPr>
          </w:p>
          <w:p w:rsidR="004B20E5" w:rsidRPr="00666093" w:rsidRDefault="004B20E5" w:rsidP="00F83336">
            <w:pPr>
              <w:rPr>
                <w:sz w:val="18"/>
                <w:szCs w:val="18"/>
              </w:rPr>
            </w:pPr>
            <w:r w:rsidRPr="00666093">
              <w:rPr>
                <w:sz w:val="18"/>
                <w:szCs w:val="18"/>
              </w:rPr>
              <w:t>13.0% of adults have 6+ teeth missing</w:t>
            </w:r>
            <w:r w:rsidRPr="00925017">
              <w:rPr>
                <w:rStyle w:val="EndnoteReference"/>
              </w:rPr>
              <w:endnoteReference w:id="96"/>
            </w:r>
          </w:p>
        </w:tc>
        <w:tc>
          <w:tcPr>
            <w:tcW w:w="746" w:type="pct"/>
          </w:tcPr>
          <w:p w:rsidR="004B20E5" w:rsidRPr="00666093" w:rsidRDefault="004B20E5" w:rsidP="00F83336">
            <w:pPr>
              <w:rPr>
                <w:sz w:val="18"/>
                <w:szCs w:val="18"/>
              </w:rPr>
            </w:pPr>
            <w:r w:rsidRPr="00666093">
              <w:rPr>
                <w:sz w:val="18"/>
                <w:szCs w:val="18"/>
              </w:rPr>
              <w:t>Dental expenditures in U.S. estimated at $105 billion</w:t>
            </w:r>
            <w:r w:rsidRPr="00925017">
              <w:rPr>
                <w:rStyle w:val="EndnoteReference"/>
              </w:rPr>
              <w:endnoteReference w:id="97"/>
            </w:r>
          </w:p>
          <w:p w:rsidR="004B20E5" w:rsidRPr="00666093" w:rsidRDefault="004B20E5" w:rsidP="00F83336">
            <w:pPr>
              <w:rPr>
                <w:sz w:val="18"/>
                <w:szCs w:val="18"/>
              </w:rPr>
            </w:pPr>
          </w:p>
          <w:p w:rsidR="004B20E5" w:rsidRPr="00666093" w:rsidRDefault="004B20E5" w:rsidP="00F83336">
            <w:pPr>
              <w:rPr>
                <w:sz w:val="18"/>
                <w:szCs w:val="18"/>
              </w:rPr>
            </w:pPr>
            <w:r w:rsidRPr="00666093">
              <w:rPr>
                <w:sz w:val="18"/>
                <w:szCs w:val="18"/>
              </w:rPr>
              <w:t>MassHealth emergency dental services were $2.6 million</w:t>
            </w:r>
            <w:r w:rsidRPr="00925017">
              <w:rPr>
                <w:rStyle w:val="EndnoteReference"/>
              </w:rPr>
              <w:endnoteReference w:id="98"/>
            </w:r>
          </w:p>
        </w:tc>
        <w:tc>
          <w:tcPr>
            <w:tcW w:w="1197" w:type="pct"/>
          </w:tcPr>
          <w:p w:rsidR="004B20E5" w:rsidRPr="00666093" w:rsidRDefault="004B20E5" w:rsidP="00F83336">
            <w:pPr>
              <w:rPr>
                <w:sz w:val="18"/>
                <w:szCs w:val="18"/>
              </w:rPr>
            </w:pPr>
            <w:r w:rsidRPr="00666093">
              <w:rPr>
                <w:sz w:val="18"/>
                <w:szCs w:val="18"/>
              </w:rPr>
              <w:t xml:space="preserve">Adults with 6+ teeth missing are highest among Blacks (17.3%) and </w:t>
            </w:r>
            <w:r>
              <w:rPr>
                <w:sz w:val="18"/>
                <w:szCs w:val="18"/>
              </w:rPr>
              <w:t>people with disabilities</w:t>
            </w:r>
            <w:r w:rsidRPr="00666093">
              <w:rPr>
                <w:sz w:val="18"/>
                <w:szCs w:val="18"/>
              </w:rPr>
              <w:t xml:space="preserve"> (26.9%) as well as South East (15.5%) and Western (15.3%) parts of the state</w:t>
            </w:r>
          </w:p>
        </w:tc>
        <w:tc>
          <w:tcPr>
            <w:tcW w:w="746" w:type="pct"/>
            <w:gridSpan w:val="2"/>
          </w:tcPr>
          <w:p w:rsidR="004B20E5" w:rsidRPr="00666093" w:rsidRDefault="004B20E5" w:rsidP="00F83336">
            <w:pPr>
              <w:rPr>
                <w:sz w:val="18"/>
                <w:szCs w:val="18"/>
              </w:rPr>
            </w:pPr>
            <w:r w:rsidRPr="00666093">
              <w:rPr>
                <w:sz w:val="18"/>
                <w:szCs w:val="18"/>
              </w:rPr>
              <w:t>↓ in 10 years of adults who have had any permanent teeth extracted</w:t>
            </w:r>
          </w:p>
        </w:tc>
        <w:tc>
          <w:tcPr>
            <w:tcW w:w="579" w:type="pct"/>
          </w:tcPr>
          <w:p w:rsidR="004B20E5" w:rsidRPr="00666093" w:rsidRDefault="004B20E5" w:rsidP="00F83336">
            <w:pPr>
              <w:rPr>
                <w:sz w:val="18"/>
                <w:szCs w:val="18"/>
              </w:rPr>
            </w:pPr>
            <w:r w:rsidRPr="00666093">
              <w:rPr>
                <w:sz w:val="18"/>
                <w:szCs w:val="18"/>
              </w:rPr>
              <w:t>HP2020</w:t>
            </w:r>
          </w:p>
        </w:tc>
      </w:tr>
      <w:tr w:rsidR="004B20E5" w:rsidRPr="00666093" w:rsidTr="0012696F">
        <w:trPr>
          <w:cantSplit/>
        </w:trPr>
        <w:tc>
          <w:tcPr>
            <w:tcW w:w="525" w:type="pct"/>
          </w:tcPr>
          <w:p w:rsidR="004B20E5" w:rsidRPr="00666093" w:rsidRDefault="004B20E5" w:rsidP="00F83336">
            <w:pPr>
              <w:rPr>
                <w:b/>
                <w:sz w:val="18"/>
                <w:szCs w:val="18"/>
              </w:rPr>
            </w:pPr>
            <w:r w:rsidRPr="00666093">
              <w:rPr>
                <w:b/>
                <w:sz w:val="18"/>
                <w:szCs w:val="18"/>
              </w:rPr>
              <w:t>Disability</w:t>
            </w:r>
          </w:p>
        </w:tc>
        <w:tc>
          <w:tcPr>
            <w:tcW w:w="528" w:type="pct"/>
          </w:tcPr>
          <w:p w:rsidR="004B20E5" w:rsidRPr="00666093" w:rsidRDefault="004B20E5" w:rsidP="00F83336">
            <w:pPr>
              <w:rPr>
                <w:sz w:val="18"/>
                <w:szCs w:val="18"/>
              </w:rPr>
            </w:pPr>
          </w:p>
        </w:tc>
        <w:tc>
          <w:tcPr>
            <w:tcW w:w="679" w:type="pct"/>
          </w:tcPr>
          <w:p w:rsidR="004B20E5" w:rsidRPr="00666093" w:rsidRDefault="004B20E5" w:rsidP="00F83336">
            <w:pPr>
              <w:rPr>
                <w:sz w:val="18"/>
                <w:szCs w:val="18"/>
              </w:rPr>
            </w:pPr>
            <w:r w:rsidRPr="00666093">
              <w:rPr>
                <w:sz w:val="18"/>
                <w:szCs w:val="18"/>
              </w:rPr>
              <w:t>23.0% of adults have a disability</w:t>
            </w:r>
            <w:r w:rsidRPr="00925017">
              <w:rPr>
                <w:rStyle w:val="EndnoteReference"/>
              </w:rPr>
              <w:endnoteReference w:id="99"/>
            </w:r>
            <w:r w:rsidRPr="00666093">
              <w:rPr>
                <w:i/>
                <w:sz w:val="18"/>
                <w:szCs w:val="18"/>
              </w:rPr>
              <w:t>(see endnote for disability definition)</w:t>
            </w:r>
          </w:p>
        </w:tc>
        <w:tc>
          <w:tcPr>
            <w:tcW w:w="746" w:type="pct"/>
          </w:tcPr>
          <w:p w:rsidR="004B20E5" w:rsidRPr="00666093" w:rsidRDefault="004B20E5" w:rsidP="00F83336">
            <w:pPr>
              <w:rPr>
                <w:sz w:val="18"/>
                <w:szCs w:val="18"/>
              </w:rPr>
            </w:pPr>
          </w:p>
        </w:tc>
        <w:tc>
          <w:tcPr>
            <w:tcW w:w="1197" w:type="pct"/>
          </w:tcPr>
          <w:p w:rsidR="004B20E5" w:rsidRPr="00666093" w:rsidRDefault="004B20E5" w:rsidP="00F83336">
            <w:pPr>
              <w:rPr>
                <w:sz w:val="18"/>
                <w:szCs w:val="18"/>
              </w:rPr>
            </w:pPr>
            <w:r w:rsidRPr="00666093">
              <w:rPr>
                <w:sz w:val="18"/>
                <w:szCs w:val="18"/>
              </w:rPr>
              <w:t>Higher rates among females (24.7%), those with less than a high school education (34.7%), those 75+ years old (41.1%), and residents in Western (26.5%) and South East (26.7%) region of MA</w:t>
            </w:r>
          </w:p>
        </w:tc>
        <w:tc>
          <w:tcPr>
            <w:tcW w:w="746" w:type="pct"/>
            <w:gridSpan w:val="2"/>
          </w:tcPr>
          <w:p w:rsidR="004B20E5" w:rsidRPr="00666093" w:rsidRDefault="004B20E5" w:rsidP="00F83336">
            <w:pPr>
              <w:rPr>
                <w:sz w:val="18"/>
                <w:szCs w:val="18"/>
              </w:rPr>
            </w:pPr>
            <w:r w:rsidRPr="00666093">
              <w:rPr>
                <w:sz w:val="18"/>
                <w:szCs w:val="18"/>
              </w:rPr>
              <w:t>Slight ↑ in past 10 years</w:t>
            </w:r>
          </w:p>
        </w:tc>
        <w:tc>
          <w:tcPr>
            <w:tcW w:w="579" w:type="pct"/>
          </w:tcPr>
          <w:p w:rsidR="004B20E5" w:rsidRPr="00666093" w:rsidRDefault="004B20E5" w:rsidP="00F83336">
            <w:pPr>
              <w:rPr>
                <w:sz w:val="18"/>
                <w:szCs w:val="18"/>
              </w:rPr>
            </w:pPr>
            <w:r w:rsidRPr="00666093">
              <w:rPr>
                <w:sz w:val="18"/>
                <w:szCs w:val="18"/>
              </w:rPr>
              <w:t>HP2020</w:t>
            </w:r>
          </w:p>
        </w:tc>
      </w:tr>
      <w:tr w:rsidR="004B20E5" w:rsidRPr="00666093" w:rsidTr="00666093">
        <w:trPr>
          <w:cantSplit/>
        </w:trPr>
        <w:tc>
          <w:tcPr>
            <w:tcW w:w="5000" w:type="pct"/>
            <w:gridSpan w:val="8"/>
            <w:shd w:val="pct10" w:color="auto" w:fill="auto"/>
          </w:tcPr>
          <w:p w:rsidR="004B20E5" w:rsidRPr="00666093" w:rsidRDefault="004B20E5" w:rsidP="00666093">
            <w:pPr>
              <w:keepNext/>
              <w:rPr>
                <w:b/>
                <w:i/>
                <w:sz w:val="18"/>
                <w:szCs w:val="18"/>
              </w:rPr>
            </w:pPr>
            <w:r w:rsidRPr="00666093">
              <w:rPr>
                <w:b/>
                <w:i/>
                <w:sz w:val="18"/>
                <w:szCs w:val="18"/>
              </w:rPr>
              <w:t>Infectious Disease Prevention and Control</w:t>
            </w:r>
          </w:p>
        </w:tc>
      </w:tr>
      <w:tr w:rsidR="004B20E5" w:rsidRPr="00666093" w:rsidTr="0012696F">
        <w:trPr>
          <w:cantSplit/>
        </w:trPr>
        <w:tc>
          <w:tcPr>
            <w:tcW w:w="525" w:type="pct"/>
          </w:tcPr>
          <w:p w:rsidR="004B20E5" w:rsidRPr="00666093" w:rsidRDefault="004B20E5" w:rsidP="003672D6">
            <w:pPr>
              <w:rPr>
                <w:b/>
                <w:sz w:val="18"/>
                <w:szCs w:val="18"/>
              </w:rPr>
            </w:pPr>
            <w:r w:rsidRPr="00DD59D0">
              <w:rPr>
                <w:b/>
                <w:sz w:val="18"/>
                <w:szCs w:val="18"/>
              </w:rPr>
              <w:t>Sexually Transmitted Infections</w:t>
            </w:r>
          </w:p>
        </w:tc>
        <w:tc>
          <w:tcPr>
            <w:tcW w:w="528" w:type="pct"/>
          </w:tcPr>
          <w:p w:rsidR="004B20E5" w:rsidRPr="00666093" w:rsidRDefault="004B20E5" w:rsidP="003672D6">
            <w:pPr>
              <w:rPr>
                <w:sz w:val="18"/>
                <w:szCs w:val="18"/>
              </w:rPr>
            </w:pPr>
          </w:p>
        </w:tc>
        <w:tc>
          <w:tcPr>
            <w:tcW w:w="679" w:type="pct"/>
          </w:tcPr>
          <w:p w:rsidR="004B20E5" w:rsidRPr="003672D6" w:rsidRDefault="004B20E5" w:rsidP="003672D6">
            <w:pPr>
              <w:rPr>
                <w:rFonts w:cs="Arial"/>
                <w:sz w:val="18"/>
                <w:szCs w:val="18"/>
              </w:rPr>
            </w:pPr>
            <w:r w:rsidRPr="003672D6">
              <w:rPr>
                <w:rFonts w:cs="Arial"/>
                <w:sz w:val="18"/>
                <w:szCs w:val="18"/>
              </w:rPr>
              <w:t xml:space="preserve">348 cases of Chlamydia per 100,000 residents </w:t>
            </w:r>
            <w:r w:rsidRPr="003672D6">
              <w:rPr>
                <w:rFonts w:cs="Arial"/>
                <w:sz w:val="18"/>
                <w:szCs w:val="18"/>
                <w:vertAlign w:val="superscript"/>
              </w:rPr>
              <w:endnoteReference w:id="100"/>
            </w:r>
          </w:p>
          <w:p w:rsidR="004B20E5" w:rsidRPr="003672D6" w:rsidRDefault="004B20E5" w:rsidP="003672D6">
            <w:pPr>
              <w:rPr>
                <w:rFonts w:cs="Arial"/>
                <w:sz w:val="8"/>
                <w:szCs w:val="8"/>
              </w:rPr>
            </w:pPr>
          </w:p>
          <w:p w:rsidR="004B20E5" w:rsidRPr="003672D6" w:rsidRDefault="004B20E5" w:rsidP="003672D6">
            <w:pPr>
              <w:rPr>
                <w:rFonts w:cs="Arial"/>
                <w:sz w:val="18"/>
                <w:szCs w:val="18"/>
              </w:rPr>
            </w:pPr>
            <w:r w:rsidRPr="003672D6">
              <w:rPr>
                <w:rFonts w:cs="Arial"/>
                <w:sz w:val="18"/>
                <w:szCs w:val="18"/>
              </w:rPr>
              <w:t>39 cases of Gonorrhea per 100,000 residents</w:t>
            </w:r>
            <w:r w:rsidRPr="003672D6">
              <w:rPr>
                <w:rFonts w:cs="Arial"/>
                <w:sz w:val="18"/>
                <w:szCs w:val="18"/>
                <w:vertAlign w:val="superscript"/>
              </w:rPr>
              <w:endnoteReference w:id="101"/>
            </w:r>
          </w:p>
          <w:p w:rsidR="004B20E5" w:rsidRPr="003672D6" w:rsidRDefault="004B20E5" w:rsidP="003672D6">
            <w:pPr>
              <w:rPr>
                <w:rFonts w:cs="Arial"/>
                <w:sz w:val="8"/>
                <w:szCs w:val="8"/>
              </w:rPr>
            </w:pPr>
          </w:p>
          <w:p w:rsidR="004B20E5" w:rsidRPr="003672D6" w:rsidRDefault="004B20E5" w:rsidP="003672D6">
            <w:pPr>
              <w:rPr>
                <w:rFonts w:cs="Arial"/>
                <w:sz w:val="18"/>
                <w:szCs w:val="18"/>
              </w:rPr>
            </w:pPr>
            <w:r w:rsidRPr="003672D6">
              <w:rPr>
                <w:rFonts w:cs="Arial"/>
                <w:sz w:val="18"/>
                <w:szCs w:val="18"/>
              </w:rPr>
              <w:t>8 cases of Syphilis per 100,000 residents</w:t>
            </w:r>
            <w:r w:rsidRPr="003672D6">
              <w:rPr>
                <w:rFonts w:cs="Arial"/>
                <w:sz w:val="18"/>
                <w:szCs w:val="18"/>
                <w:vertAlign w:val="superscript"/>
              </w:rPr>
              <w:endnoteReference w:id="102"/>
            </w:r>
          </w:p>
        </w:tc>
        <w:tc>
          <w:tcPr>
            <w:tcW w:w="746" w:type="pct"/>
          </w:tcPr>
          <w:p w:rsidR="004B20E5" w:rsidRPr="003672D6" w:rsidRDefault="004B20E5" w:rsidP="003672D6">
            <w:pPr>
              <w:rPr>
                <w:rFonts w:cs="Arial"/>
                <w:sz w:val="18"/>
                <w:szCs w:val="18"/>
              </w:rPr>
            </w:pPr>
            <w:r w:rsidRPr="003672D6">
              <w:rPr>
                <w:rFonts w:cs="Arial"/>
                <w:sz w:val="18"/>
                <w:szCs w:val="18"/>
              </w:rPr>
              <w:t>Medical costs in U.S. estimated for STIs: $516.7 for Chlamydia, $162.1 million for Gonorrhea and $39.3 million for syphilis</w:t>
            </w:r>
            <w:r w:rsidRPr="003672D6">
              <w:rPr>
                <w:rFonts w:cs="Arial"/>
                <w:sz w:val="18"/>
                <w:szCs w:val="18"/>
                <w:vertAlign w:val="superscript"/>
              </w:rPr>
              <w:endnoteReference w:id="103"/>
            </w:r>
          </w:p>
        </w:tc>
        <w:tc>
          <w:tcPr>
            <w:tcW w:w="1197" w:type="pct"/>
          </w:tcPr>
          <w:p w:rsidR="004B20E5" w:rsidRPr="003672D6" w:rsidRDefault="004B20E5" w:rsidP="003672D6">
            <w:pPr>
              <w:rPr>
                <w:rFonts w:cs="Arial"/>
                <w:sz w:val="18"/>
                <w:szCs w:val="18"/>
              </w:rPr>
            </w:pPr>
            <w:r w:rsidRPr="003672D6">
              <w:rPr>
                <w:rFonts w:cs="Arial"/>
                <w:sz w:val="18"/>
                <w:szCs w:val="18"/>
              </w:rPr>
              <w:t>Incidence of Chlamydia highest among teens and young adults (15-24) (68% of reported cases) and women (69% of cases)</w:t>
            </w:r>
          </w:p>
          <w:p w:rsidR="004B20E5" w:rsidRPr="003672D6" w:rsidRDefault="004B20E5" w:rsidP="003672D6">
            <w:pPr>
              <w:rPr>
                <w:rFonts w:cs="Arial"/>
                <w:sz w:val="8"/>
                <w:szCs w:val="8"/>
              </w:rPr>
            </w:pPr>
          </w:p>
          <w:p w:rsidR="004B20E5" w:rsidRPr="003672D6" w:rsidRDefault="004B20E5" w:rsidP="003672D6">
            <w:pPr>
              <w:rPr>
                <w:rFonts w:cs="Arial"/>
                <w:sz w:val="8"/>
                <w:szCs w:val="8"/>
              </w:rPr>
            </w:pPr>
          </w:p>
          <w:p w:rsidR="004B20E5" w:rsidRPr="003672D6" w:rsidRDefault="004B20E5" w:rsidP="003672D6">
            <w:pPr>
              <w:rPr>
                <w:rFonts w:cs="Arial"/>
                <w:sz w:val="18"/>
                <w:szCs w:val="18"/>
              </w:rPr>
            </w:pPr>
            <w:r w:rsidRPr="003672D6">
              <w:rPr>
                <w:rFonts w:cs="Arial"/>
                <w:sz w:val="18"/>
                <w:szCs w:val="18"/>
              </w:rPr>
              <w:t>Gonorrhea cases highest among Blacks (157 per 100,000)</w:t>
            </w:r>
            <w:r w:rsidRPr="003672D6">
              <w:rPr>
                <w:rFonts w:cs="Arial"/>
                <w:sz w:val="18"/>
                <w:szCs w:val="18"/>
                <w:vertAlign w:val="superscript"/>
              </w:rPr>
              <w:endnoteReference w:id="104"/>
            </w:r>
          </w:p>
          <w:p w:rsidR="004B20E5" w:rsidRPr="003672D6" w:rsidRDefault="004B20E5" w:rsidP="003672D6">
            <w:pPr>
              <w:rPr>
                <w:rFonts w:cs="Arial"/>
                <w:sz w:val="8"/>
                <w:szCs w:val="8"/>
              </w:rPr>
            </w:pPr>
          </w:p>
          <w:p w:rsidR="004B20E5" w:rsidRPr="003672D6" w:rsidRDefault="004B20E5" w:rsidP="003672D6">
            <w:pPr>
              <w:rPr>
                <w:rFonts w:cs="Arial"/>
              </w:rPr>
            </w:pPr>
            <w:r w:rsidRPr="003672D6">
              <w:rPr>
                <w:rFonts w:cs="Arial"/>
                <w:sz w:val="18"/>
                <w:szCs w:val="18"/>
              </w:rPr>
              <w:t>Syphilis cases highest among Blacks (22 per 100,000</w:t>
            </w:r>
            <w:r w:rsidRPr="003672D6">
              <w:rPr>
                <w:rFonts w:cs="Arial"/>
              </w:rPr>
              <w:t>)</w:t>
            </w:r>
            <w:r w:rsidRPr="003672D6">
              <w:rPr>
                <w:rFonts w:cs="Arial"/>
                <w:sz w:val="18"/>
                <w:szCs w:val="18"/>
              </w:rPr>
              <w:t xml:space="preserve"> and men who have sex with men (MSM) (75% of new cases)</w:t>
            </w:r>
          </w:p>
        </w:tc>
        <w:tc>
          <w:tcPr>
            <w:tcW w:w="735" w:type="pct"/>
          </w:tcPr>
          <w:p w:rsidR="004B20E5" w:rsidRPr="003672D6" w:rsidRDefault="004B20E5" w:rsidP="003672D6">
            <w:pPr>
              <w:rPr>
                <w:rFonts w:cs="Arial"/>
                <w:sz w:val="18"/>
                <w:szCs w:val="18"/>
              </w:rPr>
            </w:pPr>
            <w:r w:rsidRPr="003672D6">
              <w:rPr>
                <w:rFonts w:cs="Arial"/>
                <w:sz w:val="18"/>
                <w:szCs w:val="18"/>
              </w:rPr>
              <w:t xml:space="preserve">Between 2—2 to 2012 there is a 100% ↑ in number cases of Chlamydia.  </w:t>
            </w:r>
          </w:p>
          <w:p w:rsidR="004B20E5" w:rsidRPr="003672D6" w:rsidRDefault="004B20E5" w:rsidP="003672D6">
            <w:pPr>
              <w:rPr>
                <w:rFonts w:cs="Arial"/>
                <w:sz w:val="18"/>
                <w:szCs w:val="18"/>
              </w:rPr>
            </w:pPr>
          </w:p>
          <w:p w:rsidR="004B20E5" w:rsidRPr="003672D6" w:rsidRDefault="004B20E5" w:rsidP="003672D6">
            <w:pPr>
              <w:rPr>
                <w:rFonts w:cs="Arial"/>
                <w:sz w:val="18"/>
                <w:szCs w:val="18"/>
              </w:rPr>
            </w:pPr>
            <w:r w:rsidRPr="003672D6">
              <w:rPr>
                <w:rFonts w:cs="Arial"/>
                <w:sz w:val="18"/>
                <w:szCs w:val="18"/>
              </w:rPr>
              <w:t xml:space="preserve">In 2012 MA experienced a 10% increase in gonorrhea from 2011. </w:t>
            </w:r>
          </w:p>
          <w:p w:rsidR="004B20E5" w:rsidRPr="003672D6" w:rsidRDefault="004B20E5" w:rsidP="003672D6">
            <w:pPr>
              <w:rPr>
                <w:rFonts w:cs="Arial"/>
                <w:sz w:val="8"/>
                <w:szCs w:val="8"/>
              </w:rPr>
            </w:pPr>
          </w:p>
          <w:p w:rsidR="004B20E5" w:rsidRPr="003672D6" w:rsidRDefault="004B20E5" w:rsidP="003672D6">
            <w:pPr>
              <w:rPr>
                <w:rFonts w:cs="Arial"/>
                <w:sz w:val="18"/>
                <w:szCs w:val="18"/>
              </w:rPr>
            </w:pPr>
            <w:r w:rsidRPr="003672D6">
              <w:rPr>
                <w:rFonts w:cs="Arial"/>
                <w:sz w:val="18"/>
                <w:szCs w:val="18"/>
              </w:rPr>
              <w:t>In 2012 the total number of reported infectious syphilis cases was 512; of the 512, 384 or 75% were reported as MSM.</w:t>
            </w:r>
          </w:p>
        </w:tc>
        <w:tc>
          <w:tcPr>
            <w:tcW w:w="590" w:type="pct"/>
            <w:gridSpan w:val="2"/>
          </w:tcPr>
          <w:p w:rsidR="004B20E5" w:rsidRPr="003672D6" w:rsidRDefault="004B20E5" w:rsidP="003672D6">
            <w:pPr>
              <w:rPr>
                <w:rFonts w:cs="Arial"/>
                <w:sz w:val="18"/>
                <w:szCs w:val="18"/>
              </w:rPr>
            </w:pPr>
            <w:r w:rsidRPr="003672D6">
              <w:rPr>
                <w:rFonts w:cs="Arial"/>
                <w:sz w:val="18"/>
                <w:szCs w:val="18"/>
              </w:rPr>
              <w:t>NPS</w:t>
            </w:r>
          </w:p>
          <w:p w:rsidR="004B20E5" w:rsidRPr="003672D6" w:rsidRDefault="004B20E5" w:rsidP="003672D6">
            <w:pPr>
              <w:rPr>
                <w:rFonts w:cs="Arial"/>
                <w:sz w:val="18"/>
                <w:szCs w:val="18"/>
              </w:rPr>
            </w:pPr>
            <w:r w:rsidRPr="003672D6">
              <w:rPr>
                <w:rFonts w:cs="Arial"/>
                <w:sz w:val="18"/>
                <w:szCs w:val="18"/>
              </w:rPr>
              <w:t>HP2020</w:t>
            </w:r>
          </w:p>
        </w:tc>
      </w:tr>
      <w:tr w:rsidR="004B20E5" w:rsidRPr="00666093" w:rsidTr="0012696F">
        <w:trPr>
          <w:cantSplit/>
        </w:trPr>
        <w:tc>
          <w:tcPr>
            <w:tcW w:w="525" w:type="pct"/>
          </w:tcPr>
          <w:p w:rsidR="004B20E5" w:rsidRPr="00666093" w:rsidRDefault="004B20E5" w:rsidP="003672D6">
            <w:pPr>
              <w:rPr>
                <w:b/>
                <w:sz w:val="18"/>
                <w:szCs w:val="18"/>
              </w:rPr>
            </w:pPr>
            <w:r w:rsidRPr="008631BB">
              <w:rPr>
                <w:b/>
                <w:sz w:val="18"/>
                <w:szCs w:val="18"/>
              </w:rPr>
              <w:t>HIV</w:t>
            </w:r>
          </w:p>
        </w:tc>
        <w:tc>
          <w:tcPr>
            <w:tcW w:w="528" w:type="pct"/>
          </w:tcPr>
          <w:p w:rsidR="004B20E5" w:rsidRPr="003672D6" w:rsidRDefault="004B20E5" w:rsidP="003672D6">
            <w:pPr>
              <w:rPr>
                <w:rFonts w:cs="Arial"/>
                <w:sz w:val="18"/>
                <w:szCs w:val="18"/>
              </w:rPr>
            </w:pPr>
            <w:r>
              <w:rPr>
                <w:rFonts w:cs="Arial"/>
                <w:sz w:val="18"/>
                <w:szCs w:val="18"/>
              </w:rPr>
              <w:t>3.4</w:t>
            </w:r>
            <w:r w:rsidRPr="003672D6">
              <w:rPr>
                <w:rFonts w:cs="Arial"/>
                <w:sz w:val="18"/>
                <w:szCs w:val="18"/>
              </w:rPr>
              <w:t xml:space="preserve"> deaths per 100,000 residents</w:t>
            </w:r>
            <w:r w:rsidRPr="003672D6">
              <w:rPr>
                <w:rFonts w:cs="Arial"/>
                <w:sz w:val="18"/>
                <w:szCs w:val="18"/>
                <w:vertAlign w:val="superscript"/>
              </w:rPr>
              <w:endnoteReference w:id="105"/>
            </w:r>
            <w:r w:rsidRPr="003672D6">
              <w:rPr>
                <w:rFonts w:cs="Arial"/>
                <w:sz w:val="18"/>
                <w:szCs w:val="18"/>
              </w:rPr>
              <w:t xml:space="preserve"> and 2,899 YPLL</w:t>
            </w:r>
            <w:r w:rsidRPr="003672D6">
              <w:rPr>
                <w:rFonts w:cs="Arial"/>
                <w:sz w:val="18"/>
                <w:szCs w:val="18"/>
                <w:vertAlign w:val="superscript"/>
              </w:rPr>
              <w:endnoteReference w:id="106"/>
            </w:r>
          </w:p>
          <w:p w:rsidR="004B20E5" w:rsidRPr="003672D6" w:rsidRDefault="004B20E5" w:rsidP="003672D6">
            <w:pPr>
              <w:rPr>
                <w:rFonts w:cs="Arial"/>
                <w:sz w:val="18"/>
                <w:szCs w:val="18"/>
              </w:rPr>
            </w:pPr>
          </w:p>
        </w:tc>
        <w:tc>
          <w:tcPr>
            <w:tcW w:w="679" w:type="pct"/>
          </w:tcPr>
          <w:p w:rsidR="004B20E5" w:rsidRPr="003672D6" w:rsidRDefault="004B20E5" w:rsidP="003672D6">
            <w:pPr>
              <w:rPr>
                <w:rFonts w:cs="Arial"/>
                <w:sz w:val="18"/>
                <w:szCs w:val="18"/>
              </w:rPr>
            </w:pPr>
            <w:r w:rsidRPr="003672D6">
              <w:rPr>
                <w:rFonts w:cs="Arial"/>
                <w:sz w:val="18"/>
                <w:szCs w:val="18"/>
              </w:rPr>
              <w:t xml:space="preserve">10.5 new cases of HIV per 100,000 residents </w:t>
            </w:r>
            <w:r w:rsidRPr="003672D6">
              <w:rPr>
                <w:rFonts w:cs="Arial"/>
                <w:sz w:val="18"/>
                <w:szCs w:val="18"/>
                <w:vertAlign w:val="superscript"/>
              </w:rPr>
              <w:endnoteReference w:id="107"/>
            </w:r>
          </w:p>
          <w:p w:rsidR="004B20E5" w:rsidRPr="003672D6" w:rsidRDefault="004B20E5" w:rsidP="003672D6">
            <w:pPr>
              <w:rPr>
                <w:rFonts w:cs="Arial"/>
                <w:sz w:val="18"/>
                <w:szCs w:val="18"/>
              </w:rPr>
            </w:pPr>
          </w:p>
        </w:tc>
        <w:tc>
          <w:tcPr>
            <w:tcW w:w="746" w:type="pct"/>
          </w:tcPr>
          <w:p w:rsidR="004B20E5" w:rsidRPr="003672D6" w:rsidRDefault="004B20E5" w:rsidP="003672D6">
            <w:pPr>
              <w:rPr>
                <w:rFonts w:cs="Arial"/>
                <w:sz w:val="18"/>
                <w:szCs w:val="18"/>
              </w:rPr>
            </w:pPr>
            <w:r w:rsidRPr="003672D6">
              <w:rPr>
                <w:rFonts w:cs="Arial"/>
                <w:sz w:val="18"/>
                <w:szCs w:val="18"/>
              </w:rPr>
              <w:t>$12.6 billion in estimated medical costs in U.S. due to HIV</w:t>
            </w:r>
            <w:r w:rsidRPr="003672D6">
              <w:rPr>
                <w:rStyle w:val="EndnoteReference"/>
                <w:rFonts w:cs="Arial"/>
                <w:sz w:val="18"/>
                <w:szCs w:val="18"/>
              </w:rPr>
              <w:endnoteReference w:id="108"/>
            </w:r>
          </w:p>
        </w:tc>
        <w:tc>
          <w:tcPr>
            <w:tcW w:w="1197" w:type="pct"/>
          </w:tcPr>
          <w:p w:rsidR="004B20E5" w:rsidRPr="003672D6" w:rsidRDefault="004B20E5" w:rsidP="003672D6">
            <w:pPr>
              <w:rPr>
                <w:rFonts w:cs="Arial"/>
                <w:sz w:val="18"/>
                <w:szCs w:val="18"/>
              </w:rPr>
            </w:pPr>
            <w:r w:rsidRPr="003672D6">
              <w:rPr>
                <w:rFonts w:cs="Arial"/>
                <w:sz w:val="18"/>
                <w:szCs w:val="18"/>
              </w:rPr>
              <w:t>Provincetown had the highest incidence rate of HIV diagnosis (301 per 100,000)</w:t>
            </w:r>
            <w:r w:rsidRPr="003672D6">
              <w:rPr>
                <w:rFonts w:cs="Arial"/>
                <w:sz w:val="18"/>
                <w:szCs w:val="18"/>
                <w:vertAlign w:val="superscript"/>
              </w:rPr>
              <w:endnoteReference w:id="109"/>
            </w:r>
          </w:p>
          <w:p w:rsidR="004B20E5" w:rsidRPr="003672D6" w:rsidRDefault="004B20E5" w:rsidP="003672D6">
            <w:pPr>
              <w:rPr>
                <w:rFonts w:cs="Arial"/>
                <w:sz w:val="8"/>
                <w:szCs w:val="8"/>
              </w:rPr>
            </w:pPr>
          </w:p>
          <w:p w:rsidR="004B20E5" w:rsidRPr="003672D6" w:rsidRDefault="004B20E5" w:rsidP="003672D6">
            <w:pPr>
              <w:rPr>
                <w:rFonts w:cs="Arial"/>
                <w:sz w:val="8"/>
                <w:szCs w:val="8"/>
              </w:rPr>
            </w:pPr>
            <w:r w:rsidRPr="003672D6">
              <w:rPr>
                <w:rFonts w:cs="Arial"/>
                <w:sz w:val="18"/>
                <w:szCs w:val="18"/>
              </w:rPr>
              <w:t>The death rate is highest among Blacks (41.17 per 100,000)</w:t>
            </w:r>
            <w:r w:rsidRPr="003672D6">
              <w:rPr>
                <w:rFonts w:cs="Arial"/>
                <w:sz w:val="18"/>
                <w:szCs w:val="18"/>
                <w:vertAlign w:val="superscript"/>
              </w:rPr>
              <w:endnoteReference w:id="110"/>
            </w:r>
          </w:p>
          <w:p w:rsidR="004B20E5" w:rsidRPr="003672D6" w:rsidRDefault="004B20E5" w:rsidP="003672D6">
            <w:pPr>
              <w:rPr>
                <w:rFonts w:cs="Arial"/>
                <w:sz w:val="18"/>
                <w:szCs w:val="18"/>
              </w:rPr>
            </w:pPr>
            <w:r w:rsidRPr="003672D6">
              <w:rPr>
                <w:rFonts w:cs="Arial"/>
                <w:sz w:val="18"/>
                <w:szCs w:val="18"/>
              </w:rPr>
              <w:t>From 2010 -2012 73% of new cases were in men and 43% of new HIV cases are among MSM</w:t>
            </w:r>
            <w:r w:rsidRPr="003672D6">
              <w:rPr>
                <w:rFonts w:cs="Arial"/>
                <w:sz w:val="18"/>
                <w:szCs w:val="18"/>
                <w:vertAlign w:val="superscript"/>
              </w:rPr>
              <w:endnoteReference w:id="111"/>
            </w:r>
          </w:p>
        </w:tc>
        <w:tc>
          <w:tcPr>
            <w:tcW w:w="735" w:type="pct"/>
          </w:tcPr>
          <w:p w:rsidR="004B20E5" w:rsidRPr="003672D6" w:rsidRDefault="004B20E5" w:rsidP="003672D6">
            <w:pPr>
              <w:rPr>
                <w:rFonts w:cs="Arial"/>
                <w:sz w:val="18"/>
                <w:szCs w:val="18"/>
              </w:rPr>
            </w:pPr>
            <w:r w:rsidRPr="003672D6">
              <w:rPr>
                <w:rFonts w:cs="Arial"/>
                <w:sz w:val="18"/>
                <w:szCs w:val="18"/>
              </w:rPr>
              <w:t>↓ in new cases of HIV and deaths from HIV over past ten years, but ↑ in the number of residents living with HIV.</w:t>
            </w:r>
          </w:p>
        </w:tc>
        <w:tc>
          <w:tcPr>
            <w:tcW w:w="590" w:type="pct"/>
            <w:gridSpan w:val="2"/>
          </w:tcPr>
          <w:p w:rsidR="004B20E5" w:rsidRPr="003672D6" w:rsidRDefault="004B20E5" w:rsidP="003672D6">
            <w:pPr>
              <w:rPr>
                <w:rFonts w:cs="Arial"/>
                <w:sz w:val="18"/>
                <w:szCs w:val="18"/>
              </w:rPr>
            </w:pPr>
            <w:r w:rsidRPr="003672D6">
              <w:rPr>
                <w:rFonts w:cs="Arial"/>
                <w:sz w:val="18"/>
                <w:szCs w:val="18"/>
              </w:rPr>
              <w:t>WB</w:t>
            </w:r>
          </w:p>
          <w:p w:rsidR="004B20E5" w:rsidRPr="003672D6" w:rsidRDefault="004B20E5" w:rsidP="003672D6">
            <w:pPr>
              <w:rPr>
                <w:rFonts w:cs="Arial"/>
                <w:sz w:val="18"/>
                <w:szCs w:val="18"/>
              </w:rPr>
            </w:pPr>
            <w:r w:rsidRPr="003672D6">
              <w:rPr>
                <w:rFonts w:cs="Arial"/>
                <w:sz w:val="18"/>
                <w:szCs w:val="18"/>
              </w:rPr>
              <w:t>NPS</w:t>
            </w:r>
          </w:p>
          <w:p w:rsidR="004B20E5" w:rsidRPr="003672D6" w:rsidRDefault="004B20E5" w:rsidP="003672D6">
            <w:pPr>
              <w:rPr>
                <w:rFonts w:cs="Arial"/>
                <w:sz w:val="18"/>
                <w:szCs w:val="18"/>
              </w:rPr>
            </w:pPr>
            <w:r w:rsidRPr="003672D6">
              <w:rPr>
                <w:rFonts w:cs="Arial"/>
                <w:sz w:val="18"/>
                <w:szCs w:val="18"/>
              </w:rPr>
              <w:t>HP2020</w:t>
            </w:r>
          </w:p>
        </w:tc>
      </w:tr>
      <w:tr w:rsidR="004B20E5" w:rsidRPr="00666093" w:rsidTr="0012696F">
        <w:trPr>
          <w:cantSplit/>
        </w:trPr>
        <w:tc>
          <w:tcPr>
            <w:tcW w:w="525" w:type="pct"/>
          </w:tcPr>
          <w:p w:rsidR="004B20E5" w:rsidRPr="00666093" w:rsidRDefault="004B20E5" w:rsidP="003672D6">
            <w:pPr>
              <w:rPr>
                <w:b/>
                <w:sz w:val="18"/>
                <w:szCs w:val="18"/>
              </w:rPr>
            </w:pPr>
            <w:r w:rsidRPr="008631BB">
              <w:rPr>
                <w:b/>
                <w:sz w:val="18"/>
                <w:szCs w:val="18"/>
              </w:rPr>
              <w:t>Tuberculosis</w:t>
            </w:r>
          </w:p>
        </w:tc>
        <w:tc>
          <w:tcPr>
            <w:tcW w:w="528" w:type="pct"/>
          </w:tcPr>
          <w:p w:rsidR="004B20E5" w:rsidRPr="003672D6" w:rsidRDefault="004B20E5" w:rsidP="003672D6">
            <w:pPr>
              <w:rPr>
                <w:rFonts w:cs="Arial"/>
                <w:sz w:val="18"/>
                <w:szCs w:val="18"/>
              </w:rPr>
            </w:pPr>
          </w:p>
        </w:tc>
        <w:tc>
          <w:tcPr>
            <w:tcW w:w="679" w:type="pct"/>
          </w:tcPr>
          <w:p w:rsidR="004B20E5" w:rsidRPr="003672D6" w:rsidRDefault="004B20E5" w:rsidP="003672D6">
            <w:pPr>
              <w:rPr>
                <w:rFonts w:cs="Arial"/>
                <w:sz w:val="18"/>
                <w:szCs w:val="18"/>
              </w:rPr>
            </w:pPr>
            <w:r w:rsidRPr="003672D6">
              <w:rPr>
                <w:rFonts w:cs="Arial"/>
                <w:sz w:val="18"/>
                <w:szCs w:val="18"/>
              </w:rPr>
              <w:t>3.0 confirmed cases of active TB per 100,000</w:t>
            </w:r>
            <w:r w:rsidRPr="003672D6">
              <w:rPr>
                <w:rStyle w:val="EndnoteReference"/>
                <w:rFonts w:cs="Arial"/>
                <w:sz w:val="18"/>
                <w:szCs w:val="18"/>
              </w:rPr>
              <w:endnoteReference w:id="112"/>
            </w:r>
          </w:p>
        </w:tc>
        <w:tc>
          <w:tcPr>
            <w:tcW w:w="746" w:type="pct"/>
          </w:tcPr>
          <w:p w:rsidR="004B20E5" w:rsidRPr="003672D6" w:rsidRDefault="004B20E5" w:rsidP="003672D6">
            <w:pPr>
              <w:rPr>
                <w:rFonts w:cs="Arial"/>
                <w:sz w:val="18"/>
                <w:szCs w:val="18"/>
              </w:rPr>
            </w:pPr>
            <w:r w:rsidRPr="003672D6">
              <w:rPr>
                <w:rFonts w:cs="Arial"/>
                <w:sz w:val="18"/>
                <w:szCs w:val="18"/>
              </w:rPr>
              <w:t xml:space="preserve">Treating TB $17,000 per patient with non-MDR TB; $134,000 per case of MDR-TB   </w:t>
            </w:r>
            <w:r w:rsidRPr="003672D6">
              <w:rPr>
                <w:rStyle w:val="EndnoteReference"/>
                <w:rFonts w:cs="Arial"/>
                <w:sz w:val="18"/>
                <w:szCs w:val="18"/>
              </w:rPr>
              <w:endnoteReference w:id="113"/>
            </w:r>
          </w:p>
        </w:tc>
        <w:tc>
          <w:tcPr>
            <w:tcW w:w="1197" w:type="pct"/>
          </w:tcPr>
          <w:p w:rsidR="004B20E5" w:rsidRPr="003672D6" w:rsidRDefault="004B20E5" w:rsidP="003672D6">
            <w:pPr>
              <w:rPr>
                <w:rFonts w:cs="Arial"/>
                <w:sz w:val="18"/>
                <w:szCs w:val="18"/>
              </w:rPr>
            </w:pPr>
            <w:r w:rsidRPr="003672D6">
              <w:rPr>
                <w:rFonts w:cs="Arial"/>
                <w:sz w:val="18"/>
                <w:szCs w:val="18"/>
              </w:rPr>
              <w:t>Cases among non-US born individuals make up approximately 80% of TB in Massachusetts. Rates of TB are higher among Asian (19.1 per 100,000) and Black (13.6 per 100,000) residents.</w:t>
            </w:r>
          </w:p>
        </w:tc>
        <w:tc>
          <w:tcPr>
            <w:tcW w:w="735" w:type="pct"/>
          </w:tcPr>
          <w:p w:rsidR="004B20E5" w:rsidRPr="003672D6" w:rsidRDefault="004B20E5" w:rsidP="003672D6">
            <w:pPr>
              <w:rPr>
                <w:rFonts w:cs="Arial"/>
                <w:sz w:val="18"/>
                <w:szCs w:val="18"/>
              </w:rPr>
            </w:pPr>
            <w:r w:rsidRPr="003672D6">
              <w:rPr>
                <w:rFonts w:cs="Arial"/>
                <w:sz w:val="18"/>
                <w:szCs w:val="18"/>
              </w:rPr>
              <w:t>Rates have been stable while the U.S. case rate has continued to decline.</w:t>
            </w:r>
          </w:p>
          <w:p w:rsidR="004B20E5" w:rsidRPr="003672D6" w:rsidRDefault="004B20E5" w:rsidP="003672D6">
            <w:pPr>
              <w:rPr>
                <w:rFonts w:cs="Arial"/>
                <w:sz w:val="18"/>
                <w:szCs w:val="18"/>
              </w:rPr>
            </w:pPr>
          </w:p>
          <w:p w:rsidR="004B20E5" w:rsidRPr="003672D6" w:rsidRDefault="004B20E5" w:rsidP="003672D6">
            <w:pPr>
              <w:rPr>
                <w:rFonts w:cs="Arial"/>
                <w:sz w:val="18"/>
                <w:szCs w:val="18"/>
              </w:rPr>
            </w:pPr>
            <w:r w:rsidRPr="003672D6">
              <w:rPr>
                <w:rFonts w:cs="Arial"/>
                <w:sz w:val="18"/>
                <w:szCs w:val="18"/>
              </w:rPr>
              <w:t>↑ in number of MDR-TB cases in 2013</w:t>
            </w:r>
          </w:p>
        </w:tc>
        <w:tc>
          <w:tcPr>
            <w:tcW w:w="590" w:type="pct"/>
            <w:gridSpan w:val="2"/>
          </w:tcPr>
          <w:p w:rsidR="004B20E5" w:rsidRPr="003672D6" w:rsidRDefault="004B20E5" w:rsidP="003672D6">
            <w:pPr>
              <w:rPr>
                <w:rFonts w:cs="Arial"/>
                <w:sz w:val="18"/>
                <w:szCs w:val="18"/>
              </w:rPr>
            </w:pPr>
            <w:r w:rsidRPr="003672D6">
              <w:rPr>
                <w:rFonts w:cs="Arial"/>
                <w:sz w:val="18"/>
                <w:szCs w:val="18"/>
              </w:rPr>
              <w:t>HP2020</w:t>
            </w:r>
          </w:p>
        </w:tc>
      </w:tr>
      <w:tr w:rsidR="004B20E5" w:rsidRPr="00666093" w:rsidTr="0012696F">
        <w:trPr>
          <w:cantSplit/>
        </w:trPr>
        <w:tc>
          <w:tcPr>
            <w:tcW w:w="525" w:type="pct"/>
          </w:tcPr>
          <w:p w:rsidR="004B20E5" w:rsidRPr="00666093" w:rsidRDefault="004B20E5" w:rsidP="003672D6">
            <w:pPr>
              <w:rPr>
                <w:b/>
                <w:sz w:val="18"/>
                <w:szCs w:val="18"/>
              </w:rPr>
            </w:pPr>
            <w:r w:rsidRPr="008631BB">
              <w:rPr>
                <w:b/>
                <w:sz w:val="18"/>
                <w:szCs w:val="18"/>
              </w:rPr>
              <w:t xml:space="preserve">Hepatitis </w:t>
            </w:r>
            <w:r>
              <w:rPr>
                <w:b/>
                <w:sz w:val="18"/>
                <w:szCs w:val="18"/>
              </w:rPr>
              <w:t>(B and C)</w:t>
            </w:r>
          </w:p>
        </w:tc>
        <w:tc>
          <w:tcPr>
            <w:tcW w:w="528" w:type="pct"/>
          </w:tcPr>
          <w:p w:rsidR="004B20E5" w:rsidRPr="003672D6" w:rsidRDefault="004B20E5" w:rsidP="003672D6">
            <w:pPr>
              <w:rPr>
                <w:rFonts w:cs="Arial"/>
                <w:sz w:val="18"/>
                <w:szCs w:val="18"/>
              </w:rPr>
            </w:pPr>
          </w:p>
        </w:tc>
        <w:tc>
          <w:tcPr>
            <w:tcW w:w="679" w:type="pct"/>
          </w:tcPr>
          <w:p w:rsidR="004B20E5" w:rsidRPr="003672D6" w:rsidRDefault="004B20E5" w:rsidP="003672D6">
            <w:pPr>
              <w:rPr>
                <w:rFonts w:cs="Arial"/>
                <w:sz w:val="18"/>
                <w:szCs w:val="18"/>
              </w:rPr>
            </w:pPr>
            <w:r w:rsidRPr="003672D6">
              <w:rPr>
                <w:rFonts w:cs="Arial"/>
                <w:sz w:val="18"/>
                <w:szCs w:val="18"/>
              </w:rPr>
              <w:t>8.46 confirmed cases of Hepatitis B (chronic and acute) per 100,000 population</w:t>
            </w:r>
            <w:r w:rsidRPr="003672D6">
              <w:rPr>
                <w:rStyle w:val="EndnoteReference"/>
                <w:rFonts w:cs="Arial"/>
                <w:sz w:val="18"/>
                <w:szCs w:val="18"/>
              </w:rPr>
              <w:endnoteReference w:id="114"/>
            </w:r>
          </w:p>
          <w:p w:rsidR="004B20E5" w:rsidRPr="003672D6" w:rsidRDefault="004B20E5" w:rsidP="003672D6">
            <w:pPr>
              <w:rPr>
                <w:rFonts w:cs="Arial"/>
                <w:sz w:val="8"/>
                <w:szCs w:val="8"/>
              </w:rPr>
            </w:pPr>
          </w:p>
          <w:p w:rsidR="004B20E5" w:rsidRPr="003672D6" w:rsidRDefault="004B20E5" w:rsidP="003672D6">
            <w:pPr>
              <w:rPr>
                <w:rFonts w:cs="Arial"/>
                <w:sz w:val="18"/>
                <w:szCs w:val="18"/>
              </w:rPr>
            </w:pPr>
            <w:r w:rsidRPr="003672D6">
              <w:rPr>
                <w:rFonts w:cs="Arial"/>
                <w:sz w:val="18"/>
                <w:szCs w:val="18"/>
              </w:rPr>
              <w:t>79 cases per Hepatitis C per 100,000 population</w:t>
            </w:r>
            <w:r w:rsidRPr="003672D6">
              <w:rPr>
                <w:rStyle w:val="EndnoteReference"/>
                <w:rFonts w:cs="Arial"/>
                <w:sz w:val="18"/>
                <w:szCs w:val="18"/>
              </w:rPr>
              <w:endnoteReference w:id="115"/>
            </w:r>
          </w:p>
        </w:tc>
        <w:tc>
          <w:tcPr>
            <w:tcW w:w="746" w:type="pct"/>
          </w:tcPr>
          <w:p w:rsidR="004B20E5" w:rsidRPr="003672D6" w:rsidRDefault="004B20E5" w:rsidP="003672D6">
            <w:pPr>
              <w:rPr>
                <w:rFonts w:cs="Arial"/>
                <w:sz w:val="18"/>
                <w:szCs w:val="18"/>
              </w:rPr>
            </w:pPr>
            <w:r w:rsidRPr="003672D6">
              <w:rPr>
                <w:rFonts w:cs="Arial"/>
                <w:sz w:val="18"/>
                <w:szCs w:val="18"/>
              </w:rPr>
              <w:t>50.7 million in estimated medical costs in U.S. due to Hepatitis B</w:t>
            </w:r>
            <w:r w:rsidRPr="003672D6">
              <w:rPr>
                <w:rFonts w:cs="Arial"/>
                <w:sz w:val="18"/>
                <w:szCs w:val="18"/>
                <w:vertAlign w:val="superscript"/>
              </w:rPr>
              <w:endnoteReference w:id="116"/>
            </w:r>
          </w:p>
          <w:p w:rsidR="004B20E5" w:rsidRPr="003672D6" w:rsidRDefault="004B20E5" w:rsidP="003672D6">
            <w:pPr>
              <w:rPr>
                <w:rFonts w:cs="Arial"/>
                <w:sz w:val="18"/>
                <w:szCs w:val="18"/>
              </w:rPr>
            </w:pPr>
            <w:r w:rsidRPr="003672D6">
              <w:rPr>
                <w:rFonts w:cs="Arial"/>
                <w:sz w:val="18"/>
                <w:szCs w:val="18"/>
              </w:rPr>
              <w:t>Up to $1.6 billion in estimated medical costs due to HCV in the US</w:t>
            </w:r>
            <w:r w:rsidRPr="003672D6">
              <w:rPr>
                <w:rFonts w:cs="Arial"/>
                <w:sz w:val="18"/>
                <w:szCs w:val="18"/>
                <w:vertAlign w:val="superscript"/>
              </w:rPr>
              <w:endnoteReference w:id="117"/>
            </w:r>
          </w:p>
        </w:tc>
        <w:tc>
          <w:tcPr>
            <w:tcW w:w="1197" w:type="pct"/>
          </w:tcPr>
          <w:p w:rsidR="004B20E5" w:rsidRPr="003672D6" w:rsidRDefault="004B20E5" w:rsidP="003672D6">
            <w:pPr>
              <w:rPr>
                <w:rFonts w:cs="Arial"/>
                <w:sz w:val="18"/>
                <w:szCs w:val="18"/>
              </w:rPr>
            </w:pPr>
            <w:r w:rsidRPr="003672D6">
              <w:rPr>
                <w:rFonts w:cs="Arial"/>
                <w:sz w:val="18"/>
                <w:szCs w:val="18"/>
              </w:rPr>
              <w:t>Most newly diagnosed cases of chronic Hepatitis B are in people living in urban areas such as Boston, Worcester, Lowell and Springfield</w:t>
            </w:r>
          </w:p>
          <w:p w:rsidR="004B20E5" w:rsidRPr="003672D6" w:rsidRDefault="004B20E5" w:rsidP="003672D6">
            <w:pPr>
              <w:rPr>
                <w:rFonts w:cs="Arial"/>
                <w:sz w:val="18"/>
                <w:szCs w:val="18"/>
              </w:rPr>
            </w:pPr>
          </w:p>
          <w:p w:rsidR="004B20E5" w:rsidRPr="003672D6" w:rsidRDefault="004B20E5" w:rsidP="003672D6">
            <w:pPr>
              <w:rPr>
                <w:rFonts w:cs="Arial"/>
                <w:sz w:val="18"/>
                <w:szCs w:val="18"/>
              </w:rPr>
            </w:pPr>
            <w:r w:rsidRPr="003672D6">
              <w:rPr>
                <w:rFonts w:cs="Arial"/>
                <w:sz w:val="18"/>
                <w:szCs w:val="18"/>
              </w:rPr>
              <w:t>Striking increases of HCV infection among people who use drugs under 30 years of age. Over 2,100 cases reported in this population in 2012 alone.</w:t>
            </w:r>
          </w:p>
        </w:tc>
        <w:tc>
          <w:tcPr>
            <w:tcW w:w="735" w:type="pct"/>
          </w:tcPr>
          <w:p w:rsidR="004B20E5" w:rsidRPr="003672D6" w:rsidRDefault="004B20E5" w:rsidP="003672D6">
            <w:pPr>
              <w:pStyle w:val="BodyText"/>
              <w:rPr>
                <w:sz w:val="18"/>
                <w:szCs w:val="18"/>
              </w:rPr>
            </w:pPr>
            <w:r w:rsidRPr="003672D6">
              <w:rPr>
                <w:sz w:val="18"/>
                <w:szCs w:val="18"/>
              </w:rPr>
              <w:t xml:space="preserve"> ↑ cases of chronic Hepatitis B since 2005 </w:t>
            </w:r>
          </w:p>
          <w:p w:rsidR="004B20E5" w:rsidRPr="003672D6" w:rsidRDefault="004B20E5" w:rsidP="003672D6">
            <w:pPr>
              <w:spacing w:after="120"/>
              <w:rPr>
                <w:rFonts w:cs="Arial"/>
                <w:sz w:val="18"/>
                <w:szCs w:val="18"/>
              </w:rPr>
            </w:pPr>
            <w:r w:rsidRPr="003672D6">
              <w:rPr>
                <w:rFonts w:cs="Arial"/>
                <w:sz w:val="18"/>
                <w:szCs w:val="18"/>
              </w:rPr>
              <w:t xml:space="preserve">↓ in overall hepatitis C cases, but still a high number of cases (7,000-10,000 annually). </w:t>
            </w:r>
          </w:p>
          <w:p w:rsidR="004B20E5" w:rsidRPr="003672D6" w:rsidRDefault="004B20E5" w:rsidP="003672D6">
            <w:pPr>
              <w:pStyle w:val="BodyText"/>
              <w:rPr>
                <w:sz w:val="18"/>
                <w:szCs w:val="18"/>
              </w:rPr>
            </w:pPr>
            <w:r w:rsidRPr="003672D6">
              <w:rPr>
                <w:sz w:val="18"/>
                <w:szCs w:val="18"/>
              </w:rPr>
              <w:t>Highest numbers of cases among people born between 1945-1965 and in people under the age of 30 years. The increase in younger people is largely due to the injection of opioids including heroin.</w:t>
            </w:r>
          </w:p>
        </w:tc>
        <w:tc>
          <w:tcPr>
            <w:tcW w:w="590" w:type="pct"/>
            <w:gridSpan w:val="2"/>
          </w:tcPr>
          <w:p w:rsidR="004B20E5" w:rsidRPr="003672D6" w:rsidRDefault="004B20E5" w:rsidP="003672D6">
            <w:pPr>
              <w:pStyle w:val="BodyText"/>
              <w:rPr>
                <w:sz w:val="18"/>
                <w:szCs w:val="18"/>
              </w:rPr>
            </w:pPr>
            <w:r w:rsidRPr="003672D6">
              <w:rPr>
                <w:sz w:val="18"/>
                <w:szCs w:val="18"/>
              </w:rPr>
              <w:t>HP2020</w:t>
            </w:r>
          </w:p>
        </w:tc>
      </w:tr>
      <w:tr w:rsidR="004B20E5" w:rsidRPr="00666093" w:rsidTr="0012696F">
        <w:trPr>
          <w:cantSplit/>
        </w:trPr>
        <w:tc>
          <w:tcPr>
            <w:tcW w:w="525" w:type="pct"/>
          </w:tcPr>
          <w:p w:rsidR="004B20E5" w:rsidRPr="00666093" w:rsidRDefault="004B20E5" w:rsidP="003672D6">
            <w:pPr>
              <w:rPr>
                <w:b/>
                <w:sz w:val="18"/>
                <w:szCs w:val="18"/>
              </w:rPr>
            </w:pPr>
            <w:r w:rsidRPr="009922F6">
              <w:rPr>
                <w:b/>
                <w:sz w:val="18"/>
                <w:szCs w:val="18"/>
              </w:rPr>
              <w:t>Influenza and pneumonia</w:t>
            </w:r>
          </w:p>
        </w:tc>
        <w:tc>
          <w:tcPr>
            <w:tcW w:w="528" w:type="pct"/>
          </w:tcPr>
          <w:p w:rsidR="004B20E5" w:rsidRPr="003672D6" w:rsidRDefault="004B20E5" w:rsidP="003672D6">
            <w:pPr>
              <w:rPr>
                <w:rFonts w:cs="Arial"/>
                <w:sz w:val="18"/>
                <w:szCs w:val="18"/>
              </w:rPr>
            </w:pPr>
            <w:r w:rsidRPr="003672D6">
              <w:rPr>
                <w:rFonts w:cs="Arial"/>
                <w:sz w:val="18"/>
                <w:szCs w:val="18"/>
              </w:rPr>
              <w:t>16.9 deaths per 100,000 residents (influenza and pneumonia)</w:t>
            </w:r>
            <w:r w:rsidRPr="003672D6">
              <w:rPr>
                <w:rStyle w:val="EndnoteReference"/>
                <w:rFonts w:cs="Arial"/>
                <w:sz w:val="18"/>
                <w:szCs w:val="18"/>
              </w:rPr>
              <w:endnoteReference w:id="118"/>
            </w:r>
          </w:p>
        </w:tc>
        <w:tc>
          <w:tcPr>
            <w:tcW w:w="679" w:type="pct"/>
          </w:tcPr>
          <w:p w:rsidR="004B20E5" w:rsidRPr="003672D6" w:rsidRDefault="004B20E5" w:rsidP="003672D6">
            <w:pPr>
              <w:pStyle w:val="EndnoteText"/>
              <w:rPr>
                <w:rFonts w:cs="Arial"/>
                <w:sz w:val="18"/>
                <w:szCs w:val="18"/>
              </w:rPr>
            </w:pPr>
            <w:r w:rsidRPr="003672D6">
              <w:rPr>
                <w:rFonts w:cs="Arial"/>
                <w:sz w:val="18"/>
                <w:szCs w:val="18"/>
              </w:rPr>
              <w:t xml:space="preserve">22,317 cases of laboratory confirmed influenza in 7 month period.  </w:t>
            </w:r>
          </w:p>
          <w:p w:rsidR="004B20E5" w:rsidRPr="003672D6" w:rsidRDefault="004B20E5" w:rsidP="003672D6">
            <w:pPr>
              <w:rPr>
                <w:rFonts w:cs="Arial"/>
                <w:sz w:val="18"/>
                <w:szCs w:val="18"/>
              </w:rPr>
            </w:pPr>
            <w:r w:rsidRPr="003672D6">
              <w:rPr>
                <w:rStyle w:val="EndnoteReference"/>
                <w:rFonts w:cs="Arial"/>
                <w:sz w:val="18"/>
                <w:szCs w:val="18"/>
              </w:rPr>
              <w:endnoteReference w:id="119"/>
            </w:r>
          </w:p>
        </w:tc>
        <w:tc>
          <w:tcPr>
            <w:tcW w:w="746" w:type="pct"/>
          </w:tcPr>
          <w:p w:rsidR="004B20E5" w:rsidRPr="003672D6" w:rsidRDefault="004B20E5" w:rsidP="003672D6">
            <w:pPr>
              <w:rPr>
                <w:rFonts w:cs="Arial"/>
                <w:sz w:val="18"/>
                <w:szCs w:val="18"/>
              </w:rPr>
            </w:pPr>
            <w:r w:rsidRPr="003672D6">
              <w:rPr>
                <w:rFonts w:cs="Arial"/>
                <w:sz w:val="18"/>
                <w:szCs w:val="18"/>
              </w:rPr>
              <w:t>Estimated to cost the U.S. $34.2 billion in health care costs</w:t>
            </w:r>
            <w:r w:rsidRPr="003672D6">
              <w:rPr>
                <w:rStyle w:val="EndnoteReference"/>
                <w:rFonts w:cs="Arial"/>
                <w:sz w:val="18"/>
                <w:szCs w:val="18"/>
              </w:rPr>
              <w:endnoteReference w:id="120"/>
            </w:r>
          </w:p>
        </w:tc>
        <w:tc>
          <w:tcPr>
            <w:tcW w:w="1197" w:type="pct"/>
          </w:tcPr>
          <w:p w:rsidR="004B20E5" w:rsidRPr="003672D6" w:rsidRDefault="004B20E5" w:rsidP="003672D6">
            <w:pPr>
              <w:rPr>
                <w:rFonts w:cs="Arial"/>
                <w:sz w:val="18"/>
                <w:szCs w:val="18"/>
              </w:rPr>
            </w:pPr>
            <w:r w:rsidRPr="003672D6">
              <w:rPr>
                <w:rFonts w:cs="Arial"/>
                <w:sz w:val="18"/>
                <w:szCs w:val="18"/>
              </w:rPr>
              <w:t>Higher death rates from influenza and pneumonia among those 75+ years old</w:t>
            </w:r>
          </w:p>
          <w:p w:rsidR="004B20E5" w:rsidRPr="003672D6" w:rsidRDefault="004B20E5" w:rsidP="003672D6">
            <w:pPr>
              <w:rPr>
                <w:rFonts w:cs="Arial"/>
                <w:sz w:val="18"/>
                <w:szCs w:val="18"/>
              </w:rPr>
            </w:pPr>
          </w:p>
        </w:tc>
        <w:tc>
          <w:tcPr>
            <w:tcW w:w="735" w:type="pct"/>
          </w:tcPr>
          <w:p w:rsidR="004B20E5" w:rsidRPr="003672D6" w:rsidRDefault="004B20E5" w:rsidP="003672D6">
            <w:pPr>
              <w:rPr>
                <w:rFonts w:cs="Arial"/>
                <w:sz w:val="18"/>
                <w:szCs w:val="18"/>
              </w:rPr>
            </w:pPr>
            <w:r w:rsidRPr="003672D6">
              <w:rPr>
                <w:rFonts w:cs="Arial"/>
                <w:sz w:val="18"/>
                <w:szCs w:val="18"/>
              </w:rPr>
              <w:t>↓ since 2000 in age-adjusted death rate</w:t>
            </w:r>
          </w:p>
        </w:tc>
        <w:tc>
          <w:tcPr>
            <w:tcW w:w="590" w:type="pct"/>
            <w:gridSpan w:val="2"/>
          </w:tcPr>
          <w:p w:rsidR="004B20E5" w:rsidRPr="003672D6" w:rsidRDefault="004B20E5" w:rsidP="003672D6">
            <w:pPr>
              <w:rPr>
                <w:rFonts w:cs="Arial"/>
                <w:sz w:val="18"/>
                <w:szCs w:val="18"/>
              </w:rPr>
            </w:pPr>
            <w:r w:rsidRPr="003672D6">
              <w:rPr>
                <w:rFonts w:cs="Arial"/>
                <w:sz w:val="18"/>
                <w:szCs w:val="18"/>
              </w:rPr>
              <w:t>HP2020</w:t>
            </w:r>
          </w:p>
        </w:tc>
      </w:tr>
      <w:tr w:rsidR="004B20E5" w:rsidRPr="00666093" w:rsidTr="0012696F">
        <w:trPr>
          <w:cantSplit/>
        </w:trPr>
        <w:tc>
          <w:tcPr>
            <w:tcW w:w="525" w:type="pct"/>
          </w:tcPr>
          <w:p w:rsidR="004B20E5" w:rsidRPr="00666093" w:rsidRDefault="004B20E5" w:rsidP="00C8042B">
            <w:pPr>
              <w:rPr>
                <w:b/>
                <w:sz w:val="18"/>
                <w:szCs w:val="18"/>
              </w:rPr>
            </w:pPr>
            <w:r w:rsidRPr="009922F6">
              <w:rPr>
                <w:b/>
                <w:sz w:val="18"/>
                <w:szCs w:val="18"/>
              </w:rPr>
              <w:t xml:space="preserve">Vector borne diseases (Lyme disease, </w:t>
            </w:r>
            <w:r>
              <w:rPr>
                <w:b/>
                <w:sz w:val="18"/>
                <w:szCs w:val="18"/>
              </w:rPr>
              <w:t xml:space="preserve">Anaplasmosis (HGA), babesiosis, </w:t>
            </w:r>
            <w:r w:rsidRPr="009922F6">
              <w:rPr>
                <w:b/>
                <w:sz w:val="18"/>
                <w:szCs w:val="18"/>
              </w:rPr>
              <w:t>West Nile virus</w:t>
            </w:r>
            <w:r>
              <w:rPr>
                <w:b/>
                <w:sz w:val="18"/>
                <w:szCs w:val="18"/>
              </w:rPr>
              <w:t>, eastern equine encephalitis</w:t>
            </w:r>
            <w:r w:rsidRPr="009922F6">
              <w:rPr>
                <w:b/>
                <w:sz w:val="18"/>
                <w:szCs w:val="18"/>
              </w:rPr>
              <w:t>)</w:t>
            </w:r>
          </w:p>
        </w:tc>
        <w:tc>
          <w:tcPr>
            <w:tcW w:w="528" w:type="pct"/>
          </w:tcPr>
          <w:p w:rsidR="004B20E5" w:rsidRPr="00666093" w:rsidRDefault="004B20E5" w:rsidP="003672D6">
            <w:pPr>
              <w:rPr>
                <w:sz w:val="18"/>
                <w:szCs w:val="18"/>
              </w:rPr>
            </w:pPr>
          </w:p>
        </w:tc>
        <w:tc>
          <w:tcPr>
            <w:tcW w:w="679" w:type="pct"/>
          </w:tcPr>
          <w:p w:rsidR="004B20E5" w:rsidRDefault="004B20E5" w:rsidP="003672D6">
            <w:pPr>
              <w:rPr>
                <w:sz w:val="18"/>
                <w:szCs w:val="18"/>
              </w:rPr>
            </w:pPr>
            <w:r w:rsidRPr="00727A5D">
              <w:rPr>
                <w:sz w:val="18"/>
                <w:szCs w:val="18"/>
              </w:rPr>
              <w:t>3,342 confirmed cases of Lyme disease (77 confirmed and probable cases per 100,000 population)</w:t>
            </w:r>
            <w:r>
              <w:rPr>
                <w:sz w:val="18"/>
                <w:szCs w:val="18"/>
              </w:rPr>
              <w:t xml:space="preserve"> in 2012</w:t>
            </w:r>
            <w:r w:rsidRPr="009922F6">
              <w:rPr>
                <w:rStyle w:val="EndnoteReference"/>
                <w:sz w:val="18"/>
                <w:szCs w:val="18"/>
              </w:rPr>
              <w:endnoteReference w:id="121"/>
            </w:r>
          </w:p>
          <w:p w:rsidR="004B20E5" w:rsidRDefault="004B20E5" w:rsidP="003672D6">
            <w:pPr>
              <w:rPr>
                <w:sz w:val="18"/>
                <w:szCs w:val="18"/>
              </w:rPr>
            </w:pPr>
          </w:p>
          <w:p w:rsidR="004B20E5" w:rsidRDefault="004B20E5" w:rsidP="003672D6">
            <w:pPr>
              <w:rPr>
                <w:sz w:val="18"/>
                <w:szCs w:val="18"/>
              </w:rPr>
            </w:pPr>
            <w:r>
              <w:rPr>
                <w:sz w:val="18"/>
                <w:szCs w:val="18"/>
              </w:rPr>
              <w:t>Babesia and HGA cases have increased by a factor of 5 in the last 5 years</w:t>
            </w:r>
          </w:p>
          <w:p w:rsidR="004B20E5" w:rsidRPr="00643585" w:rsidRDefault="004B20E5" w:rsidP="003672D6">
            <w:pPr>
              <w:rPr>
                <w:sz w:val="8"/>
                <w:szCs w:val="8"/>
              </w:rPr>
            </w:pPr>
          </w:p>
          <w:p w:rsidR="004B20E5" w:rsidRDefault="004B20E5" w:rsidP="003672D6">
            <w:pPr>
              <w:rPr>
                <w:sz w:val="18"/>
                <w:szCs w:val="18"/>
              </w:rPr>
            </w:pPr>
            <w:r>
              <w:rPr>
                <w:sz w:val="18"/>
                <w:szCs w:val="18"/>
              </w:rPr>
              <w:t>0-</w:t>
            </w:r>
            <w:r w:rsidRPr="00727A5D">
              <w:rPr>
                <w:sz w:val="18"/>
                <w:szCs w:val="18"/>
              </w:rPr>
              <w:t>33 confirmed cases of WNV</w:t>
            </w:r>
            <w:r>
              <w:rPr>
                <w:sz w:val="18"/>
                <w:szCs w:val="18"/>
              </w:rPr>
              <w:t xml:space="preserve"> annually,</w:t>
            </w:r>
            <w:r w:rsidRPr="009922F6">
              <w:rPr>
                <w:rStyle w:val="EndnoteReference"/>
                <w:sz w:val="18"/>
                <w:szCs w:val="18"/>
              </w:rPr>
              <w:endnoteReference w:id="122"/>
            </w:r>
            <w:r>
              <w:rPr>
                <w:sz w:val="18"/>
                <w:szCs w:val="18"/>
              </w:rPr>
              <w:t xml:space="preserve"> 7% mortality</w:t>
            </w:r>
          </w:p>
          <w:p w:rsidR="004B20E5" w:rsidRDefault="004B20E5" w:rsidP="003672D6">
            <w:pPr>
              <w:rPr>
                <w:sz w:val="18"/>
                <w:szCs w:val="18"/>
              </w:rPr>
            </w:pPr>
          </w:p>
          <w:p w:rsidR="004B20E5" w:rsidRPr="00666093" w:rsidRDefault="004B20E5" w:rsidP="003672D6">
            <w:pPr>
              <w:rPr>
                <w:sz w:val="18"/>
                <w:szCs w:val="18"/>
              </w:rPr>
            </w:pPr>
            <w:r>
              <w:rPr>
                <w:sz w:val="18"/>
                <w:szCs w:val="18"/>
              </w:rPr>
              <w:t>0-7 confirmed cases of EEE annually in last 15 years; 46% mortality</w:t>
            </w:r>
          </w:p>
        </w:tc>
        <w:tc>
          <w:tcPr>
            <w:tcW w:w="746" w:type="pct"/>
          </w:tcPr>
          <w:p w:rsidR="004B20E5" w:rsidRPr="00666093" w:rsidRDefault="004B20E5" w:rsidP="003672D6">
            <w:pPr>
              <w:rPr>
                <w:sz w:val="18"/>
                <w:szCs w:val="18"/>
              </w:rPr>
            </w:pPr>
            <w:r>
              <w:rPr>
                <w:sz w:val="18"/>
                <w:szCs w:val="18"/>
              </w:rPr>
              <w:t>For Lyme Disease estimated $281 median total cost per patient, $1,965 mean cost per patient</w:t>
            </w:r>
            <w:r>
              <w:rPr>
                <w:rStyle w:val="EndnoteReference"/>
                <w:sz w:val="18"/>
                <w:szCs w:val="18"/>
              </w:rPr>
              <w:endnoteReference w:id="123"/>
            </w:r>
          </w:p>
        </w:tc>
        <w:tc>
          <w:tcPr>
            <w:tcW w:w="1197" w:type="pct"/>
          </w:tcPr>
          <w:p w:rsidR="004B20E5" w:rsidRDefault="004B20E5" w:rsidP="003672D6">
            <w:pPr>
              <w:rPr>
                <w:sz w:val="18"/>
                <w:szCs w:val="18"/>
              </w:rPr>
            </w:pPr>
            <w:r>
              <w:rPr>
                <w:sz w:val="18"/>
                <w:szCs w:val="18"/>
              </w:rPr>
              <w:t xml:space="preserve">Incidence rates for Lyme disease continue to be highest in southeastern Massachusetts; rates of increase are greater in other parts of the state. </w:t>
            </w:r>
          </w:p>
          <w:p w:rsidR="004B20E5" w:rsidRDefault="004B20E5" w:rsidP="003672D6">
            <w:pPr>
              <w:rPr>
                <w:sz w:val="18"/>
                <w:szCs w:val="18"/>
              </w:rPr>
            </w:pPr>
          </w:p>
          <w:p w:rsidR="004B20E5" w:rsidRDefault="004B20E5" w:rsidP="003672D6">
            <w:pPr>
              <w:rPr>
                <w:sz w:val="18"/>
                <w:szCs w:val="18"/>
              </w:rPr>
            </w:pPr>
            <w:r>
              <w:rPr>
                <w:sz w:val="18"/>
                <w:szCs w:val="18"/>
              </w:rPr>
              <w:t>Cape Cod and the Islands experience the greatest rate of both HGA and babesia with southern Berkshire county and Metrowest also experiencing a significant burden of disease. Both diseases threaten the safety of the blood supply.</w:t>
            </w:r>
          </w:p>
          <w:p w:rsidR="004B20E5" w:rsidRDefault="004B20E5" w:rsidP="003672D6">
            <w:pPr>
              <w:rPr>
                <w:sz w:val="18"/>
                <w:szCs w:val="18"/>
              </w:rPr>
            </w:pPr>
          </w:p>
          <w:p w:rsidR="004B20E5" w:rsidRDefault="004B20E5" w:rsidP="003672D6">
            <w:pPr>
              <w:rPr>
                <w:sz w:val="18"/>
                <w:szCs w:val="18"/>
              </w:rPr>
            </w:pPr>
            <w:r>
              <w:rPr>
                <w:sz w:val="18"/>
                <w:szCs w:val="18"/>
              </w:rPr>
              <w:t>WNV cases concentrate in the urban and heavily suburban parts of the state; individuals over the age of 50 are more likely to experience severe disease</w:t>
            </w:r>
          </w:p>
          <w:p w:rsidR="004B20E5" w:rsidRDefault="004B20E5" w:rsidP="003672D6">
            <w:pPr>
              <w:rPr>
                <w:sz w:val="18"/>
                <w:szCs w:val="18"/>
              </w:rPr>
            </w:pPr>
          </w:p>
          <w:p w:rsidR="004B20E5" w:rsidRPr="00666093" w:rsidRDefault="004B20E5" w:rsidP="003672D6">
            <w:pPr>
              <w:rPr>
                <w:sz w:val="18"/>
                <w:szCs w:val="18"/>
              </w:rPr>
            </w:pPr>
            <w:r>
              <w:rPr>
                <w:sz w:val="18"/>
                <w:szCs w:val="18"/>
              </w:rPr>
              <w:t>Both Lyme disease and EEE disproportionately affect children.</w:t>
            </w:r>
          </w:p>
        </w:tc>
        <w:tc>
          <w:tcPr>
            <w:tcW w:w="735" w:type="pct"/>
          </w:tcPr>
          <w:p w:rsidR="004B20E5" w:rsidRDefault="004B20E5" w:rsidP="003672D6">
            <w:pPr>
              <w:rPr>
                <w:sz w:val="18"/>
                <w:szCs w:val="18"/>
              </w:rPr>
            </w:pPr>
            <w:r w:rsidRPr="00A13F8A">
              <w:rPr>
                <w:sz w:val="18"/>
                <w:szCs w:val="18"/>
              </w:rPr>
              <w:t xml:space="preserve">Overall ↑ in number of cases of </w:t>
            </w:r>
            <w:r>
              <w:rPr>
                <w:sz w:val="18"/>
                <w:szCs w:val="18"/>
              </w:rPr>
              <w:t>Lyme disease</w:t>
            </w:r>
            <w:r w:rsidRPr="00A13F8A">
              <w:rPr>
                <w:sz w:val="18"/>
                <w:szCs w:val="18"/>
              </w:rPr>
              <w:t xml:space="preserve"> over last 10 years.</w:t>
            </w:r>
            <w:r>
              <w:rPr>
                <w:sz w:val="18"/>
                <w:szCs w:val="18"/>
              </w:rPr>
              <w:t xml:space="preserve"> Rapid increase in the number of HGA and babesia cases in the last 5 years. </w:t>
            </w:r>
            <w:r w:rsidRPr="00A13F8A">
              <w:rPr>
                <w:sz w:val="18"/>
                <w:szCs w:val="18"/>
              </w:rPr>
              <w:t xml:space="preserve"> Fluctuation of number of </w:t>
            </w:r>
            <w:r>
              <w:rPr>
                <w:sz w:val="18"/>
                <w:szCs w:val="18"/>
              </w:rPr>
              <w:t>WNV and EEE</w:t>
            </w:r>
            <w:r w:rsidRPr="00A13F8A">
              <w:rPr>
                <w:sz w:val="18"/>
                <w:szCs w:val="18"/>
              </w:rPr>
              <w:t xml:space="preserve"> cases</w:t>
            </w:r>
            <w:r>
              <w:rPr>
                <w:sz w:val="18"/>
                <w:szCs w:val="18"/>
              </w:rPr>
              <w:t xml:space="preserve"> but expansion of EEE into more counties in the state. Climate change may play a role in changes in distribution and frequency of all of these diseases</w:t>
            </w:r>
          </w:p>
          <w:p w:rsidR="004B20E5" w:rsidRDefault="004B20E5" w:rsidP="003672D6">
            <w:pPr>
              <w:rPr>
                <w:sz w:val="18"/>
                <w:szCs w:val="18"/>
              </w:rPr>
            </w:pPr>
          </w:p>
          <w:p w:rsidR="004B20E5" w:rsidRPr="00666093" w:rsidRDefault="004B20E5" w:rsidP="003672D6">
            <w:pPr>
              <w:rPr>
                <w:sz w:val="18"/>
                <w:szCs w:val="18"/>
              </w:rPr>
            </w:pPr>
            <w:r>
              <w:rPr>
                <w:sz w:val="18"/>
                <w:szCs w:val="18"/>
              </w:rPr>
              <w:t>Both Lyme disease and EEE disproportionately affect children.</w:t>
            </w:r>
          </w:p>
        </w:tc>
        <w:tc>
          <w:tcPr>
            <w:tcW w:w="590" w:type="pct"/>
            <w:gridSpan w:val="2"/>
          </w:tcPr>
          <w:p w:rsidR="004B20E5" w:rsidRPr="00666093" w:rsidRDefault="004B20E5" w:rsidP="003672D6">
            <w:pPr>
              <w:rPr>
                <w:sz w:val="18"/>
                <w:szCs w:val="18"/>
              </w:rPr>
            </w:pPr>
          </w:p>
        </w:tc>
      </w:tr>
      <w:tr w:rsidR="004B20E5" w:rsidRPr="00666093" w:rsidTr="0012696F">
        <w:trPr>
          <w:cantSplit/>
        </w:trPr>
        <w:tc>
          <w:tcPr>
            <w:tcW w:w="525" w:type="pct"/>
          </w:tcPr>
          <w:p w:rsidR="004B20E5" w:rsidRPr="00666093" w:rsidRDefault="004B20E5" w:rsidP="003672D6">
            <w:pPr>
              <w:rPr>
                <w:b/>
                <w:sz w:val="18"/>
                <w:szCs w:val="18"/>
              </w:rPr>
            </w:pPr>
            <w:r w:rsidRPr="00262CDE">
              <w:rPr>
                <w:b/>
                <w:sz w:val="18"/>
                <w:szCs w:val="18"/>
              </w:rPr>
              <w:t>Foodborne illness</w:t>
            </w:r>
          </w:p>
        </w:tc>
        <w:tc>
          <w:tcPr>
            <w:tcW w:w="528" w:type="pct"/>
          </w:tcPr>
          <w:p w:rsidR="004B20E5" w:rsidRPr="003672D6" w:rsidRDefault="004B20E5" w:rsidP="003672D6">
            <w:pPr>
              <w:rPr>
                <w:sz w:val="18"/>
                <w:szCs w:val="18"/>
              </w:rPr>
            </w:pPr>
            <w:r w:rsidRPr="003672D6">
              <w:rPr>
                <w:sz w:val="18"/>
                <w:szCs w:val="18"/>
              </w:rPr>
              <w:t>3,000 deaths annually in the US from foodborne illness</w:t>
            </w:r>
            <w:r>
              <w:rPr>
                <w:rStyle w:val="EndnoteReference"/>
                <w:sz w:val="18"/>
                <w:szCs w:val="18"/>
              </w:rPr>
              <w:endnoteReference w:id="124"/>
            </w:r>
          </w:p>
        </w:tc>
        <w:tc>
          <w:tcPr>
            <w:tcW w:w="679" w:type="pct"/>
          </w:tcPr>
          <w:p w:rsidR="004B20E5" w:rsidRDefault="004B20E5" w:rsidP="003672D6">
            <w:pPr>
              <w:rPr>
                <w:sz w:val="18"/>
                <w:szCs w:val="18"/>
              </w:rPr>
            </w:pPr>
            <w:r w:rsidRPr="003672D6">
              <w:rPr>
                <w:sz w:val="18"/>
                <w:szCs w:val="18"/>
              </w:rPr>
              <w:t>1 in 6 or 48 million Americans get sick from foodborne illness annually, with 128,000 hospitalizations</w:t>
            </w:r>
            <w:r>
              <w:rPr>
                <w:rStyle w:val="EndnoteReference"/>
                <w:sz w:val="18"/>
                <w:szCs w:val="18"/>
              </w:rPr>
              <w:endnoteReference w:id="125"/>
            </w:r>
          </w:p>
          <w:p w:rsidR="004B20E5" w:rsidRDefault="004B20E5" w:rsidP="003672D6">
            <w:pPr>
              <w:rPr>
                <w:sz w:val="18"/>
                <w:szCs w:val="18"/>
              </w:rPr>
            </w:pPr>
          </w:p>
          <w:p w:rsidR="004B20E5" w:rsidRPr="003672D6" w:rsidRDefault="004B20E5" w:rsidP="003672D6">
            <w:pPr>
              <w:rPr>
                <w:sz w:val="18"/>
                <w:szCs w:val="18"/>
              </w:rPr>
            </w:pPr>
            <w:r w:rsidRPr="003672D6">
              <w:rPr>
                <w:sz w:val="18"/>
                <w:szCs w:val="18"/>
              </w:rPr>
              <w:t>4,302 confirmed cases of foodborne illness in Massachusetts in 2013</w:t>
            </w:r>
            <w:r>
              <w:rPr>
                <w:rStyle w:val="EndnoteReference"/>
                <w:sz w:val="18"/>
                <w:szCs w:val="18"/>
              </w:rPr>
              <w:endnoteReference w:id="126"/>
            </w:r>
          </w:p>
        </w:tc>
        <w:tc>
          <w:tcPr>
            <w:tcW w:w="746" w:type="pct"/>
          </w:tcPr>
          <w:p w:rsidR="004B20E5" w:rsidRPr="003672D6" w:rsidRDefault="004B20E5" w:rsidP="003672D6">
            <w:pPr>
              <w:rPr>
                <w:sz w:val="18"/>
                <w:szCs w:val="18"/>
              </w:rPr>
            </w:pPr>
            <w:r w:rsidRPr="003672D6">
              <w:rPr>
                <w:sz w:val="18"/>
                <w:szCs w:val="18"/>
              </w:rPr>
              <w:t>$77 billion economic burden in the US annually from foodborne illness</w:t>
            </w:r>
            <w:r>
              <w:rPr>
                <w:rStyle w:val="EndnoteReference"/>
                <w:sz w:val="18"/>
                <w:szCs w:val="18"/>
              </w:rPr>
              <w:endnoteReference w:id="127"/>
            </w:r>
          </w:p>
        </w:tc>
        <w:tc>
          <w:tcPr>
            <w:tcW w:w="1197" w:type="pct"/>
          </w:tcPr>
          <w:p w:rsidR="004B20E5" w:rsidRPr="003672D6" w:rsidRDefault="004B20E5" w:rsidP="003672D6">
            <w:pPr>
              <w:rPr>
                <w:sz w:val="18"/>
                <w:szCs w:val="18"/>
              </w:rPr>
            </w:pPr>
            <w:r w:rsidRPr="003672D6">
              <w:rPr>
                <w:sz w:val="18"/>
                <w:szCs w:val="18"/>
              </w:rPr>
              <w:t>While disparities exist among racial and ethnic populations, the very young, elderly, and immune-compromised persons experience the most serious foodborne illnesses.</w:t>
            </w:r>
            <w:r>
              <w:rPr>
                <w:rStyle w:val="EndnoteReference"/>
                <w:sz w:val="18"/>
                <w:szCs w:val="18"/>
              </w:rPr>
              <w:endnoteReference w:id="128"/>
            </w:r>
          </w:p>
        </w:tc>
        <w:tc>
          <w:tcPr>
            <w:tcW w:w="735" w:type="pct"/>
          </w:tcPr>
          <w:p w:rsidR="004B20E5" w:rsidRPr="003672D6" w:rsidRDefault="004B20E5" w:rsidP="003672D6">
            <w:pPr>
              <w:rPr>
                <w:sz w:val="18"/>
                <w:szCs w:val="18"/>
              </w:rPr>
            </w:pPr>
            <w:r w:rsidRPr="003672D6">
              <w:rPr>
                <w:sz w:val="18"/>
                <w:szCs w:val="18"/>
              </w:rPr>
              <w:t>Between 2013 and 2010-2012 in the US, the incidence of laboratory-confirmed infections increased for 6 of 8 bacteria and decreased for 2 of 8 bacteria.</w:t>
            </w:r>
            <w:r>
              <w:rPr>
                <w:rStyle w:val="EndnoteReference"/>
                <w:sz w:val="18"/>
                <w:szCs w:val="18"/>
              </w:rPr>
              <w:endnoteReference w:id="129"/>
            </w:r>
          </w:p>
        </w:tc>
        <w:tc>
          <w:tcPr>
            <w:tcW w:w="590" w:type="pct"/>
            <w:gridSpan w:val="2"/>
          </w:tcPr>
          <w:p w:rsidR="004B20E5" w:rsidRPr="003672D6" w:rsidRDefault="004B20E5" w:rsidP="003672D6">
            <w:pPr>
              <w:rPr>
                <w:sz w:val="18"/>
                <w:szCs w:val="18"/>
              </w:rPr>
            </w:pPr>
            <w:r w:rsidRPr="003672D6">
              <w:rPr>
                <w:sz w:val="18"/>
                <w:szCs w:val="18"/>
              </w:rPr>
              <w:t>HP2020</w:t>
            </w:r>
          </w:p>
        </w:tc>
      </w:tr>
      <w:tr w:rsidR="004B20E5" w:rsidRPr="00666093" w:rsidTr="006F20A6">
        <w:trPr>
          <w:cantSplit/>
        </w:trPr>
        <w:tc>
          <w:tcPr>
            <w:tcW w:w="525" w:type="pct"/>
          </w:tcPr>
          <w:p w:rsidR="004B20E5" w:rsidRPr="00666093" w:rsidRDefault="004B20E5" w:rsidP="006F20A6">
            <w:pPr>
              <w:rPr>
                <w:b/>
                <w:sz w:val="18"/>
                <w:szCs w:val="18"/>
              </w:rPr>
            </w:pPr>
            <w:r w:rsidRPr="00666093">
              <w:rPr>
                <w:b/>
                <w:sz w:val="18"/>
                <w:szCs w:val="18"/>
              </w:rPr>
              <w:t>Healthcare Associated Infections (HAIs)</w:t>
            </w:r>
          </w:p>
        </w:tc>
        <w:tc>
          <w:tcPr>
            <w:tcW w:w="528" w:type="pct"/>
          </w:tcPr>
          <w:p w:rsidR="004B20E5" w:rsidRPr="00666093" w:rsidRDefault="004B20E5" w:rsidP="006F20A6">
            <w:pPr>
              <w:rPr>
                <w:sz w:val="18"/>
                <w:szCs w:val="18"/>
              </w:rPr>
            </w:pPr>
          </w:p>
        </w:tc>
        <w:tc>
          <w:tcPr>
            <w:tcW w:w="679" w:type="pct"/>
          </w:tcPr>
          <w:p w:rsidR="004B20E5" w:rsidRPr="00666093" w:rsidRDefault="004B20E5" w:rsidP="006F20A6">
            <w:pPr>
              <w:rPr>
                <w:sz w:val="18"/>
                <w:szCs w:val="18"/>
              </w:rPr>
            </w:pPr>
            <w:r w:rsidRPr="00666093">
              <w:rPr>
                <w:sz w:val="18"/>
                <w:szCs w:val="18"/>
              </w:rPr>
              <w:t>4.5 HAIs per 100 hospital admissions</w:t>
            </w:r>
            <w:r w:rsidRPr="00925017">
              <w:rPr>
                <w:rStyle w:val="EndnoteReference"/>
              </w:rPr>
              <w:endnoteReference w:id="130"/>
            </w:r>
          </w:p>
        </w:tc>
        <w:tc>
          <w:tcPr>
            <w:tcW w:w="746" w:type="pct"/>
          </w:tcPr>
          <w:p w:rsidR="004B20E5" w:rsidRPr="00666093" w:rsidRDefault="004B20E5" w:rsidP="006F20A6">
            <w:pPr>
              <w:rPr>
                <w:sz w:val="18"/>
                <w:szCs w:val="18"/>
              </w:rPr>
            </w:pPr>
            <w:r w:rsidRPr="00666093">
              <w:rPr>
                <w:sz w:val="18"/>
                <w:szCs w:val="18"/>
              </w:rPr>
              <w:t>Economic burden in MA from HAIs estimated at $200-$400 million</w:t>
            </w:r>
            <w:r w:rsidRPr="00925017">
              <w:rPr>
                <w:rStyle w:val="EndnoteReference"/>
              </w:rPr>
              <w:endnoteReference w:id="131"/>
            </w:r>
          </w:p>
        </w:tc>
        <w:tc>
          <w:tcPr>
            <w:tcW w:w="1197" w:type="pct"/>
          </w:tcPr>
          <w:p w:rsidR="004B20E5" w:rsidRPr="00666093" w:rsidRDefault="004B20E5" w:rsidP="006F20A6">
            <w:pPr>
              <w:rPr>
                <w:sz w:val="18"/>
                <w:szCs w:val="18"/>
              </w:rPr>
            </w:pPr>
          </w:p>
        </w:tc>
        <w:tc>
          <w:tcPr>
            <w:tcW w:w="735" w:type="pct"/>
          </w:tcPr>
          <w:p w:rsidR="004B20E5" w:rsidRPr="00666093" w:rsidRDefault="004B20E5" w:rsidP="006F20A6">
            <w:pPr>
              <w:rPr>
                <w:sz w:val="18"/>
                <w:szCs w:val="18"/>
              </w:rPr>
            </w:pPr>
            <w:r w:rsidRPr="00666093">
              <w:rPr>
                <w:sz w:val="18"/>
                <w:szCs w:val="18"/>
              </w:rPr>
              <w:t xml:space="preserve">Slight ↓ since FY2009, specifically related to central line associated bloodstream infection (CLABSI) </w:t>
            </w:r>
          </w:p>
        </w:tc>
        <w:tc>
          <w:tcPr>
            <w:tcW w:w="590" w:type="pct"/>
            <w:gridSpan w:val="2"/>
          </w:tcPr>
          <w:p w:rsidR="004B20E5" w:rsidRPr="00666093" w:rsidRDefault="004B20E5" w:rsidP="006F20A6">
            <w:pPr>
              <w:rPr>
                <w:sz w:val="18"/>
                <w:szCs w:val="18"/>
              </w:rPr>
            </w:pPr>
            <w:r w:rsidRPr="00666093">
              <w:rPr>
                <w:sz w:val="18"/>
                <w:szCs w:val="18"/>
              </w:rPr>
              <w:t>WB</w:t>
            </w:r>
            <w:r w:rsidRPr="00666093">
              <w:rPr>
                <w:sz w:val="18"/>
                <w:szCs w:val="18"/>
              </w:rPr>
              <w:br/>
              <w:t>HP2020</w:t>
            </w:r>
          </w:p>
        </w:tc>
      </w:tr>
      <w:tr w:rsidR="004B20E5" w:rsidRPr="00666093" w:rsidTr="00666093">
        <w:trPr>
          <w:cantSplit/>
        </w:trPr>
        <w:tc>
          <w:tcPr>
            <w:tcW w:w="5000" w:type="pct"/>
            <w:gridSpan w:val="8"/>
            <w:shd w:val="pct10" w:color="auto" w:fill="auto"/>
          </w:tcPr>
          <w:p w:rsidR="004B20E5" w:rsidRPr="00666093" w:rsidRDefault="004B20E5" w:rsidP="00697BD9">
            <w:pPr>
              <w:keepNext/>
              <w:rPr>
                <w:b/>
                <w:i/>
                <w:sz w:val="18"/>
                <w:szCs w:val="18"/>
              </w:rPr>
            </w:pPr>
            <w:r w:rsidRPr="00666093">
              <w:rPr>
                <w:b/>
                <w:i/>
                <w:sz w:val="18"/>
                <w:szCs w:val="18"/>
              </w:rPr>
              <w:t>Substance Abuse</w:t>
            </w:r>
            <w:r>
              <w:rPr>
                <w:b/>
                <w:i/>
                <w:sz w:val="18"/>
                <w:szCs w:val="18"/>
              </w:rPr>
              <w:t xml:space="preserve"> Prevention, Intervention, Treatment and Recovery</w:t>
            </w:r>
          </w:p>
        </w:tc>
      </w:tr>
      <w:tr w:rsidR="004B20E5" w:rsidRPr="00666093" w:rsidTr="0012696F">
        <w:trPr>
          <w:cantSplit/>
        </w:trPr>
        <w:tc>
          <w:tcPr>
            <w:tcW w:w="525" w:type="pct"/>
          </w:tcPr>
          <w:p w:rsidR="004B20E5" w:rsidRPr="00666093" w:rsidRDefault="004B20E5" w:rsidP="00DB1032">
            <w:pPr>
              <w:rPr>
                <w:b/>
                <w:sz w:val="18"/>
                <w:szCs w:val="18"/>
              </w:rPr>
            </w:pPr>
            <w:r w:rsidRPr="00666093">
              <w:rPr>
                <w:b/>
                <w:sz w:val="18"/>
                <w:szCs w:val="18"/>
              </w:rPr>
              <w:t>Alcohol Use</w:t>
            </w:r>
          </w:p>
        </w:tc>
        <w:tc>
          <w:tcPr>
            <w:tcW w:w="528" w:type="pct"/>
          </w:tcPr>
          <w:p w:rsidR="004B20E5" w:rsidRPr="00666093" w:rsidRDefault="004B20E5" w:rsidP="00DB1032">
            <w:pPr>
              <w:rPr>
                <w:sz w:val="18"/>
                <w:szCs w:val="18"/>
              </w:rPr>
            </w:pPr>
          </w:p>
        </w:tc>
        <w:tc>
          <w:tcPr>
            <w:tcW w:w="679" w:type="pct"/>
          </w:tcPr>
          <w:p w:rsidR="004B20E5" w:rsidRPr="00DB1032" w:rsidRDefault="004B20E5" w:rsidP="00DB1032">
            <w:pPr>
              <w:rPr>
                <w:sz w:val="18"/>
                <w:szCs w:val="18"/>
              </w:rPr>
            </w:pPr>
            <w:r w:rsidRPr="00DB1032">
              <w:rPr>
                <w:sz w:val="18"/>
                <w:szCs w:val="18"/>
              </w:rPr>
              <w:t>In 2011, 68% of high school students reported lifetime alcohol use, 40% reported past 30 day use (current use) and 22% reported current binge drinking. 15% reported alcohol us</w:t>
            </w:r>
            <w:r>
              <w:rPr>
                <w:sz w:val="18"/>
                <w:szCs w:val="18"/>
              </w:rPr>
              <w:t xml:space="preserve">e before age 13 </w:t>
            </w:r>
            <w:r>
              <w:rPr>
                <w:rStyle w:val="EndnoteReference"/>
                <w:sz w:val="18"/>
                <w:szCs w:val="18"/>
              </w:rPr>
              <w:endnoteReference w:id="132"/>
            </w:r>
          </w:p>
        </w:tc>
        <w:tc>
          <w:tcPr>
            <w:tcW w:w="746" w:type="pct"/>
          </w:tcPr>
          <w:p w:rsidR="004B20E5" w:rsidRPr="00DB1032" w:rsidRDefault="004B20E5" w:rsidP="00DB1032">
            <w:pPr>
              <w:rPr>
                <w:sz w:val="18"/>
                <w:szCs w:val="18"/>
              </w:rPr>
            </w:pPr>
            <w:r w:rsidRPr="00DB1032">
              <w:rPr>
                <w:sz w:val="18"/>
                <w:szCs w:val="18"/>
              </w:rPr>
              <w:t>$98 million in MA in ED visit costs for alcohol/ substance use</w:t>
            </w:r>
            <w:r>
              <w:rPr>
                <w:rStyle w:val="EndnoteReference"/>
                <w:sz w:val="18"/>
                <w:szCs w:val="18"/>
              </w:rPr>
              <w:endnoteReference w:id="133"/>
            </w:r>
          </w:p>
          <w:p w:rsidR="004B20E5" w:rsidRPr="00DB1032" w:rsidRDefault="004B20E5" w:rsidP="00DB1032">
            <w:pPr>
              <w:rPr>
                <w:sz w:val="18"/>
                <w:szCs w:val="18"/>
              </w:rPr>
            </w:pPr>
          </w:p>
          <w:p w:rsidR="004B20E5" w:rsidRPr="00DB1032" w:rsidRDefault="004B20E5" w:rsidP="00DB1032">
            <w:pPr>
              <w:rPr>
                <w:sz w:val="18"/>
                <w:szCs w:val="18"/>
              </w:rPr>
            </w:pPr>
          </w:p>
        </w:tc>
        <w:tc>
          <w:tcPr>
            <w:tcW w:w="1197" w:type="pct"/>
          </w:tcPr>
          <w:p w:rsidR="004B20E5" w:rsidRPr="00DB1032" w:rsidRDefault="004B20E5" w:rsidP="00DB1032">
            <w:pPr>
              <w:rPr>
                <w:sz w:val="18"/>
                <w:szCs w:val="18"/>
              </w:rPr>
            </w:pPr>
            <w:r w:rsidRPr="00DB1032">
              <w:rPr>
                <w:sz w:val="18"/>
                <w:szCs w:val="18"/>
              </w:rPr>
              <w:t xml:space="preserve">In 2011, percentages of high school students of different race/ethnicity groups who reported lifetime alcohol use were: 68% of Non-Hispanic White, 67% of Non-Hispanic Black, 73% of Hispanic, 53% of other Non-Hispanic students and 69% of Non-Hispanic Multiracial students.  69% of female high school students reported lifetime alcohol use vs 67% of males. </w:t>
            </w:r>
            <w:r>
              <w:rPr>
                <w:rStyle w:val="EndnoteReference"/>
                <w:sz w:val="18"/>
                <w:szCs w:val="18"/>
              </w:rPr>
              <w:endnoteReference w:id="134"/>
            </w:r>
          </w:p>
        </w:tc>
        <w:tc>
          <w:tcPr>
            <w:tcW w:w="735" w:type="pct"/>
          </w:tcPr>
          <w:p w:rsidR="004B20E5" w:rsidRPr="00DB1032" w:rsidRDefault="004B20E5" w:rsidP="00DB1032">
            <w:pPr>
              <w:rPr>
                <w:sz w:val="18"/>
                <w:szCs w:val="18"/>
              </w:rPr>
            </w:pPr>
            <w:r w:rsidRPr="00DB1032">
              <w:rPr>
                <w:sz w:val="18"/>
                <w:szCs w:val="18"/>
              </w:rPr>
              <w:t>↓in lifetime alcohol use among high school students.</w:t>
            </w:r>
          </w:p>
          <w:p w:rsidR="004B20E5" w:rsidRPr="00DB1032" w:rsidRDefault="004B20E5" w:rsidP="00DB1032">
            <w:pPr>
              <w:rPr>
                <w:sz w:val="18"/>
                <w:szCs w:val="18"/>
              </w:rPr>
            </w:pPr>
          </w:p>
          <w:p w:rsidR="004B20E5" w:rsidRPr="00DB1032" w:rsidRDefault="004B20E5" w:rsidP="00DB1032">
            <w:pPr>
              <w:rPr>
                <w:sz w:val="18"/>
                <w:szCs w:val="18"/>
              </w:rPr>
            </w:pPr>
            <w:r w:rsidRPr="00DB1032">
              <w:rPr>
                <w:sz w:val="18"/>
                <w:szCs w:val="18"/>
              </w:rPr>
              <w:t>↓</w:t>
            </w:r>
            <w:r>
              <w:rPr>
                <w:sz w:val="18"/>
                <w:szCs w:val="18"/>
              </w:rPr>
              <w:t>First alcohol use before age 13.</w:t>
            </w:r>
          </w:p>
          <w:p w:rsidR="004B20E5" w:rsidRPr="00DB1032" w:rsidRDefault="004B20E5" w:rsidP="00DB1032">
            <w:pPr>
              <w:rPr>
                <w:sz w:val="18"/>
                <w:szCs w:val="18"/>
              </w:rPr>
            </w:pPr>
          </w:p>
          <w:p w:rsidR="004B20E5" w:rsidRPr="00DB1032" w:rsidRDefault="004B20E5" w:rsidP="00DB1032">
            <w:pPr>
              <w:rPr>
                <w:sz w:val="18"/>
                <w:szCs w:val="18"/>
              </w:rPr>
            </w:pPr>
            <w:r w:rsidRPr="00DB1032">
              <w:rPr>
                <w:sz w:val="18"/>
                <w:szCs w:val="18"/>
              </w:rPr>
              <w:t>Current alcohol use is stable.</w:t>
            </w:r>
          </w:p>
          <w:p w:rsidR="004B20E5" w:rsidRPr="00DB1032" w:rsidRDefault="004B20E5" w:rsidP="00DB1032">
            <w:pPr>
              <w:rPr>
                <w:sz w:val="18"/>
                <w:szCs w:val="18"/>
              </w:rPr>
            </w:pPr>
            <w:r>
              <w:rPr>
                <w:rStyle w:val="EndnoteReference"/>
                <w:sz w:val="18"/>
                <w:szCs w:val="18"/>
              </w:rPr>
              <w:endnoteReference w:id="135"/>
            </w:r>
          </w:p>
        </w:tc>
        <w:tc>
          <w:tcPr>
            <w:tcW w:w="590" w:type="pct"/>
            <w:gridSpan w:val="2"/>
          </w:tcPr>
          <w:p w:rsidR="004B20E5" w:rsidRPr="00666093" w:rsidRDefault="004B20E5" w:rsidP="00DB1032">
            <w:pPr>
              <w:rPr>
                <w:sz w:val="18"/>
                <w:szCs w:val="18"/>
              </w:rPr>
            </w:pPr>
            <w:r>
              <w:rPr>
                <w:sz w:val="18"/>
                <w:szCs w:val="18"/>
              </w:rPr>
              <w:t>SPF</w:t>
            </w:r>
          </w:p>
        </w:tc>
      </w:tr>
      <w:tr w:rsidR="004B20E5" w:rsidRPr="00666093" w:rsidTr="0012696F">
        <w:trPr>
          <w:cantSplit/>
        </w:trPr>
        <w:tc>
          <w:tcPr>
            <w:tcW w:w="525" w:type="pct"/>
          </w:tcPr>
          <w:p w:rsidR="004B20E5" w:rsidRPr="00666093" w:rsidRDefault="004B20E5" w:rsidP="00DB1032">
            <w:pPr>
              <w:rPr>
                <w:b/>
                <w:sz w:val="18"/>
                <w:szCs w:val="18"/>
              </w:rPr>
            </w:pPr>
            <w:r w:rsidRPr="00666093">
              <w:rPr>
                <w:b/>
                <w:sz w:val="18"/>
                <w:szCs w:val="18"/>
              </w:rPr>
              <w:t xml:space="preserve">Illicit and Prescription  Drugs  </w:t>
            </w:r>
          </w:p>
        </w:tc>
        <w:tc>
          <w:tcPr>
            <w:tcW w:w="528" w:type="pct"/>
          </w:tcPr>
          <w:p w:rsidR="004B20E5" w:rsidRPr="00F80607" w:rsidRDefault="004B20E5" w:rsidP="00F80607">
            <w:pPr>
              <w:rPr>
                <w:sz w:val="18"/>
                <w:szCs w:val="18"/>
              </w:rPr>
            </w:pPr>
          </w:p>
        </w:tc>
        <w:tc>
          <w:tcPr>
            <w:tcW w:w="679" w:type="pct"/>
          </w:tcPr>
          <w:p w:rsidR="004B20E5" w:rsidRPr="00697BD9" w:rsidRDefault="004B20E5" w:rsidP="00DB1032">
            <w:pPr>
              <w:rPr>
                <w:rFonts w:cs="Arial"/>
                <w:color w:val="000000"/>
                <w:sz w:val="18"/>
                <w:szCs w:val="18"/>
              </w:rPr>
            </w:pPr>
            <w:r w:rsidRPr="00F80607">
              <w:rPr>
                <w:rFonts w:cs="Arial"/>
                <w:color w:val="000000"/>
                <w:sz w:val="18"/>
                <w:szCs w:val="18"/>
              </w:rPr>
              <w:t xml:space="preserve">In 2011, 43% of high school students reported lifetime marijuana use, 28% reported current marijuana use and 7% reported marijuana use before age 13.  In 2011, % of high school students reported use of: Cocaine 5%, Ecstasy 6%, Methamphetamines 3%, Heroin 2%, </w:t>
            </w:r>
            <w:r>
              <w:rPr>
                <w:rFonts w:cs="Arial"/>
                <w:color w:val="000000"/>
                <w:sz w:val="18"/>
                <w:szCs w:val="18"/>
              </w:rPr>
              <w:t xml:space="preserve">Steroids 3%. </w:t>
            </w:r>
            <w:r>
              <w:rPr>
                <w:rStyle w:val="EndnoteReference"/>
                <w:color w:val="000000"/>
                <w:sz w:val="18"/>
                <w:szCs w:val="18"/>
              </w:rPr>
              <w:endnoteReference w:id="136"/>
            </w:r>
          </w:p>
        </w:tc>
        <w:tc>
          <w:tcPr>
            <w:tcW w:w="746" w:type="pct"/>
          </w:tcPr>
          <w:p w:rsidR="004B20E5" w:rsidRPr="00DB1032" w:rsidRDefault="004B20E5" w:rsidP="00DB1032">
            <w:pPr>
              <w:rPr>
                <w:rFonts w:cs="Arial"/>
                <w:sz w:val="18"/>
                <w:szCs w:val="18"/>
              </w:rPr>
            </w:pPr>
            <w:r w:rsidRPr="00DB1032">
              <w:rPr>
                <w:rFonts w:cs="Arial"/>
                <w:sz w:val="18"/>
                <w:szCs w:val="18"/>
              </w:rPr>
              <w:t>MA state spending for substance abuse estimated at $5.87 billion</w:t>
            </w:r>
            <w:r>
              <w:rPr>
                <w:rStyle w:val="EndnoteReference"/>
                <w:sz w:val="18"/>
                <w:szCs w:val="18"/>
              </w:rPr>
              <w:endnoteReference w:id="137"/>
            </w:r>
          </w:p>
        </w:tc>
        <w:tc>
          <w:tcPr>
            <w:tcW w:w="1197" w:type="pct"/>
          </w:tcPr>
          <w:p w:rsidR="004B20E5" w:rsidRPr="00DB3FC0" w:rsidRDefault="004B20E5" w:rsidP="00DB1032">
            <w:pPr>
              <w:rPr>
                <w:rFonts w:cs="Arial"/>
                <w:color w:val="000000"/>
                <w:sz w:val="18"/>
                <w:szCs w:val="18"/>
              </w:rPr>
            </w:pPr>
            <w:r w:rsidRPr="00DB1032">
              <w:rPr>
                <w:rFonts w:cs="Arial"/>
                <w:color w:val="000000"/>
                <w:sz w:val="18"/>
                <w:szCs w:val="18"/>
              </w:rPr>
              <w:t>In 2011 among high school students, 52% of Non-Hispanic White reported use of illicit drugs</w:t>
            </w:r>
            <w:r w:rsidRPr="00DB1032">
              <w:rPr>
                <w:rFonts w:cs="Arial"/>
                <w:color w:val="FF0000"/>
                <w:sz w:val="18"/>
                <w:szCs w:val="18"/>
              </w:rPr>
              <w:t>**</w:t>
            </w:r>
            <w:r w:rsidRPr="00DB1032">
              <w:rPr>
                <w:rFonts w:cs="Arial"/>
                <w:color w:val="000000"/>
                <w:sz w:val="18"/>
                <w:szCs w:val="18"/>
              </w:rPr>
              <w:t xml:space="preserve">, vs. 49% of Non-Hispanic Black, 56% of Hispanics, 38% of Other Non-Hispanics and 60% of Non-Hispanic Multi-racial students. </w:t>
            </w:r>
            <w:r>
              <w:rPr>
                <w:rStyle w:val="EndnoteReference"/>
                <w:color w:val="000000"/>
                <w:sz w:val="18"/>
                <w:szCs w:val="18"/>
              </w:rPr>
              <w:endnoteReference w:id="138"/>
            </w:r>
          </w:p>
          <w:p w:rsidR="004B20E5" w:rsidRPr="00DB1032" w:rsidRDefault="004B20E5" w:rsidP="00DB1032">
            <w:pPr>
              <w:rPr>
                <w:rFonts w:cs="Arial"/>
                <w:sz w:val="18"/>
                <w:szCs w:val="18"/>
              </w:rPr>
            </w:pPr>
          </w:p>
          <w:p w:rsidR="004B20E5" w:rsidRPr="00DB3FC0" w:rsidRDefault="004B20E5" w:rsidP="00DB1032">
            <w:pPr>
              <w:rPr>
                <w:rFonts w:cs="Arial"/>
                <w:color w:val="000000"/>
                <w:sz w:val="18"/>
                <w:szCs w:val="18"/>
              </w:rPr>
            </w:pPr>
            <w:r w:rsidRPr="00DB1032">
              <w:rPr>
                <w:rFonts w:cs="Arial"/>
                <w:color w:val="000000"/>
                <w:sz w:val="18"/>
                <w:szCs w:val="18"/>
              </w:rPr>
              <w:t xml:space="preserve">** Illicit drugs include marijuana, inhalants, over-the-counter medicines, prescription drugs that were not their own and other illicit drugs. </w:t>
            </w:r>
          </w:p>
        </w:tc>
        <w:tc>
          <w:tcPr>
            <w:tcW w:w="735" w:type="pct"/>
          </w:tcPr>
          <w:p w:rsidR="004B20E5" w:rsidRPr="00DB1032" w:rsidRDefault="004B20E5" w:rsidP="00484851">
            <w:pPr>
              <w:rPr>
                <w:rFonts w:cs="Arial"/>
                <w:sz w:val="18"/>
                <w:szCs w:val="18"/>
              </w:rPr>
            </w:pPr>
            <w:r w:rsidRPr="00DB1032">
              <w:rPr>
                <w:rFonts w:cs="Arial"/>
                <w:sz w:val="18"/>
                <w:szCs w:val="18"/>
              </w:rPr>
              <w:t>No overall change in lifetime, current and first time marijuana use before age 13 by high school students.</w:t>
            </w:r>
          </w:p>
        </w:tc>
        <w:tc>
          <w:tcPr>
            <w:tcW w:w="590" w:type="pct"/>
            <w:gridSpan w:val="2"/>
          </w:tcPr>
          <w:p w:rsidR="004B20E5" w:rsidRDefault="004B20E5" w:rsidP="00DB1032">
            <w:pPr>
              <w:rPr>
                <w:sz w:val="18"/>
                <w:szCs w:val="18"/>
              </w:rPr>
            </w:pPr>
            <w:r>
              <w:t>SPF</w:t>
            </w:r>
          </w:p>
          <w:p w:rsidR="004B20E5" w:rsidRPr="00666093" w:rsidRDefault="004B20E5" w:rsidP="00DB1032">
            <w:pPr>
              <w:rPr>
                <w:sz w:val="18"/>
                <w:szCs w:val="18"/>
              </w:rPr>
            </w:pPr>
          </w:p>
        </w:tc>
      </w:tr>
      <w:tr w:rsidR="004B20E5" w:rsidRPr="00666093" w:rsidTr="00666093">
        <w:trPr>
          <w:cantSplit/>
        </w:trPr>
        <w:tc>
          <w:tcPr>
            <w:tcW w:w="5000" w:type="pct"/>
            <w:gridSpan w:val="8"/>
            <w:shd w:val="pct10" w:color="auto" w:fill="auto"/>
          </w:tcPr>
          <w:p w:rsidR="004B20E5" w:rsidRPr="00666093" w:rsidRDefault="004B20E5" w:rsidP="00F83336">
            <w:pPr>
              <w:rPr>
                <w:b/>
                <w:i/>
                <w:sz w:val="18"/>
                <w:szCs w:val="18"/>
              </w:rPr>
            </w:pPr>
            <w:r w:rsidRPr="00666093">
              <w:rPr>
                <w:b/>
                <w:i/>
                <w:sz w:val="18"/>
                <w:szCs w:val="18"/>
              </w:rPr>
              <w:t>Injury</w:t>
            </w:r>
            <w:r>
              <w:rPr>
                <w:b/>
                <w:i/>
                <w:sz w:val="18"/>
                <w:szCs w:val="18"/>
              </w:rPr>
              <w:t xml:space="preserve">, Suicide, </w:t>
            </w:r>
            <w:r w:rsidRPr="00666093">
              <w:rPr>
                <w:b/>
                <w:i/>
                <w:sz w:val="18"/>
                <w:szCs w:val="18"/>
              </w:rPr>
              <w:t>and Violence Prevention</w:t>
            </w:r>
          </w:p>
        </w:tc>
      </w:tr>
      <w:tr w:rsidR="004B20E5" w:rsidRPr="00666093" w:rsidTr="00F80607">
        <w:trPr>
          <w:cantSplit/>
        </w:trPr>
        <w:tc>
          <w:tcPr>
            <w:tcW w:w="525" w:type="pct"/>
          </w:tcPr>
          <w:p w:rsidR="004B20E5" w:rsidRPr="00666093" w:rsidRDefault="004B20E5" w:rsidP="00F80607">
            <w:pPr>
              <w:rPr>
                <w:b/>
                <w:sz w:val="18"/>
                <w:szCs w:val="18"/>
              </w:rPr>
            </w:pPr>
            <w:r>
              <w:rPr>
                <w:b/>
                <w:sz w:val="18"/>
                <w:szCs w:val="18"/>
              </w:rPr>
              <w:t>Unintentional Fall Injuries in Older Adults</w:t>
            </w:r>
          </w:p>
        </w:tc>
        <w:tc>
          <w:tcPr>
            <w:tcW w:w="528" w:type="pct"/>
          </w:tcPr>
          <w:p w:rsidR="004B20E5" w:rsidRPr="00666093" w:rsidRDefault="004B20E5" w:rsidP="00F80607">
            <w:pPr>
              <w:rPr>
                <w:sz w:val="18"/>
                <w:szCs w:val="18"/>
              </w:rPr>
            </w:pPr>
            <w:r>
              <w:rPr>
                <w:sz w:val="18"/>
                <w:szCs w:val="18"/>
              </w:rPr>
              <w:t>55.6</w:t>
            </w:r>
            <w:r w:rsidRPr="00666093">
              <w:rPr>
                <w:sz w:val="18"/>
                <w:szCs w:val="18"/>
              </w:rPr>
              <w:t xml:space="preserve"> deaths by </w:t>
            </w:r>
            <w:r>
              <w:rPr>
                <w:sz w:val="18"/>
                <w:szCs w:val="18"/>
              </w:rPr>
              <w:t xml:space="preserve">unintentional </w:t>
            </w:r>
            <w:r w:rsidRPr="00666093">
              <w:rPr>
                <w:sz w:val="18"/>
                <w:szCs w:val="18"/>
              </w:rPr>
              <w:t>falls per 100,000 residents</w:t>
            </w:r>
            <w:r>
              <w:rPr>
                <w:sz w:val="18"/>
                <w:szCs w:val="18"/>
              </w:rPr>
              <w:t xml:space="preserve"> ages 65+</w:t>
            </w:r>
            <w:r w:rsidRPr="00935C18">
              <w:rPr>
                <w:rStyle w:val="EndnoteReference"/>
              </w:rPr>
              <w:endnoteReference w:id="139"/>
            </w:r>
          </w:p>
        </w:tc>
        <w:tc>
          <w:tcPr>
            <w:tcW w:w="679" w:type="pct"/>
          </w:tcPr>
          <w:p w:rsidR="004B20E5" w:rsidRPr="00666093" w:rsidRDefault="004B20E5" w:rsidP="00F80607">
            <w:pPr>
              <w:rPr>
                <w:sz w:val="18"/>
                <w:szCs w:val="18"/>
              </w:rPr>
            </w:pPr>
            <w:r>
              <w:rPr>
                <w:sz w:val="18"/>
                <w:szCs w:val="18"/>
              </w:rPr>
              <w:t>2227.2</w:t>
            </w:r>
            <w:r w:rsidRPr="00666093">
              <w:rPr>
                <w:sz w:val="18"/>
                <w:szCs w:val="18"/>
              </w:rPr>
              <w:t xml:space="preserve"> hospital</w:t>
            </w:r>
            <w:r>
              <w:rPr>
                <w:sz w:val="18"/>
                <w:szCs w:val="18"/>
              </w:rPr>
              <w:t xml:space="preserve"> stays</w:t>
            </w:r>
            <w:r w:rsidR="00C8042B">
              <w:rPr>
                <w:sz w:val="18"/>
                <w:szCs w:val="18"/>
              </w:rPr>
              <w:t xml:space="preserve"> </w:t>
            </w:r>
            <w:r>
              <w:rPr>
                <w:sz w:val="18"/>
                <w:szCs w:val="18"/>
              </w:rPr>
              <w:t xml:space="preserve">and 5116.2 ED visits </w:t>
            </w:r>
            <w:r w:rsidRPr="00666093">
              <w:rPr>
                <w:sz w:val="18"/>
                <w:szCs w:val="18"/>
              </w:rPr>
              <w:t>per 100,000</w:t>
            </w:r>
            <w:r>
              <w:rPr>
                <w:sz w:val="18"/>
                <w:szCs w:val="18"/>
              </w:rPr>
              <w:t xml:space="preserve"> residents 65+</w:t>
            </w:r>
            <w:r w:rsidRPr="00666093">
              <w:rPr>
                <w:sz w:val="18"/>
                <w:szCs w:val="18"/>
              </w:rPr>
              <w:t xml:space="preserve"> for </w:t>
            </w:r>
            <w:r>
              <w:rPr>
                <w:sz w:val="18"/>
                <w:szCs w:val="18"/>
              </w:rPr>
              <w:t>unintentional fall injury</w:t>
            </w:r>
            <w:r w:rsidRPr="00666093">
              <w:rPr>
                <w:sz w:val="18"/>
                <w:szCs w:val="18"/>
              </w:rPr>
              <w:t>.</w:t>
            </w:r>
            <w:r w:rsidRPr="00935C18">
              <w:rPr>
                <w:rStyle w:val="EndnoteReference"/>
              </w:rPr>
              <w:endnoteReference w:id="140"/>
            </w:r>
          </w:p>
        </w:tc>
        <w:tc>
          <w:tcPr>
            <w:tcW w:w="746" w:type="pct"/>
          </w:tcPr>
          <w:p w:rsidR="004B20E5" w:rsidRPr="00666093" w:rsidRDefault="004B20E5" w:rsidP="00F80607">
            <w:pPr>
              <w:rPr>
                <w:sz w:val="18"/>
                <w:szCs w:val="18"/>
              </w:rPr>
            </w:pPr>
            <w:r w:rsidRPr="00666093">
              <w:rPr>
                <w:sz w:val="18"/>
                <w:szCs w:val="18"/>
              </w:rPr>
              <w:t>$</w:t>
            </w:r>
            <w:r>
              <w:rPr>
                <w:sz w:val="18"/>
                <w:szCs w:val="18"/>
              </w:rPr>
              <w:t>497.5 million</w:t>
            </w:r>
            <w:r w:rsidR="00C8042B">
              <w:rPr>
                <w:sz w:val="18"/>
                <w:szCs w:val="18"/>
              </w:rPr>
              <w:t xml:space="preserve"> </w:t>
            </w:r>
            <w:r>
              <w:rPr>
                <w:sz w:val="18"/>
                <w:szCs w:val="18"/>
              </w:rPr>
              <w:t>in inpatient</w:t>
            </w:r>
            <w:r w:rsidRPr="00666093">
              <w:rPr>
                <w:sz w:val="18"/>
                <w:szCs w:val="18"/>
              </w:rPr>
              <w:t xml:space="preserve"> hospital charges </w:t>
            </w:r>
            <w:r>
              <w:rPr>
                <w:sz w:val="18"/>
                <w:szCs w:val="18"/>
              </w:rPr>
              <w:t>associated with</w:t>
            </w:r>
            <w:r w:rsidR="00C8042B">
              <w:rPr>
                <w:sz w:val="18"/>
                <w:szCs w:val="18"/>
              </w:rPr>
              <w:t xml:space="preserve"> </w:t>
            </w:r>
            <w:r>
              <w:rPr>
                <w:sz w:val="18"/>
                <w:szCs w:val="18"/>
              </w:rPr>
              <w:t xml:space="preserve">unintentional </w:t>
            </w:r>
            <w:r w:rsidRPr="00666093">
              <w:rPr>
                <w:sz w:val="18"/>
                <w:szCs w:val="18"/>
              </w:rPr>
              <w:t>fall-related injuries</w:t>
            </w:r>
            <w:r>
              <w:rPr>
                <w:sz w:val="18"/>
                <w:szCs w:val="18"/>
              </w:rPr>
              <w:t xml:space="preserve"> (all dispositions) among MA residents 65+ years</w:t>
            </w:r>
            <w:r w:rsidRPr="00935C18">
              <w:rPr>
                <w:rStyle w:val="EndnoteReference"/>
              </w:rPr>
              <w:endnoteReference w:id="141"/>
            </w:r>
          </w:p>
        </w:tc>
        <w:tc>
          <w:tcPr>
            <w:tcW w:w="1197" w:type="pct"/>
          </w:tcPr>
          <w:p w:rsidR="004B20E5" w:rsidRPr="00666093" w:rsidRDefault="004B20E5" w:rsidP="00F80607">
            <w:pPr>
              <w:rPr>
                <w:sz w:val="18"/>
                <w:szCs w:val="18"/>
              </w:rPr>
            </w:pPr>
            <w:r w:rsidRPr="00666093">
              <w:rPr>
                <w:sz w:val="18"/>
                <w:szCs w:val="18"/>
              </w:rPr>
              <w:t xml:space="preserve">Death </w:t>
            </w:r>
            <w:r>
              <w:rPr>
                <w:sz w:val="18"/>
                <w:szCs w:val="18"/>
              </w:rPr>
              <w:t xml:space="preserve">and hospital stay </w:t>
            </w:r>
            <w:r w:rsidRPr="00666093">
              <w:rPr>
                <w:sz w:val="18"/>
                <w:szCs w:val="18"/>
              </w:rPr>
              <w:t>rate</w:t>
            </w:r>
            <w:r>
              <w:rPr>
                <w:sz w:val="18"/>
                <w:szCs w:val="18"/>
              </w:rPr>
              <w:t>s related to unintentional fall injury are</w:t>
            </w:r>
            <w:r w:rsidRPr="00666093">
              <w:rPr>
                <w:sz w:val="18"/>
                <w:szCs w:val="18"/>
              </w:rPr>
              <w:t xml:space="preserve"> highest among </w:t>
            </w:r>
            <w:r>
              <w:rPr>
                <w:sz w:val="18"/>
                <w:szCs w:val="18"/>
              </w:rPr>
              <w:t xml:space="preserve">residents ages 85+ years(203.8and 6309.7 </w:t>
            </w:r>
            <w:r w:rsidRPr="00666093">
              <w:rPr>
                <w:sz w:val="18"/>
                <w:szCs w:val="18"/>
              </w:rPr>
              <w:t xml:space="preserve">per 100,000 </w:t>
            </w:r>
            <w:r>
              <w:rPr>
                <w:sz w:val="18"/>
                <w:szCs w:val="18"/>
              </w:rPr>
              <w:t>persons)</w:t>
            </w:r>
            <w:r w:rsidRPr="00935C18">
              <w:rPr>
                <w:rStyle w:val="EndnoteReference"/>
              </w:rPr>
              <w:endnoteReference w:id="142"/>
            </w:r>
          </w:p>
        </w:tc>
        <w:tc>
          <w:tcPr>
            <w:tcW w:w="735" w:type="pct"/>
          </w:tcPr>
          <w:p w:rsidR="004B20E5" w:rsidRPr="00666093" w:rsidRDefault="004B20E5" w:rsidP="00F80607">
            <w:pPr>
              <w:rPr>
                <w:sz w:val="18"/>
                <w:szCs w:val="18"/>
                <w:highlight w:val="yellow"/>
              </w:rPr>
            </w:pPr>
            <w:r w:rsidRPr="00666093">
              <w:rPr>
                <w:sz w:val="18"/>
                <w:szCs w:val="18"/>
              </w:rPr>
              <w:t xml:space="preserve">↑ in death rate by falls for adults 65+ over the last 10 years. </w:t>
            </w:r>
          </w:p>
        </w:tc>
        <w:tc>
          <w:tcPr>
            <w:tcW w:w="590" w:type="pct"/>
            <w:gridSpan w:val="2"/>
          </w:tcPr>
          <w:p w:rsidR="004B20E5" w:rsidRPr="00666093" w:rsidRDefault="004B20E5" w:rsidP="00F80607">
            <w:pPr>
              <w:rPr>
                <w:sz w:val="18"/>
                <w:szCs w:val="18"/>
              </w:rPr>
            </w:pPr>
            <w:r w:rsidRPr="00666093">
              <w:rPr>
                <w:sz w:val="18"/>
                <w:szCs w:val="18"/>
              </w:rPr>
              <w:t>NPS</w:t>
            </w:r>
          </w:p>
          <w:p w:rsidR="004B20E5" w:rsidRPr="00666093" w:rsidRDefault="004B20E5" w:rsidP="00F80607">
            <w:pPr>
              <w:rPr>
                <w:sz w:val="18"/>
                <w:szCs w:val="18"/>
              </w:rPr>
            </w:pPr>
            <w:r w:rsidRPr="00666093">
              <w:rPr>
                <w:sz w:val="18"/>
                <w:szCs w:val="18"/>
              </w:rPr>
              <w:t>HP2020</w:t>
            </w:r>
          </w:p>
        </w:tc>
      </w:tr>
      <w:tr w:rsidR="004B20E5" w:rsidRPr="00666093" w:rsidTr="00F80607">
        <w:trPr>
          <w:cantSplit/>
        </w:trPr>
        <w:tc>
          <w:tcPr>
            <w:tcW w:w="525" w:type="pct"/>
          </w:tcPr>
          <w:p w:rsidR="004B20E5" w:rsidRPr="00666093" w:rsidRDefault="004B20E5" w:rsidP="00F80607">
            <w:pPr>
              <w:rPr>
                <w:b/>
                <w:sz w:val="18"/>
                <w:szCs w:val="18"/>
              </w:rPr>
            </w:pPr>
            <w:r w:rsidRPr="00666093">
              <w:rPr>
                <w:b/>
                <w:sz w:val="18"/>
                <w:szCs w:val="18"/>
              </w:rPr>
              <w:t>Poisoning</w:t>
            </w:r>
          </w:p>
        </w:tc>
        <w:tc>
          <w:tcPr>
            <w:tcW w:w="528" w:type="pct"/>
          </w:tcPr>
          <w:p w:rsidR="004B20E5" w:rsidRPr="00F80607" w:rsidRDefault="004B20E5" w:rsidP="00F80607">
            <w:pPr>
              <w:rPr>
                <w:sz w:val="18"/>
                <w:szCs w:val="18"/>
              </w:rPr>
            </w:pPr>
            <w:r w:rsidRPr="00F80607">
              <w:rPr>
                <w:sz w:val="18"/>
                <w:szCs w:val="18"/>
              </w:rPr>
              <w:t>14.5 deaths per 100,000 residents</w:t>
            </w:r>
            <w:r w:rsidRPr="00F80607">
              <w:rPr>
                <w:rStyle w:val="EndnoteReference"/>
              </w:rPr>
              <w:endnoteReference w:id="143"/>
            </w:r>
          </w:p>
          <w:p w:rsidR="004B20E5" w:rsidRPr="00F80607" w:rsidRDefault="004B20E5" w:rsidP="00F80607">
            <w:pPr>
              <w:rPr>
                <w:sz w:val="18"/>
                <w:szCs w:val="18"/>
              </w:rPr>
            </w:pPr>
          </w:p>
          <w:p w:rsidR="004B20E5" w:rsidRPr="00F80607" w:rsidRDefault="004B20E5" w:rsidP="00F80607">
            <w:pPr>
              <w:rPr>
                <w:sz w:val="18"/>
                <w:szCs w:val="18"/>
              </w:rPr>
            </w:pPr>
            <w:r w:rsidRPr="00F80607">
              <w:rPr>
                <w:sz w:val="18"/>
                <w:szCs w:val="18"/>
              </w:rPr>
              <w:t xml:space="preserve"> Accidental poisoning - 12.1 deaths per 100,000 residents</w:t>
            </w:r>
            <w:r w:rsidRPr="00F80607">
              <w:rPr>
                <w:rStyle w:val="EndnoteReference"/>
              </w:rPr>
              <w:endnoteReference w:id="144"/>
            </w:r>
          </w:p>
        </w:tc>
        <w:tc>
          <w:tcPr>
            <w:tcW w:w="679" w:type="pct"/>
          </w:tcPr>
          <w:p w:rsidR="004B20E5" w:rsidRPr="00F80607" w:rsidRDefault="004B20E5" w:rsidP="00F80607">
            <w:pPr>
              <w:rPr>
                <w:sz w:val="18"/>
                <w:szCs w:val="18"/>
              </w:rPr>
            </w:pPr>
            <w:r w:rsidRPr="00F80607">
              <w:rPr>
                <w:sz w:val="18"/>
                <w:szCs w:val="18"/>
              </w:rPr>
              <w:t>115 hospitalizations and 260 ED visits per 100,000 residents.</w:t>
            </w:r>
          </w:p>
          <w:p w:rsidR="004B20E5" w:rsidRPr="00F80607" w:rsidRDefault="004B20E5" w:rsidP="00F80607">
            <w:pPr>
              <w:rPr>
                <w:sz w:val="18"/>
                <w:szCs w:val="18"/>
              </w:rPr>
            </w:pPr>
          </w:p>
          <w:p w:rsidR="004B20E5" w:rsidRPr="00F80607" w:rsidRDefault="004B20E5" w:rsidP="00F80607">
            <w:pPr>
              <w:rPr>
                <w:sz w:val="18"/>
                <w:szCs w:val="18"/>
              </w:rPr>
            </w:pPr>
            <w:r w:rsidRPr="00F80607">
              <w:rPr>
                <w:sz w:val="18"/>
                <w:szCs w:val="18"/>
              </w:rPr>
              <w:t>(Source: ISP, Nonfatal Case Mix data; HDD &amp; EDD)</w:t>
            </w:r>
          </w:p>
          <w:p w:rsidR="004B20E5" w:rsidRPr="00F80607" w:rsidRDefault="004B20E5" w:rsidP="00F80607">
            <w:pPr>
              <w:rPr>
                <w:sz w:val="18"/>
                <w:szCs w:val="18"/>
              </w:rPr>
            </w:pPr>
          </w:p>
        </w:tc>
        <w:tc>
          <w:tcPr>
            <w:tcW w:w="746" w:type="pct"/>
          </w:tcPr>
          <w:p w:rsidR="004B20E5" w:rsidRPr="00666093" w:rsidRDefault="004B20E5" w:rsidP="00F80607">
            <w:pPr>
              <w:rPr>
                <w:sz w:val="18"/>
                <w:szCs w:val="18"/>
              </w:rPr>
            </w:pPr>
          </w:p>
        </w:tc>
        <w:tc>
          <w:tcPr>
            <w:tcW w:w="1197" w:type="pct"/>
          </w:tcPr>
          <w:p w:rsidR="004B20E5" w:rsidRPr="00666093" w:rsidRDefault="004B20E5" w:rsidP="00F80607">
            <w:pPr>
              <w:rPr>
                <w:sz w:val="18"/>
                <w:szCs w:val="18"/>
              </w:rPr>
            </w:pPr>
            <w:r w:rsidRPr="00666093">
              <w:rPr>
                <w:sz w:val="18"/>
                <w:szCs w:val="18"/>
              </w:rPr>
              <w:t>Death rate for poisoning highest among males (17.3 per 100,000)</w:t>
            </w:r>
            <w:r w:rsidRPr="00925017">
              <w:rPr>
                <w:rStyle w:val="EndnoteReference"/>
              </w:rPr>
              <w:endnoteReference w:id="145"/>
            </w:r>
          </w:p>
          <w:p w:rsidR="004B20E5" w:rsidRPr="00666093" w:rsidRDefault="004B20E5" w:rsidP="00F80607">
            <w:pPr>
              <w:rPr>
                <w:sz w:val="8"/>
                <w:szCs w:val="8"/>
              </w:rPr>
            </w:pPr>
          </w:p>
          <w:p w:rsidR="004B20E5" w:rsidRPr="00666093" w:rsidRDefault="004B20E5" w:rsidP="00F80607">
            <w:pPr>
              <w:rPr>
                <w:sz w:val="18"/>
                <w:szCs w:val="18"/>
              </w:rPr>
            </w:pPr>
            <w:r w:rsidRPr="00666093">
              <w:rPr>
                <w:sz w:val="18"/>
                <w:szCs w:val="18"/>
              </w:rPr>
              <w:t>Death rate for accidental poisoning highest among males (15.0 per 100,000)</w:t>
            </w:r>
            <w:r w:rsidRPr="00925017">
              <w:rPr>
                <w:rStyle w:val="EndnoteReference"/>
              </w:rPr>
              <w:endnoteReference w:id="146"/>
            </w:r>
          </w:p>
        </w:tc>
        <w:tc>
          <w:tcPr>
            <w:tcW w:w="735" w:type="pct"/>
          </w:tcPr>
          <w:p w:rsidR="004B20E5" w:rsidRPr="00666093" w:rsidRDefault="004B20E5" w:rsidP="00F80607">
            <w:pPr>
              <w:rPr>
                <w:sz w:val="18"/>
                <w:szCs w:val="18"/>
                <w:highlight w:val="yellow"/>
              </w:rPr>
            </w:pPr>
            <w:r w:rsidRPr="00666093">
              <w:rPr>
                <w:sz w:val="18"/>
                <w:szCs w:val="18"/>
              </w:rPr>
              <w:t xml:space="preserve">Poisoning death rates have ↑ since 1990 </w:t>
            </w:r>
          </w:p>
        </w:tc>
        <w:tc>
          <w:tcPr>
            <w:tcW w:w="590" w:type="pct"/>
            <w:gridSpan w:val="2"/>
          </w:tcPr>
          <w:p w:rsidR="004B20E5" w:rsidRPr="00666093" w:rsidRDefault="004B20E5" w:rsidP="00F80607">
            <w:pPr>
              <w:rPr>
                <w:sz w:val="18"/>
                <w:szCs w:val="18"/>
              </w:rPr>
            </w:pPr>
            <w:r w:rsidRPr="00666093">
              <w:rPr>
                <w:sz w:val="18"/>
                <w:szCs w:val="18"/>
              </w:rPr>
              <w:t>HP2020</w:t>
            </w:r>
          </w:p>
        </w:tc>
      </w:tr>
      <w:tr w:rsidR="004B20E5" w:rsidRPr="00666093" w:rsidTr="00F80607">
        <w:trPr>
          <w:cantSplit/>
        </w:trPr>
        <w:tc>
          <w:tcPr>
            <w:tcW w:w="525" w:type="pct"/>
          </w:tcPr>
          <w:p w:rsidR="004B20E5" w:rsidRPr="00666093" w:rsidRDefault="004B20E5" w:rsidP="00F80607">
            <w:pPr>
              <w:rPr>
                <w:b/>
                <w:sz w:val="18"/>
                <w:szCs w:val="18"/>
              </w:rPr>
            </w:pPr>
            <w:r w:rsidRPr="00666093">
              <w:rPr>
                <w:b/>
                <w:sz w:val="18"/>
                <w:szCs w:val="18"/>
              </w:rPr>
              <w:t xml:space="preserve">Motor Vehicle </w:t>
            </w:r>
            <w:r>
              <w:rPr>
                <w:b/>
                <w:sz w:val="18"/>
                <w:szCs w:val="18"/>
              </w:rPr>
              <w:t>Crashes</w:t>
            </w:r>
          </w:p>
        </w:tc>
        <w:tc>
          <w:tcPr>
            <w:tcW w:w="528" w:type="pct"/>
          </w:tcPr>
          <w:p w:rsidR="004B20E5" w:rsidRDefault="004B20E5" w:rsidP="00F80607">
            <w:pPr>
              <w:rPr>
                <w:sz w:val="18"/>
                <w:szCs w:val="18"/>
              </w:rPr>
            </w:pPr>
            <w:r w:rsidRPr="00666093">
              <w:rPr>
                <w:sz w:val="18"/>
                <w:szCs w:val="18"/>
              </w:rPr>
              <w:t>5.</w:t>
            </w:r>
            <w:r>
              <w:rPr>
                <w:sz w:val="18"/>
                <w:szCs w:val="18"/>
              </w:rPr>
              <w:t xml:space="preserve">3MV-traffic </w:t>
            </w:r>
            <w:r w:rsidRPr="00666093">
              <w:rPr>
                <w:sz w:val="18"/>
                <w:szCs w:val="18"/>
              </w:rPr>
              <w:t>deaths per 100,000residents</w:t>
            </w:r>
            <w:r w:rsidRPr="00935C18">
              <w:rPr>
                <w:rStyle w:val="EndnoteReference"/>
              </w:rPr>
              <w:endnoteReference w:id="147"/>
            </w:r>
          </w:p>
          <w:p w:rsidR="004B20E5" w:rsidRDefault="004B20E5" w:rsidP="00F80607">
            <w:pPr>
              <w:rPr>
                <w:sz w:val="18"/>
                <w:szCs w:val="18"/>
              </w:rPr>
            </w:pPr>
          </w:p>
          <w:p w:rsidR="004B20E5" w:rsidRPr="00666093" w:rsidRDefault="004B20E5" w:rsidP="00F80607">
            <w:pPr>
              <w:rPr>
                <w:sz w:val="18"/>
                <w:szCs w:val="18"/>
              </w:rPr>
            </w:pPr>
            <w:r>
              <w:rPr>
                <w:sz w:val="18"/>
                <w:szCs w:val="18"/>
              </w:rPr>
              <w:t>8,748 YPLL before age 65 due to MV-traffic deaths (WISQARS, 2011 data)</w:t>
            </w:r>
          </w:p>
        </w:tc>
        <w:tc>
          <w:tcPr>
            <w:tcW w:w="679" w:type="pct"/>
          </w:tcPr>
          <w:p w:rsidR="004B20E5" w:rsidRPr="00666093" w:rsidRDefault="004B20E5" w:rsidP="00F80607">
            <w:pPr>
              <w:rPr>
                <w:sz w:val="18"/>
                <w:szCs w:val="18"/>
              </w:rPr>
            </w:pPr>
            <w:r>
              <w:rPr>
                <w:sz w:val="18"/>
                <w:szCs w:val="18"/>
              </w:rPr>
              <w:t xml:space="preserve">59.2 </w:t>
            </w:r>
            <w:r w:rsidRPr="00666093">
              <w:rPr>
                <w:sz w:val="18"/>
                <w:szCs w:val="18"/>
              </w:rPr>
              <w:t>hospital</w:t>
            </w:r>
            <w:r>
              <w:rPr>
                <w:sz w:val="18"/>
                <w:szCs w:val="18"/>
              </w:rPr>
              <w:t xml:space="preserve"> stays for </w:t>
            </w:r>
            <w:r w:rsidRPr="00666093">
              <w:rPr>
                <w:sz w:val="18"/>
                <w:szCs w:val="18"/>
              </w:rPr>
              <w:t>non-fatal MV</w:t>
            </w:r>
            <w:r>
              <w:rPr>
                <w:sz w:val="18"/>
                <w:szCs w:val="18"/>
              </w:rPr>
              <w:t xml:space="preserve"> traffic Injuries per 100,000 residents</w:t>
            </w:r>
            <w:r w:rsidRPr="00935C18">
              <w:rPr>
                <w:rStyle w:val="EndnoteReference"/>
              </w:rPr>
              <w:endnoteReference w:id="148"/>
            </w:r>
          </w:p>
        </w:tc>
        <w:tc>
          <w:tcPr>
            <w:tcW w:w="746" w:type="pct"/>
          </w:tcPr>
          <w:p w:rsidR="004B20E5" w:rsidRPr="00666093" w:rsidRDefault="004B20E5" w:rsidP="00F80607">
            <w:pPr>
              <w:rPr>
                <w:sz w:val="18"/>
                <w:szCs w:val="18"/>
              </w:rPr>
            </w:pPr>
            <w:r w:rsidRPr="00666093">
              <w:rPr>
                <w:sz w:val="18"/>
                <w:szCs w:val="18"/>
              </w:rPr>
              <w:t>$</w:t>
            </w:r>
            <w:r>
              <w:rPr>
                <w:sz w:val="18"/>
                <w:szCs w:val="18"/>
              </w:rPr>
              <w:t>426</w:t>
            </w:r>
            <w:r w:rsidRPr="00666093">
              <w:rPr>
                <w:sz w:val="18"/>
                <w:szCs w:val="18"/>
              </w:rPr>
              <w:t xml:space="preserve"> million estimated in  medical and work loss costs due to MV</w:t>
            </w:r>
            <w:r>
              <w:rPr>
                <w:sz w:val="18"/>
                <w:szCs w:val="18"/>
              </w:rPr>
              <w:t>-traffic</w:t>
            </w:r>
            <w:r w:rsidRPr="00666093">
              <w:rPr>
                <w:sz w:val="18"/>
                <w:szCs w:val="18"/>
              </w:rPr>
              <w:t xml:space="preserve"> deaths</w:t>
            </w:r>
            <w:r>
              <w:rPr>
                <w:sz w:val="18"/>
                <w:szCs w:val="18"/>
              </w:rPr>
              <w:t xml:space="preserve"> of MA residents</w:t>
            </w:r>
            <w:r w:rsidRPr="00935C18">
              <w:rPr>
                <w:rStyle w:val="EndnoteReference"/>
              </w:rPr>
              <w:endnoteReference w:id="149"/>
            </w:r>
          </w:p>
        </w:tc>
        <w:tc>
          <w:tcPr>
            <w:tcW w:w="1197" w:type="pct"/>
          </w:tcPr>
          <w:p w:rsidR="004B20E5" w:rsidRPr="00666093" w:rsidRDefault="004B20E5" w:rsidP="00F80607">
            <w:pPr>
              <w:rPr>
                <w:sz w:val="18"/>
                <w:szCs w:val="18"/>
              </w:rPr>
            </w:pPr>
            <w:r w:rsidRPr="00666093">
              <w:rPr>
                <w:sz w:val="18"/>
                <w:szCs w:val="18"/>
              </w:rPr>
              <w:t>Death rate</w:t>
            </w:r>
            <w:r>
              <w:rPr>
                <w:sz w:val="18"/>
                <w:szCs w:val="18"/>
              </w:rPr>
              <w:t>s</w:t>
            </w:r>
            <w:r w:rsidRPr="00666093">
              <w:rPr>
                <w:sz w:val="18"/>
                <w:szCs w:val="18"/>
              </w:rPr>
              <w:t xml:space="preserve"> for </w:t>
            </w:r>
            <w:r>
              <w:rPr>
                <w:sz w:val="18"/>
                <w:szCs w:val="18"/>
              </w:rPr>
              <w:t>MV-traffic</w:t>
            </w:r>
            <w:r w:rsidR="00C8042B">
              <w:rPr>
                <w:sz w:val="18"/>
                <w:szCs w:val="18"/>
              </w:rPr>
              <w:t xml:space="preserve"> </w:t>
            </w:r>
            <w:r>
              <w:rPr>
                <w:sz w:val="18"/>
                <w:szCs w:val="18"/>
              </w:rPr>
              <w:t>crashes</w:t>
            </w:r>
            <w:r w:rsidR="00C8042B">
              <w:rPr>
                <w:sz w:val="18"/>
                <w:szCs w:val="18"/>
              </w:rPr>
              <w:t xml:space="preserve"> </w:t>
            </w:r>
            <w:r>
              <w:rPr>
                <w:sz w:val="18"/>
                <w:szCs w:val="18"/>
              </w:rPr>
              <w:t xml:space="preserve">were </w:t>
            </w:r>
            <w:r w:rsidRPr="00666093">
              <w:rPr>
                <w:sz w:val="18"/>
                <w:szCs w:val="18"/>
              </w:rPr>
              <w:t>highest among males (</w:t>
            </w:r>
            <w:r>
              <w:rPr>
                <w:sz w:val="18"/>
                <w:szCs w:val="18"/>
              </w:rPr>
              <w:t>7.8</w:t>
            </w:r>
            <w:r w:rsidRPr="00666093">
              <w:rPr>
                <w:sz w:val="18"/>
                <w:szCs w:val="18"/>
              </w:rPr>
              <w:t xml:space="preserve"> per 100,000), those 15-24 years old (8.</w:t>
            </w:r>
            <w:r>
              <w:rPr>
                <w:sz w:val="18"/>
                <w:szCs w:val="18"/>
              </w:rPr>
              <w:t>0</w:t>
            </w:r>
            <w:r w:rsidRPr="00666093">
              <w:rPr>
                <w:sz w:val="18"/>
                <w:szCs w:val="18"/>
              </w:rPr>
              <w:t xml:space="preserve"> per 100,000)</w:t>
            </w:r>
            <w:r>
              <w:rPr>
                <w:sz w:val="18"/>
                <w:szCs w:val="18"/>
              </w:rPr>
              <w:t xml:space="preserve">, </w:t>
            </w:r>
            <w:r w:rsidRPr="00666093">
              <w:rPr>
                <w:sz w:val="18"/>
                <w:szCs w:val="18"/>
              </w:rPr>
              <w:t>75-84 (12.</w:t>
            </w:r>
            <w:r>
              <w:rPr>
                <w:sz w:val="18"/>
                <w:szCs w:val="18"/>
              </w:rPr>
              <w:t>8</w:t>
            </w:r>
            <w:r w:rsidRPr="00666093">
              <w:rPr>
                <w:sz w:val="18"/>
                <w:szCs w:val="18"/>
              </w:rPr>
              <w:t xml:space="preserve"> per 100,000) and 85+ years old (15.</w:t>
            </w:r>
            <w:r>
              <w:rPr>
                <w:sz w:val="18"/>
                <w:szCs w:val="18"/>
              </w:rPr>
              <w:t>0</w:t>
            </w:r>
            <w:r w:rsidRPr="00666093">
              <w:rPr>
                <w:sz w:val="18"/>
                <w:szCs w:val="18"/>
              </w:rPr>
              <w:t xml:space="preserve"> per 100,000) </w:t>
            </w:r>
            <w:r w:rsidRPr="00935C18">
              <w:rPr>
                <w:rStyle w:val="EndnoteReference"/>
              </w:rPr>
              <w:endnoteReference w:id="150"/>
            </w:r>
          </w:p>
        </w:tc>
        <w:tc>
          <w:tcPr>
            <w:tcW w:w="735" w:type="pct"/>
          </w:tcPr>
          <w:p w:rsidR="004B20E5" w:rsidRPr="00666093" w:rsidRDefault="004B20E5" w:rsidP="00F80607">
            <w:pPr>
              <w:rPr>
                <w:sz w:val="18"/>
                <w:szCs w:val="18"/>
              </w:rPr>
            </w:pPr>
            <w:r>
              <w:rPr>
                <w:sz w:val="18"/>
                <w:szCs w:val="18"/>
              </w:rPr>
              <w:t>D</w:t>
            </w:r>
            <w:r w:rsidRPr="00666093">
              <w:rPr>
                <w:sz w:val="18"/>
                <w:szCs w:val="18"/>
              </w:rPr>
              <w:t>eath rate</w:t>
            </w:r>
            <w:r>
              <w:rPr>
                <w:sz w:val="18"/>
                <w:szCs w:val="18"/>
              </w:rPr>
              <w:t xml:space="preserve"> fairly level</w:t>
            </w:r>
            <w:r w:rsidRPr="00666093">
              <w:rPr>
                <w:sz w:val="18"/>
                <w:szCs w:val="18"/>
              </w:rPr>
              <w:t xml:space="preserve"> since 200</w:t>
            </w:r>
            <w:r>
              <w:rPr>
                <w:sz w:val="18"/>
                <w:szCs w:val="18"/>
              </w:rPr>
              <w:t>8</w:t>
            </w:r>
          </w:p>
        </w:tc>
        <w:tc>
          <w:tcPr>
            <w:tcW w:w="590" w:type="pct"/>
            <w:gridSpan w:val="2"/>
          </w:tcPr>
          <w:p w:rsidR="004B20E5" w:rsidRPr="00666093" w:rsidRDefault="004B20E5" w:rsidP="00F80607">
            <w:pPr>
              <w:rPr>
                <w:sz w:val="18"/>
                <w:szCs w:val="18"/>
              </w:rPr>
            </w:pPr>
            <w:r w:rsidRPr="00666093">
              <w:rPr>
                <w:sz w:val="18"/>
                <w:szCs w:val="18"/>
              </w:rPr>
              <w:t>WB</w:t>
            </w:r>
          </w:p>
          <w:p w:rsidR="004B20E5" w:rsidRPr="00666093" w:rsidRDefault="004B20E5" w:rsidP="00F80607">
            <w:pPr>
              <w:rPr>
                <w:sz w:val="18"/>
                <w:szCs w:val="18"/>
              </w:rPr>
            </w:pPr>
            <w:r w:rsidRPr="00666093">
              <w:rPr>
                <w:sz w:val="18"/>
                <w:szCs w:val="18"/>
              </w:rPr>
              <w:t>NPS</w:t>
            </w:r>
          </w:p>
          <w:p w:rsidR="004B20E5" w:rsidRPr="00666093" w:rsidRDefault="004B20E5" w:rsidP="00F80607">
            <w:pPr>
              <w:rPr>
                <w:sz w:val="18"/>
                <w:szCs w:val="18"/>
              </w:rPr>
            </w:pPr>
            <w:r w:rsidRPr="00666093">
              <w:rPr>
                <w:sz w:val="18"/>
                <w:szCs w:val="18"/>
              </w:rPr>
              <w:t>HP2020</w:t>
            </w:r>
          </w:p>
        </w:tc>
      </w:tr>
      <w:tr w:rsidR="004B20E5" w:rsidRPr="00666093" w:rsidTr="00F80607">
        <w:trPr>
          <w:cantSplit/>
        </w:trPr>
        <w:tc>
          <w:tcPr>
            <w:tcW w:w="525" w:type="pct"/>
          </w:tcPr>
          <w:p w:rsidR="004B20E5" w:rsidRPr="00666093" w:rsidRDefault="004B20E5" w:rsidP="00F80607">
            <w:pPr>
              <w:rPr>
                <w:b/>
                <w:sz w:val="18"/>
                <w:szCs w:val="18"/>
              </w:rPr>
            </w:pPr>
            <w:r w:rsidRPr="00666093">
              <w:rPr>
                <w:b/>
                <w:sz w:val="18"/>
                <w:szCs w:val="18"/>
              </w:rPr>
              <w:t>Suicide</w:t>
            </w:r>
          </w:p>
        </w:tc>
        <w:tc>
          <w:tcPr>
            <w:tcW w:w="528" w:type="pct"/>
          </w:tcPr>
          <w:p w:rsidR="004B20E5" w:rsidRPr="00F80607" w:rsidRDefault="004B20E5" w:rsidP="00F80607">
            <w:pPr>
              <w:rPr>
                <w:sz w:val="18"/>
                <w:szCs w:val="18"/>
              </w:rPr>
            </w:pPr>
            <w:r w:rsidRPr="00F80607">
              <w:rPr>
                <w:sz w:val="18"/>
                <w:szCs w:val="18"/>
              </w:rPr>
              <w:t>9.3 deaths per 100,000 residents</w:t>
            </w:r>
            <w:r w:rsidRPr="00F80607">
              <w:rPr>
                <w:rStyle w:val="EndnoteReference"/>
              </w:rPr>
              <w:endnoteReference w:id="151"/>
            </w:r>
          </w:p>
          <w:p w:rsidR="004B20E5" w:rsidRPr="00F80607" w:rsidRDefault="004B20E5" w:rsidP="00F80607">
            <w:pPr>
              <w:rPr>
                <w:sz w:val="18"/>
                <w:szCs w:val="18"/>
              </w:rPr>
            </w:pPr>
          </w:p>
          <w:p w:rsidR="004B20E5" w:rsidRPr="00F80607" w:rsidRDefault="004B20E5" w:rsidP="00F80607">
            <w:pPr>
              <w:rPr>
                <w:sz w:val="18"/>
                <w:szCs w:val="18"/>
              </w:rPr>
            </w:pPr>
            <w:r w:rsidRPr="00F80607">
              <w:rPr>
                <w:sz w:val="18"/>
                <w:szCs w:val="18"/>
              </w:rPr>
              <w:t>16,407 YPLL</w:t>
            </w:r>
            <w:r w:rsidRPr="00F80607">
              <w:rPr>
                <w:rStyle w:val="EndnoteReference"/>
              </w:rPr>
              <w:endnoteReference w:id="152"/>
            </w:r>
          </w:p>
        </w:tc>
        <w:tc>
          <w:tcPr>
            <w:tcW w:w="679" w:type="pct"/>
          </w:tcPr>
          <w:p w:rsidR="004B20E5" w:rsidRPr="00F80607" w:rsidRDefault="004B20E5" w:rsidP="00F80607">
            <w:pPr>
              <w:rPr>
                <w:sz w:val="18"/>
                <w:szCs w:val="18"/>
              </w:rPr>
            </w:pPr>
            <w:r w:rsidRPr="00F80607">
              <w:rPr>
                <w:sz w:val="18"/>
                <w:szCs w:val="18"/>
              </w:rPr>
              <w:t>7% of high school students reported attempting suicide in the past year</w:t>
            </w:r>
            <w:r w:rsidRPr="00F80607">
              <w:rPr>
                <w:rStyle w:val="EndnoteReference"/>
              </w:rPr>
              <w:endnoteReference w:id="153"/>
            </w:r>
          </w:p>
        </w:tc>
        <w:tc>
          <w:tcPr>
            <w:tcW w:w="746" w:type="pct"/>
          </w:tcPr>
          <w:p w:rsidR="004B20E5" w:rsidRPr="00F80607" w:rsidRDefault="004B20E5" w:rsidP="00F80607">
            <w:pPr>
              <w:rPr>
                <w:sz w:val="18"/>
                <w:szCs w:val="18"/>
              </w:rPr>
            </w:pPr>
            <w:r w:rsidRPr="00F80607">
              <w:rPr>
                <w:sz w:val="18"/>
                <w:szCs w:val="18"/>
              </w:rPr>
              <w:t>Lifetime costs for fatal and nonfatal self-inflicted injury are estimated at $878 million (WISQARS)</w:t>
            </w:r>
          </w:p>
        </w:tc>
        <w:tc>
          <w:tcPr>
            <w:tcW w:w="1197" w:type="pct"/>
          </w:tcPr>
          <w:p w:rsidR="004B20E5" w:rsidRPr="00F80607" w:rsidRDefault="004B20E5" w:rsidP="00F80607">
            <w:pPr>
              <w:rPr>
                <w:sz w:val="18"/>
                <w:szCs w:val="18"/>
              </w:rPr>
            </w:pPr>
            <w:r w:rsidRPr="00F80607">
              <w:rPr>
                <w:sz w:val="18"/>
                <w:szCs w:val="18"/>
              </w:rPr>
              <w:t>Death rate highest among: Whites (10.5 per 100,000); males (14.5 per 100,000); ages 45-54 (15.3 per 100,000)</w:t>
            </w:r>
            <w:r w:rsidRPr="00F80607">
              <w:rPr>
                <w:rStyle w:val="EndnoteReference"/>
              </w:rPr>
              <w:endnoteReference w:id="154"/>
            </w:r>
          </w:p>
        </w:tc>
        <w:tc>
          <w:tcPr>
            <w:tcW w:w="735" w:type="pct"/>
          </w:tcPr>
          <w:p w:rsidR="004B20E5" w:rsidRPr="00666093" w:rsidRDefault="004B20E5" w:rsidP="00F80607">
            <w:pPr>
              <w:rPr>
                <w:sz w:val="18"/>
                <w:szCs w:val="18"/>
              </w:rPr>
            </w:pPr>
            <w:r w:rsidRPr="00666093">
              <w:rPr>
                <w:sz w:val="18"/>
                <w:szCs w:val="18"/>
              </w:rPr>
              <w:t xml:space="preserve">↓ in percent of high school students attempting suicide over last ten years. </w:t>
            </w:r>
          </w:p>
        </w:tc>
        <w:tc>
          <w:tcPr>
            <w:tcW w:w="590" w:type="pct"/>
            <w:gridSpan w:val="2"/>
          </w:tcPr>
          <w:p w:rsidR="004B20E5" w:rsidRPr="00666093" w:rsidRDefault="004B20E5" w:rsidP="00F80607">
            <w:pPr>
              <w:rPr>
                <w:sz w:val="18"/>
                <w:szCs w:val="18"/>
              </w:rPr>
            </w:pPr>
            <w:r w:rsidRPr="00666093">
              <w:rPr>
                <w:sz w:val="18"/>
                <w:szCs w:val="18"/>
              </w:rPr>
              <w:t>NPS</w:t>
            </w:r>
          </w:p>
          <w:p w:rsidR="004B20E5" w:rsidRPr="00666093" w:rsidRDefault="004B20E5" w:rsidP="00F80607">
            <w:pPr>
              <w:rPr>
                <w:sz w:val="18"/>
                <w:szCs w:val="18"/>
              </w:rPr>
            </w:pPr>
            <w:r w:rsidRPr="00666093">
              <w:rPr>
                <w:sz w:val="18"/>
                <w:szCs w:val="18"/>
              </w:rPr>
              <w:t>HP2020</w:t>
            </w:r>
          </w:p>
        </w:tc>
      </w:tr>
      <w:tr w:rsidR="004B20E5" w:rsidRPr="00666093" w:rsidTr="00F80607">
        <w:trPr>
          <w:cantSplit/>
        </w:trPr>
        <w:tc>
          <w:tcPr>
            <w:tcW w:w="525" w:type="pct"/>
          </w:tcPr>
          <w:p w:rsidR="004B20E5" w:rsidRPr="00666093" w:rsidRDefault="004B20E5" w:rsidP="00F80607">
            <w:pPr>
              <w:rPr>
                <w:b/>
                <w:sz w:val="18"/>
                <w:szCs w:val="18"/>
              </w:rPr>
            </w:pPr>
            <w:r>
              <w:rPr>
                <w:b/>
                <w:sz w:val="18"/>
                <w:szCs w:val="18"/>
              </w:rPr>
              <w:t>Child/Youth Injuries (ages 0-19 years)</w:t>
            </w:r>
          </w:p>
        </w:tc>
        <w:tc>
          <w:tcPr>
            <w:tcW w:w="528" w:type="pct"/>
          </w:tcPr>
          <w:p w:rsidR="004B20E5" w:rsidRPr="00666093" w:rsidRDefault="004B20E5" w:rsidP="00F80607">
            <w:pPr>
              <w:rPr>
                <w:sz w:val="18"/>
                <w:szCs w:val="18"/>
              </w:rPr>
            </w:pPr>
            <w:r>
              <w:rPr>
                <w:sz w:val="18"/>
                <w:szCs w:val="18"/>
              </w:rPr>
              <w:t xml:space="preserve">4.3 unintentional injury deaths per 100,000 children/youth aged 0-19 years (Source: Massachusetts Deaths, 2012, Registry of Vital Records and Statistics, MDPH. Data prepared by the Injury Prevention and Control Program, MDPH. </w:t>
            </w:r>
            <w:r w:rsidRPr="002F6F15">
              <w:rPr>
                <w:b/>
                <w:sz w:val="18"/>
                <w:szCs w:val="18"/>
              </w:rPr>
              <w:t>2012 Crude Rate</w:t>
            </w:r>
            <w:r>
              <w:rPr>
                <w:b/>
                <w:sz w:val="18"/>
                <w:szCs w:val="18"/>
              </w:rPr>
              <w:t>.</w:t>
            </w:r>
            <w:r>
              <w:rPr>
                <w:sz w:val="18"/>
                <w:szCs w:val="18"/>
              </w:rPr>
              <w:t xml:space="preserve">) </w:t>
            </w:r>
          </w:p>
        </w:tc>
        <w:tc>
          <w:tcPr>
            <w:tcW w:w="679" w:type="pct"/>
          </w:tcPr>
          <w:p w:rsidR="004B20E5" w:rsidRPr="00666093" w:rsidRDefault="004B20E5" w:rsidP="00F80607">
            <w:pPr>
              <w:rPr>
                <w:sz w:val="18"/>
                <w:szCs w:val="18"/>
              </w:rPr>
            </w:pPr>
            <w:r>
              <w:rPr>
                <w:sz w:val="18"/>
                <w:szCs w:val="18"/>
              </w:rPr>
              <w:t xml:space="preserve">274.5 hospital stays and 10,774.4 ED visits per 100,000 children/youth associated with unintentional injury (Sources: MA Inpatient Hospital, Observation Stay and Emergency Department Discharge Databases, Center for Health Information and Analysis. Data prepared by the Injury Prevention and Control Program, MDPH. </w:t>
            </w:r>
            <w:r w:rsidRPr="00FA0B4B">
              <w:rPr>
                <w:b/>
                <w:sz w:val="18"/>
                <w:szCs w:val="18"/>
              </w:rPr>
              <w:t>FY2012 Crude Rates</w:t>
            </w:r>
            <w:r>
              <w:rPr>
                <w:sz w:val="18"/>
                <w:szCs w:val="18"/>
              </w:rPr>
              <w:t>.)</w:t>
            </w:r>
          </w:p>
        </w:tc>
        <w:tc>
          <w:tcPr>
            <w:tcW w:w="746" w:type="pct"/>
          </w:tcPr>
          <w:p w:rsidR="004B20E5" w:rsidRPr="00666093" w:rsidRDefault="004B20E5" w:rsidP="00F80607">
            <w:pPr>
              <w:rPr>
                <w:sz w:val="18"/>
                <w:szCs w:val="18"/>
              </w:rPr>
            </w:pPr>
            <w:r>
              <w:rPr>
                <w:sz w:val="18"/>
                <w:szCs w:val="18"/>
              </w:rPr>
              <w:t xml:space="preserve">$279 million in acute care hospital charges in FY12. (Sources: MA Inpatient Hospital, Observation Stay and Emergency Department Discharge Databases, Center for Health Information and Analysis. Data prepared by the Injury Prevention and Control Program, MDPH. </w:t>
            </w:r>
            <w:r w:rsidRPr="00FA0B4B">
              <w:rPr>
                <w:b/>
                <w:sz w:val="18"/>
                <w:szCs w:val="18"/>
              </w:rPr>
              <w:t>FY2012 Crude Rates</w:t>
            </w:r>
            <w:r>
              <w:rPr>
                <w:sz w:val="18"/>
                <w:szCs w:val="18"/>
              </w:rPr>
              <w:t>.)</w:t>
            </w:r>
          </w:p>
        </w:tc>
        <w:tc>
          <w:tcPr>
            <w:tcW w:w="1197" w:type="pct"/>
          </w:tcPr>
          <w:p w:rsidR="004B20E5" w:rsidRPr="00666093" w:rsidRDefault="004B20E5" w:rsidP="00F80607">
            <w:pPr>
              <w:rPr>
                <w:sz w:val="18"/>
                <w:szCs w:val="18"/>
              </w:rPr>
            </w:pPr>
            <w:r>
              <w:rPr>
                <w:sz w:val="18"/>
                <w:szCs w:val="18"/>
              </w:rPr>
              <w:t xml:space="preserve">Hospital stays and ED visit rates are highest among black non-Hispanic children/youth (278.6 and 11,062 per 100,000 persons). (Sources: MA Inpatient Hospital, Observation Stay and Emergency Department Discharge Databases, Center for Health Information and Analysis. Data prepared by the Injury Prevention and Control Program, MDPH. </w:t>
            </w:r>
            <w:r w:rsidRPr="00FA0B4B">
              <w:rPr>
                <w:b/>
                <w:sz w:val="18"/>
                <w:szCs w:val="18"/>
              </w:rPr>
              <w:t>FY2012 Crude Rates</w:t>
            </w:r>
            <w:r>
              <w:rPr>
                <w:sz w:val="18"/>
                <w:szCs w:val="18"/>
              </w:rPr>
              <w:t>.)</w:t>
            </w:r>
          </w:p>
        </w:tc>
        <w:tc>
          <w:tcPr>
            <w:tcW w:w="735" w:type="pct"/>
          </w:tcPr>
          <w:p w:rsidR="004B20E5" w:rsidRPr="00666093" w:rsidRDefault="004B20E5" w:rsidP="00F80607">
            <w:pPr>
              <w:rPr>
                <w:sz w:val="18"/>
                <w:szCs w:val="18"/>
              </w:rPr>
            </w:pPr>
            <w:r>
              <w:rPr>
                <w:sz w:val="18"/>
                <w:szCs w:val="18"/>
              </w:rPr>
              <w:t xml:space="preserve">No statistically significant trends in unintentional injury deaths, hospital stays or ED visits among children 0-19 years during the past five years. </w:t>
            </w:r>
          </w:p>
        </w:tc>
        <w:tc>
          <w:tcPr>
            <w:tcW w:w="590" w:type="pct"/>
            <w:gridSpan w:val="2"/>
          </w:tcPr>
          <w:p w:rsidR="004B20E5" w:rsidRDefault="004B20E5" w:rsidP="00F80607">
            <w:pPr>
              <w:rPr>
                <w:sz w:val="18"/>
                <w:szCs w:val="18"/>
              </w:rPr>
            </w:pPr>
          </w:p>
          <w:p w:rsidR="004B20E5" w:rsidRPr="00601512" w:rsidRDefault="004B20E5" w:rsidP="00F80607">
            <w:pPr>
              <w:rPr>
                <w:sz w:val="18"/>
                <w:szCs w:val="18"/>
              </w:rPr>
            </w:pPr>
          </w:p>
          <w:p w:rsidR="004B20E5" w:rsidRPr="00FA0B4B" w:rsidRDefault="004B20E5" w:rsidP="00F80607">
            <w:pPr>
              <w:rPr>
                <w:sz w:val="18"/>
                <w:szCs w:val="18"/>
              </w:rPr>
            </w:pPr>
          </w:p>
          <w:p w:rsidR="004B20E5" w:rsidRPr="00401F2B" w:rsidRDefault="004B20E5" w:rsidP="00F80607">
            <w:pPr>
              <w:rPr>
                <w:sz w:val="18"/>
                <w:szCs w:val="18"/>
              </w:rPr>
            </w:pPr>
          </w:p>
          <w:p w:rsidR="004B20E5" w:rsidRPr="008C023A" w:rsidRDefault="004B20E5" w:rsidP="00F80607">
            <w:pPr>
              <w:rPr>
                <w:sz w:val="18"/>
                <w:szCs w:val="18"/>
              </w:rPr>
            </w:pPr>
          </w:p>
          <w:p w:rsidR="004B20E5" w:rsidRPr="008C023A" w:rsidRDefault="004B20E5" w:rsidP="00F80607">
            <w:pPr>
              <w:rPr>
                <w:sz w:val="18"/>
                <w:szCs w:val="18"/>
              </w:rPr>
            </w:pPr>
          </w:p>
          <w:p w:rsidR="004B20E5" w:rsidRDefault="004B20E5" w:rsidP="00F80607">
            <w:pPr>
              <w:rPr>
                <w:sz w:val="18"/>
                <w:szCs w:val="18"/>
              </w:rPr>
            </w:pPr>
          </w:p>
          <w:p w:rsidR="004B20E5" w:rsidRPr="00666093" w:rsidRDefault="004B20E5" w:rsidP="00F80607">
            <w:pPr>
              <w:rPr>
                <w:sz w:val="18"/>
                <w:szCs w:val="18"/>
              </w:rPr>
            </w:pPr>
          </w:p>
        </w:tc>
      </w:tr>
      <w:tr w:rsidR="004B20E5" w:rsidRPr="00666093" w:rsidTr="00F80607">
        <w:trPr>
          <w:cantSplit/>
        </w:trPr>
        <w:tc>
          <w:tcPr>
            <w:tcW w:w="525" w:type="pct"/>
          </w:tcPr>
          <w:p w:rsidR="004B20E5" w:rsidRPr="00666093" w:rsidRDefault="004B20E5" w:rsidP="000B176A">
            <w:pPr>
              <w:rPr>
                <w:b/>
                <w:sz w:val="18"/>
                <w:szCs w:val="18"/>
              </w:rPr>
            </w:pPr>
            <w:r w:rsidRPr="00666093">
              <w:rPr>
                <w:b/>
                <w:sz w:val="18"/>
                <w:szCs w:val="18"/>
              </w:rPr>
              <w:t>Violence/</w:t>
            </w:r>
          </w:p>
          <w:p w:rsidR="004B20E5" w:rsidRPr="00666093" w:rsidRDefault="004B20E5" w:rsidP="000B176A">
            <w:pPr>
              <w:rPr>
                <w:b/>
                <w:sz w:val="18"/>
                <w:szCs w:val="18"/>
              </w:rPr>
            </w:pPr>
            <w:r w:rsidRPr="00666093">
              <w:rPr>
                <w:b/>
                <w:sz w:val="18"/>
                <w:szCs w:val="18"/>
              </w:rPr>
              <w:t>Homicide</w:t>
            </w:r>
          </w:p>
        </w:tc>
        <w:tc>
          <w:tcPr>
            <w:tcW w:w="528" w:type="pct"/>
          </w:tcPr>
          <w:p w:rsidR="004B20E5" w:rsidRPr="00666093" w:rsidRDefault="004B20E5" w:rsidP="000B176A">
            <w:pPr>
              <w:rPr>
                <w:sz w:val="18"/>
                <w:szCs w:val="18"/>
              </w:rPr>
            </w:pPr>
            <w:r>
              <w:rPr>
                <w:sz w:val="18"/>
                <w:szCs w:val="18"/>
              </w:rPr>
              <w:t>3.0</w:t>
            </w:r>
            <w:r w:rsidRPr="00666093">
              <w:rPr>
                <w:sz w:val="18"/>
                <w:szCs w:val="18"/>
              </w:rPr>
              <w:t xml:space="preserve"> homicide deaths per 100,000 residents</w:t>
            </w:r>
            <w:r w:rsidRPr="00935C18">
              <w:rPr>
                <w:rStyle w:val="EndnoteReference"/>
              </w:rPr>
              <w:endnoteReference w:id="155"/>
            </w:r>
            <w:r w:rsidRPr="00666093">
              <w:rPr>
                <w:sz w:val="18"/>
                <w:szCs w:val="18"/>
              </w:rPr>
              <w:t xml:space="preserve"> and </w:t>
            </w:r>
            <w:r>
              <w:rPr>
                <w:sz w:val="18"/>
                <w:szCs w:val="18"/>
              </w:rPr>
              <w:t>8,515</w:t>
            </w:r>
            <w:r w:rsidRPr="00666093">
              <w:rPr>
                <w:sz w:val="18"/>
                <w:szCs w:val="18"/>
              </w:rPr>
              <w:t xml:space="preserve"> YPLL</w:t>
            </w:r>
            <w:r w:rsidRPr="00935C18">
              <w:rPr>
                <w:rStyle w:val="EndnoteReference"/>
              </w:rPr>
              <w:endnoteReference w:id="156"/>
            </w:r>
          </w:p>
        </w:tc>
        <w:tc>
          <w:tcPr>
            <w:tcW w:w="679" w:type="pct"/>
          </w:tcPr>
          <w:p w:rsidR="004B20E5" w:rsidRDefault="004B20E5" w:rsidP="000B176A">
            <w:pPr>
              <w:rPr>
                <w:sz w:val="18"/>
                <w:szCs w:val="18"/>
              </w:rPr>
            </w:pPr>
            <w:r>
              <w:rPr>
                <w:sz w:val="18"/>
                <w:szCs w:val="18"/>
              </w:rPr>
              <w:t>24.7</w:t>
            </w:r>
            <w:r w:rsidRPr="00666093">
              <w:rPr>
                <w:sz w:val="18"/>
                <w:szCs w:val="18"/>
              </w:rPr>
              <w:t xml:space="preserve"> sexual assaults per 100,000 population</w:t>
            </w:r>
            <w:r w:rsidRPr="00935C18">
              <w:rPr>
                <w:rStyle w:val="EndnoteReference"/>
              </w:rPr>
              <w:endnoteReference w:id="157"/>
            </w:r>
          </w:p>
          <w:p w:rsidR="004B20E5" w:rsidRPr="00666093" w:rsidRDefault="004B20E5" w:rsidP="000B176A">
            <w:pPr>
              <w:rPr>
                <w:sz w:val="18"/>
                <w:szCs w:val="18"/>
              </w:rPr>
            </w:pPr>
            <w:r>
              <w:rPr>
                <w:sz w:val="18"/>
                <w:szCs w:val="18"/>
              </w:rPr>
              <w:t>298.1</w:t>
            </w:r>
            <w:r w:rsidRPr="00666093">
              <w:rPr>
                <w:sz w:val="18"/>
                <w:szCs w:val="18"/>
              </w:rPr>
              <w:t xml:space="preserve"> aggravated assaults per 100,000 population</w:t>
            </w:r>
            <w:r w:rsidRPr="00935C18">
              <w:rPr>
                <w:rStyle w:val="EndnoteReference"/>
              </w:rPr>
              <w:endnoteReference w:id="158"/>
            </w:r>
          </w:p>
          <w:p w:rsidR="004B20E5" w:rsidRDefault="004B20E5" w:rsidP="000B176A">
            <w:pPr>
              <w:rPr>
                <w:sz w:val="8"/>
                <w:szCs w:val="8"/>
              </w:rPr>
            </w:pPr>
          </w:p>
          <w:p w:rsidR="004B20E5" w:rsidRDefault="004B20E5" w:rsidP="000B176A">
            <w:pPr>
              <w:rPr>
                <w:sz w:val="8"/>
                <w:szCs w:val="8"/>
              </w:rPr>
            </w:pPr>
          </w:p>
          <w:p w:rsidR="004B20E5" w:rsidRDefault="004B20E5" w:rsidP="000B176A">
            <w:pPr>
              <w:rPr>
                <w:sz w:val="8"/>
                <w:szCs w:val="8"/>
              </w:rPr>
            </w:pPr>
          </w:p>
          <w:p w:rsidR="004B20E5" w:rsidRPr="00666093" w:rsidRDefault="004B20E5" w:rsidP="000B176A">
            <w:pPr>
              <w:rPr>
                <w:sz w:val="8"/>
                <w:szCs w:val="8"/>
              </w:rPr>
            </w:pPr>
          </w:p>
          <w:p w:rsidR="004B20E5" w:rsidRPr="00666093" w:rsidRDefault="004B20E5" w:rsidP="000B176A">
            <w:pPr>
              <w:rPr>
                <w:sz w:val="18"/>
                <w:szCs w:val="18"/>
              </w:rPr>
            </w:pPr>
            <w:r w:rsidRPr="00666093">
              <w:rPr>
                <w:sz w:val="18"/>
                <w:szCs w:val="18"/>
              </w:rPr>
              <w:t>18% of high school students reported being bullied at school in the last year</w:t>
            </w:r>
            <w:r w:rsidRPr="00935C18">
              <w:rPr>
                <w:rStyle w:val="EndnoteReference"/>
              </w:rPr>
              <w:endnoteReference w:id="159"/>
            </w:r>
          </w:p>
        </w:tc>
        <w:tc>
          <w:tcPr>
            <w:tcW w:w="746" w:type="pct"/>
          </w:tcPr>
          <w:p w:rsidR="004B20E5" w:rsidRDefault="004B20E5" w:rsidP="000B176A">
            <w:pPr>
              <w:rPr>
                <w:sz w:val="18"/>
                <w:szCs w:val="18"/>
              </w:rPr>
            </w:pPr>
            <w:r w:rsidRPr="00666093">
              <w:rPr>
                <w:sz w:val="18"/>
                <w:szCs w:val="18"/>
              </w:rPr>
              <w:t>Estimated $</w:t>
            </w:r>
            <w:r>
              <w:rPr>
                <w:sz w:val="18"/>
                <w:szCs w:val="18"/>
              </w:rPr>
              <w:t>174</w:t>
            </w:r>
            <w:r w:rsidRPr="00666093">
              <w:rPr>
                <w:sz w:val="18"/>
                <w:szCs w:val="18"/>
              </w:rPr>
              <w:t xml:space="preserve"> billion in medical care costs in U.S. due to firearm injuries and deaths</w:t>
            </w:r>
            <w:r w:rsidRPr="00935C18">
              <w:rPr>
                <w:rStyle w:val="EndnoteReference"/>
              </w:rPr>
              <w:endnoteReference w:id="160"/>
            </w:r>
          </w:p>
          <w:p w:rsidR="004B20E5" w:rsidRDefault="004B20E5" w:rsidP="000B176A">
            <w:pPr>
              <w:rPr>
                <w:sz w:val="18"/>
                <w:szCs w:val="18"/>
              </w:rPr>
            </w:pPr>
          </w:p>
          <w:p w:rsidR="004B20E5" w:rsidRPr="00666093" w:rsidRDefault="004B20E5" w:rsidP="000B176A">
            <w:pPr>
              <w:rPr>
                <w:sz w:val="18"/>
                <w:szCs w:val="18"/>
              </w:rPr>
            </w:pPr>
            <w:r>
              <w:rPr>
                <w:sz w:val="18"/>
                <w:szCs w:val="18"/>
              </w:rPr>
              <w:t>Estimates of the cost to the U.S. economy of Intimate Partner Violence (IPV) range from a low of $5.8 billion to a high of $67 billion (all in 2003 or earlier dollars</w:t>
            </w:r>
            <w:r>
              <w:rPr>
                <w:sz w:val="18"/>
                <w:szCs w:val="18"/>
                <w:vertAlign w:val="superscript"/>
              </w:rPr>
              <w:t>)</w:t>
            </w:r>
            <w:r>
              <w:rPr>
                <w:rStyle w:val="EndnoteReference"/>
                <w:sz w:val="18"/>
                <w:szCs w:val="18"/>
              </w:rPr>
              <w:endnoteReference w:id="161"/>
            </w:r>
          </w:p>
        </w:tc>
        <w:tc>
          <w:tcPr>
            <w:tcW w:w="1197" w:type="pct"/>
          </w:tcPr>
          <w:p w:rsidR="004B20E5" w:rsidRDefault="004B20E5" w:rsidP="000B176A">
            <w:pPr>
              <w:rPr>
                <w:sz w:val="18"/>
                <w:szCs w:val="18"/>
              </w:rPr>
            </w:pPr>
            <w:r w:rsidRPr="00666093">
              <w:rPr>
                <w:sz w:val="18"/>
                <w:szCs w:val="18"/>
              </w:rPr>
              <w:t xml:space="preserve">Death rate for homicides </w:t>
            </w:r>
            <w:r>
              <w:rPr>
                <w:sz w:val="18"/>
                <w:szCs w:val="18"/>
              </w:rPr>
              <w:t xml:space="preserve">is </w:t>
            </w:r>
            <w:r w:rsidRPr="00666093">
              <w:rPr>
                <w:sz w:val="18"/>
                <w:szCs w:val="18"/>
              </w:rPr>
              <w:t>highest among Black</w:t>
            </w:r>
            <w:r>
              <w:rPr>
                <w:sz w:val="18"/>
                <w:szCs w:val="18"/>
              </w:rPr>
              <w:t>, non-Hispanic male</w:t>
            </w:r>
            <w:r w:rsidRPr="00666093">
              <w:rPr>
                <w:sz w:val="18"/>
                <w:szCs w:val="18"/>
              </w:rPr>
              <w:t>s (</w:t>
            </w:r>
            <w:r>
              <w:rPr>
                <w:sz w:val="18"/>
                <w:szCs w:val="18"/>
              </w:rPr>
              <w:t>28.2</w:t>
            </w:r>
            <w:r w:rsidRPr="00666093">
              <w:rPr>
                <w:sz w:val="18"/>
                <w:szCs w:val="18"/>
              </w:rPr>
              <w:t xml:space="preserve"> per 100,000)</w:t>
            </w:r>
            <w:r>
              <w:rPr>
                <w:sz w:val="18"/>
                <w:szCs w:val="18"/>
              </w:rPr>
              <w:t>, Hispanic males (10.1 per 100,000),</w:t>
            </w:r>
            <w:r w:rsidRPr="00666093">
              <w:rPr>
                <w:sz w:val="18"/>
                <w:szCs w:val="18"/>
              </w:rPr>
              <w:t xml:space="preserve"> and 15-24 year old</w:t>
            </w:r>
            <w:r>
              <w:rPr>
                <w:sz w:val="18"/>
                <w:szCs w:val="18"/>
              </w:rPr>
              <w:t xml:space="preserve"> male</w:t>
            </w:r>
            <w:r w:rsidRPr="00666093">
              <w:rPr>
                <w:sz w:val="18"/>
                <w:szCs w:val="18"/>
              </w:rPr>
              <w:t>s (</w:t>
            </w:r>
            <w:r>
              <w:rPr>
                <w:sz w:val="18"/>
                <w:szCs w:val="18"/>
              </w:rPr>
              <w:t>14.2</w:t>
            </w:r>
            <w:r w:rsidRPr="00666093">
              <w:rPr>
                <w:sz w:val="18"/>
                <w:szCs w:val="18"/>
              </w:rPr>
              <w:t xml:space="preserve"> per 100,000) </w:t>
            </w:r>
            <w:r w:rsidRPr="00935C18">
              <w:rPr>
                <w:rStyle w:val="EndnoteReference"/>
              </w:rPr>
              <w:endnoteReference w:id="162"/>
            </w:r>
          </w:p>
          <w:p w:rsidR="004B20E5" w:rsidRPr="009260B5" w:rsidRDefault="004B20E5" w:rsidP="000B176A">
            <w:pPr>
              <w:rPr>
                <w:sz w:val="18"/>
                <w:szCs w:val="18"/>
              </w:rPr>
            </w:pPr>
            <w:r>
              <w:rPr>
                <w:sz w:val="18"/>
                <w:szCs w:val="18"/>
              </w:rPr>
              <w:t>Similar pattern exists for non-fatal weapons-related injuries among youth ages 15-24:  Rates were 674.1, 400.7, and 138.7 firearms and cut/pierce injuries per 100,000, respectively.</w:t>
            </w:r>
            <w:r>
              <w:rPr>
                <w:rStyle w:val="EndnoteReference"/>
                <w:sz w:val="18"/>
                <w:szCs w:val="18"/>
              </w:rPr>
              <w:endnoteReference w:id="163"/>
            </w:r>
          </w:p>
          <w:p w:rsidR="004B20E5" w:rsidRPr="00AE3634" w:rsidRDefault="004B20E5" w:rsidP="000B176A">
            <w:pPr>
              <w:rPr>
                <w:sz w:val="10"/>
                <w:szCs w:val="18"/>
              </w:rPr>
            </w:pPr>
          </w:p>
          <w:p w:rsidR="004B20E5" w:rsidRPr="003F2D40" w:rsidRDefault="004B20E5" w:rsidP="000B176A">
            <w:pPr>
              <w:rPr>
                <w:sz w:val="18"/>
                <w:szCs w:val="18"/>
              </w:rPr>
            </w:pPr>
            <w:r>
              <w:rPr>
                <w:sz w:val="18"/>
                <w:szCs w:val="18"/>
              </w:rPr>
              <w:t>31.7% of MA women, ages 18 and older and. 19.1% of MA men, ages 18 and older report ever having experienced IPV.</w:t>
            </w:r>
            <w:r>
              <w:rPr>
                <w:rStyle w:val="EndnoteReference"/>
                <w:sz w:val="18"/>
                <w:szCs w:val="18"/>
              </w:rPr>
              <w:endnoteReference w:id="164"/>
            </w:r>
          </w:p>
          <w:p w:rsidR="004B20E5" w:rsidRPr="00AE3634" w:rsidRDefault="004B20E5" w:rsidP="000B176A">
            <w:pPr>
              <w:rPr>
                <w:sz w:val="10"/>
                <w:szCs w:val="18"/>
              </w:rPr>
            </w:pPr>
          </w:p>
          <w:p w:rsidR="004B20E5" w:rsidRPr="003F2D40" w:rsidRDefault="004B20E5" w:rsidP="000B176A">
            <w:pPr>
              <w:rPr>
                <w:sz w:val="18"/>
                <w:szCs w:val="18"/>
              </w:rPr>
            </w:pPr>
            <w:r>
              <w:rPr>
                <w:sz w:val="18"/>
                <w:szCs w:val="18"/>
              </w:rPr>
              <w:t>20.1% of female MA residents, ages 18 and older vs. 4.6% of male MA residents, ages 18 and older report having experienced sexual violence at some time in their lives.</w:t>
            </w:r>
            <w:r>
              <w:rPr>
                <w:rStyle w:val="EndnoteReference"/>
                <w:sz w:val="18"/>
                <w:szCs w:val="18"/>
              </w:rPr>
              <w:endnoteReference w:id="165"/>
            </w:r>
          </w:p>
          <w:p w:rsidR="004B20E5" w:rsidRPr="00AE3634" w:rsidRDefault="004B20E5" w:rsidP="000B176A">
            <w:pPr>
              <w:rPr>
                <w:sz w:val="10"/>
                <w:szCs w:val="18"/>
              </w:rPr>
            </w:pPr>
          </w:p>
          <w:p w:rsidR="004B20E5" w:rsidRPr="003F2D40" w:rsidRDefault="004B20E5" w:rsidP="003F2D40">
            <w:pPr>
              <w:rPr>
                <w:sz w:val="18"/>
                <w:szCs w:val="18"/>
              </w:rPr>
            </w:pPr>
            <w:r w:rsidRPr="003F2D40">
              <w:rPr>
                <w:sz w:val="18"/>
                <w:szCs w:val="18"/>
              </w:rPr>
              <w:t xml:space="preserve">15.1% </w:t>
            </w:r>
            <w:r>
              <w:rPr>
                <w:sz w:val="18"/>
                <w:szCs w:val="18"/>
              </w:rPr>
              <w:t xml:space="preserve">MA </w:t>
            </w:r>
            <w:r w:rsidRPr="003F2D40">
              <w:rPr>
                <w:sz w:val="18"/>
                <w:szCs w:val="18"/>
              </w:rPr>
              <w:t xml:space="preserve">high school girls and 7.1% of </w:t>
            </w:r>
            <w:r>
              <w:rPr>
                <w:sz w:val="18"/>
                <w:szCs w:val="18"/>
              </w:rPr>
              <w:t xml:space="preserve">MA </w:t>
            </w:r>
            <w:r w:rsidRPr="003F2D40">
              <w:rPr>
                <w:sz w:val="18"/>
                <w:szCs w:val="18"/>
              </w:rPr>
              <w:t>high school boys report having experienced dating violence at some time in their lives</w:t>
            </w:r>
            <w:r>
              <w:rPr>
                <w:sz w:val="18"/>
                <w:szCs w:val="18"/>
              </w:rPr>
              <w:t xml:space="preserve">. </w:t>
            </w:r>
            <w:r>
              <w:rPr>
                <w:rStyle w:val="EndnoteReference"/>
                <w:sz w:val="18"/>
                <w:szCs w:val="18"/>
              </w:rPr>
              <w:endnoteReference w:id="166"/>
            </w:r>
          </w:p>
          <w:p w:rsidR="004B20E5" w:rsidRPr="00AE3634" w:rsidRDefault="004B20E5" w:rsidP="003F2D40">
            <w:pPr>
              <w:rPr>
                <w:sz w:val="10"/>
                <w:szCs w:val="18"/>
              </w:rPr>
            </w:pPr>
          </w:p>
          <w:p w:rsidR="004B20E5" w:rsidRPr="00EA5B81" w:rsidRDefault="004B20E5" w:rsidP="003F2D40">
            <w:pPr>
              <w:rPr>
                <w:sz w:val="18"/>
                <w:szCs w:val="18"/>
              </w:rPr>
            </w:pPr>
            <w:r w:rsidRPr="003F2D40">
              <w:rPr>
                <w:sz w:val="18"/>
                <w:szCs w:val="18"/>
              </w:rPr>
              <w:t xml:space="preserve">13.4% </w:t>
            </w:r>
            <w:r>
              <w:rPr>
                <w:sz w:val="18"/>
                <w:szCs w:val="18"/>
              </w:rPr>
              <w:t xml:space="preserve">MA high school </w:t>
            </w:r>
            <w:r w:rsidRPr="003F2D40">
              <w:rPr>
                <w:sz w:val="18"/>
                <w:szCs w:val="18"/>
              </w:rPr>
              <w:t xml:space="preserve">girls and4.8% </w:t>
            </w:r>
            <w:r>
              <w:rPr>
                <w:sz w:val="18"/>
                <w:szCs w:val="18"/>
              </w:rPr>
              <w:t xml:space="preserve">MA high school </w:t>
            </w:r>
            <w:r w:rsidRPr="003F2D40">
              <w:rPr>
                <w:sz w:val="18"/>
                <w:szCs w:val="18"/>
              </w:rPr>
              <w:t>boys report having experienced sexual violence at some time in their lives</w:t>
            </w:r>
            <w:r>
              <w:rPr>
                <w:sz w:val="18"/>
                <w:szCs w:val="18"/>
              </w:rPr>
              <w:t>.</w:t>
            </w:r>
            <w:r>
              <w:rPr>
                <w:rStyle w:val="EndnoteReference"/>
                <w:sz w:val="18"/>
                <w:szCs w:val="18"/>
              </w:rPr>
              <w:endnoteReference w:id="167"/>
            </w:r>
          </w:p>
          <w:p w:rsidR="004B20E5" w:rsidRPr="00AE3634" w:rsidRDefault="004B20E5" w:rsidP="003F2D40">
            <w:pPr>
              <w:rPr>
                <w:sz w:val="10"/>
                <w:szCs w:val="18"/>
              </w:rPr>
            </w:pPr>
          </w:p>
          <w:p w:rsidR="004B20E5" w:rsidRDefault="004B20E5" w:rsidP="003F2D40">
            <w:pPr>
              <w:rPr>
                <w:sz w:val="18"/>
                <w:szCs w:val="18"/>
              </w:rPr>
            </w:pPr>
            <w:r>
              <w:rPr>
                <w:sz w:val="18"/>
                <w:szCs w:val="18"/>
              </w:rPr>
              <w:t>IPV and SV are disproportionately experienced by those who identify as gay, lesbian, or bisexual, and by those with a disability. For example, in 2011:</w:t>
            </w:r>
          </w:p>
          <w:p w:rsidR="004B20E5" w:rsidRPr="00AE3634" w:rsidRDefault="004B20E5" w:rsidP="003F2D40">
            <w:pPr>
              <w:rPr>
                <w:sz w:val="10"/>
                <w:szCs w:val="18"/>
              </w:rPr>
            </w:pPr>
          </w:p>
          <w:p w:rsidR="004B20E5" w:rsidRPr="003F2D40" w:rsidRDefault="004B20E5" w:rsidP="000B176A">
            <w:pPr>
              <w:rPr>
                <w:rFonts w:cs="Arial"/>
                <w:sz w:val="18"/>
                <w:szCs w:val="18"/>
                <w:vertAlign w:val="superscript"/>
              </w:rPr>
            </w:pPr>
            <w:r>
              <w:rPr>
                <w:sz w:val="18"/>
                <w:szCs w:val="18"/>
              </w:rPr>
              <w:t>32.7% of MA high school students who self-identified as gay, lesbian, or bisexual also reported having experienced sexual violence at some time in their lives,</w:t>
            </w:r>
            <w:r>
              <w:rPr>
                <w:rStyle w:val="EndnoteReference"/>
                <w:sz w:val="18"/>
                <w:szCs w:val="18"/>
              </w:rPr>
              <w:endnoteReference w:id="168"/>
            </w:r>
            <w:r>
              <w:rPr>
                <w:sz w:val="18"/>
                <w:szCs w:val="18"/>
              </w:rPr>
              <w:t xml:space="preserve"> as did 15.5% of MA high school students with disabilities.</w:t>
            </w:r>
            <w:r>
              <w:rPr>
                <w:rStyle w:val="EndnoteReference"/>
                <w:sz w:val="18"/>
                <w:szCs w:val="18"/>
              </w:rPr>
              <w:endnoteReference w:id="169"/>
            </w:r>
          </w:p>
        </w:tc>
        <w:tc>
          <w:tcPr>
            <w:tcW w:w="735" w:type="pct"/>
          </w:tcPr>
          <w:p w:rsidR="004B20E5" w:rsidRPr="00666093" w:rsidRDefault="004B20E5" w:rsidP="000B176A">
            <w:pPr>
              <w:rPr>
                <w:sz w:val="18"/>
                <w:szCs w:val="18"/>
              </w:rPr>
            </w:pPr>
            <w:r>
              <w:rPr>
                <w:sz w:val="18"/>
                <w:szCs w:val="18"/>
              </w:rPr>
              <w:t>The h</w:t>
            </w:r>
            <w:r w:rsidRPr="00666093">
              <w:rPr>
                <w:sz w:val="18"/>
                <w:szCs w:val="18"/>
              </w:rPr>
              <w:t xml:space="preserve">omicide </w:t>
            </w:r>
            <w:r>
              <w:rPr>
                <w:sz w:val="18"/>
                <w:szCs w:val="18"/>
              </w:rPr>
              <w:t>rate</w:t>
            </w:r>
            <w:r w:rsidRPr="00666093">
              <w:rPr>
                <w:sz w:val="18"/>
                <w:szCs w:val="18"/>
              </w:rPr>
              <w:t xml:space="preserve">s </w:t>
            </w:r>
            <w:r>
              <w:rPr>
                <w:sz w:val="18"/>
                <w:szCs w:val="18"/>
              </w:rPr>
              <w:t>among Hispanic males, ages 15-24 has increased an average of 4.6% per year since 2002, while the homicide rate for non-Hispanic, Black males, ages 15-24 has declined by a non-statistically significant average of 0.71% per year and the overall homicide rate for males in this age-group has declined by a non-statistically significant average of 0.97% per year since 2002.</w:t>
            </w:r>
            <w:r>
              <w:rPr>
                <w:rStyle w:val="EndnoteReference"/>
                <w:sz w:val="18"/>
                <w:szCs w:val="18"/>
              </w:rPr>
              <w:endnoteReference w:id="170"/>
            </w:r>
          </w:p>
          <w:p w:rsidR="004B20E5" w:rsidRPr="00666093" w:rsidRDefault="004B20E5" w:rsidP="000B176A">
            <w:pPr>
              <w:rPr>
                <w:sz w:val="18"/>
                <w:szCs w:val="18"/>
              </w:rPr>
            </w:pPr>
          </w:p>
          <w:p w:rsidR="004B20E5" w:rsidRPr="00666093" w:rsidRDefault="004B20E5" w:rsidP="000B176A">
            <w:pPr>
              <w:rPr>
                <w:sz w:val="18"/>
                <w:szCs w:val="18"/>
              </w:rPr>
            </w:pPr>
            <w:r w:rsidRPr="00666093">
              <w:rPr>
                <w:sz w:val="18"/>
                <w:szCs w:val="18"/>
              </w:rPr>
              <w:t xml:space="preserve">Slight </w:t>
            </w:r>
            <w:r>
              <w:rPr>
                <w:sz w:val="18"/>
                <w:szCs w:val="18"/>
              </w:rPr>
              <w:t xml:space="preserve">decline </w:t>
            </w:r>
            <w:r w:rsidRPr="00666093">
              <w:rPr>
                <w:sz w:val="18"/>
                <w:szCs w:val="18"/>
              </w:rPr>
              <w:t xml:space="preserve">in % of </w:t>
            </w:r>
            <w:r>
              <w:rPr>
                <w:sz w:val="18"/>
                <w:szCs w:val="18"/>
              </w:rPr>
              <w:t xml:space="preserve">high school </w:t>
            </w:r>
            <w:r w:rsidRPr="00666093">
              <w:rPr>
                <w:sz w:val="18"/>
                <w:szCs w:val="18"/>
              </w:rPr>
              <w:t xml:space="preserve">students who indicated being bullied </w:t>
            </w:r>
            <w:r>
              <w:rPr>
                <w:sz w:val="18"/>
                <w:szCs w:val="18"/>
              </w:rPr>
              <w:t>since 2003</w:t>
            </w:r>
            <w:r>
              <w:rPr>
                <w:rStyle w:val="EndnoteReference"/>
                <w:sz w:val="18"/>
                <w:szCs w:val="18"/>
              </w:rPr>
              <w:endnoteReference w:id="171"/>
            </w:r>
          </w:p>
        </w:tc>
        <w:tc>
          <w:tcPr>
            <w:tcW w:w="590" w:type="pct"/>
            <w:gridSpan w:val="2"/>
          </w:tcPr>
          <w:p w:rsidR="004B20E5" w:rsidRPr="00666093" w:rsidRDefault="004B20E5" w:rsidP="000B176A">
            <w:pPr>
              <w:rPr>
                <w:sz w:val="18"/>
                <w:szCs w:val="18"/>
              </w:rPr>
            </w:pPr>
            <w:r w:rsidRPr="00666093">
              <w:rPr>
                <w:sz w:val="18"/>
                <w:szCs w:val="18"/>
              </w:rPr>
              <w:t>MDPH SP</w:t>
            </w:r>
          </w:p>
          <w:p w:rsidR="004B20E5" w:rsidRPr="00666093" w:rsidRDefault="004B20E5" w:rsidP="000B176A">
            <w:pPr>
              <w:rPr>
                <w:sz w:val="18"/>
                <w:szCs w:val="18"/>
              </w:rPr>
            </w:pPr>
            <w:r w:rsidRPr="00666093">
              <w:rPr>
                <w:sz w:val="18"/>
                <w:szCs w:val="18"/>
              </w:rPr>
              <w:t>NPS</w:t>
            </w:r>
          </w:p>
          <w:p w:rsidR="004B20E5" w:rsidRPr="00666093" w:rsidRDefault="004B20E5" w:rsidP="000B176A">
            <w:pPr>
              <w:rPr>
                <w:sz w:val="18"/>
                <w:szCs w:val="18"/>
              </w:rPr>
            </w:pPr>
            <w:r w:rsidRPr="00666093">
              <w:rPr>
                <w:sz w:val="18"/>
                <w:szCs w:val="18"/>
              </w:rPr>
              <w:t>HP2020</w:t>
            </w:r>
          </w:p>
        </w:tc>
      </w:tr>
      <w:tr w:rsidR="004B20E5" w:rsidRPr="00666093" w:rsidTr="00F80607">
        <w:trPr>
          <w:cantSplit/>
        </w:trPr>
        <w:tc>
          <w:tcPr>
            <w:tcW w:w="525" w:type="pct"/>
          </w:tcPr>
          <w:p w:rsidR="004B20E5" w:rsidRPr="00666093" w:rsidRDefault="004B20E5" w:rsidP="00F83336">
            <w:pPr>
              <w:rPr>
                <w:b/>
                <w:sz w:val="18"/>
                <w:szCs w:val="18"/>
              </w:rPr>
            </w:pPr>
            <w:r w:rsidRPr="00666093">
              <w:rPr>
                <w:b/>
                <w:sz w:val="18"/>
                <w:szCs w:val="18"/>
              </w:rPr>
              <w:t>Occupational injuries</w:t>
            </w:r>
          </w:p>
        </w:tc>
        <w:tc>
          <w:tcPr>
            <w:tcW w:w="528" w:type="pct"/>
          </w:tcPr>
          <w:p w:rsidR="004B20E5" w:rsidRPr="00666093" w:rsidRDefault="004B20E5" w:rsidP="00F83336">
            <w:pPr>
              <w:rPr>
                <w:sz w:val="18"/>
                <w:szCs w:val="18"/>
              </w:rPr>
            </w:pPr>
            <w:r w:rsidRPr="00666093">
              <w:rPr>
                <w:sz w:val="18"/>
                <w:szCs w:val="18"/>
              </w:rPr>
              <w:t>1.7 deaths per 100,000 over 16 for work related injuries</w:t>
            </w:r>
            <w:r w:rsidRPr="00925017">
              <w:rPr>
                <w:rStyle w:val="EndnoteReference"/>
              </w:rPr>
              <w:endnoteReference w:id="172"/>
            </w:r>
          </w:p>
        </w:tc>
        <w:tc>
          <w:tcPr>
            <w:tcW w:w="679" w:type="pct"/>
          </w:tcPr>
          <w:p w:rsidR="004B20E5" w:rsidRPr="00666093" w:rsidRDefault="004B20E5" w:rsidP="00F83336">
            <w:pPr>
              <w:rPr>
                <w:sz w:val="18"/>
                <w:szCs w:val="18"/>
              </w:rPr>
            </w:pPr>
            <w:r w:rsidRPr="00666093">
              <w:rPr>
                <w:sz w:val="18"/>
                <w:szCs w:val="18"/>
              </w:rPr>
              <w:t>3,200 injury/illness cases per 100,000 fulltime workers</w:t>
            </w:r>
            <w:r w:rsidRPr="00925017">
              <w:rPr>
                <w:rStyle w:val="EndnoteReference"/>
              </w:rPr>
              <w:endnoteReference w:id="173"/>
            </w:r>
          </w:p>
          <w:p w:rsidR="004B20E5" w:rsidRPr="00666093" w:rsidRDefault="004B20E5" w:rsidP="00F83336">
            <w:pPr>
              <w:rPr>
                <w:sz w:val="18"/>
                <w:szCs w:val="18"/>
              </w:rPr>
            </w:pPr>
            <w:r w:rsidRPr="00666093">
              <w:rPr>
                <w:sz w:val="18"/>
                <w:szCs w:val="18"/>
              </w:rPr>
              <w:t>1.6 cases of injury per 100 fulltime workers that resulted in lost workdays</w:t>
            </w:r>
            <w:r w:rsidRPr="00925017">
              <w:rPr>
                <w:rStyle w:val="EndnoteReference"/>
              </w:rPr>
              <w:endnoteReference w:id="174"/>
            </w:r>
          </w:p>
        </w:tc>
        <w:tc>
          <w:tcPr>
            <w:tcW w:w="746" w:type="pct"/>
          </w:tcPr>
          <w:p w:rsidR="004B20E5" w:rsidRPr="00666093" w:rsidRDefault="004B20E5" w:rsidP="00F83336">
            <w:pPr>
              <w:rPr>
                <w:sz w:val="18"/>
                <w:szCs w:val="18"/>
              </w:rPr>
            </w:pPr>
            <w:r w:rsidRPr="00666093">
              <w:rPr>
                <w:sz w:val="18"/>
                <w:szCs w:val="18"/>
              </w:rPr>
              <w:t>Estimated $67 billion in U.S. in direct medical costs due to occupational injury /illness and $183 billion in indirect costs</w:t>
            </w:r>
            <w:r w:rsidRPr="00925017">
              <w:rPr>
                <w:rStyle w:val="EndnoteReference"/>
              </w:rPr>
              <w:endnoteReference w:id="175"/>
            </w:r>
          </w:p>
        </w:tc>
        <w:tc>
          <w:tcPr>
            <w:tcW w:w="1197" w:type="pct"/>
          </w:tcPr>
          <w:p w:rsidR="004B20E5" w:rsidRPr="00666093" w:rsidRDefault="004B20E5" w:rsidP="00F83336">
            <w:pPr>
              <w:rPr>
                <w:sz w:val="18"/>
                <w:szCs w:val="18"/>
              </w:rPr>
            </w:pPr>
            <w:r w:rsidRPr="00666093">
              <w:rPr>
                <w:sz w:val="18"/>
                <w:szCs w:val="18"/>
              </w:rPr>
              <w:t>Work related injuries resulting in death highest among Hispanics (3.9 deaths per 100,000 fulltime workers)</w:t>
            </w:r>
            <w:r w:rsidRPr="00925017">
              <w:rPr>
                <w:rStyle w:val="EndnoteReference"/>
              </w:rPr>
              <w:endnoteReference w:id="176"/>
            </w:r>
          </w:p>
          <w:p w:rsidR="004B20E5" w:rsidRPr="00666093" w:rsidRDefault="004B20E5" w:rsidP="00F83336">
            <w:pPr>
              <w:rPr>
                <w:sz w:val="8"/>
                <w:szCs w:val="8"/>
              </w:rPr>
            </w:pPr>
          </w:p>
          <w:p w:rsidR="004B20E5" w:rsidRPr="00666093" w:rsidRDefault="004B20E5" w:rsidP="00F83336">
            <w:pPr>
              <w:rPr>
                <w:sz w:val="18"/>
                <w:szCs w:val="18"/>
              </w:rPr>
            </w:pPr>
            <w:r w:rsidRPr="00666093">
              <w:rPr>
                <w:sz w:val="18"/>
                <w:szCs w:val="18"/>
              </w:rPr>
              <w:t xml:space="preserve">Workplace injuries among teens resulting in ED visits are highest among Hispanics (2.9 per 100 fulltime workers) </w:t>
            </w:r>
            <w:r w:rsidRPr="00925017">
              <w:rPr>
                <w:rStyle w:val="EndnoteReference"/>
              </w:rPr>
              <w:endnoteReference w:id="177"/>
            </w:r>
          </w:p>
        </w:tc>
        <w:tc>
          <w:tcPr>
            <w:tcW w:w="735" w:type="pct"/>
          </w:tcPr>
          <w:p w:rsidR="004B20E5" w:rsidRPr="00666093" w:rsidRDefault="004B20E5" w:rsidP="00F83336">
            <w:pPr>
              <w:rPr>
                <w:sz w:val="18"/>
                <w:szCs w:val="18"/>
              </w:rPr>
            </w:pPr>
            <w:r w:rsidRPr="00666093">
              <w:rPr>
                <w:sz w:val="18"/>
                <w:szCs w:val="18"/>
              </w:rPr>
              <w:t xml:space="preserve">↓ in nonfatal work related injuries to teens and adults from 2000-2007 </w:t>
            </w:r>
          </w:p>
          <w:p w:rsidR="004B20E5" w:rsidRPr="00666093" w:rsidRDefault="004B20E5" w:rsidP="00F83336">
            <w:pPr>
              <w:rPr>
                <w:sz w:val="18"/>
                <w:szCs w:val="18"/>
              </w:rPr>
            </w:pPr>
          </w:p>
          <w:p w:rsidR="004B20E5" w:rsidRPr="00666093" w:rsidRDefault="004B20E5" w:rsidP="00F83336">
            <w:pPr>
              <w:rPr>
                <w:sz w:val="18"/>
                <w:szCs w:val="18"/>
                <w:highlight w:val="yellow"/>
              </w:rPr>
            </w:pPr>
            <w:r w:rsidRPr="00666093">
              <w:rPr>
                <w:sz w:val="18"/>
                <w:szCs w:val="18"/>
              </w:rPr>
              <w:t>↓ in cases of injury that resulted in lost workdays from 2000-2007</w:t>
            </w:r>
          </w:p>
        </w:tc>
        <w:tc>
          <w:tcPr>
            <w:tcW w:w="590" w:type="pct"/>
            <w:gridSpan w:val="2"/>
          </w:tcPr>
          <w:p w:rsidR="004B20E5" w:rsidRPr="00666093" w:rsidRDefault="004B20E5" w:rsidP="00F83336">
            <w:pPr>
              <w:rPr>
                <w:sz w:val="18"/>
                <w:szCs w:val="18"/>
              </w:rPr>
            </w:pPr>
            <w:r w:rsidRPr="00666093">
              <w:rPr>
                <w:sz w:val="18"/>
                <w:szCs w:val="18"/>
              </w:rPr>
              <w:t>HP2020</w:t>
            </w:r>
          </w:p>
        </w:tc>
      </w:tr>
      <w:tr w:rsidR="004B20E5" w:rsidRPr="00666093" w:rsidTr="00666093">
        <w:trPr>
          <w:cantSplit/>
        </w:trPr>
        <w:tc>
          <w:tcPr>
            <w:tcW w:w="5000" w:type="pct"/>
            <w:gridSpan w:val="8"/>
            <w:shd w:val="pct10" w:color="auto" w:fill="auto"/>
          </w:tcPr>
          <w:p w:rsidR="004B20E5" w:rsidRPr="00666093" w:rsidRDefault="00CC4FA8" w:rsidP="00F83336">
            <w:pPr>
              <w:rPr>
                <w:b/>
                <w:i/>
                <w:sz w:val="18"/>
                <w:szCs w:val="18"/>
              </w:rPr>
            </w:pPr>
            <w:r>
              <w:rPr>
                <w:b/>
                <w:i/>
                <w:sz w:val="18"/>
                <w:szCs w:val="18"/>
              </w:rPr>
              <w:t>Environmental Risk Factors and Health</w:t>
            </w:r>
          </w:p>
        </w:tc>
      </w:tr>
      <w:tr w:rsidR="004B20E5" w:rsidRPr="00666093" w:rsidTr="0012696F">
        <w:trPr>
          <w:cantSplit/>
          <w:trHeight w:val="773"/>
        </w:trPr>
        <w:tc>
          <w:tcPr>
            <w:tcW w:w="525" w:type="pct"/>
          </w:tcPr>
          <w:p w:rsidR="004B20E5" w:rsidRPr="00666093" w:rsidRDefault="004B20E5" w:rsidP="00F83336">
            <w:pPr>
              <w:rPr>
                <w:b/>
                <w:sz w:val="18"/>
                <w:szCs w:val="18"/>
              </w:rPr>
            </w:pPr>
            <w:r w:rsidRPr="00666093">
              <w:rPr>
                <w:b/>
                <w:sz w:val="18"/>
                <w:szCs w:val="18"/>
              </w:rPr>
              <w:t>Ozone/ Outdoor air quality</w:t>
            </w:r>
          </w:p>
        </w:tc>
        <w:tc>
          <w:tcPr>
            <w:tcW w:w="528" w:type="pct"/>
          </w:tcPr>
          <w:p w:rsidR="004B20E5" w:rsidRPr="00666093" w:rsidRDefault="004B20E5" w:rsidP="00F83336">
            <w:pPr>
              <w:rPr>
                <w:sz w:val="18"/>
                <w:szCs w:val="18"/>
              </w:rPr>
            </w:pPr>
          </w:p>
        </w:tc>
        <w:tc>
          <w:tcPr>
            <w:tcW w:w="679" w:type="pct"/>
          </w:tcPr>
          <w:p w:rsidR="004B20E5" w:rsidRPr="00666093" w:rsidRDefault="004B20E5" w:rsidP="00F83336">
            <w:pPr>
              <w:rPr>
                <w:sz w:val="18"/>
                <w:szCs w:val="18"/>
              </w:rPr>
            </w:pPr>
            <w:r w:rsidRPr="00666093">
              <w:rPr>
                <w:sz w:val="18"/>
                <w:szCs w:val="18"/>
              </w:rPr>
              <w:t>Ozone air quality standard was exceeded 49 times in one year</w:t>
            </w:r>
            <w:r w:rsidRPr="00925017">
              <w:rPr>
                <w:rStyle w:val="EndnoteReference"/>
              </w:rPr>
              <w:endnoteReference w:id="178"/>
            </w:r>
          </w:p>
        </w:tc>
        <w:tc>
          <w:tcPr>
            <w:tcW w:w="746" w:type="pct"/>
          </w:tcPr>
          <w:p w:rsidR="004B20E5" w:rsidRPr="00666093" w:rsidRDefault="004B20E5" w:rsidP="00F83336">
            <w:pPr>
              <w:rPr>
                <w:sz w:val="18"/>
                <w:szCs w:val="18"/>
              </w:rPr>
            </w:pPr>
          </w:p>
        </w:tc>
        <w:tc>
          <w:tcPr>
            <w:tcW w:w="1197" w:type="pct"/>
          </w:tcPr>
          <w:p w:rsidR="004B20E5" w:rsidRPr="00666093" w:rsidRDefault="004B20E5" w:rsidP="00F83336">
            <w:pPr>
              <w:rPr>
                <w:sz w:val="18"/>
                <w:szCs w:val="18"/>
              </w:rPr>
            </w:pPr>
            <w:r w:rsidRPr="00666093">
              <w:rPr>
                <w:sz w:val="18"/>
                <w:szCs w:val="18"/>
              </w:rPr>
              <w:t>Highest rates are in Worcester and Hampshire Counties</w:t>
            </w:r>
          </w:p>
        </w:tc>
        <w:tc>
          <w:tcPr>
            <w:tcW w:w="735" w:type="pct"/>
          </w:tcPr>
          <w:p w:rsidR="004B20E5" w:rsidRPr="00666093" w:rsidRDefault="004B20E5" w:rsidP="00F83336">
            <w:pPr>
              <w:rPr>
                <w:sz w:val="18"/>
                <w:szCs w:val="18"/>
              </w:rPr>
            </w:pPr>
            <w:r w:rsidRPr="00666093">
              <w:rPr>
                <w:sz w:val="18"/>
                <w:szCs w:val="18"/>
              </w:rPr>
              <w:t>Overall↑ in number of days standard was exceeded with very high rates specifically in 2001 and 2002</w:t>
            </w:r>
          </w:p>
        </w:tc>
        <w:tc>
          <w:tcPr>
            <w:tcW w:w="590" w:type="pct"/>
            <w:gridSpan w:val="2"/>
          </w:tcPr>
          <w:p w:rsidR="004B20E5" w:rsidRPr="00666093" w:rsidRDefault="004B20E5" w:rsidP="00F83336">
            <w:pPr>
              <w:rPr>
                <w:sz w:val="18"/>
                <w:szCs w:val="18"/>
              </w:rPr>
            </w:pPr>
            <w:r w:rsidRPr="00666093">
              <w:rPr>
                <w:sz w:val="18"/>
                <w:szCs w:val="18"/>
              </w:rPr>
              <w:t>HP2020</w:t>
            </w:r>
          </w:p>
        </w:tc>
      </w:tr>
      <w:tr w:rsidR="004B20E5" w:rsidRPr="00666093" w:rsidTr="0012696F">
        <w:trPr>
          <w:cantSplit/>
        </w:trPr>
        <w:tc>
          <w:tcPr>
            <w:tcW w:w="525" w:type="pct"/>
          </w:tcPr>
          <w:p w:rsidR="004B20E5" w:rsidRPr="00666093" w:rsidRDefault="004B20E5" w:rsidP="00F83336">
            <w:pPr>
              <w:rPr>
                <w:b/>
                <w:sz w:val="18"/>
                <w:szCs w:val="18"/>
              </w:rPr>
            </w:pPr>
            <w:r w:rsidRPr="00666093">
              <w:rPr>
                <w:b/>
                <w:sz w:val="18"/>
                <w:szCs w:val="18"/>
              </w:rPr>
              <w:t>Environmental tobacco smoke</w:t>
            </w:r>
          </w:p>
        </w:tc>
        <w:tc>
          <w:tcPr>
            <w:tcW w:w="528" w:type="pct"/>
          </w:tcPr>
          <w:p w:rsidR="004B20E5" w:rsidRPr="00666093" w:rsidRDefault="004B20E5" w:rsidP="00F83336">
            <w:pPr>
              <w:rPr>
                <w:sz w:val="18"/>
                <w:szCs w:val="18"/>
              </w:rPr>
            </w:pPr>
          </w:p>
        </w:tc>
        <w:tc>
          <w:tcPr>
            <w:tcW w:w="679" w:type="pct"/>
          </w:tcPr>
          <w:p w:rsidR="004B20E5" w:rsidRPr="00666093" w:rsidRDefault="004B20E5" w:rsidP="00F83336">
            <w:pPr>
              <w:rPr>
                <w:sz w:val="18"/>
                <w:szCs w:val="18"/>
              </w:rPr>
            </w:pPr>
            <w:r w:rsidRPr="00666093">
              <w:rPr>
                <w:sz w:val="18"/>
                <w:szCs w:val="18"/>
              </w:rPr>
              <w:t>37.9% of adults exposed to environmental tobacco smoke</w:t>
            </w:r>
            <w:r w:rsidRPr="00925017">
              <w:rPr>
                <w:rStyle w:val="EndnoteReference"/>
              </w:rPr>
              <w:endnoteReference w:id="179"/>
            </w:r>
          </w:p>
        </w:tc>
        <w:tc>
          <w:tcPr>
            <w:tcW w:w="746" w:type="pct"/>
          </w:tcPr>
          <w:p w:rsidR="004B20E5" w:rsidRPr="00666093" w:rsidRDefault="004B20E5" w:rsidP="00F83336">
            <w:pPr>
              <w:rPr>
                <w:sz w:val="18"/>
                <w:szCs w:val="18"/>
              </w:rPr>
            </w:pPr>
          </w:p>
        </w:tc>
        <w:tc>
          <w:tcPr>
            <w:tcW w:w="1197" w:type="pct"/>
          </w:tcPr>
          <w:p w:rsidR="004B20E5" w:rsidRPr="00666093" w:rsidRDefault="004B20E5" w:rsidP="00F83336">
            <w:pPr>
              <w:rPr>
                <w:sz w:val="18"/>
                <w:szCs w:val="18"/>
              </w:rPr>
            </w:pPr>
            <w:r w:rsidRPr="00666093">
              <w:rPr>
                <w:sz w:val="18"/>
                <w:szCs w:val="18"/>
              </w:rPr>
              <w:t>Exposure to ETS highest among Blacks (46.5%)</w:t>
            </w:r>
            <w:r w:rsidRPr="00925017">
              <w:rPr>
                <w:rStyle w:val="EndnoteReference"/>
              </w:rPr>
              <w:endnoteReference w:id="180"/>
            </w:r>
          </w:p>
        </w:tc>
        <w:tc>
          <w:tcPr>
            <w:tcW w:w="735" w:type="pct"/>
          </w:tcPr>
          <w:p w:rsidR="004B20E5" w:rsidRPr="00666093" w:rsidRDefault="004B20E5" w:rsidP="00F83336">
            <w:pPr>
              <w:rPr>
                <w:sz w:val="18"/>
                <w:szCs w:val="18"/>
              </w:rPr>
            </w:pPr>
            <w:r w:rsidRPr="00666093">
              <w:rPr>
                <w:sz w:val="18"/>
                <w:szCs w:val="18"/>
              </w:rPr>
              <w:t>Exposure to secondhand smoke among nonsmokers dramatically ↓ from 2002-2008</w:t>
            </w:r>
          </w:p>
        </w:tc>
        <w:tc>
          <w:tcPr>
            <w:tcW w:w="590" w:type="pct"/>
            <w:gridSpan w:val="2"/>
          </w:tcPr>
          <w:p w:rsidR="004B20E5" w:rsidRPr="00666093" w:rsidRDefault="004B20E5" w:rsidP="00F83336">
            <w:pPr>
              <w:rPr>
                <w:sz w:val="18"/>
                <w:szCs w:val="18"/>
              </w:rPr>
            </w:pPr>
            <w:r w:rsidRPr="00666093">
              <w:rPr>
                <w:sz w:val="18"/>
                <w:szCs w:val="18"/>
              </w:rPr>
              <w:t>HP2020</w:t>
            </w:r>
          </w:p>
        </w:tc>
      </w:tr>
      <w:tr w:rsidR="004B20E5" w:rsidRPr="00666093" w:rsidTr="0012696F">
        <w:trPr>
          <w:cantSplit/>
        </w:trPr>
        <w:tc>
          <w:tcPr>
            <w:tcW w:w="525" w:type="pct"/>
          </w:tcPr>
          <w:p w:rsidR="004B20E5" w:rsidRPr="00666093" w:rsidRDefault="004B20E5" w:rsidP="00A64AAA">
            <w:pPr>
              <w:rPr>
                <w:b/>
                <w:sz w:val="18"/>
                <w:szCs w:val="18"/>
              </w:rPr>
            </w:pPr>
            <w:r w:rsidRPr="00730A1C">
              <w:rPr>
                <w:b/>
                <w:sz w:val="18"/>
                <w:szCs w:val="18"/>
              </w:rPr>
              <w:t xml:space="preserve">Childhood lead poisoning </w:t>
            </w:r>
          </w:p>
        </w:tc>
        <w:tc>
          <w:tcPr>
            <w:tcW w:w="528" w:type="pct"/>
          </w:tcPr>
          <w:p w:rsidR="004B20E5" w:rsidRPr="00666093" w:rsidRDefault="004B20E5" w:rsidP="00A64AAA">
            <w:pPr>
              <w:rPr>
                <w:sz w:val="18"/>
                <w:szCs w:val="18"/>
              </w:rPr>
            </w:pPr>
          </w:p>
        </w:tc>
        <w:tc>
          <w:tcPr>
            <w:tcW w:w="679" w:type="pct"/>
          </w:tcPr>
          <w:p w:rsidR="004B20E5" w:rsidRPr="00697BD9" w:rsidRDefault="004B20E5" w:rsidP="00A64AAA">
            <w:pPr>
              <w:rPr>
                <w:sz w:val="18"/>
              </w:rPr>
            </w:pPr>
            <w:r w:rsidRPr="00E50AA8">
              <w:rPr>
                <w:sz w:val="18"/>
              </w:rPr>
              <w:t xml:space="preserve">In 2013, 6,826 Massachusetts children had blood lead levels above the </w:t>
            </w:r>
            <w:r>
              <w:rPr>
                <w:sz w:val="18"/>
              </w:rPr>
              <w:t>CDC reference value of 5 μg/dL.</w:t>
            </w:r>
          </w:p>
        </w:tc>
        <w:tc>
          <w:tcPr>
            <w:tcW w:w="746" w:type="pct"/>
          </w:tcPr>
          <w:p w:rsidR="004B20E5" w:rsidRPr="00666093" w:rsidRDefault="004B20E5" w:rsidP="00A64AAA">
            <w:pPr>
              <w:rPr>
                <w:sz w:val="18"/>
                <w:szCs w:val="18"/>
              </w:rPr>
            </w:pPr>
            <w:r w:rsidRPr="00E50AA8">
              <w:rPr>
                <w:sz w:val="18"/>
              </w:rPr>
              <w:t>$972 million in lost future earnings in MA due to lead-induced damage for a given cohort of five year olds</w:t>
            </w:r>
            <w:r w:rsidRPr="00A64AAA">
              <w:rPr>
                <w:rStyle w:val="EndnoteReference"/>
                <w:sz w:val="18"/>
              </w:rPr>
              <w:endnoteReference w:id="181"/>
            </w:r>
          </w:p>
        </w:tc>
        <w:tc>
          <w:tcPr>
            <w:tcW w:w="1197" w:type="pct"/>
          </w:tcPr>
          <w:p w:rsidR="004B20E5" w:rsidRPr="00E50AA8" w:rsidRDefault="004B20E5" w:rsidP="00A64AAA">
            <w:pPr>
              <w:rPr>
                <w:sz w:val="18"/>
              </w:rPr>
            </w:pPr>
            <w:r w:rsidRPr="00E50AA8">
              <w:rPr>
                <w:sz w:val="18"/>
              </w:rPr>
              <w:t>Twenty-five communities in MA meet the definition of high-risk based on age of housing stock, income, and number of children with elevated blood lead levels.</w:t>
            </w:r>
          </w:p>
          <w:p w:rsidR="004B20E5" w:rsidRPr="00666093" w:rsidRDefault="004B20E5" w:rsidP="00A64AAA">
            <w:pPr>
              <w:rPr>
                <w:sz w:val="18"/>
                <w:szCs w:val="18"/>
              </w:rPr>
            </w:pPr>
          </w:p>
        </w:tc>
        <w:tc>
          <w:tcPr>
            <w:tcW w:w="735" w:type="pct"/>
          </w:tcPr>
          <w:p w:rsidR="004B20E5" w:rsidRPr="00666093" w:rsidRDefault="004B20E5" w:rsidP="00A64AAA">
            <w:pPr>
              <w:rPr>
                <w:sz w:val="18"/>
                <w:szCs w:val="18"/>
              </w:rPr>
            </w:pPr>
            <w:r w:rsidRPr="00E50AA8">
              <w:rPr>
                <w:sz w:val="18"/>
              </w:rPr>
              <w:t>Over the 2008-2013 period, the number of children 9-4</w:t>
            </w:r>
            <w:r>
              <w:rPr>
                <w:sz w:val="18"/>
              </w:rPr>
              <w:t>8</w:t>
            </w:r>
            <w:r w:rsidRPr="00E50AA8">
              <w:rPr>
                <w:sz w:val="18"/>
              </w:rPr>
              <w:t xml:space="preserve"> months in Massachusetts with elevated blood lead levels has been decreasing.</w:t>
            </w:r>
          </w:p>
        </w:tc>
        <w:tc>
          <w:tcPr>
            <w:tcW w:w="590" w:type="pct"/>
            <w:gridSpan w:val="2"/>
          </w:tcPr>
          <w:p w:rsidR="004B20E5" w:rsidRPr="00666093" w:rsidRDefault="004B20E5" w:rsidP="00A64AAA">
            <w:pPr>
              <w:rPr>
                <w:sz w:val="18"/>
                <w:szCs w:val="18"/>
              </w:rPr>
            </w:pPr>
            <w:r w:rsidRPr="00E50AA8">
              <w:rPr>
                <w:sz w:val="18"/>
              </w:rPr>
              <w:t>HP 2020</w:t>
            </w:r>
          </w:p>
        </w:tc>
      </w:tr>
      <w:tr w:rsidR="004B20E5" w:rsidRPr="00666093" w:rsidTr="0012696F">
        <w:trPr>
          <w:cantSplit/>
        </w:trPr>
        <w:tc>
          <w:tcPr>
            <w:tcW w:w="525" w:type="pct"/>
          </w:tcPr>
          <w:p w:rsidR="004B20E5" w:rsidRPr="00730A1C" w:rsidRDefault="004B20E5" w:rsidP="00262CDE">
            <w:pPr>
              <w:rPr>
                <w:b/>
                <w:sz w:val="18"/>
                <w:szCs w:val="18"/>
              </w:rPr>
            </w:pPr>
            <w:r w:rsidRPr="00262CDE">
              <w:rPr>
                <w:b/>
                <w:sz w:val="18"/>
                <w:szCs w:val="18"/>
              </w:rPr>
              <w:t>Screening for childhood blood lead levels</w:t>
            </w:r>
          </w:p>
        </w:tc>
        <w:tc>
          <w:tcPr>
            <w:tcW w:w="528" w:type="pct"/>
          </w:tcPr>
          <w:p w:rsidR="004B20E5" w:rsidRPr="00A64AAA" w:rsidRDefault="004B20E5" w:rsidP="00262CDE">
            <w:pPr>
              <w:rPr>
                <w:sz w:val="18"/>
                <w:szCs w:val="18"/>
              </w:rPr>
            </w:pPr>
          </w:p>
        </w:tc>
        <w:tc>
          <w:tcPr>
            <w:tcW w:w="679" w:type="pct"/>
          </w:tcPr>
          <w:p w:rsidR="004B20E5" w:rsidRPr="00A64AAA" w:rsidRDefault="004B20E5" w:rsidP="00262CDE">
            <w:pPr>
              <w:rPr>
                <w:sz w:val="18"/>
                <w:szCs w:val="18"/>
              </w:rPr>
            </w:pPr>
            <w:r w:rsidRPr="00A64AAA">
              <w:rPr>
                <w:sz w:val="18"/>
                <w:szCs w:val="18"/>
              </w:rPr>
              <w:t>The average screening rate in the 25 Massachusetts high-risk communities for elevated blood lead levels was 80% in 2013.</w:t>
            </w:r>
            <w:r w:rsidRPr="00A64AAA">
              <w:rPr>
                <w:rStyle w:val="EndnoteReference"/>
                <w:sz w:val="18"/>
                <w:szCs w:val="18"/>
              </w:rPr>
              <w:endnoteReference w:id="182"/>
            </w:r>
          </w:p>
        </w:tc>
        <w:tc>
          <w:tcPr>
            <w:tcW w:w="746" w:type="pct"/>
          </w:tcPr>
          <w:p w:rsidR="004B20E5" w:rsidRPr="00A64AAA" w:rsidRDefault="004B20E5" w:rsidP="00262CDE">
            <w:pPr>
              <w:rPr>
                <w:sz w:val="18"/>
                <w:szCs w:val="18"/>
              </w:rPr>
            </w:pPr>
          </w:p>
        </w:tc>
        <w:tc>
          <w:tcPr>
            <w:tcW w:w="1197" w:type="pct"/>
          </w:tcPr>
          <w:p w:rsidR="004B20E5" w:rsidRPr="00A64AAA" w:rsidRDefault="004B20E5" w:rsidP="00262CDE">
            <w:pPr>
              <w:rPr>
                <w:sz w:val="18"/>
                <w:szCs w:val="18"/>
              </w:rPr>
            </w:pPr>
            <w:r w:rsidRPr="00A64AAA">
              <w:rPr>
                <w:sz w:val="18"/>
                <w:szCs w:val="18"/>
              </w:rPr>
              <w:t>Twenty-five communities in MA meet the definition of high-risk based on age of housing stock, income, and number of children with elevated blood lead levels.</w:t>
            </w:r>
          </w:p>
        </w:tc>
        <w:tc>
          <w:tcPr>
            <w:tcW w:w="735" w:type="pct"/>
          </w:tcPr>
          <w:p w:rsidR="004B20E5" w:rsidRPr="00A64AAA" w:rsidRDefault="004B20E5" w:rsidP="00262CDE">
            <w:pPr>
              <w:rPr>
                <w:sz w:val="18"/>
                <w:szCs w:val="18"/>
              </w:rPr>
            </w:pPr>
            <w:r w:rsidRPr="00A64AAA">
              <w:rPr>
                <w:sz w:val="18"/>
                <w:szCs w:val="18"/>
              </w:rPr>
              <w:t>Over the 2003-2008 period, the screening rate in Massachusetts high-risk communities has remained unchanged at 80%.</w:t>
            </w:r>
          </w:p>
        </w:tc>
        <w:tc>
          <w:tcPr>
            <w:tcW w:w="590" w:type="pct"/>
            <w:gridSpan w:val="2"/>
          </w:tcPr>
          <w:p w:rsidR="004B20E5" w:rsidRPr="00A64AAA" w:rsidRDefault="004B20E5" w:rsidP="00262CDE">
            <w:pPr>
              <w:rPr>
                <w:sz w:val="18"/>
                <w:szCs w:val="18"/>
              </w:rPr>
            </w:pPr>
            <w:r w:rsidRPr="00A64AAA">
              <w:rPr>
                <w:sz w:val="18"/>
                <w:szCs w:val="18"/>
              </w:rPr>
              <w:t>HP 2020</w:t>
            </w:r>
          </w:p>
        </w:tc>
      </w:tr>
      <w:tr w:rsidR="004B20E5" w:rsidRPr="00666093" w:rsidTr="00666093">
        <w:trPr>
          <w:cantSplit/>
        </w:trPr>
        <w:tc>
          <w:tcPr>
            <w:tcW w:w="5000" w:type="pct"/>
            <w:gridSpan w:val="8"/>
            <w:shd w:val="pct10" w:color="auto" w:fill="auto"/>
          </w:tcPr>
          <w:p w:rsidR="004B20E5" w:rsidRPr="00666093" w:rsidRDefault="004B20E5" w:rsidP="00A3312B">
            <w:pPr>
              <w:keepNext/>
              <w:rPr>
                <w:b/>
                <w:sz w:val="18"/>
                <w:szCs w:val="18"/>
              </w:rPr>
            </w:pPr>
            <w:r w:rsidRPr="00666093">
              <w:rPr>
                <w:b/>
                <w:sz w:val="18"/>
                <w:szCs w:val="18"/>
              </w:rPr>
              <w:t>Health Care Access</w:t>
            </w:r>
          </w:p>
        </w:tc>
      </w:tr>
      <w:tr w:rsidR="004B20E5" w:rsidRPr="00666093" w:rsidTr="0012696F">
        <w:trPr>
          <w:cantSplit/>
        </w:trPr>
        <w:tc>
          <w:tcPr>
            <w:tcW w:w="525" w:type="pct"/>
          </w:tcPr>
          <w:p w:rsidR="004B20E5" w:rsidRPr="00666093" w:rsidRDefault="004B20E5" w:rsidP="00F83336">
            <w:pPr>
              <w:rPr>
                <w:b/>
                <w:sz w:val="18"/>
                <w:szCs w:val="18"/>
              </w:rPr>
            </w:pPr>
            <w:r w:rsidRPr="00666093">
              <w:rPr>
                <w:b/>
                <w:sz w:val="18"/>
                <w:szCs w:val="18"/>
              </w:rPr>
              <w:t>Health care access</w:t>
            </w:r>
          </w:p>
        </w:tc>
        <w:tc>
          <w:tcPr>
            <w:tcW w:w="528" w:type="pct"/>
          </w:tcPr>
          <w:p w:rsidR="004B20E5" w:rsidRPr="00666093" w:rsidRDefault="004B20E5" w:rsidP="00F83336">
            <w:pPr>
              <w:rPr>
                <w:sz w:val="18"/>
                <w:szCs w:val="18"/>
              </w:rPr>
            </w:pPr>
          </w:p>
        </w:tc>
        <w:tc>
          <w:tcPr>
            <w:tcW w:w="679" w:type="pct"/>
          </w:tcPr>
          <w:p w:rsidR="004B20E5" w:rsidRPr="00666093" w:rsidRDefault="004B20E5" w:rsidP="00FD3CCF">
            <w:pPr>
              <w:pStyle w:val="ListParagraph"/>
              <w:numPr>
                <w:ilvl w:val="0"/>
                <w:numId w:val="6"/>
              </w:numPr>
              <w:ind w:left="162" w:right="0" w:hanging="162"/>
              <w:rPr>
                <w:sz w:val="18"/>
                <w:szCs w:val="18"/>
              </w:rPr>
            </w:pPr>
            <w:r w:rsidRPr="00666093">
              <w:rPr>
                <w:sz w:val="18"/>
                <w:szCs w:val="18"/>
              </w:rPr>
              <w:t>1.9% of residents uninsured</w:t>
            </w:r>
            <w:r w:rsidRPr="00925017">
              <w:rPr>
                <w:rStyle w:val="EndnoteReference"/>
              </w:rPr>
              <w:endnoteReference w:id="183"/>
            </w:r>
          </w:p>
          <w:p w:rsidR="004B20E5" w:rsidRPr="00666093" w:rsidRDefault="004B20E5" w:rsidP="00FD3CCF">
            <w:pPr>
              <w:pStyle w:val="ListParagraph"/>
              <w:numPr>
                <w:ilvl w:val="0"/>
                <w:numId w:val="6"/>
              </w:numPr>
              <w:ind w:left="162" w:right="0" w:hanging="162"/>
              <w:rPr>
                <w:sz w:val="18"/>
                <w:szCs w:val="18"/>
              </w:rPr>
            </w:pPr>
            <w:r w:rsidRPr="00666093">
              <w:rPr>
                <w:sz w:val="18"/>
                <w:szCs w:val="18"/>
              </w:rPr>
              <w:t>4.4% of residents report not having health insurance</w:t>
            </w:r>
            <w:r w:rsidRPr="00925017">
              <w:rPr>
                <w:rStyle w:val="EndnoteReference"/>
              </w:rPr>
              <w:endnoteReference w:id="184"/>
            </w:r>
          </w:p>
          <w:p w:rsidR="004B20E5" w:rsidRPr="00666093" w:rsidRDefault="004B20E5" w:rsidP="00FD3CCF">
            <w:pPr>
              <w:pStyle w:val="ListParagraph"/>
              <w:numPr>
                <w:ilvl w:val="0"/>
                <w:numId w:val="6"/>
              </w:numPr>
              <w:ind w:left="162" w:right="0" w:hanging="162"/>
              <w:rPr>
                <w:sz w:val="18"/>
                <w:szCs w:val="18"/>
              </w:rPr>
            </w:pPr>
            <w:r w:rsidRPr="00666093">
              <w:rPr>
                <w:sz w:val="18"/>
                <w:szCs w:val="18"/>
              </w:rPr>
              <w:t>88.3% of adults report having a personal health care provider</w:t>
            </w:r>
            <w:r w:rsidRPr="00925017">
              <w:rPr>
                <w:rStyle w:val="EndnoteReference"/>
              </w:rPr>
              <w:endnoteReference w:id="185"/>
            </w:r>
          </w:p>
        </w:tc>
        <w:tc>
          <w:tcPr>
            <w:tcW w:w="746" w:type="pct"/>
          </w:tcPr>
          <w:p w:rsidR="004B20E5" w:rsidRPr="00666093" w:rsidRDefault="004B20E5" w:rsidP="00F83336">
            <w:pPr>
              <w:rPr>
                <w:sz w:val="18"/>
                <w:szCs w:val="18"/>
              </w:rPr>
            </w:pPr>
          </w:p>
        </w:tc>
        <w:tc>
          <w:tcPr>
            <w:tcW w:w="1197" w:type="pct"/>
          </w:tcPr>
          <w:p w:rsidR="004B20E5" w:rsidRPr="00666093" w:rsidRDefault="004B20E5" w:rsidP="00FD3CCF">
            <w:pPr>
              <w:pStyle w:val="ListParagraph"/>
              <w:numPr>
                <w:ilvl w:val="0"/>
                <w:numId w:val="5"/>
              </w:numPr>
              <w:ind w:right="0"/>
              <w:rPr>
                <w:sz w:val="18"/>
                <w:szCs w:val="18"/>
              </w:rPr>
            </w:pPr>
            <w:r w:rsidRPr="00666093">
              <w:rPr>
                <w:sz w:val="18"/>
                <w:szCs w:val="18"/>
              </w:rPr>
              <w:t>Percent of residents who report not having health insurance highest among Hispanics (10.6%)</w:t>
            </w:r>
            <w:r w:rsidRPr="00925017">
              <w:rPr>
                <w:rStyle w:val="EndnoteReference"/>
              </w:rPr>
              <w:endnoteReference w:id="186"/>
            </w:r>
          </w:p>
          <w:p w:rsidR="004B20E5" w:rsidRPr="00666093" w:rsidRDefault="004B20E5" w:rsidP="00FD3CCF">
            <w:pPr>
              <w:pStyle w:val="ListParagraph"/>
              <w:numPr>
                <w:ilvl w:val="0"/>
                <w:numId w:val="5"/>
              </w:numPr>
              <w:ind w:right="0"/>
              <w:rPr>
                <w:sz w:val="18"/>
                <w:szCs w:val="18"/>
              </w:rPr>
            </w:pPr>
            <w:r w:rsidRPr="00666093">
              <w:rPr>
                <w:sz w:val="18"/>
                <w:szCs w:val="18"/>
              </w:rPr>
              <w:t>Adults with a personal health care provider are lowest among Hispanics (75.7%) and those in the Boston regions (81.5%)</w:t>
            </w:r>
            <w:r w:rsidRPr="00925017">
              <w:rPr>
                <w:rStyle w:val="EndnoteReference"/>
              </w:rPr>
              <w:endnoteReference w:id="187"/>
            </w:r>
          </w:p>
        </w:tc>
        <w:tc>
          <w:tcPr>
            <w:tcW w:w="735" w:type="pct"/>
          </w:tcPr>
          <w:p w:rsidR="004B20E5" w:rsidRPr="00666093" w:rsidRDefault="004B20E5" w:rsidP="00FD3CCF">
            <w:pPr>
              <w:pStyle w:val="ListParagraph"/>
              <w:numPr>
                <w:ilvl w:val="0"/>
                <w:numId w:val="4"/>
              </w:numPr>
              <w:ind w:right="0"/>
              <w:rPr>
                <w:sz w:val="18"/>
                <w:szCs w:val="18"/>
              </w:rPr>
            </w:pPr>
            <w:r w:rsidRPr="00666093">
              <w:rPr>
                <w:sz w:val="18"/>
                <w:szCs w:val="18"/>
              </w:rPr>
              <w:t xml:space="preserve">↓ in percent of residents without health insurance </w:t>
            </w:r>
          </w:p>
          <w:p w:rsidR="004B20E5" w:rsidRPr="00666093" w:rsidRDefault="004B20E5" w:rsidP="00FD3CCF">
            <w:pPr>
              <w:pStyle w:val="ListParagraph"/>
              <w:numPr>
                <w:ilvl w:val="0"/>
                <w:numId w:val="4"/>
              </w:numPr>
              <w:ind w:right="0"/>
              <w:rPr>
                <w:sz w:val="18"/>
                <w:szCs w:val="18"/>
              </w:rPr>
            </w:pPr>
            <w:r w:rsidRPr="00666093">
              <w:rPr>
                <w:sz w:val="18"/>
                <w:szCs w:val="18"/>
              </w:rPr>
              <w:t>↓ in percent of adults without a PHCP</w:t>
            </w:r>
          </w:p>
        </w:tc>
        <w:tc>
          <w:tcPr>
            <w:tcW w:w="590" w:type="pct"/>
            <w:gridSpan w:val="2"/>
          </w:tcPr>
          <w:p w:rsidR="004B20E5" w:rsidRPr="00666093" w:rsidRDefault="004B20E5" w:rsidP="00F83336">
            <w:pPr>
              <w:rPr>
                <w:sz w:val="18"/>
                <w:szCs w:val="18"/>
              </w:rPr>
            </w:pPr>
            <w:r w:rsidRPr="00666093">
              <w:rPr>
                <w:sz w:val="18"/>
                <w:szCs w:val="18"/>
              </w:rPr>
              <w:t>MDPH SP HP2020</w:t>
            </w:r>
          </w:p>
          <w:p w:rsidR="004B20E5" w:rsidRPr="00666093" w:rsidRDefault="004B20E5" w:rsidP="00F83336">
            <w:pPr>
              <w:rPr>
                <w:sz w:val="18"/>
                <w:szCs w:val="18"/>
              </w:rPr>
            </w:pPr>
          </w:p>
        </w:tc>
      </w:tr>
    </w:tbl>
    <w:p w:rsidR="004B20E5" w:rsidRDefault="004B20E5" w:rsidP="009F37B0">
      <w:pPr>
        <w:rPr>
          <w:sz w:val="18"/>
          <w:szCs w:val="18"/>
        </w:rPr>
      </w:pPr>
      <w:r w:rsidRPr="00CF737A">
        <w:rPr>
          <w:sz w:val="18"/>
          <w:szCs w:val="18"/>
        </w:rPr>
        <w:t xml:space="preserve">*State and National Focus Abbreviations: </w:t>
      </w:r>
      <w:r w:rsidRPr="00CF7C5A">
        <w:rPr>
          <w:b/>
          <w:sz w:val="18"/>
          <w:szCs w:val="18"/>
        </w:rPr>
        <w:t xml:space="preserve">PrevTrust </w:t>
      </w:r>
      <w:r w:rsidRPr="00CF737A">
        <w:rPr>
          <w:sz w:val="18"/>
          <w:szCs w:val="18"/>
        </w:rPr>
        <w:t xml:space="preserve">= Prevention and Wellness Trust, </w:t>
      </w:r>
      <w:r w:rsidRPr="0024550D">
        <w:rPr>
          <w:b/>
          <w:sz w:val="18"/>
          <w:szCs w:val="18"/>
        </w:rPr>
        <w:t>MDPH SP</w:t>
      </w:r>
      <w:r>
        <w:rPr>
          <w:b/>
          <w:sz w:val="18"/>
          <w:szCs w:val="18"/>
        </w:rPr>
        <w:t xml:space="preserve">= </w:t>
      </w:r>
      <w:r w:rsidRPr="0024550D">
        <w:rPr>
          <w:sz w:val="18"/>
          <w:szCs w:val="18"/>
        </w:rPr>
        <w:t>Massachusetts Department of Public Health, 2012 Strategic Plan</w:t>
      </w:r>
      <w:r>
        <w:rPr>
          <w:sz w:val="18"/>
          <w:szCs w:val="18"/>
        </w:rPr>
        <w:t>,</w:t>
      </w:r>
      <w:r w:rsidRPr="00CF7C5A">
        <w:rPr>
          <w:b/>
          <w:sz w:val="18"/>
          <w:szCs w:val="18"/>
        </w:rPr>
        <w:t>WB</w:t>
      </w:r>
      <w:r w:rsidRPr="00CF737A">
        <w:rPr>
          <w:sz w:val="18"/>
          <w:szCs w:val="18"/>
        </w:rPr>
        <w:t xml:space="preserve"> = CDC’s Winnable Battles, </w:t>
      </w:r>
      <w:r w:rsidRPr="00CF7C5A">
        <w:rPr>
          <w:b/>
          <w:sz w:val="18"/>
          <w:szCs w:val="18"/>
        </w:rPr>
        <w:t xml:space="preserve">NPS </w:t>
      </w:r>
      <w:r>
        <w:rPr>
          <w:sz w:val="18"/>
          <w:szCs w:val="18"/>
        </w:rPr>
        <w:t xml:space="preserve">= National Prevention Strategy, </w:t>
      </w:r>
      <w:r w:rsidRPr="00CF7C5A">
        <w:rPr>
          <w:b/>
          <w:sz w:val="18"/>
          <w:szCs w:val="18"/>
        </w:rPr>
        <w:t>HP2020</w:t>
      </w:r>
      <w:r w:rsidRPr="00CF737A">
        <w:rPr>
          <w:sz w:val="18"/>
          <w:szCs w:val="18"/>
        </w:rPr>
        <w:t xml:space="preserve"> = Healthy People 2020</w:t>
      </w:r>
    </w:p>
    <w:p w:rsidR="004B20E5" w:rsidRDefault="004B20E5" w:rsidP="009F37B0">
      <w:pPr>
        <w:rPr>
          <w:sz w:val="18"/>
          <w:szCs w:val="18"/>
        </w:rPr>
      </w:pPr>
    </w:p>
    <w:p w:rsidR="004B20E5" w:rsidRDefault="004B20E5" w:rsidP="009F37B0">
      <w:pPr>
        <w:rPr>
          <w:b/>
          <w:sz w:val="18"/>
          <w:szCs w:val="18"/>
        </w:rPr>
        <w:sectPr w:rsidR="004B20E5" w:rsidSect="000D3A34">
          <w:endnotePr>
            <w:numFmt w:val="decimal"/>
          </w:endnotePr>
          <w:pgSz w:w="15840" w:h="12240" w:orient="landscape" w:code="1"/>
          <w:pgMar w:top="1080" w:right="1080" w:bottom="1080" w:left="1080" w:header="648" w:footer="504" w:gutter="0"/>
          <w:cols w:space="720"/>
          <w:docGrid w:linePitch="360"/>
        </w:sectPr>
      </w:pPr>
    </w:p>
    <w:p w:rsidR="004B20E5" w:rsidRDefault="004B20E5" w:rsidP="005B06A5">
      <w:pPr>
        <w:pStyle w:val="Heading2LARGE"/>
      </w:pPr>
      <w:bookmarkStart w:id="65" w:name="_Toc398819291"/>
      <w:r>
        <w:t xml:space="preserve">Appendix D:  </w:t>
      </w:r>
      <w:r w:rsidRPr="00CB03CD">
        <w:t>Routine Disease Surveillance</w:t>
      </w:r>
      <w:bookmarkEnd w:id="65"/>
    </w:p>
    <w:p w:rsidR="004B20E5" w:rsidRDefault="004B20E5" w:rsidP="00CB03CD">
      <w:pPr>
        <w:pStyle w:val="BodyText"/>
      </w:pPr>
      <w:r>
        <w:t xml:space="preserve">Routine infectious disease surveillance consists of the collection of multiple reports of disease events (including clinical laboratory results, clinical case reports, epidemiologic interviews, electronic health records, and vital records) to determine the incidence and prevalence of reportable infections and their related disease states.  These reports come to MDPH directly through electronic laboratory reporting, submitted clinical case reports, from direct queries of electronic health records via MDPHnet, and from local health departments which investigate most reportable infections.  Certain high-priority reports may initially be reported to MDPH by phone.  Case data regarding Massachusetts residents may also come from other states and/or the US Centers for Disease Control and Prevention. </w:t>
      </w:r>
    </w:p>
    <w:p w:rsidR="004B20E5" w:rsidRDefault="004B20E5" w:rsidP="00CB03CD">
      <w:pPr>
        <w:pStyle w:val="BodyText"/>
      </w:pPr>
      <w:r>
        <w:t xml:space="preserve">Based on these reports, state infectious disease epidemiologists engage in follow-up investigations and conduct structured interviews with affected individuals, their family members, health care providers, and with close contacts of cases to determine the nature of exposure, vaccination/treatment history, clinical status, and other details relevant to confirming a given case and determining risk to the public health.  Nearly all infectious disease epidemiologic data from these sources is held and managed by the Massachusetts Virtual Epidemiologic Network (MAVEN), which sorts these data into prioritized workflows for follow-up by state and local public health.  MAVEN is a secure, web-based disease surveillance and case management system that enables MDPH and local health departments to capture and transfer appropriate public health, laboratory, and clinical data.  The system interfaces with the state Electronic Laboratory Reporting (ELR) system and MDPHnet, performs automatic notification of state and local health officials of any event requiring their attention, and replaces most paper-based methods of data exchange among MDPH and local health departments. </w:t>
      </w:r>
    </w:p>
    <w:p w:rsidR="004B20E5" w:rsidRDefault="004B20E5" w:rsidP="005B06A5">
      <w:pPr>
        <w:pStyle w:val="Heading2LARGE"/>
      </w:pPr>
      <w:r>
        <w:br w:type="page"/>
      </w:r>
    </w:p>
    <w:p w:rsidR="004B20E5" w:rsidRDefault="004B20E5" w:rsidP="005B06A5">
      <w:pPr>
        <w:pStyle w:val="Heading2LARGE"/>
      </w:pPr>
      <w:bookmarkStart w:id="66" w:name="_Toc398819292"/>
      <w:r>
        <w:t>Appendix E:  Sources</w:t>
      </w:r>
      <w:bookmarkEnd w:id="66"/>
    </w:p>
    <w:p w:rsidR="004B20E5" w:rsidRDefault="004B20E5" w:rsidP="00E827FB">
      <w:pPr>
        <w:pStyle w:val="BodyTextunder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9"/>
        <w:gridCol w:w="2300"/>
        <w:gridCol w:w="3709"/>
        <w:gridCol w:w="3188"/>
      </w:tblGrid>
      <w:tr w:rsidR="004B20E5" w:rsidRPr="00114041" w:rsidTr="005C62F3">
        <w:trPr>
          <w:cantSplit/>
          <w:tblHeader/>
        </w:trPr>
        <w:tc>
          <w:tcPr>
            <w:tcW w:w="534" w:type="pct"/>
            <w:tcBorders>
              <w:right w:val="nil"/>
            </w:tcBorders>
            <w:shd w:val="clear" w:color="auto" w:fill="F2F2F2"/>
          </w:tcPr>
          <w:p w:rsidR="004B20E5" w:rsidRPr="005C62F3" w:rsidRDefault="004B20E5" w:rsidP="00D24FA0">
            <w:pPr>
              <w:pStyle w:val="TableTitleBaseline2020Target"/>
              <w:rPr>
                <w:szCs w:val="20"/>
              </w:rPr>
            </w:pPr>
            <w:r w:rsidRPr="005C62F3">
              <w:rPr>
                <w:szCs w:val="20"/>
              </w:rPr>
              <w:t>Measure</w:t>
            </w:r>
          </w:p>
        </w:tc>
        <w:tc>
          <w:tcPr>
            <w:tcW w:w="1117" w:type="pct"/>
            <w:tcBorders>
              <w:left w:val="nil"/>
            </w:tcBorders>
            <w:shd w:val="clear" w:color="auto" w:fill="F2F2F2"/>
          </w:tcPr>
          <w:p w:rsidR="004B20E5" w:rsidRPr="005C62F3" w:rsidRDefault="004B20E5" w:rsidP="00D24FA0">
            <w:pPr>
              <w:pStyle w:val="TableTitleBaseline2020Target"/>
              <w:rPr>
                <w:szCs w:val="20"/>
              </w:rPr>
            </w:pPr>
            <w:r w:rsidRPr="005C62F3">
              <w:rPr>
                <w:szCs w:val="20"/>
              </w:rPr>
              <w:t>Topic</w:t>
            </w:r>
          </w:p>
        </w:tc>
        <w:tc>
          <w:tcPr>
            <w:tcW w:w="1801" w:type="pct"/>
            <w:shd w:val="clear" w:color="auto" w:fill="F2F2F2"/>
          </w:tcPr>
          <w:p w:rsidR="004B20E5" w:rsidRPr="005C62F3" w:rsidRDefault="004B20E5" w:rsidP="00D24FA0">
            <w:pPr>
              <w:pStyle w:val="TableTitleBaseline2020Target"/>
              <w:rPr>
                <w:szCs w:val="20"/>
              </w:rPr>
            </w:pPr>
            <w:r w:rsidRPr="005C62F3">
              <w:rPr>
                <w:szCs w:val="20"/>
              </w:rPr>
              <w:t>Indicator</w:t>
            </w:r>
          </w:p>
        </w:tc>
        <w:tc>
          <w:tcPr>
            <w:tcW w:w="1548" w:type="pct"/>
            <w:shd w:val="clear" w:color="auto" w:fill="F2F2F2"/>
          </w:tcPr>
          <w:p w:rsidR="004B20E5" w:rsidRPr="005C62F3" w:rsidRDefault="004B20E5" w:rsidP="00D24FA0">
            <w:pPr>
              <w:pStyle w:val="TableTitleBaseline2020Target"/>
              <w:rPr>
                <w:szCs w:val="20"/>
              </w:rPr>
            </w:pPr>
            <w:r w:rsidRPr="005C62F3">
              <w:rPr>
                <w:szCs w:val="20"/>
              </w:rPr>
              <w:t>Data Source, Year</w:t>
            </w:r>
          </w:p>
        </w:tc>
      </w:tr>
      <w:tr w:rsidR="004B20E5" w:rsidRPr="00391134" w:rsidTr="005C62F3">
        <w:trPr>
          <w:cantSplit/>
        </w:trPr>
        <w:tc>
          <w:tcPr>
            <w:tcW w:w="5000" w:type="pct"/>
            <w:gridSpan w:val="4"/>
          </w:tcPr>
          <w:p w:rsidR="004B20E5" w:rsidRPr="005C62F3" w:rsidRDefault="004B20E5" w:rsidP="00D24FA0">
            <w:pPr>
              <w:pStyle w:val="TableTitleTargetDataSource"/>
              <w:rPr>
                <w:szCs w:val="20"/>
              </w:rPr>
            </w:pPr>
            <w:r w:rsidRPr="005C62F3">
              <w:rPr>
                <w:szCs w:val="20"/>
              </w:rPr>
              <w:t>Domain1:  Active Living, Healthy Eating, and Tobacco-Free Living</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1.1</w:t>
            </w:r>
          </w:p>
        </w:tc>
        <w:tc>
          <w:tcPr>
            <w:tcW w:w="1117" w:type="pct"/>
            <w:tcBorders>
              <w:left w:val="nil"/>
            </w:tcBorders>
          </w:tcPr>
          <w:p w:rsidR="004B20E5" w:rsidRPr="005C62F3" w:rsidRDefault="004B20E5" w:rsidP="00D24FA0">
            <w:pPr>
              <w:pStyle w:val="TableOutcomeIndicator"/>
              <w:rPr>
                <w:szCs w:val="20"/>
              </w:rPr>
            </w:pPr>
            <w:r w:rsidRPr="005C62F3">
              <w:rPr>
                <w:szCs w:val="20"/>
              </w:rPr>
              <w:t xml:space="preserve">Consumption of fruits and vegetables </w:t>
            </w:r>
          </w:p>
        </w:tc>
        <w:tc>
          <w:tcPr>
            <w:tcW w:w="1801" w:type="pct"/>
          </w:tcPr>
          <w:p w:rsidR="004B20E5" w:rsidRPr="005C62F3" w:rsidRDefault="004B20E5" w:rsidP="00D24FA0">
            <w:pPr>
              <w:pStyle w:val="TableOutcomeIndicator"/>
              <w:rPr>
                <w:szCs w:val="20"/>
              </w:rPr>
            </w:pPr>
            <w:r w:rsidRPr="005C62F3">
              <w:rPr>
                <w:szCs w:val="20"/>
              </w:rPr>
              <w:t>Adults 5+ servings</w:t>
            </w:r>
          </w:p>
        </w:tc>
        <w:tc>
          <w:tcPr>
            <w:tcW w:w="1548" w:type="pct"/>
          </w:tcPr>
          <w:p w:rsidR="004B20E5" w:rsidRPr="005C62F3" w:rsidRDefault="004B20E5" w:rsidP="00D24FA0">
            <w:pPr>
              <w:pStyle w:val="TableDataSource"/>
              <w:rPr>
                <w:szCs w:val="20"/>
              </w:rPr>
            </w:pPr>
            <w:r w:rsidRPr="005C62F3">
              <w:rPr>
                <w:szCs w:val="20"/>
              </w:rPr>
              <w:t>MDPH BRFSS 2011</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Adolescents (High School) 3+ servings</w:t>
            </w:r>
          </w:p>
        </w:tc>
        <w:tc>
          <w:tcPr>
            <w:tcW w:w="1548" w:type="pct"/>
          </w:tcPr>
          <w:p w:rsidR="004B20E5" w:rsidRPr="005C62F3" w:rsidRDefault="004B20E5" w:rsidP="00D24FA0">
            <w:pPr>
              <w:pStyle w:val="TableDataSource"/>
              <w:rPr>
                <w:szCs w:val="20"/>
              </w:rPr>
            </w:pPr>
            <w:r w:rsidRPr="005C62F3">
              <w:rPr>
                <w:szCs w:val="20"/>
              </w:rPr>
              <w:t>MDPH YHS2013.</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Adolescents (High School) 3+ servings</w:t>
            </w:r>
          </w:p>
        </w:tc>
        <w:tc>
          <w:tcPr>
            <w:tcW w:w="1548" w:type="pct"/>
          </w:tcPr>
          <w:p w:rsidR="004B20E5" w:rsidRPr="005C62F3" w:rsidRDefault="004B20E5" w:rsidP="00D24FA0">
            <w:pPr>
              <w:pStyle w:val="TableDataSource"/>
              <w:rPr>
                <w:szCs w:val="20"/>
              </w:rPr>
            </w:pPr>
            <w:r w:rsidRPr="005C62F3">
              <w:rPr>
                <w:szCs w:val="20"/>
              </w:rPr>
              <w:t>MDPH YHS2013.</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Children (Middle School) 3+ servings</w:t>
            </w:r>
          </w:p>
        </w:tc>
        <w:tc>
          <w:tcPr>
            <w:tcW w:w="1548" w:type="pct"/>
          </w:tcPr>
          <w:p w:rsidR="004B20E5" w:rsidRPr="005C62F3" w:rsidRDefault="004B20E5" w:rsidP="00D24FA0">
            <w:pPr>
              <w:pStyle w:val="TableDataSource"/>
              <w:rPr>
                <w:szCs w:val="20"/>
              </w:rPr>
            </w:pPr>
            <w:r w:rsidRPr="005C62F3">
              <w:rPr>
                <w:szCs w:val="20"/>
              </w:rPr>
              <w:t xml:space="preserve">MDPH YHS2013. </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Children (Middle School) 3+ servings</w:t>
            </w:r>
          </w:p>
        </w:tc>
        <w:tc>
          <w:tcPr>
            <w:tcW w:w="1548" w:type="pct"/>
          </w:tcPr>
          <w:p w:rsidR="004B20E5" w:rsidRPr="005C62F3" w:rsidRDefault="004B20E5" w:rsidP="00D24FA0">
            <w:pPr>
              <w:pStyle w:val="TableDataSource"/>
              <w:rPr>
                <w:szCs w:val="20"/>
              </w:rPr>
            </w:pPr>
            <w:r w:rsidRPr="005C62F3">
              <w:rPr>
                <w:szCs w:val="20"/>
              </w:rPr>
              <w:t>MDPH YHS2013.</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1.2</w:t>
            </w:r>
          </w:p>
        </w:tc>
        <w:tc>
          <w:tcPr>
            <w:tcW w:w="1117" w:type="pct"/>
            <w:tcBorders>
              <w:left w:val="nil"/>
            </w:tcBorders>
          </w:tcPr>
          <w:p w:rsidR="004B20E5" w:rsidRPr="005C62F3" w:rsidRDefault="004B20E5" w:rsidP="00D24FA0">
            <w:pPr>
              <w:pStyle w:val="TableOutcomeIndicator"/>
              <w:rPr>
                <w:szCs w:val="20"/>
              </w:rPr>
            </w:pPr>
            <w:r w:rsidRPr="005C62F3">
              <w:rPr>
                <w:szCs w:val="20"/>
              </w:rPr>
              <w:t>Consumption of sugar-sweetened beverages</w:t>
            </w:r>
          </w:p>
        </w:tc>
        <w:tc>
          <w:tcPr>
            <w:tcW w:w="1801" w:type="pct"/>
          </w:tcPr>
          <w:p w:rsidR="004B20E5" w:rsidRPr="005C62F3" w:rsidRDefault="004B20E5" w:rsidP="00D24FA0">
            <w:pPr>
              <w:pStyle w:val="TableOutcomeIndicator"/>
              <w:rPr>
                <w:szCs w:val="20"/>
              </w:rPr>
            </w:pPr>
            <w:r w:rsidRPr="005C62F3">
              <w:rPr>
                <w:szCs w:val="20"/>
              </w:rPr>
              <w:t>Adolescents (High School) 0-1 servings</w:t>
            </w:r>
          </w:p>
        </w:tc>
        <w:tc>
          <w:tcPr>
            <w:tcW w:w="1548" w:type="pct"/>
          </w:tcPr>
          <w:p w:rsidR="004B20E5" w:rsidRPr="005C62F3" w:rsidRDefault="004B20E5" w:rsidP="00D24FA0">
            <w:pPr>
              <w:pStyle w:val="TableDataSource"/>
              <w:rPr>
                <w:szCs w:val="20"/>
              </w:rPr>
            </w:pPr>
            <w:r w:rsidRPr="005C62F3">
              <w:rPr>
                <w:szCs w:val="20"/>
              </w:rPr>
              <w:t>MDPH YHS 2013.</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Children (Middle School) 0-1 servings</w:t>
            </w:r>
          </w:p>
        </w:tc>
        <w:tc>
          <w:tcPr>
            <w:tcW w:w="1548" w:type="pct"/>
          </w:tcPr>
          <w:p w:rsidR="004B20E5" w:rsidRPr="005C62F3" w:rsidRDefault="004B20E5" w:rsidP="00D24FA0">
            <w:pPr>
              <w:pStyle w:val="TableDataSource"/>
              <w:rPr>
                <w:szCs w:val="20"/>
              </w:rPr>
            </w:pPr>
            <w:r w:rsidRPr="005C62F3">
              <w:rPr>
                <w:szCs w:val="20"/>
              </w:rPr>
              <w:t xml:space="preserve">MDPH YHS2013. </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1.3</w:t>
            </w:r>
          </w:p>
        </w:tc>
        <w:tc>
          <w:tcPr>
            <w:tcW w:w="1117" w:type="pct"/>
            <w:tcBorders>
              <w:left w:val="nil"/>
            </w:tcBorders>
          </w:tcPr>
          <w:p w:rsidR="004B20E5" w:rsidRPr="005C62F3" w:rsidRDefault="004B20E5" w:rsidP="00D24FA0">
            <w:pPr>
              <w:pStyle w:val="TableOutcomeIndicator"/>
              <w:rPr>
                <w:szCs w:val="20"/>
              </w:rPr>
            </w:pPr>
            <w:r w:rsidRPr="005C62F3">
              <w:rPr>
                <w:szCs w:val="20"/>
              </w:rPr>
              <w:t>Engaging in moderate physical activity</w:t>
            </w:r>
          </w:p>
        </w:tc>
        <w:tc>
          <w:tcPr>
            <w:tcW w:w="1801" w:type="pct"/>
          </w:tcPr>
          <w:p w:rsidR="004B20E5" w:rsidRPr="005C62F3" w:rsidRDefault="004B20E5" w:rsidP="00D24FA0">
            <w:pPr>
              <w:pStyle w:val="TableOutcomeIndicator"/>
              <w:rPr>
                <w:szCs w:val="20"/>
              </w:rPr>
            </w:pPr>
            <w:r w:rsidRPr="005C62F3">
              <w:rPr>
                <w:szCs w:val="20"/>
              </w:rPr>
              <w:t>Adults (min/week)</w:t>
            </w:r>
          </w:p>
        </w:tc>
        <w:tc>
          <w:tcPr>
            <w:tcW w:w="1548" w:type="pct"/>
          </w:tcPr>
          <w:p w:rsidR="004B20E5" w:rsidRPr="005C62F3" w:rsidRDefault="004B20E5" w:rsidP="00D24FA0">
            <w:pPr>
              <w:pStyle w:val="TableDataSource"/>
              <w:rPr>
                <w:szCs w:val="20"/>
              </w:rPr>
            </w:pPr>
            <w:r w:rsidRPr="005C62F3">
              <w:rPr>
                <w:szCs w:val="20"/>
              </w:rPr>
              <w:t>MDPH BRFSS 2011.</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Adolescents (High School) (min/week)</w:t>
            </w:r>
          </w:p>
        </w:tc>
        <w:tc>
          <w:tcPr>
            <w:tcW w:w="1548" w:type="pct"/>
          </w:tcPr>
          <w:p w:rsidR="004B20E5" w:rsidRPr="005C62F3" w:rsidRDefault="004B20E5" w:rsidP="00D24FA0">
            <w:pPr>
              <w:pStyle w:val="TableDataSource"/>
              <w:rPr>
                <w:szCs w:val="20"/>
              </w:rPr>
            </w:pPr>
            <w:r w:rsidRPr="005C62F3">
              <w:rPr>
                <w:szCs w:val="20"/>
              </w:rPr>
              <w:t>MDPH YHS2013.</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Children (Middle School) (min/week)</w:t>
            </w:r>
          </w:p>
        </w:tc>
        <w:tc>
          <w:tcPr>
            <w:tcW w:w="1548" w:type="pct"/>
          </w:tcPr>
          <w:p w:rsidR="004B20E5" w:rsidRPr="005C62F3" w:rsidRDefault="004B20E5" w:rsidP="00D24FA0">
            <w:pPr>
              <w:pStyle w:val="TableDataSource"/>
              <w:rPr>
                <w:szCs w:val="20"/>
              </w:rPr>
            </w:pPr>
            <w:r w:rsidRPr="005C62F3">
              <w:rPr>
                <w:szCs w:val="20"/>
              </w:rPr>
              <w:t>MDPH YHS2013.</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1.4</w:t>
            </w:r>
          </w:p>
        </w:tc>
        <w:tc>
          <w:tcPr>
            <w:tcW w:w="1117" w:type="pct"/>
            <w:tcBorders>
              <w:left w:val="nil"/>
            </w:tcBorders>
          </w:tcPr>
          <w:p w:rsidR="004B20E5" w:rsidRPr="005C62F3" w:rsidRDefault="004B20E5" w:rsidP="00D24FA0">
            <w:pPr>
              <w:pStyle w:val="TableOutcomeIndicator"/>
              <w:rPr>
                <w:szCs w:val="20"/>
              </w:rPr>
            </w:pPr>
            <w:r w:rsidRPr="005C62F3">
              <w:rPr>
                <w:szCs w:val="20"/>
              </w:rPr>
              <w:t>Leading tobacco-free lives</w:t>
            </w:r>
          </w:p>
        </w:tc>
        <w:tc>
          <w:tcPr>
            <w:tcW w:w="1801" w:type="pct"/>
          </w:tcPr>
          <w:p w:rsidR="004B20E5" w:rsidRPr="005C62F3" w:rsidRDefault="004B20E5" w:rsidP="00D24FA0">
            <w:pPr>
              <w:pStyle w:val="TableOutcomeIndicator"/>
              <w:rPr>
                <w:szCs w:val="20"/>
              </w:rPr>
            </w:pPr>
            <w:r w:rsidRPr="005C62F3">
              <w:rPr>
                <w:szCs w:val="20"/>
              </w:rPr>
              <w:t>Adult smokers</w:t>
            </w:r>
          </w:p>
        </w:tc>
        <w:tc>
          <w:tcPr>
            <w:tcW w:w="1548" w:type="pct"/>
          </w:tcPr>
          <w:p w:rsidR="004B20E5" w:rsidRPr="005C62F3" w:rsidRDefault="004B20E5" w:rsidP="00D24FA0">
            <w:pPr>
              <w:pStyle w:val="TableDataSource"/>
              <w:rPr>
                <w:szCs w:val="20"/>
              </w:rPr>
            </w:pPr>
            <w:r w:rsidRPr="005C62F3">
              <w:rPr>
                <w:szCs w:val="20"/>
              </w:rPr>
              <w:t>Behavioral Risk Factor Surveillance System (BRFSS), 2012</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Adults with MassHealth Insurance</w:t>
            </w:r>
          </w:p>
        </w:tc>
        <w:tc>
          <w:tcPr>
            <w:tcW w:w="1548" w:type="pct"/>
          </w:tcPr>
          <w:p w:rsidR="004B20E5" w:rsidRPr="005C62F3" w:rsidRDefault="004B20E5" w:rsidP="00D24FA0">
            <w:pPr>
              <w:pStyle w:val="TableDataSource"/>
              <w:rPr>
                <w:szCs w:val="20"/>
              </w:rPr>
            </w:pPr>
            <w:r w:rsidRPr="005C62F3">
              <w:rPr>
                <w:szCs w:val="20"/>
              </w:rPr>
              <w:t>Behavioral Risk Factor Surveillance System (BRFSS) 2012</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1.5</w:t>
            </w: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High School Tobacco Use</w:t>
            </w:r>
          </w:p>
        </w:tc>
        <w:tc>
          <w:tcPr>
            <w:tcW w:w="1548" w:type="pct"/>
          </w:tcPr>
          <w:p w:rsidR="004B20E5" w:rsidRPr="005C62F3" w:rsidRDefault="004B20E5" w:rsidP="00D24FA0">
            <w:pPr>
              <w:pStyle w:val="TableDataSource"/>
              <w:rPr>
                <w:szCs w:val="20"/>
              </w:rPr>
            </w:pPr>
            <w:r w:rsidRPr="005C62F3">
              <w:rPr>
                <w:szCs w:val="20"/>
              </w:rPr>
              <w:t>Youth Risk Behavior Surveillance System (2013)</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1.6</w:t>
            </w: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Exposure to secondhand smoke</w:t>
            </w:r>
          </w:p>
        </w:tc>
        <w:tc>
          <w:tcPr>
            <w:tcW w:w="1548" w:type="pct"/>
          </w:tcPr>
          <w:p w:rsidR="004B20E5" w:rsidRPr="005C62F3" w:rsidRDefault="004B20E5" w:rsidP="00D24FA0">
            <w:pPr>
              <w:pStyle w:val="TableDataSource"/>
              <w:rPr>
                <w:szCs w:val="20"/>
              </w:rPr>
            </w:pPr>
            <w:r w:rsidRPr="005C62F3">
              <w:rPr>
                <w:szCs w:val="20"/>
              </w:rPr>
              <w:t>Behavioral Risk Factor Surveillance System (BRFSS)  (2012)</w:t>
            </w:r>
          </w:p>
        </w:tc>
      </w:tr>
      <w:tr w:rsidR="004B20E5" w:rsidTr="005C62F3">
        <w:trPr>
          <w:cantSplit/>
        </w:trPr>
        <w:tc>
          <w:tcPr>
            <w:tcW w:w="5000" w:type="pct"/>
            <w:gridSpan w:val="4"/>
          </w:tcPr>
          <w:p w:rsidR="004B20E5" w:rsidRPr="005C62F3" w:rsidRDefault="004B20E5" w:rsidP="00D24FA0">
            <w:pPr>
              <w:pStyle w:val="TableTitleTargetDataSource"/>
              <w:rPr>
                <w:szCs w:val="20"/>
              </w:rPr>
            </w:pPr>
            <w:r w:rsidRPr="005C62F3">
              <w:rPr>
                <w:szCs w:val="20"/>
              </w:rPr>
              <w:t>Domain 2:  Chronic Disease Prevention and Control</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2.1</w:t>
            </w:r>
          </w:p>
        </w:tc>
        <w:tc>
          <w:tcPr>
            <w:tcW w:w="1117" w:type="pct"/>
            <w:tcBorders>
              <w:left w:val="nil"/>
            </w:tcBorders>
          </w:tcPr>
          <w:p w:rsidR="004B20E5" w:rsidRPr="005C62F3" w:rsidRDefault="004B20E5" w:rsidP="00D24FA0">
            <w:pPr>
              <w:pStyle w:val="TableOutcomeIndicator"/>
              <w:rPr>
                <w:szCs w:val="20"/>
              </w:rPr>
            </w:pPr>
            <w:r w:rsidRPr="005C62F3">
              <w:rPr>
                <w:szCs w:val="20"/>
              </w:rPr>
              <w:t>Prostate-specific antigen (PSA) test</w:t>
            </w:r>
          </w:p>
        </w:tc>
        <w:tc>
          <w:tcPr>
            <w:tcW w:w="1801" w:type="pct"/>
          </w:tcPr>
          <w:p w:rsidR="004B20E5" w:rsidRPr="005C62F3" w:rsidRDefault="004B20E5" w:rsidP="00D24FA0">
            <w:pPr>
              <w:pStyle w:val="TableOutcomeIndicator"/>
              <w:rPr>
                <w:szCs w:val="20"/>
              </w:rPr>
            </w:pPr>
            <w:r w:rsidRPr="005C62F3">
              <w:rPr>
                <w:szCs w:val="20"/>
              </w:rPr>
              <w:t>Men aged 40 years or older who talked to their health professional about the advantages</w:t>
            </w:r>
          </w:p>
        </w:tc>
        <w:tc>
          <w:tcPr>
            <w:tcW w:w="1548" w:type="pct"/>
          </w:tcPr>
          <w:p w:rsidR="004B20E5" w:rsidRPr="005C62F3" w:rsidRDefault="004B20E5" w:rsidP="00D24FA0">
            <w:pPr>
              <w:pStyle w:val="TableDataSource"/>
              <w:rPr>
                <w:szCs w:val="20"/>
              </w:rPr>
            </w:pPr>
            <w:r w:rsidRPr="005C62F3">
              <w:rPr>
                <w:szCs w:val="20"/>
              </w:rPr>
              <w:t>BRFSS, 2011</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Men aged 40 years or older who talked to their health professional about the disadvantages</w:t>
            </w:r>
          </w:p>
        </w:tc>
        <w:tc>
          <w:tcPr>
            <w:tcW w:w="1548" w:type="pct"/>
          </w:tcPr>
          <w:p w:rsidR="004B20E5" w:rsidRPr="005C62F3" w:rsidRDefault="004B20E5" w:rsidP="00D24FA0">
            <w:pPr>
              <w:pStyle w:val="TableDataSource"/>
              <w:rPr>
                <w:szCs w:val="20"/>
              </w:rPr>
            </w:pPr>
            <w:r w:rsidRPr="005C62F3">
              <w:rPr>
                <w:szCs w:val="20"/>
              </w:rPr>
              <w:t>BRFSS, 2011</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2.2</w:t>
            </w:r>
          </w:p>
        </w:tc>
        <w:tc>
          <w:tcPr>
            <w:tcW w:w="1117" w:type="pct"/>
            <w:tcBorders>
              <w:left w:val="nil"/>
            </w:tcBorders>
          </w:tcPr>
          <w:p w:rsidR="004B20E5" w:rsidRPr="005C62F3" w:rsidRDefault="004B20E5" w:rsidP="00D24FA0">
            <w:pPr>
              <w:pStyle w:val="TableOutcomeIndicator"/>
              <w:rPr>
                <w:szCs w:val="20"/>
              </w:rPr>
            </w:pPr>
            <w:r w:rsidRPr="005C62F3">
              <w:rPr>
                <w:szCs w:val="20"/>
              </w:rPr>
              <w:t>Colorectal Cancer</w:t>
            </w:r>
          </w:p>
        </w:tc>
        <w:tc>
          <w:tcPr>
            <w:tcW w:w="1801" w:type="pct"/>
          </w:tcPr>
          <w:p w:rsidR="004B20E5" w:rsidRPr="005C62F3" w:rsidRDefault="004B20E5" w:rsidP="00D24FA0">
            <w:pPr>
              <w:pStyle w:val="TableOutcomeIndicator"/>
              <w:rPr>
                <w:szCs w:val="20"/>
              </w:rPr>
            </w:pPr>
            <w:r w:rsidRPr="005C62F3">
              <w:rPr>
                <w:szCs w:val="20"/>
              </w:rPr>
              <w:t>Adults age 50-75 years who have had screening for colorectal cancer</w:t>
            </w:r>
          </w:p>
        </w:tc>
        <w:tc>
          <w:tcPr>
            <w:tcW w:w="1548" w:type="pct"/>
          </w:tcPr>
          <w:p w:rsidR="004B20E5" w:rsidRPr="005C62F3" w:rsidRDefault="004B20E5" w:rsidP="00D24FA0">
            <w:pPr>
              <w:pStyle w:val="TableDataSource"/>
              <w:rPr>
                <w:szCs w:val="20"/>
              </w:rPr>
            </w:pPr>
            <w:r w:rsidRPr="005C62F3">
              <w:rPr>
                <w:szCs w:val="20"/>
              </w:rPr>
              <w:t>Massachusetts Health Quality Partners (MHQP)</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2.3</w:t>
            </w:r>
          </w:p>
        </w:tc>
        <w:tc>
          <w:tcPr>
            <w:tcW w:w="1117" w:type="pct"/>
            <w:tcBorders>
              <w:left w:val="nil"/>
            </w:tcBorders>
          </w:tcPr>
          <w:p w:rsidR="004B20E5" w:rsidRPr="005C62F3" w:rsidRDefault="004B20E5" w:rsidP="00D24FA0">
            <w:pPr>
              <w:pStyle w:val="TableOutcomeIndicator"/>
              <w:rPr>
                <w:szCs w:val="20"/>
              </w:rPr>
            </w:pPr>
            <w:r w:rsidRPr="005C62F3">
              <w:rPr>
                <w:szCs w:val="20"/>
              </w:rPr>
              <w:t>Hypertension</w:t>
            </w:r>
          </w:p>
        </w:tc>
        <w:tc>
          <w:tcPr>
            <w:tcW w:w="1801" w:type="pct"/>
          </w:tcPr>
          <w:p w:rsidR="004B20E5" w:rsidRPr="005C62F3" w:rsidRDefault="004B20E5" w:rsidP="00D24FA0">
            <w:pPr>
              <w:pStyle w:val="TableOutcomeIndicator"/>
              <w:rPr>
                <w:szCs w:val="20"/>
              </w:rPr>
            </w:pPr>
            <w:r w:rsidRPr="005C62F3">
              <w:rPr>
                <w:szCs w:val="20"/>
              </w:rPr>
              <w:t>Adults with self-reported high blood pressure</w:t>
            </w:r>
          </w:p>
        </w:tc>
        <w:tc>
          <w:tcPr>
            <w:tcW w:w="1548" w:type="pct"/>
          </w:tcPr>
          <w:p w:rsidR="004B20E5" w:rsidRPr="005C62F3" w:rsidRDefault="004B20E5" w:rsidP="00D24FA0">
            <w:pPr>
              <w:pStyle w:val="TableDataSource"/>
              <w:rPr>
                <w:szCs w:val="20"/>
              </w:rPr>
            </w:pPr>
            <w:r w:rsidRPr="005C62F3">
              <w:rPr>
                <w:szCs w:val="20"/>
              </w:rPr>
              <w:t>BRFSS, 2011</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Adults with disabilities</w:t>
            </w:r>
            <w:r w:rsidR="00D9064A">
              <w:rPr>
                <w:szCs w:val="20"/>
              </w:rPr>
              <w:t xml:space="preserve"> </w:t>
            </w:r>
            <w:r w:rsidRPr="005C62F3">
              <w:rPr>
                <w:szCs w:val="20"/>
              </w:rPr>
              <w:t>with self-reported high blood pressure</w:t>
            </w:r>
          </w:p>
        </w:tc>
        <w:tc>
          <w:tcPr>
            <w:tcW w:w="1548" w:type="pct"/>
          </w:tcPr>
          <w:p w:rsidR="004B20E5" w:rsidRPr="005C62F3" w:rsidRDefault="004B20E5" w:rsidP="00D24FA0">
            <w:pPr>
              <w:pStyle w:val="TableDataSource"/>
              <w:rPr>
                <w:szCs w:val="20"/>
              </w:rPr>
            </w:pPr>
            <w:r w:rsidRPr="005C62F3">
              <w:rPr>
                <w:szCs w:val="20"/>
              </w:rPr>
              <w:t>BRFSS, 2011</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African American adults</w:t>
            </w:r>
            <w:r w:rsidR="00D9064A">
              <w:rPr>
                <w:szCs w:val="20"/>
              </w:rPr>
              <w:t xml:space="preserve"> </w:t>
            </w:r>
            <w:r w:rsidRPr="005C62F3">
              <w:rPr>
                <w:szCs w:val="20"/>
              </w:rPr>
              <w:t>with self-reported high blood pressure</w:t>
            </w:r>
          </w:p>
        </w:tc>
        <w:tc>
          <w:tcPr>
            <w:tcW w:w="1548" w:type="pct"/>
          </w:tcPr>
          <w:p w:rsidR="004B20E5" w:rsidRPr="005C62F3" w:rsidRDefault="004B20E5" w:rsidP="00D24FA0">
            <w:pPr>
              <w:pStyle w:val="TableDataSource"/>
              <w:rPr>
                <w:szCs w:val="20"/>
              </w:rPr>
            </w:pPr>
            <w:r w:rsidRPr="005C62F3">
              <w:rPr>
                <w:szCs w:val="20"/>
              </w:rPr>
              <w:t>BRFSS, 2011</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Adults with hypertension who have their hypertension in control</w:t>
            </w:r>
          </w:p>
        </w:tc>
        <w:tc>
          <w:tcPr>
            <w:tcW w:w="1548" w:type="pct"/>
          </w:tcPr>
          <w:p w:rsidR="004B20E5" w:rsidRPr="005C62F3" w:rsidRDefault="004B20E5" w:rsidP="00D24FA0">
            <w:pPr>
              <w:pStyle w:val="TableDataSource"/>
              <w:rPr>
                <w:szCs w:val="20"/>
              </w:rPr>
            </w:pPr>
            <w:r w:rsidRPr="005C62F3">
              <w:rPr>
                <w:szCs w:val="20"/>
              </w:rPr>
              <w:t>Massachusetts Health Quality Partners (MHQP)</w:t>
            </w:r>
          </w:p>
        </w:tc>
      </w:tr>
      <w:tr w:rsidR="004B20E5" w:rsidRPr="00693A8E"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2.4</w:t>
            </w:r>
          </w:p>
        </w:tc>
        <w:tc>
          <w:tcPr>
            <w:tcW w:w="1117" w:type="pct"/>
            <w:tcBorders>
              <w:left w:val="nil"/>
            </w:tcBorders>
          </w:tcPr>
          <w:p w:rsidR="004B20E5" w:rsidRPr="005C62F3" w:rsidRDefault="004B20E5" w:rsidP="00D24FA0">
            <w:pPr>
              <w:pStyle w:val="TableOutcomeIndicator"/>
              <w:rPr>
                <w:szCs w:val="20"/>
              </w:rPr>
            </w:pPr>
            <w:r w:rsidRPr="005C62F3">
              <w:rPr>
                <w:szCs w:val="20"/>
              </w:rPr>
              <w:t xml:space="preserve">Diabetes </w:t>
            </w:r>
          </w:p>
        </w:tc>
        <w:tc>
          <w:tcPr>
            <w:tcW w:w="1801" w:type="pct"/>
          </w:tcPr>
          <w:p w:rsidR="004B20E5" w:rsidRPr="005C62F3" w:rsidRDefault="004B20E5" w:rsidP="00D24FA0">
            <w:pPr>
              <w:pStyle w:val="TableOutcomeIndicator"/>
              <w:rPr>
                <w:szCs w:val="20"/>
              </w:rPr>
            </w:pPr>
            <w:r w:rsidRPr="005C62F3">
              <w:rPr>
                <w:color w:val="000000"/>
                <w:szCs w:val="20"/>
                <w:shd w:val="clear" w:color="auto" w:fill="FFFFFF"/>
              </w:rPr>
              <w:t>Adult patients with diabetes who had an A1c value greater than 9.0%.</w:t>
            </w:r>
          </w:p>
        </w:tc>
        <w:tc>
          <w:tcPr>
            <w:tcW w:w="1548" w:type="pct"/>
          </w:tcPr>
          <w:p w:rsidR="004B20E5" w:rsidRPr="005C62F3" w:rsidRDefault="004B20E5" w:rsidP="00D24FA0">
            <w:pPr>
              <w:pStyle w:val="TableDataSource"/>
              <w:rPr>
                <w:szCs w:val="20"/>
              </w:rPr>
            </w:pPr>
            <w:r w:rsidRPr="005C62F3">
              <w:rPr>
                <w:szCs w:val="20"/>
              </w:rPr>
              <w:t>Massachusetts Health Quality Partners (MHQP), PWTF data sources?</w:t>
            </w:r>
          </w:p>
        </w:tc>
      </w:tr>
      <w:tr w:rsidR="004B20E5" w:rsidRPr="00693A8E"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2.5</w:t>
            </w:r>
          </w:p>
        </w:tc>
        <w:tc>
          <w:tcPr>
            <w:tcW w:w="1117" w:type="pct"/>
            <w:tcBorders>
              <w:left w:val="nil"/>
            </w:tcBorders>
          </w:tcPr>
          <w:p w:rsidR="004B20E5" w:rsidRPr="005C62F3" w:rsidRDefault="004B20E5" w:rsidP="00D24FA0">
            <w:pPr>
              <w:pStyle w:val="TableOutcomeIndicator"/>
              <w:rPr>
                <w:szCs w:val="20"/>
              </w:rPr>
            </w:pPr>
            <w:r w:rsidRPr="005C62F3">
              <w:rPr>
                <w:szCs w:val="20"/>
              </w:rPr>
              <w:t>Pediatric Asthma</w:t>
            </w:r>
          </w:p>
        </w:tc>
        <w:tc>
          <w:tcPr>
            <w:tcW w:w="1801" w:type="pct"/>
          </w:tcPr>
          <w:p w:rsidR="004B20E5" w:rsidRPr="005C62F3" w:rsidRDefault="004B20E5" w:rsidP="00D24FA0">
            <w:pPr>
              <w:pStyle w:val="TableOutcomeIndicator"/>
              <w:rPr>
                <w:szCs w:val="20"/>
              </w:rPr>
            </w:pPr>
            <w:r w:rsidRPr="005C62F3">
              <w:rPr>
                <w:szCs w:val="20"/>
              </w:rPr>
              <w:t>At-Risk Rate of Pediatric Asthma Hospitalization Overall</w:t>
            </w:r>
          </w:p>
        </w:tc>
        <w:tc>
          <w:tcPr>
            <w:tcW w:w="1548" w:type="pct"/>
          </w:tcPr>
          <w:p w:rsidR="004B20E5" w:rsidRPr="005C62F3" w:rsidRDefault="004B20E5" w:rsidP="00D24FA0">
            <w:pPr>
              <w:pStyle w:val="TableDataSource"/>
              <w:rPr>
                <w:szCs w:val="20"/>
              </w:rPr>
            </w:pPr>
            <w:r w:rsidRPr="005C62F3">
              <w:rPr>
                <w:szCs w:val="20"/>
              </w:rPr>
              <w:t>BRFSS, Hospital Discharge 2011</w:t>
            </w:r>
          </w:p>
        </w:tc>
      </w:tr>
      <w:tr w:rsidR="004B20E5" w:rsidRPr="00693A8E"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At-Risk Rate of Pediatric Asthma Hospitalization, White Non-Hispanic</w:t>
            </w:r>
          </w:p>
        </w:tc>
        <w:tc>
          <w:tcPr>
            <w:tcW w:w="1548" w:type="pct"/>
          </w:tcPr>
          <w:p w:rsidR="004B20E5" w:rsidRPr="005C62F3" w:rsidRDefault="004B20E5" w:rsidP="00D24FA0">
            <w:pPr>
              <w:pStyle w:val="TableDataSource"/>
              <w:rPr>
                <w:szCs w:val="20"/>
              </w:rPr>
            </w:pPr>
            <w:r w:rsidRPr="005C62F3">
              <w:rPr>
                <w:szCs w:val="20"/>
              </w:rPr>
              <w:t>BRFSS, Hospital Discharge 2011</w:t>
            </w:r>
          </w:p>
        </w:tc>
      </w:tr>
      <w:tr w:rsidR="004B20E5" w:rsidRPr="00693A8E"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Ratio At-Risk Rate of Pediatric Asthma Hospitalization, Black Non-Hispanic</w:t>
            </w:r>
          </w:p>
        </w:tc>
        <w:tc>
          <w:tcPr>
            <w:tcW w:w="1548" w:type="pct"/>
          </w:tcPr>
          <w:p w:rsidR="004B20E5" w:rsidRPr="005C62F3" w:rsidRDefault="004B20E5" w:rsidP="00D24FA0">
            <w:pPr>
              <w:pStyle w:val="TableDataSource"/>
              <w:rPr>
                <w:szCs w:val="20"/>
              </w:rPr>
            </w:pPr>
            <w:r w:rsidRPr="005C62F3">
              <w:rPr>
                <w:szCs w:val="20"/>
              </w:rPr>
              <w:t>BRFSS, Hospital Discharge 2011</w:t>
            </w:r>
          </w:p>
        </w:tc>
      </w:tr>
      <w:tr w:rsidR="004B20E5" w:rsidRPr="00693A8E"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Ratio At-Risk Rate of Pediatric Asthma Hospitalization, Hispanic to At-risk rate for White Non-Hispanic</w:t>
            </w:r>
          </w:p>
        </w:tc>
        <w:tc>
          <w:tcPr>
            <w:tcW w:w="1548" w:type="pct"/>
          </w:tcPr>
          <w:p w:rsidR="004B20E5" w:rsidRPr="005C62F3" w:rsidRDefault="004B20E5" w:rsidP="00D24FA0">
            <w:pPr>
              <w:pStyle w:val="TableDataSource"/>
              <w:rPr>
                <w:szCs w:val="20"/>
              </w:rPr>
            </w:pPr>
            <w:r w:rsidRPr="005C62F3">
              <w:rPr>
                <w:szCs w:val="20"/>
              </w:rPr>
              <w:t>BRFSS, Hospital Discharge 2011</w:t>
            </w:r>
          </w:p>
        </w:tc>
      </w:tr>
      <w:tr w:rsidR="004B20E5" w:rsidRPr="00693A8E"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2.6</w:t>
            </w:r>
          </w:p>
        </w:tc>
        <w:tc>
          <w:tcPr>
            <w:tcW w:w="1117" w:type="pct"/>
            <w:tcBorders>
              <w:left w:val="nil"/>
            </w:tcBorders>
          </w:tcPr>
          <w:p w:rsidR="004B20E5" w:rsidRPr="005C62F3" w:rsidRDefault="004B20E5" w:rsidP="00D24FA0">
            <w:pPr>
              <w:pStyle w:val="TableOutcomeIndicator"/>
              <w:rPr>
                <w:szCs w:val="20"/>
              </w:rPr>
            </w:pPr>
            <w:r w:rsidRPr="005C62F3">
              <w:rPr>
                <w:szCs w:val="20"/>
              </w:rPr>
              <w:t>Obesity</w:t>
            </w:r>
          </w:p>
        </w:tc>
        <w:tc>
          <w:tcPr>
            <w:tcW w:w="1801" w:type="pct"/>
          </w:tcPr>
          <w:p w:rsidR="004B20E5" w:rsidRPr="005C62F3" w:rsidRDefault="004B20E5" w:rsidP="00D24FA0">
            <w:pPr>
              <w:pStyle w:val="TableOutcomeIndicator"/>
              <w:rPr>
                <w:szCs w:val="20"/>
              </w:rPr>
            </w:pPr>
            <w:r w:rsidRPr="005C62F3">
              <w:rPr>
                <w:szCs w:val="20"/>
              </w:rPr>
              <w:t>Adults with a self-reported BMI ≥ 30</w:t>
            </w:r>
          </w:p>
        </w:tc>
        <w:tc>
          <w:tcPr>
            <w:tcW w:w="1548" w:type="pct"/>
          </w:tcPr>
          <w:p w:rsidR="004B20E5" w:rsidRPr="005C62F3" w:rsidRDefault="004B20E5" w:rsidP="00D24FA0">
            <w:pPr>
              <w:pStyle w:val="TableDataSource"/>
              <w:rPr>
                <w:szCs w:val="20"/>
              </w:rPr>
            </w:pPr>
            <w:r w:rsidRPr="005C62F3">
              <w:rPr>
                <w:szCs w:val="20"/>
              </w:rPr>
              <w:t>BRFSS</w:t>
            </w:r>
          </w:p>
        </w:tc>
      </w:tr>
      <w:tr w:rsidR="004B20E5" w:rsidRPr="00693A8E"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Massachusetts public school students in grades 1, 4, 7 or 10 who were screened for BMI and had a BMI ≥ 30</w:t>
            </w:r>
          </w:p>
        </w:tc>
        <w:tc>
          <w:tcPr>
            <w:tcW w:w="1548" w:type="pct"/>
          </w:tcPr>
          <w:p w:rsidR="004B20E5" w:rsidRPr="005C62F3" w:rsidRDefault="004B20E5" w:rsidP="00D24FA0">
            <w:pPr>
              <w:pStyle w:val="TableDataSource"/>
              <w:rPr>
                <w:szCs w:val="20"/>
              </w:rPr>
            </w:pPr>
            <w:r w:rsidRPr="005C62F3">
              <w:rPr>
                <w:szCs w:val="20"/>
              </w:rPr>
              <w:t>Body Mass Index Screening in Massachusetts Public School Districts</w:t>
            </w:r>
          </w:p>
        </w:tc>
      </w:tr>
      <w:tr w:rsidR="004B20E5" w:rsidTr="005C62F3">
        <w:trPr>
          <w:cantSplit/>
        </w:trPr>
        <w:tc>
          <w:tcPr>
            <w:tcW w:w="5000" w:type="pct"/>
            <w:gridSpan w:val="4"/>
          </w:tcPr>
          <w:p w:rsidR="004B20E5" w:rsidRPr="005C62F3" w:rsidRDefault="004B20E5" w:rsidP="00D24FA0">
            <w:pPr>
              <w:pStyle w:val="TableTitleTargetDataSource"/>
              <w:rPr>
                <w:szCs w:val="20"/>
              </w:rPr>
            </w:pPr>
            <w:r w:rsidRPr="005C62F3">
              <w:rPr>
                <w:szCs w:val="20"/>
              </w:rPr>
              <w:t>Domain 3:  Infectious Disease Prevention and Control</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3.1</w:t>
            </w:r>
          </w:p>
        </w:tc>
        <w:tc>
          <w:tcPr>
            <w:tcW w:w="1117" w:type="pct"/>
            <w:tcBorders>
              <w:left w:val="nil"/>
            </w:tcBorders>
          </w:tcPr>
          <w:p w:rsidR="004B20E5" w:rsidRPr="005C62F3" w:rsidRDefault="004B20E5" w:rsidP="00D24FA0">
            <w:pPr>
              <w:pStyle w:val="TableOutcomeIndicator"/>
              <w:rPr>
                <w:szCs w:val="20"/>
              </w:rPr>
            </w:pPr>
            <w:r w:rsidRPr="005C62F3">
              <w:rPr>
                <w:szCs w:val="20"/>
              </w:rPr>
              <w:t>Vaccine preventable disease and immunization rates</w:t>
            </w:r>
          </w:p>
        </w:tc>
        <w:tc>
          <w:tcPr>
            <w:tcW w:w="1801" w:type="pct"/>
          </w:tcPr>
          <w:p w:rsidR="004B20E5" w:rsidRPr="005C62F3" w:rsidRDefault="004B20E5" w:rsidP="00401CF4">
            <w:pPr>
              <w:pStyle w:val="TableOutcomeIndicator"/>
              <w:rPr>
                <w:szCs w:val="20"/>
              </w:rPr>
            </w:pPr>
            <w:r w:rsidRPr="005C62F3">
              <w:rPr>
                <w:szCs w:val="20"/>
              </w:rPr>
              <w:t>Annual pertussis cases</w:t>
            </w:r>
          </w:p>
        </w:tc>
        <w:tc>
          <w:tcPr>
            <w:tcW w:w="1548" w:type="pct"/>
          </w:tcPr>
          <w:p w:rsidR="004B20E5" w:rsidRPr="005C62F3" w:rsidRDefault="004B20E5" w:rsidP="00D24FA0">
            <w:pPr>
              <w:pStyle w:val="TableDataSource"/>
              <w:rPr>
                <w:szCs w:val="20"/>
              </w:rPr>
            </w:pPr>
            <w:r w:rsidRPr="005C62F3">
              <w:rPr>
                <w:szCs w:val="20"/>
              </w:rPr>
              <w:t>MDPH BID Immunization Program 2012</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401CF4">
            <w:pPr>
              <w:pStyle w:val="TableOutcomeIndicator"/>
              <w:rPr>
                <w:szCs w:val="20"/>
              </w:rPr>
            </w:pPr>
            <w:r w:rsidRPr="005C62F3">
              <w:rPr>
                <w:szCs w:val="20"/>
              </w:rPr>
              <w:t>Annual invasive pneumococcal disease  in children &lt;5 years</w:t>
            </w:r>
          </w:p>
        </w:tc>
        <w:tc>
          <w:tcPr>
            <w:tcW w:w="1548" w:type="pct"/>
          </w:tcPr>
          <w:p w:rsidR="004B20E5" w:rsidRPr="005C62F3" w:rsidRDefault="004B20E5" w:rsidP="00D24FA0">
            <w:pPr>
              <w:pStyle w:val="TableDataSource"/>
              <w:rPr>
                <w:szCs w:val="20"/>
              </w:rPr>
            </w:pPr>
            <w:r w:rsidRPr="005C62F3">
              <w:rPr>
                <w:szCs w:val="20"/>
              </w:rPr>
              <w:t>MDPH BID Immunization Program 2012</w:t>
            </w:r>
          </w:p>
        </w:tc>
      </w:tr>
      <w:tr w:rsidR="004B20E5" w:rsidRPr="009256AC"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1B59EB">
            <w:pPr>
              <w:pStyle w:val="TableOutcomeIndicator"/>
              <w:rPr>
                <w:szCs w:val="20"/>
              </w:rPr>
            </w:pPr>
            <w:r w:rsidRPr="005C62F3">
              <w:rPr>
                <w:szCs w:val="20"/>
              </w:rPr>
              <w:t>Percentage of 19-35 month olds who receive</w:t>
            </w:r>
            <w:r w:rsidR="00D9064A">
              <w:rPr>
                <w:szCs w:val="20"/>
              </w:rPr>
              <w:t xml:space="preserve"> </w:t>
            </w:r>
            <w:r w:rsidRPr="005C62F3">
              <w:rPr>
                <w:szCs w:val="20"/>
              </w:rPr>
              <w:t>recommended doses of DTaP, polio, MMR, Hib, hepatitis B, varicella, and pneumococcal vaccine (4:3:1:4:3:1:4 series)</w:t>
            </w:r>
          </w:p>
        </w:tc>
        <w:tc>
          <w:tcPr>
            <w:tcW w:w="1548" w:type="pct"/>
          </w:tcPr>
          <w:p w:rsidR="004B20E5" w:rsidRPr="005C62F3" w:rsidRDefault="004B20E5" w:rsidP="00D24FA0">
            <w:pPr>
              <w:pStyle w:val="TableDataSource"/>
              <w:rPr>
                <w:szCs w:val="20"/>
              </w:rPr>
            </w:pPr>
            <w:r w:rsidRPr="005C62F3">
              <w:rPr>
                <w:szCs w:val="20"/>
              </w:rPr>
              <w:t xml:space="preserve">CDC National Immunization Survey 2012 </w:t>
            </w:r>
          </w:p>
        </w:tc>
      </w:tr>
      <w:tr w:rsidR="004B20E5" w:rsidRPr="00644FFB"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MA residents &gt; 6 months of age who receive an annual influenza vaccine</w:t>
            </w:r>
          </w:p>
        </w:tc>
        <w:tc>
          <w:tcPr>
            <w:tcW w:w="1548" w:type="pct"/>
          </w:tcPr>
          <w:p w:rsidR="004B20E5" w:rsidRPr="005C62F3" w:rsidRDefault="004B20E5" w:rsidP="00D24FA0">
            <w:pPr>
              <w:pStyle w:val="TableDataSource"/>
              <w:rPr>
                <w:szCs w:val="20"/>
              </w:rPr>
            </w:pPr>
            <w:r w:rsidRPr="005C62F3">
              <w:rPr>
                <w:szCs w:val="20"/>
              </w:rPr>
              <w:t>CDC National Immunization Survey 2012 and MDPH BRFSS 2011`-2012</w:t>
            </w:r>
          </w:p>
        </w:tc>
      </w:tr>
      <w:tr w:rsidR="004B20E5" w:rsidRPr="00644FFB"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MA adults 18-49 years old with underlying conditions who receive annual influenza vaccine</w:t>
            </w:r>
          </w:p>
        </w:tc>
        <w:tc>
          <w:tcPr>
            <w:tcW w:w="1548" w:type="pct"/>
          </w:tcPr>
          <w:p w:rsidR="004B20E5" w:rsidRPr="005C62F3" w:rsidRDefault="004B20E5" w:rsidP="00D24FA0">
            <w:pPr>
              <w:pStyle w:val="TableDataSource"/>
              <w:rPr>
                <w:szCs w:val="20"/>
              </w:rPr>
            </w:pPr>
            <w:r w:rsidRPr="005C62F3">
              <w:rPr>
                <w:szCs w:val="20"/>
              </w:rPr>
              <w:t>MDPH BRFSS 2011</w:t>
            </w:r>
          </w:p>
        </w:tc>
      </w:tr>
      <w:tr w:rsidR="004B20E5" w:rsidRPr="00644FFB"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401CF4">
            <w:pPr>
              <w:pStyle w:val="TableOutcomeIndicator"/>
              <w:rPr>
                <w:szCs w:val="20"/>
              </w:rPr>
            </w:pPr>
            <w:r w:rsidRPr="005C62F3">
              <w:rPr>
                <w:szCs w:val="20"/>
              </w:rPr>
              <w:t>MA adults 65 and older who receive annual influenza vaccine</w:t>
            </w:r>
          </w:p>
        </w:tc>
        <w:tc>
          <w:tcPr>
            <w:tcW w:w="1548" w:type="pct"/>
          </w:tcPr>
          <w:p w:rsidR="004B20E5" w:rsidRPr="005C62F3" w:rsidRDefault="004B20E5" w:rsidP="00D24FA0">
            <w:pPr>
              <w:pStyle w:val="TableDataSource"/>
              <w:rPr>
                <w:szCs w:val="20"/>
              </w:rPr>
            </w:pPr>
            <w:r w:rsidRPr="005C62F3">
              <w:rPr>
                <w:szCs w:val="20"/>
              </w:rPr>
              <w:t>MDPH BRFSS 2011</w:t>
            </w:r>
          </w:p>
        </w:tc>
      </w:tr>
      <w:tr w:rsidR="004B20E5" w:rsidRPr="00644FFB"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1B59EB">
            <w:pPr>
              <w:pStyle w:val="TableOutcomeIndicator"/>
              <w:rPr>
                <w:szCs w:val="20"/>
              </w:rPr>
            </w:pPr>
            <w:r w:rsidRPr="005C62F3">
              <w:rPr>
                <w:szCs w:val="20"/>
              </w:rPr>
              <w:t>Rate of complete HPV vaccination among MA females 13-17 years old</w:t>
            </w:r>
          </w:p>
        </w:tc>
        <w:tc>
          <w:tcPr>
            <w:tcW w:w="1548" w:type="pct"/>
          </w:tcPr>
          <w:p w:rsidR="004B20E5" w:rsidRPr="005C62F3" w:rsidRDefault="004B20E5" w:rsidP="00D24FA0">
            <w:pPr>
              <w:pStyle w:val="TableDataSource"/>
              <w:rPr>
                <w:szCs w:val="20"/>
              </w:rPr>
            </w:pPr>
            <w:r w:rsidRPr="005C62F3">
              <w:rPr>
                <w:szCs w:val="20"/>
              </w:rPr>
              <w:t xml:space="preserve">CDC National Immunization Survey 2012 </w:t>
            </w:r>
          </w:p>
        </w:tc>
      </w:tr>
      <w:tr w:rsidR="004B20E5" w:rsidRPr="00644FFB"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Del="00401CF4" w:rsidRDefault="004B20E5" w:rsidP="00D24FA0">
            <w:pPr>
              <w:pStyle w:val="TableOutcomeIndicator"/>
              <w:rPr>
                <w:szCs w:val="20"/>
              </w:rPr>
            </w:pPr>
            <w:r w:rsidRPr="005C62F3">
              <w:rPr>
                <w:szCs w:val="20"/>
              </w:rPr>
              <w:t>Flu vaccine rates among healthcare workers</w:t>
            </w:r>
          </w:p>
        </w:tc>
        <w:tc>
          <w:tcPr>
            <w:tcW w:w="1548" w:type="pct"/>
          </w:tcPr>
          <w:p w:rsidR="004B20E5" w:rsidRPr="005C62F3" w:rsidRDefault="004B20E5" w:rsidP="00D24FA0">
            <w:pPr>
              <w:pStyle w:val="TableDataSource"/>
              <w:rPr>
                <w:szCs w:val="20"/>
              </w:rPr>
            </w:pPr>
            <w:r w:rsidRPr="005C62F3">
              <w:rPr>
                <w:szCs w:val="20"/>
              </w:rPr>
              <w:t>National Healthcare Safety Network (NHSN)</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3.2</w:t>
            </w:r>
          </w:p>
        </w:tc>
        <w:tc>
          <w:tcPr>
            <w:tcW w:w="1117" w:type="pct"/>
            <w:tcBorders>
              <w:left w:val="nil"/>
            </w:tcBorders>
          </w:tcPr>
          <w:p w:rsidR="004B20E5" w:rsidRPr="005C62F3" w:rsidRDefault="004B20E5" w:rsidP="00D24FA0">
            <w:pPr>
              <w:pStyle w:val="TableOutcomeIndicator"/>
              <w:rPr>
                <w:szCs w:val="20"/>
              </w:rPr>
            </w:pPr>
            <w:r w:rsidRPr="005C62F3">
              <w:rPr>
                <w:szCs w:val="20"/>
              </w:rPr>
              <w:t>Lyme disease</w:t>
            </w:r>
          </w:p>
        </w:tc>
        <w:tc>
          <w:tcPr>
            <w:tcW w:w="1801" w:type="pct"/>
          </w:tcPr>
          <w:p w:rsidR="004B20E5" w:rsidRPr="005C62F3" w:rsidRDefault="004B20E5" w:rsidP="00D24FA0">
            <w:pPr>
              <w:pStyle w:val="TableOutcomeIndicator"/>
              <w:rPr>
                <w:szCs w:val="20"/>
              </w:rPr>
            </w:pPr>
            <w:r w:rsidRPr="005C62F3">
              <w:rPr>
                <w:szCs w:val="20"/>
              </w:rPr>
              <w:t>Lyme disease reported among children under the age of 19</w:t>
            </w:r>
          </w:p>
        </w:tc>
        <w:tc>
          <w:tcPr>
            <w:tcW w:w="1548" w:type="pct"/>
          </w:tcPr>
          <w:p w:rsidR="004B20E5" w:rsidRPr="005C62F3" w:rsidRDefault="004B20E5" w:rsidP="00D24FA0">
            <w:pPr>
              <w:pStyle w:val="TableDataSource"/>
              <w:rPr>
                <w:szCs w:val="20"/>
              </w:rPr>
            </w:pPr>
            <w:r w:rsidRPr="005C62F3">
              <w:rPr>
                <w:szCs w:val="20"/>
              </w:rPr>
              <w:t>MDPH BID Epidemiology Program 2012</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3.3</w:t>
            </w:r>
          </w:p>
        </w:tc>
        <w:tc>
          <w:tcPr>
            <w:tcW w:w="1117" w:type="pct"/>
            <w:tcBorders>
              <w:left w:val="nil"/>
            </w:tcBorders>
          </w:tcPr>
          <w:p w:rsidR="004B20E5" w:rsidRPr="005C62F3" w:rsidRDefault="004B20E5" w:rsidP="00D24FA0">
            <w:pPr>
              <w:pStyle w:val="TableOutcomeIndicator"/>
              <w:rPr>
                <w:szCs w:val="20"/>
              </w:rPr>
            </w:pPr>
            <w:r w:rsidRPr="005C62F3">
              <w:rPr>
                <w:szCs w:val="20"/>
              </w:rPr>
              <w:t>Sexually transmitted infections</w:t>
            </w:r>
          </w:p>
        </w:tc>
        <w:tc>
          <w:tcPr>
            <w:tcW w:w="1801" w:type="pct"/>
          </w:tcPr>
          <w:p w:rsidR="004B20E5" w:rsidRPr="005C62F3" w:rsidRDefault="004B20E5" w:rsidP="00401CF4">
            <w:pPr>
              <w:pStyle w:val="TableOutcomeIndicator"/>
              <w:rPr>
                <w:szCs w:val="20"/>
              </w:rPr>
            </w:pPr>
            <w:r w:rsidRPr="005C62F3">
              <w:rPr>
                <w:szCs w:val="20"/>
              </w:rPr>
              <w:t>Chlamydia incidence among adults and adolescents</w:t>
            </w:r>
          </w:p>
        </w:tc>
        <w:tc>
          <w:tcPr>
            <w:tcW w:w="1548" w:type="pct"/>
          </w:tcPr>
          <w:p w:rsidR="004B20E5" w:rsidRPr="005C62F3" w:rsidRDefault="004B20E5" w:rsidP="00D24FA0">
            <w:pPr>
              <w:pStyle w:val="TableDataSource"/>
              <w:rPr>
                <w:szCs w:val="20"/>
              </w:rPr>
            </w:pPr>
            <w:r w:rsidRPr="005C62F3">
              <w:rPr>
                <w:szCs w:val="20"/>
              </w:rPr>
              <w:t xml:space="preserve">MDPH BID STD Surveillance Program 2011. </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026B95">
            <w:pPr>
              <w:pStyle w:val="TableOutcomeIndicator"/>
              <w:rPr>
                <w:szCs w:val="20"/>
              </w:rPr>
            </w:pPr>
            <w:r w:rsidRPr="005C62F3">
              <w:rPr>
                <w:szCs w:val="20"/>
              </w:rPr>
              <w:t xml:space="preserve">Gonorrhea incidence </w:t>
            </w:r>
          </w:p>
        </w:tc>
        <w:tc>
          <w:tcPr>
            <w:tcW w:w="1548" w:type="pct"/>
          </w:tcPr>
          <w:p w:rsidR="004B20E5" w:rsidRPr="005C62F3" w:rsidRDefault="004B20E5" w:rsidP="00D24FA0">
            <w:pPr>
              <w:pStyle w:val="TableDataSource"/>
              <w:rPr>
                <w:szCs w:val="20"/>
              </w:rPr>
            </w:pPr>
            <w:r w:rsidRPr="005C62F3">
              <w:rPr>
                <w:szCs w:val="20"/>
              </w:rPr>
              <w:t>MDPH BID STD Surveillance Program 2011.</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026B95">
            <w:pPr>
              <w:pStyle w:val="TableOutcomeIndicator"/>
              <w:rPr>
                <w:szCs w:val="20"/>
              </w:rPr>
            </w:pPr>
            <w:r w:rsidRPr="005C62F3">
              <w:rPr>
                <w:szCs w:val="20"/>
              </w:rPr>
              <w:t xml:space="preserve">Gonorrhea incidence among Blacks - </w:t>
            </w:r>
          </w:p>
        </w:tc>
        <w:tc>
          <w:tcPr>
            <w:tcW w:w="1548" w:type="pct"/>
          </w:tcPr>
          <w:p w:rsidR="004B20E5" w:rsidRPr="005C62F3" w:rsidRDefault="004B20E5" w:rsidP="00D24FA0">
            <w:pPr>
              <w:pStyle w:val="TableDataSource"/>
              <w:rPr>
                <w:szCs w:val="20"/>
              </w:rPr>
            </w:pPr>
            <w:r w:rsidRPr="005C62F3">
              <w:rPr>
                <w:szCs w:val="20"/>
              </w:rPr>
              <w:t>MDPH BID STD Surveillance Program 2011.</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026B95">
            <w:pPr>
              <w:pStyle w:val="TableOutcomeIndicator"/>
              <w:rPr>
                <w:szCs w:val="20"/>
              </w:rPr>
            </w:pPr>
            <w:r w:rsidRPr="005C62F3">
              <w:rPr>
                <w:szCs w:val="20"/>
              </w:rPr>
              <w:t>Gonorrhea incidence among Hispanics/Latinos</w:t>
            </w:r>
          </w:p>
        </w:tc>
        <w:tc>
          <w:tcPr>
            <w:tcW w:w="1548" w:type="pct"/>
          </w:tcPr>
          <w:p w:rsidR="004B20E5" w:rsidRPr="005C62F3" w:rsidRDefault="004B20E5" w:rsidP="00D24FA0">
            <w:pPr>
              <w:pStyle w:val="TableDataSource"/>
              <w:rPr>
                <w:szCs w:val="20"/>
              </w:rPr>
            </w:pPr>
            <w:r w:rsidRPr="005C62F3">
              <w:rPr>
                <w:szCs w:val="20"/>
              </w:rPr>
              <w:t>MDPH BID STD Surveillance Program 2011.</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Syphilis incidence among men who have sex with men (MSM)</w:t>
            </w:r>
          </w:p>
        </w:tc>
        <w:tc>
          <w:tcPr>
            <w:tcW w:w="1548" w:type="pct"/>
          </w:tcPr>
          <w:p w:rsidR="004B20E5" w:rsidRPr="005C62F3" w:rsidRDefault="004B20E5" w:rsidP="00D24FA0">
            <w:pPr>
              <w:pStyle w:val="TableDataSource"/>
              <w:rPr>
                <w:szCs w:val="20"/>
              </w:rPr>
            </w:pPr>
            <w:r w:rsidRPr="005C62F3">
              <w:rPr>
                <w:szCs w:val="20"/>
              </w:rPr>
              <w:t>MDPH BID STD Surveillance Program 2011.</w:t>
            </w:r>
          </w:p>
        </w:tc>
      </w:tr>
      <w:tr w:rsidR="004B20E5" w:rsidRPr="004469F3"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3.4</w:t>
            </w:r>
          </w:p>
        </w:tc>
        <w:tc>
          <w:tcPr>
            <w:tcW w:w="1117" w:type="pct"/>
            <w:tcBorders>
              <w:left w:val="nil"/>
            </w:tcBorders>
          </w:tcPr>
          <w:p w:rsidR="004B20E5" w:rsidRPr="005C62F3" w:rsidRDefault="004B20E5" w:rsidP="00D24FA0">
            <w:pPr>
              <w:pStyle w:val="TableOutcomeIndicator"/>
              <w:rPr>
                <w:szCs w:val="20"/>
              </w:rPr>
            </w:pPr>
            <w:r w:rsidRPr="005C62F3">
              <w:rPr>
                <w:szCs w:val="20"/>
              </w:rPr>
              <w:t>HIV Infections</w:t>
            </w:r>
          </w:p>
        </w:tc>
        <w:tc>
          <w:tcPr>
            <w:tcW w:w="1801" w:type="pct"/>
          </w:tcPr>
          <w:p w:rsidR="004B20E5" w:rsidRPr="005C62F3" w:rsidRDefault="004B20E5" w:rsidP="00D24FA0">
            <w:pPr>
              <w:pStyle w:val="TableOutcomeIndicator"/>
              <w:rPr>
                <w:szCs w:val="20"/>
              </w:rPr>
            </w:pPr>
            <w:r w:rsidRPr="005C62F3">
              <w:rPr>
                <w:szCs w:val="20"/>
              </w:rPr>
              <w:t>Overall</w:t>
            </w:r>
          </w:p>
        </w:tc>
        <w:tc>
          <w:tcPr>
            <w:tcW w:w="1548" w:type="pct"/>
          </w:tcPr>
          <w:p w:rsidR="004B20E5" w:rsidRPr="005C62F3" w:rsidRDefault="004B20E5" w:rsidP="00D24FA0">
            <w:pPr>
              <w:pStyle w:val="TableDataSource"/>
              <w:rPr>
                <w:szCs w:val="20"/>
              </w:rPr>
            </w:pPr>
            <w:r w:rsidRPr="005C62F3">
              <w:rPr>
                <w:szCs w:val="20"/>
              </w:rPr>
              <w:t>MDPH HIV/AIDS Surveillance Program 2012.</w:t>
            </w:r>
          </w:p>
        </w:tc>
      </w:tr>
      <w:tr w:rsidR="004B20E5" w:rsidRPr="004469F3" w:rsidTr="005C62F3">
        <w:trPr>
          <w:cantSplit/>
        </w:trPr>
        <w:tc>
          <w:tcPr>
            <w:tcW w:w="534" w:type="pct"/>
            <w:tcBorders>
              <w:right w:val="nil"/>
            </w:tcBorders>
          </w:tcPr>
          <w:p w:rsidR="004B20E5" w:rsidRPr="005C62F3" w:rsidRDefault="004B20E5" w:rsidP="001B59EB">
            <w:pPr>
              <w:pStyle w:val="TableOutcomeIndicator"/>
              <w:rPr>
                <w:szCs w:val="20"/>
              </w:rPr>
            </w:pPr>
          </w:p>
        </w:tc>
        <w:tc>
          <w:tcPr>
            <w:tcW w:w="1117" w:type="pct"/>
            <w:tcBorders>
              <w:left w:val="nil"/>
            </w:tcBorders>
          </w:tcPr>
          <w:p w:rsidR="004B20E5" w:rsidRPr="005C62F3" w:rsidRDefault="004B20E5" w:rsidP="001B59EB">
            <w:pPr>
              <w:pStyle w:val="TableOutcomeIndicator"/>
              <w:rPr>
                <w:szCs w:val="20"/>
              </w:rPr>
            </w:pPr>
          </w:p>
        </w:tc>
        <w:tc>
          <w:tcPr>
            <w:tcW w:w="1801" w:type="pct"/>
            <w:vAlign w:val="center"/>
          </w:tcPr>
          <w:p w:rsidR="004B20E5" w:rsidRPr="005C62F3" w:rsidRDefault="004B20E5" w:rsidP="001B59EB">
            <w:pPr>
              <w:rPr>
                <w:sz w:val="20"/>
                <w:szCs w:val="20"/>
              </w:rPr>
            </w:pPr>
            <w:r w:rsidRPr="005C62F3">
              <w:rPr>
                <w:sz w:val="20"/>
                <w:szCs w:val="20"/>
              </w:rPr>
              <w:t>New HIV cases among men who have sex with men</w:t>
            </w:r>
          </w:p>
          <w:p w:rsidR="004B20E5" w:rsidRPr="005C62F3" w:rsidRDefault="004B20E5" w:rsidP="001B59EB">
            <w:pPr>
              <w:pStyle w:val="TableOutcomeIndicator"/>
              <w:rPr>
                <w:szCs w:val="20"/>
              </w:rPr>
            </w:pPr>
          </w:p>
        </w:tc>
        <w:tc>
          <w:tcPr>
            <w:tcW w:w="1548" w:type="pct"/>
          </w:tcPr>
          <w:p w:rsidR="004B20E5" w:rsidRPr="005C62F3" w:rsidRDefault="004B20E5" w:rsidP="005C62F3">
            <w:pPr>
              <w:keepNext/>
              <w:rPr>
                <w:rFonts w:cs="Arial"/>
                <w:i/>
                <w:sz w:val="20"/>
                <w:szCs w:val="20"/>
              </w:rPr>
            </w:pPr>
            <w:r w:rsidRPr="005C62F3">
              <w:rPr>
                <w:rFonts w:cs="Arial"/>
                <w:i/>
                <w:sz w:val="20"/>
                <w:szCs w:val="20"/>
              </w:rPr>
              <w:t>MDPH HIV/AIDS Surveillance Program 2012</w:t>
            </w:r>
          </w:p>
          <w:p w:rsidR="004B20E5" w:rsidRPr="005C62F3" w:rsidRDefault="004B20E5" w:rsidP="001B59EB">
            <w:pPr>
              <w:pStyle w:val="TableDataSource"/>
              <w:rPr>
                <w:szCs w:val="20"/>
              </w:rPr>
            </w:pPr>
          </w:p>
        </w:tc>
      </w:tr>
      <w:tr w:rsidR="004B20E5" w:rsidRPr="004469F3" w:rsidTr="005C62F3">
        <w:trPr>
          <w:cantSplit/>
        </w:trPr>
        <w:tc>
          <w:tcPr>
            <w:tcW w:w="534" w:type="pct"/>
            <w:tcBorders>
              <w:right w:val="nil"/>
            </w:tcBorders>
          </w:tcPr>
          <w:p w:rsidR="004B20E5" w:rsidRPr="005C62F3" w:rsidRDefault="004B20E5" w:rsidP="001B59EB">
            <w:pPr>
              <w:pStyle w:val="TableOutcomeIndicator"/>
              <w:rPr>
                <w:szCs w:val="20"/>
              </w:rPr>
            </w:pPr>
          </w:p>
        </w:tc>
        <w:tc>
          <w:tcPr>
            <w:tcW w:w="1117" w:type="pct"/>
            <w:tcBorders>
              <w:left w:val="nil"/>
            </w:tcBorders>
          </w:tcPr>
          <w:p w:rsidR="004B20E5" w:rsidRPr="005C62F3" w:rsidRDefault="004B20E5" w:rsidP="001B59EB">
            <w:pPr>
              <w:pStyle w:val="TableOutcomeIndicator"/>
              <w:rPr>
                <w:szCs w:val="20"/>
              </w:rPr>
            </w:pPr>
          </w:p>
        </w:tc>
        <w:tc>
          <w:tcPr>
            <w:tcW w:w="1801" w:type="pct"/>
            <w:vAlign w:val="center"/>
          </w:tcPr>
          <w:p w:rsidR="004B20E5" w:rsidRPr="005C62F3" w:rsidRDefault="004B20E5" w:rsidP="001B59EB">
            <w:pPr>
              <w:rPr>
                <w:sz w:val="20"/>
                <w:szCs w:val="20"/>
              </w:rPr>
            </w:pPr>
            <w:r w:rsidRPr="005C62F3">
              <w:rPr>
                <w:sz w:val="20"/>
                <w:szCs w:val="20"/>
              </w:rPr>
              <w:t>Relative rate of new HIV infections among</w:t>
            </w:r>
            <w:r w:rsidR="00D9064A">
              <w:rPr>
                <w:sz w:val="20"/>
                <w:szCs w:val="20"/>
              </w:rPr>
              <w:t xml:space="preserve"> </w:t>
            </w:r>
            <w:r w:rsidRPr="005C62F3">
              <w:rPr>
                <w:sz w:val="20"/>
                <w:szCs w:val="20"/>
              </w:rPr>
              <w:t>Black, non-Hispanic vs.  White, Non-Hispanic</w:t>
            </w:r>
          </w:p>
          <w:p w:rsidR="004B20E5" w:rsidRPr="005C62F3" w:rsidRDefault="004B20E5" w:rsidP="001B59EB">
            <w:pPr>
              <w:pStyle w:val="TableOutcomeIndicator"/>
              <w:rPr>
                <w:szCs w:val="20"/>
              </w:rPr>
            </w:pPr>
          </w:p>
        </w:tc>
        <w:tc>
          <w:tcPr>
            <w:tcW w:w="1548" w:type="pct"/>
          </w:tcPr>
          <w:p w:rsidR="004B20E5" w:rsidRPr="005C62F3" w:rsidRDefault="004B20E5" w:rsidP="001B59EB">
            <w:pPr>
              <w:pStyle w:val="TableDataSource"/>
              <w:rPr>
                <w:szCs w:val="20"/>
              </w:rPr>
            </w:pPr>
            <w:r w:rsidRPr="005C62F3">
              <w:rPr>
                <w:szCs w:val="20"/>
              </w:rPr>
              <w:t>MDPH BID HIV/AIDS Surveillance Program 2012</w:t>
            </w:r>
          </w:p>
        </w:tc>
      </w:tr>
      <w:tr w:rsidR="004B20E5" w:rsidRPr="004469F3" w:rsidTr="005C62F3">
        <w:trPr>
          <w:cantSplit/>
        </w:trPr>
        <w:tc>
          <w:tcPr>
            <w:tcW w:w="534" w:type="pct"/>
            <w:tcBorders>
              <w:right w:val="nil"/>
            </w:tcBorders>
          </w:tcPr>
          <w:p w:rsidR="004B20E5" w:rsidRPr="005C62F3" w:rsidRDefault="004B20E5" w:rsidP="001B59EB">
            <w:pPr>
              <w:pStyle w:val="TableOutcomeIndicator"/>
              <w:rPr>
                <w:szCs w:val="20"/>
              </w:rPr>
            </w:pPr>
          </w:p>
        </w:tc>
        <w:tc>
          <w:tcPr>
            <w:tcW w:w="1117" w:type="pct"/>
            <w:tcBorders>
              <w:left w:val="nil"/>
            </w:tcBorders>
          </w:tcPr>
          <w:p w:rsidR="004B20E5" w:rsidRPr="005C62F3" w:rsidRDefault="004B20E5" w:rsidP="001B59EB">
            <w:pPr>
              <w:pStyle w:val="TableOutcomeIndicator"/>
              <w:rPr>
                <w:szCs w:val="20"/>
              </w:rPr>
            </w:pPr>
          </w:p>
        </w:tc>
        <w:tc>
          <w:tcPr>
            <w:tcW w:w="1801" w:type="pct"/>
            <w:vAlign w:val="center"/>
          </w:tcPr>
          <w:p w:rsidR="004B20E5" w:rsidRPr="005C62F3" w:rsidRDefault="004B20E5" w:rsidP="001B59EB">
            <w:pPr>
              <w:pStyle w:val="TableOutcomeIndicator"/>
              <w:rPr>
                <w:szCs w:val="20"/>
              </w:rPr>
            </w:pPr>
            <w:r w:rsidRPr="005C62F3">
              <w:rPr>
                <w:szCs w:val="20"/>
              </w:rPr>
              <w:t>Relative rate of new HIV infections among</w:t>
            </w:r>
            <w:r w:rsidR="00D9064A">
              <w:rPr>
                <w:szCs w:val="20"/>
              </w:rPr>
              <w:t xml:space="preserve"> </w:t>
            </w:r>
            <w:r w:rsidRPr="005C62F3">
              <w:rPr>
                <w:szCs w:val="20"/>
              </w:rPr>
              <w:t>Hispanic vs. White, Non-Hispanic</w:t>
            </w:r>
          </w:p>
        </w:tc>
        <w:tc>
          <w:tcPr>
            <w:tcW w:w="1548" w:type="pct"/>
          </w:tcPr>
          <w:p w:rsidR="004B20E5" w:rsidRPr="005C62F3" w:rsidRDefault="004B20E5" w:rsidP="001B59EB">
            <w:pPr>
              <w:pStyle w:val="TableDataSource"/>
              <w:rPr>
                <w:szCs w:val="20"/>
              </w:rPr>
            </w:pPr>
            <w:r w:rsidRPr="005C62F3">
              <w:rPr>
                <w:szCs w:val="20"/>
              </w:rPr>
              <w:t>MDPH BID HIV/AIDS Surveillance Program 2012</w:t>
            </w:r>
          </w:p>
        </w:tc>
      </w:tr>
      <w:tr w:rsidR="004B20E5" w:rsidRPr="004469F3"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3.5</w:t>
            </w:r>
          </w:p>
        </w:tc>
        <w:tc>
          <w:tcPr>
            <w:tcW w:w="1117" w:type="pct"/>
            <w:tcBorders>
              <w:left w:val="nil"/>
            </w:tcBorders>
          </w:tcPr>
          <w:p w:rsidR="004B20E5" w:rsidRPr="005C62F3" w:rsidRDefault="004B20E5" w:rsidP="00D24FA0">
            <w:pPr>
              <w:pStyle w:val="TableOutcomeIndicator"/>
              <w:rPr>
                <w:szCs w:val="20"/>
              </w:rPr>
            </w:pPr>
            <w:r w:rsidRPr="005C62F3">
              <w:rPr>
                <w:szCs w:val="20"/>
              </w:rPr>
              <w:t>Hepatitis C virus (HCV)</w:t>
            </w:r>
          </w:p>
        </w:tc>
        <w:tc>
          <w:tcPr>
            <w:tcW w:w="1801" w:type="pct"/>
          </w:tcPr>
          <w:p w:rsidR="004B20E5" w:rsidRPr="005C62F3" w:rsidRDefault="004B20E5" w:rsidP="00D24FA0">
            <w:pPr>
              <w:pStyle w:val="TableOutcomeIndicator"/>
              <w:rPr>
                <w:szCs w:val="20"/>
              </w:rPr>
            </w:pPr>
            <w:r w:rsidRPr="005C62F3">
              <w:rPr>
                <w:szCs w:val="20"/>
              </w:rPr>
              <w:t>Average time from diagnosis with HCV infection to death:</w:t>
            </w:r>
          </w:p>
          <w:p w:rsidR="004B20E5" w:rsidRPr="005C62F3" w:rsidRDefault="004B20E5" w:rsidP="00D24FA0">
            <w:pPr>
              <w:pStyle w:val="TableOutcomeIndicator"/>
              <w:rPr>
                <w:szCs w:val="20"/>
              </w:rPr>
            </w:pPr>
          </w:p>
        </w:tc>
        <w:tc>
          <w:tcPr>
            <w:tcW w:w="1548" w:type="pct"/>
          </w:tcPr>
          <w:p w:rsidR="004B20E5" w:rsidRPr="005C62F3" w:rsidRDefault="004B20E5" w:rsidP="00D24FA0">
            <w:pPr>
              <w:pStyle w:val="TableDataSource"/>
              <w:rPr>
                <w:szCs w:val="20"/>
              </w:rPr>
            </w:pPr>
            <w:r w:rsidRPr="005C62F3">
              <w:rPr>
                <w:szCs w:val="20"/>
              </w:rPr>
              <w:t>MDPH BID Epidemiology Program</w:t>
            </w:r>
          </w:p>
        </w:tc>
      </w:tr>
      <w:tr w:rsidR="004B20E5" w:rsidRPr="004469F3"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3.6</w:t>
            </w:r>
          </w:p>
        </w:tc>
        <w:tc>
          <w:tcPr>
            <w:tcW w:w="1117" w:type="pct"/>
            <w:tcBorders>
              <w:left w:val="nil"/>
            </w:tcBorders>
          </w:tcPr>
          <w:p w:rsidR="004B20E5" w:rsidRPr="005C62F3" w:rsidRDefault="004B20E5" w:rsidP="00D24FA0">
            <w:pPr>
              <w:pStyle w:val="TableOutcomeIndicator"/>
              <w:rPr>
                <w:szCs w:val="20"/>
              </w:rPr>
            </w:pPr>
            <w:r w:rsidRPr="005C62F3">
              <w:rPr>
                <w:szCs w:val="20"/>
              </w:rPr>
              <w:t>Standard infection ratios (SIR) for CLABSI’s, CAUTI’s, SSI’s, Clostridium Difficile infections, and MRSA bacteremia</w:t>
            </w:r>
          </w:p>
        </w:tc>
        <w:tc>
          <w:tcPr>
            <w:tcW w:w="1801" w:type="pct"/>
          </w:tcPr>
          <w:p w:rsidR="004B20E5" w:rsidRPr="005C62F3" w:rsidRDefault="004B20E5" w:rsidP="001015A3">
            <w:pPr>
              <w:pStyle w:val="TableOutcomeIndicator"/>
              <w:rPr>
                <w:szCs w:val="20"/>
              </w:rPr>
            </w:pPr>
            <w:r w:rsidRPr="005C62F3">
              <w:rPr>
                <w:szCs w:val="20"/>
              </w:rPr>
              <w:t>Central line associated bloodstream infections (CLABSI) SIR</w:t>
            </w:r>
          </w:p>
        </w:tc>
        <w:tc>
          <w:tcPr>
            <w:tcW w:w="1548" w:type="pct"/>
          </w:tcPr>
          <w:p w:rsidR="004B20E5" w:rsidRPr="005C62F3" w:rsidRDefault="004B20E5" w:rsidP="00D24FA0">
            <w:pPr>
              <w:pStyle w:val="TableDataSource"/>
              <w:rPr>
                <w:szCs w:val="20"/>
              </w:rPr>
            </w:pPr>
            <w:r w:rsidRPr="005C62F3">
              <w:rPr>
                <w:szCs w:val="20"/>
              </w:rPr>
              <w:t>National Healthcare Safety Network (NHSN), 2012</w:t>
            </w:r>
          </w:p>
        </w:tc>
      </w:tr>
      <w:tr w:rsidR="004B20E5" w:rsidRPr="004469F3"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1015A3">
            <w:pPr>
              <w:pStyle w:val="TableOutcomeIndicator"/>
              <w:rPr>
                <w:szCs w:val="20"/>
              </w:rPr>
            </w:pPr>
            <w:r w:rsidRPr="005C62F3">
              <w:rPr>
                <w:szCs w:val="20"/>
              </w:rPr>
              <w:t>Vaginal hysterectomy surgical site infection SIR</w:t>
            </w:r>
          </w:p>
        </w:tc>
        <w:tc>
          <w:tcPr>
            <w:tcW w:w="1548" w:type="pct"/>
          </w:tcPr>
          <w:p w:rsidR="004B20E5" w:rsidRPr="005C62F3" w:rsidRDefault="004B20E5" w:rsidP="00D24FA0">
            <w:pPr>
              <w:pStyle w:val="TableDataSource"/>
              <w:rPr>
                <w:szCs w:val="20"/>
              </w:rPr>
            </w:pPr>
            <w:r w:rsidRPr="005C62F3">
              <w:rPr>
                <w:szCs w:val="20"/>
              </w:rPr>
              <w:t>National Healthcare Safety Network (NHSN), 2012</w:t>
            </w:r>
          </w:p>
        </w:tc>
      </w:tr>
      <w:tr w:rsidR="004B20E5" w:rsidRPr="004469F3"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1015A3">
            <w:pPr>
              <w:pStyle w:val="TableOutcomeIndicator"/>
              <w:rPr>
                <w:szCs w:val="20"/>
              </w:rPr>
            </w:pPr>
            <w:r w:rsidRPr="005C62F3">
              <w:rPr>
                <w:szCs w:val="20"/>
              </w:rPr>
              <w:t>Catheter-associated urinary tract infections (CAUTI)</w:t>
            </w:r>
          </w:p>
        </w:tc>
        <w:tc>
          <w:tcPr>
            <w:tcW w:w="1548" w:type="pct"/>
          </w:tcPr>
          <w:p w:rsidR="004B20E5" w:rsidRPr="005C62F3" w:rsidRDefault="004B20E5" w:rsidP="00D24FA0">
            <w:pPr>
              <w:pStyle w:val="TableDataSource"/>
              <w:rPr>
                <w:szCs w:val="20"/>
              </w:rPr>
            </w:pPr>
            <w:r w:rsidRPr="005C62F3">
              <w:rPr>
                <w:szCs w:val="20"/>
              </w:rPr>
              <w:t>National Healthcare Safety Network (NHSN), 2012</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3.7</w:t>
            </w:r>
          </w:p>
        </w:tc>
        <w:tc>
          <w:tcPr>
            <w:tcW w:w="1117" w:type="pct"/>
            <w:tcBorders>
              <w:left w:val="nil"/>
            </w:tcBorders>
          </w:tcPr>
          <w:p w:rsidR="004B20E5" w:rsidRPr="005C62F3" w:rsidRDefault="004B20E5" w:rsidP="00D24FA0">
            <w:pPr>
              <w:pStyle w:val="TableOutcomeIndicator"/>
              <w:rPr>
                <w:szCs w:val="20"/>
              </w:rPr>
            </w:pPr>
            <w:r w:rsidRPr="005C62F3">
              <w:rPr>
                <w:szCs w:val="20"/>
              </w:rPr>
              <w:t>Salmonella and Campylobacter</w:t>
            </w:r>
          </w:p>
        </w:tc>
        <w:tc>
          <w:tcPr>
            <w:tcW w:w="1801" w:type="pct"/>
          </w:tcPr>
          <w:p w:rsidR="004B20E5" w:rsidRPr="005C62F3" w:rsidRDefault="004B20E5" w:rsidP="00D24FA0">
            <w:pPr>
              <w:pStyle w:val="TableOutcomeIndicator"/>
              <w:rPr>
                <w:szCs w:val="20"/>
              </w:rPr>
            </w:pPr>
            <w:r w:rsidRPr="005C62F3">
              <w:rPr>
                <w:szCs w:val="20"/>
              </w:rPr>
              <w:t>Incidence of campylobacteriosis</w:t>
            </w:r>
          </w:p>
          <w:p w:rsidR="004B20E5" w:rsidRPr="005C62F3" w:rsidRDefault="004B20E5" w:rsidP="00D24FA0">
            <w:pPr>
              <w:pStyle w:val="TableOutcomeIndicator"/>
              <w:rPr>
                <w:szCs w:val="20"/>
              </w:rPr>
            </w:pPr>
          </w:p>
        </w:tc>
        <w:tc>
          <w:tcPr>
            <w:tcW w:w="1548" w:type="pct"/>
          </w:tcPr>
          <w:p w:rsidR="004B20E5" w:rsidRPr="005C62F3" w:rsidRDefault="004B20E5" w:rsidP="00D24FA0">
            <w:pPr>
              <w:pStyle w:val="TableDataSource"/>
              <w:rPr>
                <w:szCs w:val="20"/>
              </w:rPr>
            </w:pPr>
            <w:r w:rsidRPr="005C62F3">
              <w:rPr>
                <w:szCs w:val="20"/>
              </w:rPr>
              <w:t>MDPH BID Epidemiology Program  2012</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 xml:space="preserve">Incidence of salmonellosis  </w:t>
            </w:r>
          </w:p>
        </w:tc>
        <w:tc>
          <w:tcPr>
            <w:tcW w:w="1548" w:type="pct"/>
          </w:tcPr>
          <w:p w:rsidR="004B20E5" w:rsidRPr="005C62F3" w:rsidRDefault="004B20E5" w:rsidP="00D24FA0">
            <w:pPr>
              <w:pStyle w:val="TableDataSource"/>
              <w:rPr>
                <w:szCs w:val="20"/>
              </w:rPr>
            </w:pPr>
            <w:r w:rsidRPr="005C62F3">
              <w:rPr>
                <w:szCs w:val="20"/>
              </w:rPr>
              <w:t>MDPH BID Epidemiology Program2012</w:t>
            </w:r>
          </w:p>
        </w:tc>
      </w:tr>
      <w:tr w:rsidR="004B20E5" w:rsidTr="005C62F3">
        <w:trPr>
          <w:cantSplit/>
        </w:trPr>
        <w:tc>
          <w:tcPr>
            <w:tcW w:w="5000" w:type="pct"/>
            <w:gridSpan w:val="4"/>
          </w:tcPr>
          <w:p w:rsidR="004B20E5" w:rsidRPr="005C62F3" w:rsidRDefault="004B20E5" w:rsidP="00D24FA0">
            <w:pPr>
              <w:pStyle w:val="TableTitleTargetDataSource"/>
              <w:rPr>
                <w:szCs w:val="20"/>
              </w:rPr>
            </w:pPr>
            <w:r w:rsidRPr="005C62F3">
              <w:rPr>
                <w:szCs w:val="20"/>
              </w:rPr>
              <w:t>Domain 4:  Substance Abuse Prevention, Intervention, Treatment and Recovery</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4.1</w:t>
            </w:r>
          </w:p>
        </w:tc>
        <w:tc>
          <w:tcPr>
            <w:tcW w:w="1117" w:type="pct"/>
            <w:tcBorders>
              <w:left w:val="nil"/>
            </w:tcBorders>
          </w:tcPr>
          <w:p w:rsidR="004B20E5" w:rsidRPr="005C62F3" w:rsidRDefault="004B20E5" w:rsidP="00D24FA0">
            <w:pPr>
              <w:pStyle w:val="TableOutcomeIndicator"/>
              <w:rPr>
                <w:szCs w:val="20"/>
              </w:rPr>
            </w:pPr>
            <w:r w:rsidRPr="005C62F3">
              <w:rPr>
                <w:szCs w:val="20"/>
              </w:rPr>
              <w:t>Alcohol</w:t>
            </w:r>
          </w:p>
        </w:tc>
        <w:tc>
          <w:tcPr>
            <w:tcW w:w="1801" w:type="pct"/>
          </w:tcPr>
          <w:p w:rsidR="004B20E5" w:rsidRPr="005C62F3" w:rsidRDefault="004B20E5" w:rsidP="00D24FA0">
            <w:pPr>
              <w:pStyle w:val="TableOutcomeIndicator"/>
              <w:rPr>
                <w:szCs w:val="20"/>
              </w:rPr>
            </w:pPr>
            <w:r w:rsidRPr="005C62F3">
              <w:rPr>
                <w:szCs w:val="20"/>
              </w:rPr>
              <w:t>High school youth who have tried alcohol for the first time before age 13 years</w:t>
            </w:r>
          </w:p>
        </w:tc>
        <w:tc>
          <w:tcPr>
            <w:tcW w:w="1548" w:type="pct"/>
          </w:tcPr>
          <w:p w:rsidR="004B20E5" w:rsidRPr="005C62F3" w:rsidRDefault="004B20E5" w:rsidP="00D24FA0">
            <w:pPr>
              <w:pStyle w:val="TableDataSource"/>
              <w:rPr>
                <w:szCs w:val="20"/>
              </w:rPr>
            </w:pPr>
            <w:r w:rsidRPr="005C62F3">
              <w:rPr>
                <w:szCs w:val="20"/>
              </w:rPr>
              <w:t>CDC MMWR YRBS 2012. Data for 2011</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4.2</w:t>
            </w:r>
          </w:p>
        </w:tc>
        <w:tc>
          <w:tcPr>
            <w:tcW w:w="1117" w:type="pct"/>
            <w:tcBorders>
              <w:left w:val="nil"/>
            </w:tcBorders>
          </w:tcPr>
          <w:p w:rsidR="004B20E5" w:rsidRPr="005C62F3" w:rsidRDefault="004B20E5" w:rsidP="00D24FA0">
            <w:pPr>
              <w:pStyle w:val="TableOutcomeIndicator"/>
              <w:rPr>
                <w:szCs w:val="20"/>
              </w:rPr>
            </w:pPr>
            <w:r w:rsidRPr="005C62F3">
              <w:rPr>
                <w:szCs w:val="20"/>
              </w:rPr>
              <w:t>DPH/BSAS training</w:t>
            </w:r>
            <w:r w:rsidR="00A37343">
              <w:rPr>
                <w:szCs w:val="20"/>
              </w:rPr>
              <w:t xml:space="preserve"> </w:t>
            </w:r>
            <w:r w:rsidRPr="005C62F3">
              <w:rPr>
                <w:szCs w:val="20"/>
              </w:rPr>
              <w:t>for healthcare providers to incorporate screening and intervention for unhealthy substance use</w:t>
            </w:r>
          </w:p>
        </w:tc>
        <w:tc>
          <w:tcPr>
            <w:tcW w:w="1801" w:type="pct"/>
          </w:tcPr>
          <w:p w:rsidR="004B20E5" w:rsidRPr="005C62F3" w:rsidRDefault="004B20E5" w:rsidP="00D24FA0">
            <w:pPr>
              <w:pStyle w:val="TableOutcomeIndicator"/>
              <w:rPr>
                <w:szCs w:val="20"/>
              </w:rPr>
            </w:pPr>
            <w:r w:rsidRPr="005C62F3">
              <w:rPr>
                <w:szCs w:val="20"/>
              </w:rPr>
              <w:t>Number of Health Care Providers trained annually</w:t>
            </w:r>
          </w:p>
        </w:tc>
        <w:tc>
          <w:tcPr>
            <w:tcW w:w="1548" w:type="pct"/>
          </w:tcPr>
          <w:p w:rsidR="004B20E5" w:rsidRPr="005C62F3" w:rsidRDefault="004B20E5" w:rsidP="00D24FA0">
            <w:pPr>
              <w:pStyle w:val="TableDataSource"/>
              <w:rPr>
                <w:szCs w:val="20"/>
              </w:rPr>
            </w:pPr>
            <w:r w:rsidRPr="005C62F3">
              <w:rPr>
                <w:szCs w:val="20"/>
              </w:rPr>
              <w:t>MDPH/BSAS</w:t>
            </w:r>
          </w:p>
          <w:p w:rsidR="004B20E5" w:rsidRPr="005C62F3" w:rsidRDefault="004B20E5" w:rsidP="00D24FA0">
            <w:pPr>
              <w:pStyle w:val="TableDataSource"/>
              <w:rPr>
                <w:szCs w:val="20"/>
              </w:rPr>
            </w:pPr>
            <w:r w:rsidRPr="005C62F3">
              <w:rPr>
                <w:szCs w:val="20"/>
              </w:rPr>
              <w:t>Quarterly reports from contracted training vendor</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4.3</w:t>
            </w:r>
          </w:p>
        </w:tc>
        <w:tc>
          <w:tcPr>
            <w:tcW w:w="1117" w:type="pct"/>
            <w:tcBorders>
              <w:left w:val="nil"/>
            </w:tcBorders>
          </w:tcPr>
          <w:p w:rsidR="004B20E5" w:rsidRPr="005C62F3" w:rsidRDefault="00A37343" w:rsidP="00D24FA0">
            <w:pPr>
              <w:pStyle w:val="TableOutcomeIndicator"/>
              <w:rPr>
                <w:szCs w:val="20"/>
              </w:rPr>
            </w:pPr>
            <w:r>
              <w:rPr>
                <w:szCs w:val="20"/>
              </w:rPr>
              <w:t>S</w:t>
            </w:r>
            <w:r w:rsidR="004B20E5" w:rsidRPr="005C62F3">
              <w:rPr>
                <w:szCs w:val="20"/>
              </w:rPr>
              <w:t>pecified multiple provider episode (MPE) rate</w:t>
            </w:r>
          </w:p>
        </w:tc>
        <w:tc>
          <w:tcPr>
            <w:tcW w:w="1801" w:type="pct"/>
          </w:tcPr>
          <w:p w:rsidR="004B20E5" w:rsidRPr="005C62F3" w:rsidRDefault="004B20E5" w:rsidP="00A37343">
            <w:pPr>
              <w:pStyle w:val="TableOutcomeIndicator"/>
              <w:rPr>
                <w:szCs w:val="20"/>
              </w:rPr>
            </w:pPr>
            <w:r w:rsidRPr="005C62F3">
              <w:rPr>
                <w:szCs w:val="20"/>
              </w:rPr>
              <w:t>Rate per 100,000 individuals who received at least one Schedule II and/or III prescription opi</w:t>
            </w:r>
            <w:r w:rsidR="00A37343">
              <w:rPr>
                <w:szCs w:val="20"/>
              </w:rPr>
              <w:t>oid</w:t>
            </w:r>
            <w:r w:rsidRPr="005C62F3">
              <w:rPr>
                <w:szCs w:val="20"/>
              </w:rPr>
              <w:t xml:space="preserve"> from 4 </w:t>
            </w:r>
            <w:r w:rsidR="00D9064A">
              <w:rPr>
                <w:szCs w:val="20"/>
              </w:rPr>
              <w:t xml:space="preserve">or more </w:t>
            </w:r>
            <w:r w:rsidRPr="005C62F3">
              <w:rPr>
                <w:szCs w:val="20"/>
              </w:rPr>
              <w:t xml:space="preserve">different prescribers and 4 </w:t>
            </w:r>
            <w:r w:rsidR="00D9064A">
              <w:rPr>
                <w:szCs w:val="20"/>
              </w:rPr>
              <w:t xml:space="preserve">or more </w:t>
            </w:r>
            <w:r w:rsidRPr="005C62F3">
              <w:rPr>
                <w:szCs w:val="20"/>
              </w:rPr>
              <w:t xml:space="preserve">different pharmacies during the year.  4 </w:t>
            </w:r>
            <w:r w:rsidR="00D9064A">
              <w:rPr>
                <w:szCs w:val="20"/>
              </w:rPr>
              <w:t xml:space="preserve">or more </w:t>
            </w:r>
            <w:r w:rsidRPr="005C62F3">
              <w:rPr>
                <w:szCs w:val="20"/>
              </w:rPr>
              <w:t xml:space="preserve">different prescribers and 4 </w:t>
            </w:r>
            <w:r w:rsidR="00D9064A">
              <w:rPr>
                <w:szCs w:val="20"/>
              </w:rPr>
              <w:t xml:space="preserve">or more </w:t>
            </w:r>
            <w:r w:rsidRPr="005C62F3">
              <w:rPr>
                <w:szCs w:val="20"/>
              </w:rPr>
              <w:t>different pharmacies during the year is the multiple provider episode (MPE) threshold.</w:t>
            </w:r>
          </w:p>
        </w:tc>
        <w:tc>
          <w:tcPr>
            <w:tcW w:w="1548" w:type="pct"/>
          </w:tcPr>
          <w:p w:rsidR="004B20E5" w:rsidRPr="005C62F3" w:rsidRDefault="004B20E5" w:rsidP="00D24FA0">
            <w:pPr>
              <w:pStyle w:val="TableDataSource"/>
              <w:rPr>
                <w:szCs w:val="20"/>
              </w:rPr>
            </w:pPr>
            <w:r w:rsidRPr="005C62F3">
              <w:rPr>
                <w:szCs w:val="20"/>
              </w:rPr>
              <w:t>MA ambulatory pharmacies and out-of-state pharmacies delivering to MA residents report dispensing data on all Schedule II – V prescriptions.</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4.4</w:t>
            </w:r>
          </w:p>
        </w:tc>
        <w:tc>
          <w:tcPr>
            <w:tcW w:w="1117" w:type="pct"/>
            <w:tcBorders>
              <w:left w:val="nil"/>
            </w:tcBorders>
          </w:tcPr>
          <w:p w:rsidR="004B20E5" w:rsidRPr="005C62F3" w:rsidRDefault="004B20E5" w:rsidP="00D24FA0">
            <w:pPr>
              <w:pStyle w:val="TableOutcomeIndicator"/>
              <w:rPr>
                <w:szCs w:val="20"/>
              </w:rPr>
            </w:pPr>
            <w:r w:rsidRPr="005C62F3">
              <w:rPr>
                <w:szCs w:val="20"/>
              </w:rPr>
              <w:t>Morphine milligram equivalent (MME)</w:t>
            </w:r>
          </w:p>
        </w:tc>
        <w:tc>
          <w:tcPr>
            <w:tcW w:w="1801" w:type="pct"/>
          </w:tcPr>
          <w:p w:rsidR="004B20E5" w:rsidRPr="005C62F3" w:rsidRDefault="004B20E5" w:rsidP="00D9064A">
            <w:pPr>
              <w:pStyle w:val="TableOutcomeIndicator"/>
              <w:rPr>
                <w:szCs w:val="20"/>
              </w:rPr>
            </w:pPr>
            <w:r w:rsidRPr="005C62F3">
              <w:rPr>
                <w:szCs w:val="20"/>
              </w:rPr>
              <w:t xml:space="preserve">Number of individuals who </w:t>
            </w:r>
            <w:r w:rsidR="00D9064A">
              <w:rPr>
                <w:szCs w:val="20"/>
              </w:rPr>
              <w:t xml:space="preserve">received combined opioid prescriptions with </w:t>
            </w:r>
            <w:r w:rsidRPr="005C62F3">
              <w:rPr>
                <w:szCs w:val="20"/>
              </w:rPr>
              <w:t>an average MME greater than 100 mg per day over the specified one year time period.</w:t>
            </w:r>
          </w:p>
        </w:tc>
        <w:tc>
          <w:tcPr>
            <w:tcW w:w="1548" w:type="pct"/>
          </w:tcPr>
          <w:p w:rsidR="004B20E5" w:rsidRPr="005C62F3" w:rsidRDefault="004B20E5" w:rsidP="00D24FA0">
            <w:pPr>
              <w:pStyle w:val="TableDataSource"/>
              <w:rPr>
                <w:szCs w:val="20"/>
              </w:rPr>
            </w:pPr>
            <w:r w:rsidRPr="005C62F3">
              <w:rPr>
                <w:szCs w:val="20"/>
              </w:rPr>
              <w:t>MA ambulatory pharmacies and out-of-state pharmacies delivering to MA residents report dispensing data on all Schedule II – V prescriptions.</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r w:rsidRPr="005C62F3">
              <w:rPr>
                <w:szCs w:val="20"/>
              </w:rPr>
              <w:t>Strategic Prevention Framework (SPF)</w:t>
            </w:r>
          </w:p>
        </w:tc>
        <w:tc>
          <w:tcPr>
            <w:tcW w:w="1801" w:type="pct"/>
          </w:tcPr>
          <w:p w:rsidR="004B20E5" w:rsidRPr="005C62F3" w:rsidRDefault="004B20E5" w:rsidP="00D24FA0">
            <w:pPr>
              <w:pStyle w:val="TableOutcomeIndicator"/>
              <w:rPr>
                <w:szCs w:val="20"/>
              </w:rPr>
            </w:pPr>
            <w:r w:rsidRPr="005C62F3">
              <w:rPr>
                <w:szCs w:val="20"/>
              </w:rPr>
              <w:t>BSAS-funded substance abuse prevention coalitions using the Strategic Prevention Framework (SPF)</w:t>
            </w:r>
          </w:p>
        </w:tc>
        <w:tc>
          <w:tcPr>
            <w:tcW w:w="1548" w:type="pct"/>
          </w:tcPr>
          <w:p w:rsidR="004B20E5" w:rsidRPr="005C62F3" w:rsidRDefault="004B20E5" w:rsidP="00D24FA0">
            <w:pPr>
              <w:pStyle w:val="TableDataSource"/>
              <w:rPr>
                <w:szCs w:val="20"/>
              </w:rPr>
            </w:pPr>
            <w:r w:rsidRPr="005C62F3">
              <w:rPr>
                <w:szCs w:val="20"/>
              </w:rPr>
              <w:t>MDPH/BSAS</w:t>
            </w:r>
          </w:p>
          <w:p w:rsidR="004B20E5" w:rsidRPr="005C62F3" w:rsidRDefault="004B20E5" w:rsidP="00D24FA0">
            <w:pPr>
              <w:pStyle w:val="TableDataSource"/>
              <w:rPr>
                <w:szCs w:val="20"/>
              </w:rPr>
            </w:pPr>
            <w:r w:rsidRPr="005C62F3">
              <w:rPr>
                <w:szCs w:val="20"/>
              </w:rPr>
              <w:t xml:space="preserve">Required Reports from contracted coalitions and </w:t>
            </w:r>
            <w:r w:rsidR="009F3D12">
              <w:rPr>
                <w:szCs w:val="20"/>
              </w:rPr>
              <w:t>M</w:t>
            </w:r>
            <w:r w:rsidRPr="005C62F3">
              <w:rPr>
                <w:szCs w:val="20"/>
              </w:rPr>
              <w:t>DPH contract management reports</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r w:rsidRPr="005C62F3">
              <w:rPr>
                <w:szCs w:val="20"/>
              </w:rPr>
              <w:t>Opioid addiction</w:t>
            </w:r>
          </w:p>
        </w:tc>
        <w:tc>
          <w:tcPr>
            <w:tcW w:w="1801" w:type="pct"/>
          </w:tcPr>
          <w:p w:rsidR="004B20E5" w:rsidRPr="005C62F3" w:rsidRDefault="004B20E5" w:rsidP="00D24FA0">
            <w:pPr>
              <w:pStyle w:val="TableOutcomeIndicator"/>
              <w:rPr>
                <w:szCs w:val="20"/>
              </w:rPr>
            </w:pPr>
            <w:r w:rsidRPr="005C62F3">
              <w:rPr>
                <w:szCs w:val="20"/>
              </w:rPr>
              <w:t xml:space="preserve">Number of non-whites enrolled in medication assisted treatment in </w:t>
            </w:r>
            <w:r w:rsidR="009F3D12">
              <w:rPr>
                <w:szCs w:val="20"/>
              </w:rPr>
              <w:t>M</w:t>
            </w:r>
            <w:r w:rsidRPr="005C62F3">
              <w:rPr>
                <w:szCs w:val="20"/>
              </w:rPr>
              <w:t>DPH/BSAS-funded programs</w:t>
            </w:r>
          </w:p>
        </w:tc>
        <w:tc>
          <w:tcPr>
            <w:tcW w:w="1548" w:type="pct"/>
          </w:tcPr>
          <w:p w:rsidR="004B20E5" w:rsidRPr="005C62F3" w:rsidRDefault="004B20E5" w:rsidP="00D24FA0">
            <w:pPr>
              <w:pStyle w:val="TableDataSource"/>
              <w:rPr>
                <w:szCs w:val="20"/>
              </w:rPr>
            </w:pPr>
            <w:r w:rsidRPr="005C62F3">
              <w:rPr>
                <w:szCs w:val="20"/>
              </w:rPr>
              <w:t>DPH/BSAS enrollment data</w:t>
            </w:r>
          </w:p>
        </w:tc>
      </w:tr>
      <w:tr w:rsidR="004B20E5" w:rsidTr="005C62F3">
        <w:trPr>
          <w:cantSplit/>
        </w:trPr>
        <w:tc>
          <w:tcPr>
            <w:tcW w:w="5000" w:type="pct"/>
            <w:gridSpan w:val="4"/>
          </w:tcPr>
          <w:p w:rsidR="004B20E5" w:rsidRPr="005C62F3" w:rsidRDefault="004B20E5" w:rsidP="00D24FA0">
            <w:pPr>
              <w:pStyle w:val="TableTitleTargetDataSource"/>
              <w:rPr>
                <w:szCs w:val="20"/>
              </w:rPr>
            </w:pPr>
            <w:r w:rsidRPr="005C62F3">
              <w:rPr>
                <w:szCs w:val="20"/>
              </w:rPr>
              <w:t>Domain 5:  Injury, Suicide and Violence Prevention</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5.1</w:t>
            </w:r>
          </w:p>
        </w:tc>
        <w:tc>
          <w:tcPr>
            <w:tcW w:w="1117" w:type="pct"/>
            <w:tcBorders>
              <w:left w:val="nil"/>
            </w:tcBorders>
          </w:tcPr>
          <w:p w:rsidR="004B20E5" w:rsidRPr="005C62F3" w:rsidRDefault="004B20E5" w:rsidP="00D24FA0">
            <w:pPr>
              <w:pStyle w:val="TableOutcomeIndicator"/>
              <w:rPr>
                <w:szCs w:val="20"/>
              </w:rPr>
            </w:pPr>
            <w:r w:rsidRPr="005C62F3">
              <w:rPr>
                <w:szCs w:val="20"/>
              </w:rPr>
              <w:t>Poisonings</w:t>
            </w:r>
          </w:p>
        </w:tc>
        <w:tc>
          <w:tcPr>
            <w:tcW w:w="1801" w:type="pct"/>
          </w:tcPr>
          <w:p w:rsidR="004B20E5" w:rsidRPr="005C62F3" w:rsidRDefault="004B20E5" w:rsidP="00D24FA0">
            <w:pPr>
              <w:pStyle w:val="TableOutcomeIndicator"/>
              <w:rPr>
                <w:szCs w:val="20"/>
              </w:rPr>
            </w:pPr>
            <w:r w:rsidRPr="005C62F3">
              <w:rPr>
                <w:szCs w:val="20"/>
              </w:rPr>
              <w:t>Age adjusted rate of unintentional and undetermined intent poisoning deaths</w:t>
            </w:r>
          </w:p>
        </w:tc>
        <w:tc>
          <w:tcPr>
            <w:tcW w:w="1548" w:type="pct"/>
          </w:tcPr>
          <w:p w:rsidR="004B20E5" w:rsidRPr="005C62F3" w:rsidRDefault="004B20E5" w:rsidP="00D24FA0">
            <w:pPr>
              <w:pStyle w:val="TableDataSource"/>
              <w:rPr>
                <w:szCs w:val="20"/>
              </w:rPr>
            </w:pPr>
            <w:r w:rsidRPr="005C62F3">
              <w:rPr>
                <w:szCs w:val="20"/>
              </w:rPr>
              <w:t>Registry of Vital Records and Statistics, MDPH</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Age adjusted rate of unintentional and undetermined intent opioid poisoning deaths</w:t>
            </w:r>
          </w:p>
        </w:tc>
        <w:tc>
          <w:tcPr>
            <w:tcW w:w="1548" w:type="pct"/>
          </w:tcPr>
          <w:p w:rsidR="004B20E5" w:rsidRPr="005C62F3" w:rsidRDefault="004B20E5" w:rsidP="00D24FA0">
            <w:pPr>
              <w:pStyle w:val="TableDataSource"/>
              <w:rPr>
                <w:szCs w:val="20"/>
              </w:rPr>
            </w:pPr>
            <w:r w:rsidRPr="005C62F3">
              <w:rPr>
                <w:szCs w:val="20"/>
              </w:rPr>
              <w:t>Registry of Vital Records and Statistics, MDPH</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5.2</w:t>
            </w:r>
          </w:p>
        </w:tc>
        <w:tc>
          <w:tcPr>
            <w:tcW w:w="1117" w:type="pct"/>
            <w:tcBorders>
              <w:left w:val="nil"/>
            </w:tcBorders>
          </w:tcPr>
          <w:p w:rsidR="004B20E5" w:rsidRPr="005C62F3" w:rsidRDefault="004B20E5" w:rsidP="00D24FA0">
            <w:pPr>
              <w:pStyle w:val="TableOutcomeIndicator"/>
              <w:rPr>
                <w:szCs w:val="20"/>
              </w:rPr>
            </w:pPr>
            <w:r w:rsidRPr="005C62F3">
              <w:rPr>
                <w:szCs w:val="20"/>
              </w:rPr>
              <w:t>Fall deaths</w:t>
            </w:r>
          </w:p>
        </w:tc>
        <w:tc>
          <w:tcPr>
            <w:tcW w:w="1801" w:type="pct"/>
          </w:tcPr>
          <w:p w:rsidR="004B20E5" w:rsidRPr="005C62F3" w:rsidRDefault="004B20E5" w:rsidP="00D24FA0">
            <w:pPr>
              <w:pStyle w:val="TableOutcomeIndicator"/>
              <w:rPr>
                <w:szCs w:val="20"/>
              </w:rPr>
            </w:pPr>
            <w:r w:rsidRPr="005C62F3">
              <w:rPr>
                <w:szCs w:val="20"/>
              </w:rPr>
              <w:t>Age-adjusted unintentional fall death rate ages 65+</w:t>
            </w:r>
          </w:p>
        </w:tc>
        <w:tc>
          <w:tcPr>
            <w:tcW w:w="1548" w:type="pct"/>
          </w:tcPr>
          <w:p w:rsidR="004B20E5" w:rsidRPr="005C62F3" w:rsidRDefault="004B20E5" w:rsidP="00D24FA0">
            <w:pPr>
              <w:pStyle w:val="TableDataSource"/>
              <w:rPr>
                <w:szCs w:val="20"/>
              </w:rPr>
            </w:pPr>
            <w:r w:rsidRPr="005C62F3">
              <w:rPr>
                <w:szCs w:val="20"/>
              </w:rPr>
              <w:t>Registry of Vital Records and Statistics</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5.3</w:t>
            </w:r>
          </w:p>
        </w:tc>
        <w:tc>
          <w:tcPr>
            <w:tcW w:w="1117" w:type="pct"/>
            <w:tcBorders>
              <w:left w:val="nil"/>
            </w:tcBorders>
          </w:tcPr>
          <w:p w:rsidR="004B20E5" w:rsidRPr="005C62F3" w:rsidRDefault="004B20E5" w:rsidP="00D24FA0">
            <w:pPr>
              <w:pStyle w:val="TableOutcomeIndicator"/>
              <w:rPr>
                <w:szCs w:val="20"/>
              </w:rPr>
            </w:pPr>
            <w:r w:rsidRPr="005C62F3">
              <w:rPr>
                <w:szCs w:val="20"/>
              </w:rPr>
              <w:t>Motor vehicle traffic deaths</w:t>
            </w:r>
          </w:p>
        </w:tc>
        <w:tc>
          <w:tcPr>
            <w:tcW w:w="1801" w:type="pct"/>
          </w:tcPr>
          <w:p w:rsidR="004B20E5" w:rsidRPr="005C62F3" w:rsidRDefault="004B20E5" w:rsidP="00D24FA0">
            <w:pPr>
              <w:pStyle w:val="TableOutcomeIndicator"/>
              <w:rPr>
                <w:szCs w:val="20"/>
              </w:rPr>
            </w:pPr>
            <w:r w:rsidRPr="005C62F3">
              <w:rPr>
                <w:szCs w:val="20"/>
              </w:rPr>
              <w:t>Age-adjusted unintentional motor vehicle traffic death rate</w:t>
            </w:r>
          </w:p>
        </w:tc>
        <w:tc>
          <w:tcPr>
            <w:tcW w:w="1548" w:type="pct"/>
          </w:tcPr>
          <w:p w:rsidR="004B20E5" w:rsidRPr="005C62F3" w:rsidRDefault="004B20E5" w:rsidP="00D24FA0">
            <w:pPr>
              <w:pStyle w:val="TableDataSource"/>
              <w:rPr>
                <w:szCs w:val="20"/>
              </w:rPr>
            </w:pPr>
            <w:r w:rsidRPr="005C62F3">
              <w:rPr>
                <w:szCs w:val="20"/>
              </w:rPr>
              <w:t>Registry of Vital Records and Statistics, MDPH</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5.4</w:t>
            </w:r>
          </w:p>
        </w:tc>
        <w:tc>
          <w:tcPr>
            <w:tcW w:w="1117" w:type="pct"/>
            <w:tcBorders>
              <w:left w:val="nil"/>
            </w:tcBorders>
          </w:tcPr>
          <w:p w:rsidR="004B20E5" w:rsidRPr="005C62F3" w:rsidRDefault="004B20E5" w:rsidP="00D24FA0">
            <w:pPr>
              <w:pStyle w:val="TableOutcomeIndicator"/>
              <w:rPr>
                <w:szCs w:val="20"/>
              </w:rPr>
            </w:pPr>
            <w:r w:rsidRPr="005C62F3">
              <w:rPr>
                <w:szCs w:val="20"/>
              </w:rPr>
              <w:t>Unintentional injury deaths</w:t>
            </w:r>
          </w:p>
        </w:tc>
        <w:tc>
          <w:tcPr>
            <w:tcW w:w="1801" w:type="pct"/>
          </w:tcPr>
          <w:p w:rsidR="004B20E5" w:rsidRPr="005C62F3" w:rsidRDefault="004B20E5" w:rsidP="00D24FA0">
            <w:pPr>
              <w:pStyle w:val="TableOutcomeIndicator"/>
              <w:rPr>
                <w:szCs w:val="20"/>
              </w:rPr>
            </w:pPr>
            <w:r w:rsidRPr="005C62F3">
              <w:rPr>
                <w:szCs w:val="20"/>
              </w:rPr>
              <w:t>Unintentional injury death rate among residents 0-19 years</w:t>
            </w:r>
          </w:p>
        </w:tc>
        <w:tc>
          <w:tcPr>
            <w:tcW w:w="1548" w:type="pct"/>
          </w:tcPr>
          <w:p w:rsidR="004B20E5" w:rsidRPr="005C62F3" w:rsidRDefault="004B20E5" w:rsidP="00D24FA0">
            <w:pPr>
              <w:pStyle w:val="TableDataSource"/>
              <w:rPr>
                <w:szCs w:val="20"/>
              </w:rPr>
            </w:pPr>
            <w:r w:rsidRPr="005C62F3">
              <w:rPr>
                <w:szCs w:val="20"/>
              </w:rPr>
              <w:t>Registry of Vital Records and Statistics, MDPH</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5.5</w:t>
            </w:r>
          </w:p>
        </w:tc>
        <w:tc>
          <w:tcPr>
            <w:tcW w:w="1117" w:type="pct"/>
            <w:tcBorders>
              <w:left w:val="nil"/>
            </w:tcBorders>
          </w:tcPr>
          <w:p w:rsidR="004B20E5" w:rsidRPr="005C62F3" w:rsidRDefault="004B20E5" w:rsidP="00D24FA0">
            <w:pPr>
              <w:pStyle w:val="TableOutcomeIndicator"/>
              <w:rPr>
                <w:szCs w:val="20"/>
              </w:rPr>
            </w:pPr>
            <w:r w:rsidRPr="005C62F3">
              <w:rPr>
                <w:szCs w:val="20"/>
              </w:rPr>
              <w:t>Suicide</w:t>
            </w:r>
          </w:p>
        </w:tc>
        <w:tc>
          <w:tcPr>
            <w:tcW w:w="1801" w:type="pct"/>
          </w:tcPr>
          <w:p w:rsidR="004B20E5" w:rsidRPr="005C62F3" w:rsidRDefault="004B20E5" w:rsidP="00D9064A">
            <w:pPr>
              <w:pStyle w:val="TableOutcomeIndicator"/>
              <w:rPr>
                <w:szCs w:val="20"/>
              </w:rPr>
            </w:pPr>
            <w:r w:rsidRPr="005C62F3">
              <w:rPr>
                <w:szCs w:val="20"/>
              </w:rPr>
              <w:t xml:space="preserve">Age adjusted rate of </w:t>
            </w:r>
            <w:r w:rsidR="00D9064A">
              <w:rPr>
                <w:szCs w:val="20"/>
              </w:rPr>
              <w:t>s</w:t>
            </w:r>
            <w:r w:rsidRPr="005C62F3">
              <w:rPr>
                <w:szCs w:val="20"/>
              </w:rPr>
              <w:t>uicide</w:t>
            </w:r>
          </w:p>
        </w:tc>
        <w:tc>
          <w:tcPr>
            <w:tcW w:w="1548" w:type="pct"/>
          </w:tcPr>
          <w:p w:rsidR="004B20E5" w:rsidRPr="005C62F3" w:rsidRDefault="004B20E5" w:rsidP="00D24FA0">
            <w:pPr>
              <w:pStyle w:val="TableDataSource"/>
              <w:rPr>
                <w:szCs w:val="20"/>
              </w:rPr>
            </w:pPr>
            <w:r w:rsidRPr="005C62F3">
              <w:rPr>
                <w:szCs w:val="20"/>
              </w:rPr>
              <w:t>Registry of Vital Records and Statistics</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Ratio of suicides among MA males ages 60+ to all MA residents</w:t>
            </w:r>
          </w:p>
        </w:tc>
        <w:tc>
          <w:tcPr>
            <w:tcW w:w="1548" w:type="pct"/>
          </w:tcPr>
          <w:p w:rsidR="004B20E5" w:rsidRPr="005C62F3" w:rsidRDefault="004B20E5" w:rsidP="00D24FA0">
            <w:pPr>
              <w:pStyle w:val="TableDataSource"/>
              <w:rPr>
                <w:szCs w:val="20"/>
              </w:rPr>
            </w:pPr>
            <w:r w:rsidRPr="005C62F3">
              <w:rPr>
                <w:szCs w:val="20"/>
              </w:rPr>
              <w:t>Registry of Vital Records and Statistics</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5.6</w:t>
            </w:r>
          </w:p>
        </w:tc>
        <w:tc>
          <w:tcPr>
            <w:tcW w:w="1117" w:type="pct"/>
            <w:tcBorders>
              <w:left w:val="nil"/>
            </w:tcBorders>
          </w:tcPr>
          <w:p w:rsidR="004B20E5" w:rsidRPr="005C62F3" w:rsidRDefault="004B20E5" w:rsidP="00D24FA0">
            <w:pPr>
              <w:pStyle w:val="TableOutcomeIndicator"/>
              <w:rPr>
                <w:szCs w:val="20"/>
              </w:rPr>
            </w:pPr>
            <w:r w:rsidRPr="005C62F3">
              <w:rPr>
                <w:szCs w:val="20"/>
              </w:rPr>
              <w:t>Work-related injuries</w:t>
            </w:r>
          </w:p>
        </w:tc>
        <w:tc>
          <w:tcPr>
            <w:tcW w:w="1801" w:type="pct"/>
          </w:tcPr>
          <w:p w:rsidR="004B20E5" w:rsidRPr="005C62F3" w:rsidRDefault="004B20E5" w:rsidP="00D24FA0">
            <w:pPr>
              <w:pStyle w:val="TableOutcomeIndicator"/>
              <w:rPr>
                <w:szCs w:val="20"/>
              </w:rPr>
            </w:pPr>
            <w:r w:rsidRPr="005C62F3">
              <w:rPr>
                <w:szCs w:val="20"/>
              </w:rPr>
              <w:t>Non-fatal work-related injuries resulting in medical treatment or restricted time, private sector workers</w:t>
            </w:r>
          </w:p>
        </w:tc>
        <w:tc>
          <w:tcPr>
            <w:tcW w:w="1548" w:type="pct"/>
          </w:tcPr>
          <w:p w:rsidR="004B20E5" w:rsidRPr="005C62F3" w:rsidRDefault="004B20E5" w:rsidP="00D24FA0">
            <w:pPr>
              <w:pStyle w:val="TableDataSource"/>
              <w:rPr>
                <w:szCs w:val="20"/>
              </w:rPr>
            </w:pPr>
            <w:r w:rsidRPr="005C62F3">
              <w:rPr>
                <w:szCs w:val="20"/>
              </w:rPr>
              <w:t xml:space="preserve">BLS Annual Survey of Occupational Injuries and Illnesses </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Work-related injuries resulting in paid workers compensation claims among employees of Executive Office Agencies</w:t>
            </w:r>
          </w:p>
        </w:tc>
        <w:tc>
          <w:tcPr>
            <w:tcW w:w="1548" w:type="pct"/>
          </w:tcPr>
          <w:p w:rsidR="004B20E5" w:rsidRPr="005C62F3" w:rsidRDefault="004B20E5" w:rsidP="00D24FA0">
            <w:pPr>
              <w:pStyle w:val="TableDataSource"/>
              <w:rPr>
                <w:szCs w:val="20"/>
              </w:rPr>
            </w:pPr>
            <w:r w:rsidRPr="005C62F3">
              <w:rPr>
                <w:szCs w:val="20"/>
              </w:rPr>
              <w:t>MA Human Resource Division, 2013</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 xml:space="preserve">Emergency department visits for work-related injuries by workers ages &lt; 24 </w:t>
            </w:r>
          </w:p>
        </w:tc>
        <w:tc>
          <w:tcPr>
            <w:tcW w:w="1548" w:type="pct"/>
          </w:tcPr>
          <w:p w:rsidR="004B20E5" w:rsidRPr="005C62F3" w:rsidRDefault="004B20E5" w:rsidP="00D24FA0">
            <w:pPr>
              <w:pStyle w:val="TableDataSource"/>
              <w:rPr>
                <w:szCs w:val="20"/>
              </w:rPr>
            </w:pPr>
            <w:r w:rsidRPr="005C62F3">
              <w:rPr>
                <w:szCs w:val="20"/>
              </w:rPr>
              <w:t>MA Emergency Department Database, Center for Health Information and Analysis</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 xml:space="preserve">Disparity in rates of hospitalization for work-related injuries for Hispanics and Non-Hispanic Whites </w:t>
            </w:r>
          </w:p>
        </w:tc>
        <w:tc>
          <w:tcPr>
            <w:tcW w:w="1548" w:type="pct"/>
          </w:tcPr>
          <w:p w:rsidR="004B20E5" w:rsidRPr="005C62F3" w:rsidRDefault="004B20E5" w:rsidP="00D24FA0">
            <w:pPr>
              <w:pStyle w:val="TableDataSource"/>
              <w:rPr>
                <w:szCs w:val="20"/>
              </w:rPr>
            </w:pPr>
            <w:r w:rsidRPr="005C62F3">
              <w:rPr>
                <w:szCs w:val="20"/>
              </w:rPr>
              <w:t xml:space="preserve">MA Inpatient Hospital Discharge Database, Center for Health Information and Analysis </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5.7</w:t>
            </w:r>
          </w:p>
        </w:tc>
        <w:tc>
          <w:tcPr>
            <w:tcW w:w="1117" w:type="pct"/>
            <w:tcBorders>
              <w:left w:val="nil"/>
            </w:tcBorders>
          </w:tcPr>
          <w:p w:rsidR="004B20E5" w:rsidRPr="005C62F3" w:rsidRDefault="004B20E5" w:rsidP="00D24FA0">
            <w:pPr>
              <w:pStyle w:val="TableOutcomeIndicator"/>
              <w:rPr>
                <w:szCs w:val="20"/>
              </w:rPr>
            </w:pPr>
            <w:r w:rsidRPr="005C62F3">
              <w:rPr>
                <w:szCs w:val="20"/>
              </w:rPr>
              <w:t>Sexual and Domestic Violence</w:t>
            </w:r>
          </w:p>
        </w:tc>
        <w:tc>
          <w:tcPr>
            <w:tcW w:w="1801" w:type="pct"/>
          </w:tcPr>
          <w:p w:rsidR="004B20E5" w:rsidRPr="005C62F3" w:rsidRDefault="004B20E5" w:rsidP="00D24FA0">
            <w:pPr>
              <w:pStyle w:val="TableOutcomeIndicator"/>
              <w:rPr>
                <w:szCs w:val="20"/>
              </w:rPr>
            </w:pPr>
            <w:r w:rsidRPr="005C62F3">
              <w:rPr>
                <w:szCs w:val="20"/>
              </w:rPr>
              <w:t>Prevalence of past year sexual violence victimization experiences among MA women</w:t>
            </w:r>
          </w:p>
        </w:tc>
        <w:tc>
          <w:tcPr>
            <w:tcW w:w="1548" w:type="pct"/>
          </w:tcPr>
          <w:p w:rsidR="004B20E5" w:rsidRPr="005C62F3" w:rsidRDefault="004B20E5" w:rsidP="00D24FA0">
            <w:pPr>
              <w:pStyle w:val="TableDataSource"/>
              <w:rPr>
                <w:szCs w:val="20"/>
              </w:rPr>
            </w:pPr>
            <w:r w:rsidRPr="005C62F3">
              <w:rPr>
                <w:szCs w:val="20"/>
              </w:rPr>
              <w:t xml:space="preserve">Massachusetts Behavioral Risk Factor Surveillance System </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Prevalence of lifetime dating violence victimization experiences among female MA high school students</w:t>
            </w:r>
          </w:p>
        </w:tc>
        <w:tc>
          <w:tcPr>
            <w:tcW w:w="1548" w:type="pct"/>
          </w:tcPr>
          <w:p w:rsidR="004B20E5" w:rsidRPr="005C62F3" w:rsidRDefault="004B20E5" w:rsidP="00D24FA0">
            <w:pPr>
              <w:pStyle w:val="TableDataSource"/>
              <w:rPr>
                <w:szCs w:val="20"/>
              </w:rPr>
            </w:pPr>
            <w:r w:rsidRPr="005C62F3">
              <w:rPr>
                <w:szCs w:val="20"/>
              </w:rPr>
              <w:t>Massachusetts High School Youth Health Survey</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Prevalence of lifetime dating violence victimization experiences among male MA high school students</w:t>
            </w:r>
          </w:p>
        </w:tc>
        <w:tc>
          <w:tcPr>
            <w:tcW w:w="1548" w:type="pct"/>
          </w:tcPr>
          <w:p w:rsidR="004B20E5" w:rsidRPr="005C62F3" w:rsidRDefault="004B20E5" w:rsidP="00D24FA0">
            <w:pPr>
              <w:pStyle w:val="TableDataSource"/>
              <w:rPr>
                <w:szCs w:val="20"/>
              </w:rPr>
            </w:pPr>
            <w:r w:rsidRPr="005C62F3">
              <w:rPr>
                <w:szCs w:val="20"/>
              </w:rPr>
              <w:t xml:space="preserve">Massachusetts High School Youth Health Survey – </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Prevalence of lifetime sexual violence victimization among LGB MA high school students</w:t>
            </w:r>
          </w:p>
        </w:tc>
        <w:tc>
          <w:tcPr>
            <w:tcW w:w="1548" w:type="pct"/>
          </w:tcPr>
          <w:p w:rsidR="004B20E5" w:rsidRPr="005C62F3" w:rsidRDefault="004B20E5" w:rsidP="00D24FA0">
            <w:pPr>
              <w:pStyle w:val="TableDataSource"/>
              <w:rPr>
                <w:szCs w:val="20"/>
              </w:rPr>
            </w:pPr>
            <w:r w:rsidRPr="005C62F3">
              <w:rPr>
                <w:szCs w:val="20"/>
              </w:rPr>
              <w:t xml:space="preserve">Youth Risk Behavior Survey and Youth Health Survey </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Prevalence of lifetime sexual violence victimization among MA high school students with disabilities</w:t>
            </w:r>
          </w:p>
        </w:tc>
        <w:tc>
          <w:tcPr>
            <w:tcW w:w="1548" w:type="pct"/>
          </w:tcPr>
          <w:p w:rsidR="004B20E5" w:rsidRPr="005C62F3" w:rsidRDefault="004B20E5" w:rsidP="00D24FA0">
            <w:pPr>
              <w:pStyle w:val="TableDataSource"/>
              <w:rPr>
                <w:szCs w:val="20"/>
              </w:rPr>
            </w:pPr>
            <w:r w:rsidRPr="005C62F3">
              <w:rPr>
                <w:szCs w:val="20"/>
              </w:rPr>
              <w:t>Youth Health Survey</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5.8</w:t>
            </w:r>
          </w:p>
        </w:tc>
        <w:tc>
          <w:tcPr>
            <w:tcW w:w="1117" w:type="pct"/>
            <w:tcBorders>
              <w:left w:val="nil"/>
            </w:tcBorders>
          </w:tcPr>
          <w:p w:rsidR="004B20E5" w:rsidRPr="005C62F3" w:rsidRDefault="004B20E5" w:rsidP="00D24FA0">
            <w:pPr>
              <w:pStyle w:val="TableOutcomeIndicator"/>
              <w:rPr>
                <w:szCs w:val="20"/>
              </w:rPr>
            </w:pPr>
            <w:r w:rsidRPr="005C62F3">
              <w:rPr>
                <w:szCs w:val="20"/>
              </w:rPr>
              <w:t>Fatal violence among youth</w:t>
            </w:r>
          </w:p>
        </w:tc>
        <w:tc>
          <w:tcPr>
            <w:tcW w:w="1801" w:type="pct"/>
          </w:tcPr>
          <w:p w:rsidR="004B20E5" w:rsidRPr="005C62F3" w:rsidRDefault="004B20E5" w:rsidP="00D24FA0">
            <w:pPr>
              <w:pStyle w:val="TableOutcomeIndicator"/>
              <w:rPr>
                <w:szCs w:val="20"/>
              </w:rPr>
            </w:pPr>
            <w:r w:rsidRPr="005C62F3">
              <w:rPr>
                <w:szCs w:val="20"/>
              </w:rPr>
              <w:t>Homicide rate per 100,000 among MA male youth, ages 15 to 24</w:t>
            </w:r>
          </w:p>
        </w:tc>
        <w:tc>
          <w:tcPr>
            <w:tcW w:w="1548" w:type="pct"/>
          </w:tcPr>
          <w:p w:rsidR="004B20E5" w:rsidRPr="005C62F3" w:rsidRDefault="004B20E5" w:rsidP="00D24FA0">
            <w:pPr>
              <w:pStyle w:val="TableDataSource"/>
              <w:rPr>
                <w:szCs w:val="20"/>
              </w:rPr>
            </w:pPr>
            <w:r w:rsidRPr="005C62F3">
              <w:rPr>
                <w:szCs w:val="20"/>
              </w:rPr>
              <w:t xml:space="preserve">Registry of Vital Records  and census data </w:t>
            </w:r>
          </w:p>
          <w:p w:rsidR="004B20E5" w:rsidRPr="005C62F3" w:rsidRDefault="004B20E5" w:rsidP="00D24FA0">
            <w:pPr>
              <w:pStyle w:val="TableDataSource"/>
              <w:rPr>
                <w:szCs w:val="20"/>
              </w:rPr>
            </w:pPr>
          </w:p>
          <w:p w:rsidR="004B20E5" w:rsidRPr="005C62F3" w:rsidRDefault="004B20E5" w:rsidP="00D24FA0">
            <w:pPr>
              <w:pStyle w:val="TableDataSource"/>
              <w:rPr>
                <w:szCs w:val="20"/>
              </w:rPr>
            </w:pPr>
            <w:r w:rsidRPr="005C62F3">
              <w:rPr>
                <w:szCs w:val="20"/>
              </w:rPr>
              <w:t>*Age and Sex specific rates per 100,000; postcensal annual estimates of MA population by race/ethnicity, sex, and age group</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9064A">
            <w:pPr>
              <w:pStyle w:val="TableOutcomeIndicator"/>
              <w:rPr>
                <w:szCs w:val="20"/>
              </w:rPr>
            </w:pPr>
            <w:r w:rsidRPr="005C62F3">
              <w:rPr>
                <w:szCs w:val="20"/>
              </w:rPr>
              <w:t>Homicide rate per 100,000 among MA Black, Non-Hispanic male youth, ages 15 to 24</w:t>
            </w:r>
          </w:p>
        </w:tc>
        <w:tc>
          <w:tcPr>
            <w:tcW w:w="1548" w:type="pct"/>
          </w:tcPr>
          <w:p w:rsidR="004B20E5" w:rsidRPr="005C62F3" w:rsidRDefault="004B20E5" w:rsidP="00D24FA0">
            <w:pPr>
              <w:pStyle w:val="TableDataSource"/>
              <w:rPr>
                <w:szCs w:val="20"/>
              </w:rPr>
            </w:pPr>
            <w:r w:rsidRPr="005C62F3">
              <w:rPr>
                <w:szCs w:val="20"/>
              </w:rPr>
              <w:t>Registry of Vital Records and census</w:t>
            </w:r>
          </w:p>
          <w:p w:rsidR="004B20E5" w:rsidRPr="005C62F3" w:rsidRDefault="004B20E5" w:rsidP="00D24FA0">
            <w:pPr>
              <w:pStyle w:val="TableDataSource"/>
              <w:rPr>
                <w:szCs w:val="20"/>
              </w:rPr>
            </w:pPr>
          </w:p>
          <w:p w:rsidR="004B20E5" w:rsidRPr="005C62F3" w:rsidRDefault="004B20E5" w:rsidP="00D24FA0">
            <w:pPr>
              <w:pStyle w:val="TableDataSource"/>
              <w:rPr>
                <w:szCs w:val="20"/>
              </w:rPr>
            </w:pPr>
            <w:r w:rsidRPr="005C62F3">
              <w:rPr>
                <w:szCs w:val="20"/>
              </w:rPr>
              <w:t>*Age and Sex specific rates per 100,000; postcensal annual estimates of MA population by race/ethnicity, sex, and age group</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9064A">
            <w:pPr>
              <w:pStyle w:val="TableOutcomeIndicator"/>
              <w:rPr>
                <w:szCs w:val="20"/>
              </w:rPr>
            </w:pPr>
            <w:r w:rsidRPr="005C62F3">
              <w:rPr>
                <w:szCs w:val="20"/>
              </w:rPr>
              <w:t>Two-year homicide rate per 100,000 among MA Hispanic male youth, ages 15 to 24</w:t>
            </w:r>
          </w:p>
        </w:tc>
        <w:tc>
          <w:tcPr>
            <w:tcW w:w="1548" w:type="pct"/>
          </w:tcPr>
          <w:p w:rsidR="004B20E5" w:rsidRPr="005C62F3" w:rsidRDefault="004B20E5" w:rsidP="00D24FA0">
            <w:pPr>
              <w:pStyle w:val="TableDataSource"/>
              <w:rPr>
                <w:szCs w:val="20"/>
              </w:rPr>
            </w:pPr>
            <w:r w:rsidRPr="005C62F3">
              <w:rPr>
                <w:szCs w:val="20"/>
              </w:rPr>
              <w:t>Registry of Vital Records and census</w:t>
            </w:r>
          </w:p>
          <w:p w:rsidR="004B20E5" w:rsidRPr="005C62F3" w:rsidRDefault="004B20E5" w:rsidP="00D24FA0">
            <w:pPr>
              <w:pStyle w:val="TableDataSource"/>
              <w:rPr>
                <w:szCs w:val="20"/>
              </w:rPr>
            </w:pPr>
          </w:p>
          <w:p w:rsidR="004B20E5" w:rsidRPr="005C62F3" w:rsidRDefault="004B20E5" w:rsidP="00D24FA0">
            <w:pPr>
              <w:pStyle w:val="TableDataSource"/>
              <w:rPr>
                <w:szCs w:val="20"/>
              </w:rPr>
            </w:pPr>
            <w:r w:rsidRPr="005C62F3">
              <w:rPr>
                <w:szCs w:val="20"/>
              </w:rPr>
              <w:t>*Age and Sex specific rates per 100,000; postcensal annual estimates of MA population by race/ethnicity, sex, and age group</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Prevalence of carrying a weapon in the past 30 days among MA high school boys</w:t>
            </w:r>
          </w:p>
        </w:tc>
        <w:tc>
          <w:tcPr>
            <w:tcW w:w="1548" w:type="pct"/>
          </w:tcPr>
          <w:p w:rsidR="004B20E5" w:rsidRPr="005C62F3" w:rsidRDefault="004B20E5" w:rsidP="00D24FA0">
            <w:pPr>
              <w:pStyle w:val="TableDataSource"/>
              <w:rPr>
                <w:szCs w:val="20"/>
              </w:rPr>
            </w:pPr>
            <w:r w:rsidRPr="005C62F3">
              <w:rPr>
                <w:szCs w:val="20"/>
              </w:rPr>
              <w:t xml:space="preserve">Youth Health Survey </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Prevalence of carrying a weapon in the past 30 days among MA high school girls</w:t>
            </w:r>
          </w:p>
        </w:tc>
        <w:tc>
          <w:tcPr>
            <w:tcW w:w="1548" w:type="pct"/>
          </w:tcPr>
          <w:p w:rsidR="004B20E5" w:rsidRPr="005C62F3" w:rsidRDefault="004B20E5" w:rsidP="00D24FA0">
            <w:pPr>
              <w:pStyle w:val="TableDataSource"/>
              <w:rPr>
                <w:szCs w:val="20"/>
              </w:rPr>
            </w:pPr>
            <w:r w:rsidRPr="005C62F3">
              <w:rPr>
                <w:szCs w:val="20"/>
              </w:rPr>
              <w:t xml:space="preserve">Youth Health Survey </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5.9</w:t>
            </w:r>
          </w:p>
        </w:tc>
        <w:tc>
          <w:tcPr>
            <w:tcW w:w="1117" w:type="pct"/>
            <w:tcBorders>
              <w:left w:val="nil"/>
            </w:tcBorders>
          </w:tcPr>
          <w:p w:rsidR="004B20E5" w:rsidRPr="005C62F3" w:rsidRDefault="004B20E5" w:rsidP="00D24FA0">
            <w:pPr>
              <w:pStyle w:val="TableOutcomeIndicator"/>
              <w:rPr>
                <w:szCs w:val="20"/>
              </w:rPr>
            </w:pPr>
            <w:r w:rsidRPr="005C62F3">
              <w:rPr>
                <w:szCs w:val="20"/>
              </w:rPr>
              <w:t>Hospital-acquired pressure ulcers</w:t>
            </w:r>
          </w:p>
        </w:tc>
        <w:tc>
          <w:tcPr>
            <w:tcW w:w="1801" w:type="pct"/>
          </w:tcPr>
          <w:p w:rsidR="004B20E5" w:rsidRPr="005C62F3" w:rsidRDefault="004B20E5" w:rsidP="00D24FA0">
            <w:pPr>
              <w:pStyle w:val="TableOutcomeIndicator"/>
              <w:rPr>
                <w:szCs w:val="20"/>
              </w:rPr>
            </w:pPr>
            <w:r w:rsidRPr="005C62F3">
              <w:rPr>
                <w:rFonts w:cs="Arial"/>
                <w:szCs w:val="20"/>
              </w:rPr>
              <w:t>Stage +2 hospital acquired pressure ulcers</w:t>
            </w:r>
          </w:p>
        </w:tc>
        <w:tc>
          <w:tcPr>
            <w:tcW w:w="1548" w:type="pct"/>
          </w:tcPr>
          <w:p w:rsidR="004B20E5" w:rsidRPr="005C62F3" w:rsidRDefault="004B20E5" w:rsidP="00D24FA0">
            <w:pPr>
              <w:pStyle w:val="TableDataSource"/>
              <w:rPr>
                <w:szCs w:val="20"/>
              </w:rPr>
            </w:pPr>
            <w:r w:rsidRPr="005C62F3">
              <w:rPr>
                <w:szCs w:val="20"/>
              </w:rPr>
              <w:t>SRE Annual Report: In the general hospitalized population the rate of Stage 2 or greater pressure ulcer is between 2-3%)</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5.10</w:t>
            </w:r>
          </w:p>
        </w:tc>
        <w:tc>
          <w:tcPr>
            <w:tcW w:w="1117" w:type="pct"/>
            <w:tcBorders>
              <w:left w:val="nil"/>
            </w:tcBorders>
          </w:tcPr>
          <w:p w:rsidR="004B20E5" w:rsidRPr="005C62F3" w:rsidRDefault="004B20E5" w:rsidP="00D24FA0">
            <w:pPr>
              <w:pStyle w:val="TableOutcomeIndicator"/>
              <w:rPr>
                <w:szCs w:val="20"/>
              </w:rPr>
            </w:pPr>
            <w:r w:rsidRPr="005C62F3">
              <w:rPr>
                <w:szCs w:val="20"/>
              </w:rPr>
              <w:t>Falls in acute and non-acute care hospitals</w:t>
            </w:r>
          </w:p>
        </w:tc>
        <w:tc>
          <w:tcPr>
            <w:tcW w:w="1801" w:type="pct"/>
          </w:tcPr>
          <w:p w:rsidR="004B20E5" w:rsidRPr="005C62F3" w:rsidRDefault="004B20E5" w:rsidP="00D24FA0">
            <w:pPr>
              <w:pStyle w:val="TableOutcomeIndicator"/>
              <w:rPr>
                <w:szCs w:val="20"/>
              </w:rPr>
            </w:pPr>
            <w:r w:rsidRPr="005C62F3">
              <w:rPr>
                <w:rFonts w:cs="Arial"/>
                <w:szCs w:val="20"/>
              </w:rPr>
              <w:t>Falls with serious injury or death</w:t>
            </w:r>
          </w:p>
        </w:tc>
        <w:tc>
          <w:tcPr>
            <w:tcW w:w="1548" w:type="pct"/>
          </w:tcPr>
          <w:p w:rsidR="004B20E5" w:rsidRPr="005C62F3" w:rsidRDefault="004B20E5" w:rsidP="00D24FA0">
            <w:pPr>
              <w:pStyle w:val="TableDataSource"/>
              <w:rPr>
                <w:szCs w:val="20"/>
              </w:rPr>
            </w:pPr>
            <w:r w:rsidRPr="005C62F3">
              <w:rPr>
                <w:szCs w:val="20"/>
              </w:rPr>
              <w:t>Annual SRE Report</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5.11</w:t>
            </w:r>
          </w:p>
        </w:tc>
        <w:tc>
          <w:tcPr>
            <w:tcW w:w="1117" w:type="pct"/>
            <w:tcBorders>
              <w:left w:val="nil"/>
            </w:tcBorders>
          </w:tcPr>
          <w:p w:rsidR="004B20E5" w:rsidRPr="005C62F3" w:rsidRDefault="004B20E5" w:rsidP="00D24FA0">
            <w:pPr>
              <w:pStyle w:val="TableOutcomeIndicator"/>
              <w:rPr>
                <w:szCs w:val="20"/>
              </w:rPr>
            </w:pPr>
            <w:r w:rsidRPr="005C62F3">
              <w:rPr>
                <w:szCs w:val="20"/>
              </w:rPr>
              <w:t>Wrong site or side procedures and surgeries</w:t>
            </w:r>
          </w:p>
        </w:tc>
        <w:tc>
          <w:tcPr>
            <w:tcW w:w="1801" w:type="pct"/>
          </w:tcPr>
          <w:p w:rsidR="004B20E5" w:rsidRPr="005C62F3" w:rsidRDefault="004B20E5" w:rsidP="00D24FA0">
            <w:pPr>
              <w:pStyle w:val="TableOutcomeIndicator"/>
              <w:rPr>
                <w:szCs w:val="20"/>
              </w:rPr>
            </w:pPr>
            <w:r w:rsidRPr="005C62F3">
              <w:rPr>
                <w:rFonts w:cs="Arial"/>
                <w:szCs w:val="20"/>
              </w:rPr>
              <w:t>Wrong site or side procedures and surgeries</w:t>
            </w:r>
          </w:p>
        </w:tc>
        <w:tc>
          <w:tcPr>
            <w:tcW w:w="1548" w:type="pct"/>
          </w:tcPr>
          <w:p w:rsidR="004B20E5" w:rsidRPr="005C62F3" w:rsidRDefault="004B20E5" w:rsidP="00D24FA0">
            <w:pPr>
              <w:pStyle w:val="TableDataSource"/>
              <w:rPr>
                <w:szCs w:val="20"/>
              </w:rPr>
            </w:pPr>
            <w:r w:rsidRPr="005C62F3">
              <w:rPr>
                <w:szCs w:val="20"/>
              </w:rPr>
              <w:t xml:space="preserve">2013 Annual SRE report </w:t>
            </w:r>
            <w:r w:rsidRPr="005C62F3">
              <w:rPr>
                <w:szCs w:val="20"/>
              </w:rPr>
              <w:br/>
              <w:t>(Need to ascertain whether it is possible to obtain the number of surgeries and procedures from all three groups of facilities so could report as a rate.)</w:t>
            </w:r>
          </w:p>
        </w:tc>
      </w:tr>
      <w:tr w:rsidR="004B20E5" w:rsidTr="005C62F3">
        <w:trPr>
          <w:cantSplit/>
        </w:trPr>
        <w:tc>
          <w:tcPr>
            <w:tcW w:w="5000" w:type="pct"/>
            <w:gridSpan w:val="4"/>
          </w:tcPr>
          <w:p w:rsidR="004B20E5" w:rsidRPr="005C62F3" w:rsidRDefault="004B20E5" w:rsidP="00D24FA0">
            <w:pPr>
              <w:pStyle w:val="TableTitleTargetDataSource"/>
              <w:rPr>
                <w:szCs w:val="20"/>
              </w:rPr>
            </w:pPr>
            <w:r w:rsidRPr="005C62F3">
              <w:rPr>
                <w:szCs w:val="20"/>
              </w:rPr>
              <w:t>Domain 6:  Maternal, Child, and Family Health Promotion</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6.1</w:t>
            </w:r>
          </w:p>
        </w:tc>
        <w:tc>
          <w:tcPr>
            <w:tcW w:w="1117" w:type="pct"/>
            <w:tcBorders>
              <w:left w:val="nil"/>
            </w:tcBorders>
          </w:tcPr>
          <w:p w:rsidR="004B20E5" w:rsidRPr="005C62F3" w:rsidRDefault="004B20E5" w:rsidP="00D24FA0">
            <w:pPr>
              <w:pStyle w:val="TableOutcomeIndicator"/>
              <w:rPr>
                <w:szCs w:val="20"/>
              </w:rPr>
            </w:pPr>
            <w:r w:rsidRPr="005C62F3">
              <w:rPr>
                <w:szCs w:val="20"/>
              </w:rPr>
              <w:t>Teen birth rate</w:t>
            </w:r>
          </w:p>
        </w:tc>
        <w:tc>
          <w:tcPr>
            <w:tcW w:w="1801" w:type="pct"/>
          </w:tcPr>
          <w:p w:rsidR="004B20E5" w:rsidRPr="005C62F3" w:rsidRDefault="004B20E5" w:rsidP="00D24FA0">
            <w:pPr>
              <w:pStyle w:val="TableOutcomeIndicator"/>
              <w:rPr>
                <w:szCs w:val="20"/>
              </w:rPr>
            </w:pPr>
            <w:r w:rsidRPr="005C62F3">
              <w:rPr>
                <w:szCs w:val="20"/>
              </w:rPr>
              <w:t xml:space="preserve">MA Women </w:t>
            </w:r>
            <w:r w:rsidR="00D9064A">
              <w:rPr>
                <w:szCs w:val="20"/>
              </w:rPr>
              <w:t xml:space="preserve">ages </w:t>
            </w:r>
            <w:r w:rsidRPr="005C62F3">
              <w:rPr>
                <w:szCs w:val="20"/>
              </w:rPr>
              <w:t xml:space="preserve">15-19 </w:t>
            </w:r>
          </w:p>
        </w:tc>
        <w:tc>
          <w:tcPr>
            <w:tcW w:w="1548" w:type="pct"/>
          </w:tcPr>
          <w:p w:rsidR="004B20E5" w:rsidRPr="005C62F3" w:rsidRDefault="004B20E5" w:rsidP="00D24FA0">
            <w:pPr>
              <w:pStyle w:val="TableDataSource"/>
              <w:rPr>
                <w:szCs w:val="20"/>
              </w:rPr>
            </w:pPr>
            <w:r w:rsidRPr="005C62F3">
              <w:rPr>
                <w:szCs w:val="20"/>
              </w:rPr>
              <w:t>MDPH Vital Statistics. Data for 2012. Population estimates from DMOA</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9064A">
            <w:pPr>
              <w:pStyle w:val="TableOutcomeIndicator"/>
              <w:rPr>
                <w:szCs w:val="20"/>
              </w:rPr>
            </w:pPr>
            <w:r w:rsidRPr="005C62F3">
              <w:rPr>
                <w:szCs w:val="20"/>
              </w:rPr>
              <w:t xml:space="preserve">Holyoke, MA Women </w:t>
            </w:r>
            <w:r w:rsidR="00D9064A">
              <w:rPr>
                <w:szCs w:val="20"/>
              </w:rPr>
              <w:t xml:space="preserve">ages </w:t>
            </w:r>
            <w:r w:rsidRPr="005C62F3">
              <w:rPr>
                <w:szCs w:val="20"/>
              </w:rPr>
              <w:t>15-19</w:t>
            </w:r>
          </w:p>
        </w:tc>
        <w:tc>
          <w:tcPr>
            <w:tcW w:w="1548" w:type="pct"/>
          </w:tcPr>
          <w:p w:rsidR="004B20E5" w:rsidRPr="005C62F3" w:rsidRDefault="004B20E5" w:rsidP="00D24FA0">
            <w:pPr>
              <w:pStyle w:val="TableDataSource"/>
              <w:rPr>
                <w:szCs w:val="20"/>
              </w:rPr>
            </w:pPr>
            <w:r w:rsidRPr="005C62F3">
              <w:rPr>
                <w:szCs w:val="20"/>
              </w:rPr>
              <w:t>MDPH Vital Statistics. Data for 2012. Population estimates from DMOA</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 xml:space="preserve">Springfield, MA Women </w:t>
            </w:r>
            <w:r w:rsidR="00D9064A">
              <w:rPr>
                <w:szCs w:val="20"/>
              </w:rPr>
              <w:t xml:space="preserve">ages </w:t>
            </w:r>
            <w:r w:rsidRPr="005C62F3">
              <w:rPr>
                <w:szCs w:val="20"/>
              </w:rPr>
              <w:t>15-19</w:t>
            </w:r>
          </w:p>
        </w:tc>
        <w:tc>
          <w:tcPr>
            <w:tcW w:w="1548" w:type="pct"/>
          </w:tcPr>
          <w:p w:rsidR="004B20E5" w:rsidRPr="005C62F3" w:rsidRDefault="004B20E5" w:rsidP="00D24FA0">
            <w:pPr>
              <w:pStyle w:val="TableDataSource"/>
              <w:rPr>
                <w:szCs w:val="20"/>
              </w:rPr>
            </w:pPr>
            <w:r w:rsidRPr="005C62F3">
              <w:rPr>
                <w:szCs w:val="20"/>
              </w:rPr>
              <w:t>MDPH Vital Statistics. Data for 2012. Population estimates from DMOA</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 xml:space="preserve">Lawrence, MA Women </w:t>
            </w:r>
            <w:r w:rsidR="00D9064A">
              <w:rPr>
                <w:szCs w:val="20"/>
              </w:rPr>
              <w:t xml:space="preserve">ages </w:t>
            </w:r>
            <w:r w:rsidRPr="005C62F3">
              <w:rPr>
                <w:szCs w:val="20"/>
              </w:rPr>
              <w:t>15-19</w:t>
            </w:r>
          </w:p>
        </w:tc>
        <w:tc>
          <w:tcPr>
            <w:tcW w:w="1548" w:type="pct"/>
          </w:tcPr>
          <w:p w:rsidR="004B20E5" w:rsidRPr="005C62F3" w:rsidRDefault="004B20E5" w:rsidP="00D24FA0">
            <w:pPr>
              <w:pStyle w:val="TableDataSource"/>
              <w:rPr>
                <w:szCs w:val="20"/>
              </w:rPr>
            </w:pPr>
            <w:r w:rsidRPr="005C62F3">
              <w:rPr>
                <w:szCs w:val="20"/>
              </w:rPr>
              <w:t>MDPH Vital Statistics. Data for 2012. Population estimates from DMOA</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 xml:space="preserve">New Bedford, MA Women </w:t>
            </w:r>
            <w:r w:rsidR="00D9064A">
              <w:rPr>
                <w:szCs w:val="20"/>
              </w:rPr>
              <w:t xml:space="preserve">ages </w:t>
            </w:r>
            <w:r w:rsidRPr="005C62F3">
              <w:rPr>
                <w:szCs w:val="20"/>
              </w:rPr>
              <w:t>15-19</w:t>
            </w:r>
          </w:p>
        </w:tc>
        <w:tc>
          <w:tcPr>
            <w:tcW w:w="1548" w:type="pct"/>
          </w:tcPr>
          <w:p w:rsidR="004B20E5" w:rsidRPr="005C62F3" w:rsidRDefault="004B20E5" w:rsidP="00D24FA0">
            <w:pPr>
              <w:pStyle w:val="TableDataSource"/>
              <w:rPr>
                <w:szCs w:val="20"/>
              </w:rPr>
            </w:pPr>
            <w:r w:rsidRPr="005C62F3">
              <w:rPr>
                <w:szCs w:val="20"/>
              </w:rPr>
              <w:t>MDPH Vital Statistics. Data for 2012. Population estimates from DMOA</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 xml:space="preserve">Worcester, MA Women </w:t>
            </w:r>
            <w:r w:rsidR="00D9064A">
              <w:rPr>
                <w:szCs w:val="20"/>
              </w:rPr>
              <w:t xml:space="preserve">ages </w:t>
            </w:r>
            <w:r w:rsidRPr="005C62F3">
              <w:rPr>
                <w:szCs w:val="20"/>
              </w:rPr>
              <w:t>15-19</w:t>
            </w:r>
          </w:p>
        </w:tc>
        <w:tc>
          <w:tcPr>
            <w:tcW w:w="1548" w:type="pct"/>
          </w:tcPr>
          <w:p w:rsidR="004B20E5" w:rsidRPr="005C62F3" w:rsidRDefault="004B20E5" w:rsidP="00D24FA0">
            <w:pPr>
              <w:pStyle w:val="TableDataSource"/>
              <w:rPr>
                <w:szCs w:val="20"/>
              </w:rPr>
            </w:pPr>
            <w:r w:rsidRPr="005C62F3">
              <w:rPr>
                <w:szCs w:val="20"/>
              </w:rPr>
              <w:t>MDPH Vital Statistics. Data for 2012. Population estimates from DMOA</w:t>
            </w:r>
          </w:p>
        </w:tc>
      </w:tr>
      <w:tr w:rsidR="004B20E5" w:rsidRPr="00CE317D" w:rsidTr="005C62F3">
        <w:trPr>
          <w:cantSplit/>
        </w:trPr>
        <w:tc>
          <w:tcPr>
            <w:tcW w:w="534" w:type="pct"/>
            <w:tcBorders>
              <w:right w:val="nil"/>
            </w:tcBorders>
          </w:tcPr>
          <w:p w:rsidR="004B20E5" w:rsidRPr="005C62F3" w:rsidRDefault="004B20E5" w:rsidP="00EC3CEF">
            <w:pPr>
              <w:pStyle w:val="TableOutcomeIndicator"/>
              <w:rPr>
                <w:szCs w:val="20"/>
              </w:rPr>
            </w:pPr>
            <w:r w:rsidRPr="005C62F3">
              <w:rPr>
                <w:szCs w:val="20"/>
              </w:rPr>
              <w:t>6.2</w:t>
            </w:r>
          </w:p>
        </w:tc>
        <w:tc>
          <w:tcPr>
            <w:tcW w:w="1117" w:type="pct"/>
            <w:tcBorders>
              <w:left w:val="nil"/>
            </w:tcBorders>
          </w:tcPr>
          <w:p w:rsidR="004B20E5" w:rsidRPr="005C62F3" w:rsidRDefault="004B20E5" w:rsidP="00EC3CEF">
            <w:pPr>
              <w:pStyle w:val="TableOutcomeIndicator"/>
              <w:rPr>
                <w:szCs w:val="20"/>
              </w:rPr>
            </w:pPr>
            <w:r w:rsidRPr="005C62F3">
              <w:rPr>
                <w:szCs w:val="20"/>
              </w:rPr>
              <w:t>Low birth weight</w:t>
            </w:r>
          </w:p>
        </w:tc>
        <w:tc>
          <w:tcPr>
            <w:tcW w:w="1801" w:type="pct"/>
            <w:vAlign w:val="center"/>
          </w:tcPr>
          <w:p w:rsidR="004B20E5" w:rsidRPr="005C62F3" w:rsidRDefault="004B20E5" w:rsidP="00EC3CEF">
            <w:pPr>
              <w:pStyle w:val="TableOutcomeIndicator"/>
              <w:rPr>
                <w:szCs w:val="20"/>
              </w:rPr>
            </w:pPr>
            <w:r w:rsidRPr="005C62F3">
              <w:rPr>
                <w:szCs w:val="20"/>
              </w:rPr>
              <w:t>Percentage of infants born weighing less than 2,500 grams from RVRS data</w:t>
            </w:r>
          </w:p>
        </w:tc>
        <w:tc>
          <w:tcPr>
            <w:tcW w:w="1548" w:type="pct"/>
          </w:tcPr>
          <w:p w:rsidR="004B20E5" w:rsidRPr="005C62F3" w:rsidRDefault="004B20E5" w:rsidP="00EC3CEF">
            <w:pPr>
              <w:pStyle w:val="TableDataSource"/>
              <w:rPr>
                <w:szCs w:val="20"/>
              </w:rPr>
            </w:pPr>
            <w:r w:rsidRPr="005C62F3">
              <w:rPr>
                <w:szCs w:val="20"/>
              </w:rPr>
              <w:t>MDPH Vital Statistics. Data for 2012.</w:t>
            </w:r>
          </w:p>
        </w:tc>
      </w:tr>
      <w:tr w:rsidR="004B20E5" w:rsidRPr="00CE317D" w:rsidTr="005C62F3">
        <w:trPr>
          <w:cantSplit/>
        </w:trPr>
        <w:tc>
          <w:tcPr>
            <w:tcW w:w="534" w:type="pct"/>
            <w:tcBorders>
              <w:right w:val="nil"/>
            </w:tcBorders>
          </w:tcPr>
          <w:p w:rsidR="004B20E5" w:rsidRPr="005C62F3" w:rsidRDefault="004B20E5" w:rsidP="00EC3CEF">
            <w:pPr>
              <w:pStyle w:val="TableOutcomeIndicator"/>
              <w:rPr>
                <w:szCs w:val="20"/>
              </w:rPr>
            </w:pPr>
          </w:p>
        </w:tc>
        <w:tc>
          <w:tcPr>
            <w:tcW w:w="1117" w:type="pct"/>
            <w:tcBorders>
              <w:left w:val="nil"/>
            </w:tcBorders>
          </w:tcPr>
          <w:p w:rsidR="004B20E5" w:rsidRPr="005C62F3" w:rsidRDefault="004B20E5" w:rsidP="00EC3CEF">
            <w:pPr>
              <w:pStyle w:val="TableOutcomeIndicator"/>
              <w:rPr>
                <w:szCs w:val="20"/>
              </w:rPr>
            </w:pPr>
          </w:p>
        </w:tc>
        <w:tc>
          <w:tcPr>
            <w:tcW w:w="1801" w:type="pct"/>
            <w:vAlign w:val="center"/>
          </w:tcPr>
          <w:p w:rsidR="004B20E5" w:rsidRPr="005C62F3" w:rsidRDefault="004B20E5" w:rsidP="00457B2C">
            <w:pPr>
              <w:pStyle w:val="TableOutcomeIndicator"/>
              <w:rPr>
                <w:szCs w:val="20"/>
              </w:rPr>
            </w:pPr>
            <w:r w:rsidRPr="005C62F3">
              <w:rPr>
                <w:szCs w:val="20"/>
              </w:rPr>
              <w:t xml:space="preserve">Percentage of infants born </w:t>
            </w:r>
            <w:r w:rsidR="00457B2C">
              <w:rPr>
                <w:szCs w:val="20"/>
              </w:rPr>
              <w:t>prematurely</w:t>
            </w:r>
          </w:p>
        </w:tc>
        <w:tc>
          <w:tcPr>
            <w:tcW w:w="1548" w:type="pct"/>
          </w:tcPr>
          <w:p w:rsidR="004B20E5" w:rsidRPr="005C62F3" w:rsidRDefault="004B20E5" w:rsidP="00EC3CEF">
            <w:pPr>
              <w:pStyle w:val="TableDataSource"/>
              <w:rPr>
                <w:szCs w:val="20"/>
              </w:rPr>
            </w:pPr>
            <w:r w:rsidRPr="005C62F3">
              <w:rPr>
                <w:szCs w:val="20"/>
              </w:rPr>
              <w:t>MDPH Vital Statistics. Data for 2012</w:t>
            </w:r>
          </w:p>
        </w:tc>
      </w:tr>
      <w:tr w:rsidR="004B20E5" w:rsidRPr="00CE317D"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Black, non-Hispanic Infants</w:t>
            </w:r>
            <w:r w:rsidR="0075009C">
              <w:rPr>
                <w:szCs w:val="20"/>
              </w:rPr>
              <w:t xml:space="preserve"> born weighing less than 2,500 grams.</w:t>
            </w:r>
          </w:p>
        </w:tc>
        <w:tc>
          <w:tcPr>
            <w:tcW w:w="1548" w:type="pct"/>
          </w:tcPr>
          <w:p w:rsidR="004B20E5" w:rsidRPr="005C62F3" w:rsidRDefault="004B20E5" w:rsidP="00D24FA0">
            <w:pPr>
              <w:pStyle w:val="TableDataSource"/>
              <w:rPr>
                <w:szCs w:val="20"/>
              </w:rPr>
            </w:pPr>
            <w:r w:rsidRPr="005C62F3">
              <w:rPr>
                <w:szCs w:val="20"/>
              </w:rPr>
              <w:t>MDPH Vital Statistics. Data for 2012.</w:t>
            </w:r>
          </w:p>
        </w:tc>
      </w:tr>
      <w:tr w:rsidR="004B20E5" w:rsidRPr="00CE317D"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6.3</w:t>
            </w:r>
          </w:p>
        </w:tc>
        <w:tc>
          <w:tcPr>
            <w:tcW w:w="1117" w:type="pct"/>
            <w:tcBorders>
              <w:left w:val="nil"/>
            </w:tcBorders>
          </w:tcPr>
          <w:p w:rsidR="004B20E5" w:rsidRPr="005C62F3" w:rsidRDefault="004B20E5" w:rsidP="00D24FA0">
            <w:pPr>
              <w:pStyle w:val="TableOutcomeIndicator"/>
              <w:rPr>
                <w:szCs w:val="20"/>
              </w:rPr>
            </w:pPr>
            <w:r w:rsidRPr="005C62F3">
              <w:rPr>
                <w:szCs w:val="20"/>
              </w:rPr>
              <w:t>Breast feeding</w:t>
            </w:r>
          </w:p>
        </w:tc>
        <w:tc>
          <w:tcPr>
            <w:tcW w:w="1801" w:type="pct"/>
          </w:tcPr>
          <w:p w:rsidR="004B20E5" w:rsidRPr="005C62F3" w:rsidRDefault="004B20E5" w:rsidP="00D24FA0">
            <w:pPr>
              <w:pStyle w:val="TableOutcomeIndicator"/>
              <w:rPr>
                <w:szCs w:val="20"/>
              </w:rPr>
            </w:pPr>
            <w:r w:rsidRPr="005C62F3">
              <w:rPr>
                <w:szCs w:val="20"/>
              </w:rPr>
              <w:t>Breastfed at 8 weeks</w:t>
            </w:r>
          </w:p>
        </w:tc>
        <w:tc>
          <w:tcPr>
            <w:tcW w:w="1548" w:type="pct"/>
          </w:tcPr>
          <w:p w:rsidR="004B20E5" w:rsidRPr="005C62F3" w:rsidRDefault="004B20E5" w:rsidP="00D24FA0">
            <w:pPr>
              <w:pStyle w:val="TableDataSource"/>
              <w:rPr>
                <w:szCs w:val="20"/>
              </w:rPr>
            </w:pPr>
            <w:r w:rsidRPr="005C62F3">
              <w:rPr>
                <w:szCs w:val="20"/>
              </w:rPr>
              <w:t>MA PRAMS Surveillance Report 2013. Data for 2009/2010.</w:t>
            </w:r>
          </w:p>
        </w:tc>
      </w:tr>
      <w:tr w:rsidR="004B20E5" w:rsidRPr="00CE317D"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Exclusive breastfeeding at hospital discharge</w:t>
            </w:r>
          </w:p>
        </w:tc>
        <w:tc>
          <w:tcPr>
            <w:tcW w:w="1548" w:type="pct"/>
          </w:tcPr>
          <w:p w:rsidR="004B20E5" w:rsidRPr="005C62F3" w:rsidRDefault="004B20E5" w:rsidP="00D24FA0">
            <w:pPr>
              <w:pStyle w:val="TableDataSource"/>
              <w:rPr>
                <w:szCs w:val="20"/>
              </w:rPr>
            </w:pPr>
            <w:r w:rsidRPr="005C62F3">
              <w:rPr>
                <w:szCs w:val="20"/>
              </w:rPr>
              <w:t>MDPH Vital Statistics. Data for 2012.</w:t>
            </w:r>
          </w:p>
        </w:tc>
      </w:tr>
      <w:tr w:rsidR="004B20E5" w:rsidRPr="00CE317D"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Number of Baby-Friendly Hospitals</w:t>
            </w:r>
          </w:p>
        </w:tc>
        <w:tc>
          <w:tcPr>
            <w:tcW w:w="1548" w:type="pct"/>
          </w:tcPr>
          <w:p w:rsidR="004B20E5" w:rsidRPr="005C62F3" w:rsidRDefault="004B20E5" w:rsidP="00D24FA0">
            <w:pPr>
              <w:pStyle w:val="TableDataSource"/>
              <w:rPr>
                <w:szCs w:val="20"/>
              </w:rPr>
            </w:pPr>
            <w:r w:rsidRPr="005C62F3">
              <w:rPr>
                <w:szCs w:val="20"/>
              </w:rPr>
              <w:t>Baby-Friendly USA data</w:t>
            </w:r>
          </w:p>
        </w:tc>
      </w:tr>
      <w:tr w:rsidR="004B20E5" w:rsidRPr="00CE317D"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6.4</w:t>
            </w:r>
          </w:p>
        </w:tc>
        <w:tc>
          <w:tcPr>
            <w:tcW w:w="1117" w:type="pct"/>
            <w:tcBorders>
              <w:left w:val="nil"/>
            </w:tcBorders>
          </w:tcPr>
          <w:p w:rsidR="004B20E5" w:rsidRPr="005C62F3" w:rsidRDefault="009170FB" w:rsidP="00D24FA0">
            <w:pPr>
              <w:pStyle w:val="TableOutcomeIndicator"/>
              <w:rPr>
                <w:szCs w:val="20"/>
              </w:rPr>
            </w:pPr>
            <w:r>
              <w:rPr>
                <w:szCs w:val="20"/>
              </w:rPr>
              <w:t>Teeth cleaning</w:t>
            </w:r>
            <w:r w:rsidR="004B20E5" w:rsidRPr="005C62F3">
              <w:rPr>
                <w:szCs w:val="20"/>
              </w:rPr>
              <w:t xml:space="preserve"> before and during pregnancy</w:t>
            </w:r>
          </w:p>
        </w:tc>
        <w:tc>
          <w:tcPr>
            <w:tcW w:w="1801" w:type="pct"/>
          </w:tcPr>
          <w:p w:rsidR="004B20E5" w:rsidRPr="005C62F3" w:rsidRDefault="004B20E5" w:rsidP="00D24FA0">
            <w:pPr>
              <w:pStyle w:val="TableOutcomeIndicator"/>
              <w:rPr>
                <w:szCs w:val="20"/>
              </w:rPr>
            </w:pPr>
            <w:r w:rsidRPr="005C62F3">
              <w:rPr>
                <w:szCs w:val="20"/>
              </w:rPr>
              <w:t xml:space="preserve">Women who received teeth cleaning in the 12 months prior to pregnancy </w:t>
            </w:r>
          </w:p>
        </w:tc>
        <w:tc>
          <w:tcPr>
            <w:tcW w:w="1548" w:type="pct"/>
          </w:tcPr>
          <w:p w:rsidR="004B20E5" w:rsidRPr="005C62F3" w:rsidRDefault="004B20E5" w:rsidP="00D24FA0">
            <w:pPr>
              <w:pStyle w:val="TableDataSource"/>
              <w:rPr>
                <w:szCs w:val="20"/>
              </w:rPr>
            </w:pPr>
            <w:r w:rsidRPr="005C62F3">
              <w:rPr>
                <w:szCs w:val="20"/>
              </w:rPr>
              <w:t xml:space="preserve">MA PRAMS Surveillance Report 2013. Data for 2009/2010. </w:t>
            </w:r>
          </w:p>
        </w:tc>
      </w:tr>
      <w:tr w:rsidR="004B20E5" w:rsidRPr="00CE317D"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 xml:space="preserve">Women who received teeth cleaning during pregnancy </w:t>
            </w:r>
          </w:p>
        </w:tc>
        <w:tc>
          <w:tcPr>
            <w:tcW w:w="1548" w:type="pct"/>
          </w:tcPr>
          <w:p w:rsidR="004B20E5" w:rsidRPr="005C62F3" w:rsidRDefault="004B20E5" w:rsidP="00D24FA0">
            <w:pPr>
              <w:pStyle w:val="TableDataSource"/>
              <w:rPr>
                <w:szCs w:val="20"/>
              </w:rPr>
            </w:pPr>
            <w:r w:rsidRPr="005C62F3">
              <w:rPr>
                <w:szCs w:val="20"/>
              </w:rPr>
              <w:t>MA PRAMS Surveillance Report 2013. Data for 2009/2010.</w:t>
            </w:r>
          </w:p>
        </w:tc>
      </w:tr>
      <w:tr w:rsidR="004B20E5" w:rsidRPr="00CE317D"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6.5</w:t>
            </w:r>
          </w:p>
        </w:tc>
        <w:tc>
          <w:tcPr>
            <w:tcW w:w="1117" w:type="pct"/>
            <w:tcBorders>
              <w:left w:val="nil"/>
            </w:tcBorders>
          </w:tcPr>
          <w:p w:rsidR="004B20E5" w:rsidRPr="005C62F3" w:rsidRDefault="004B20E5" w:rsidP="00F16410">
            <w:pPr>
              <w:pStyle w:val="TableOutcomeIndicator"/>
              <w:rPr>
                <w:szCs w:val="20"/>
              </w:rPr>
            </w:pPr>
            <w:r w:rsidRPr="005C62F3">
              <w:rPr>
                <w:szCs w:val="20"/>
              </w:rPr>
              <w:t xml:space="preserve">Children with </w:t>
            </w:r>
            <w:r w:rsidR="00A1594F">
              <w:rPr>
                <w:szCs w:val="20"/>
              </w:rPr>
              <w:t>m</w:t>
            </w:r>
            <w:r w:rsidRPr="005C62F3">
              <w:rPr>
                <w:szCs w:val="20"/>
              </w:rPr>
              <w:t xml:space="preserve">edical </w:t>
            </w:r>
            <w:r w:rsidR="00A1594F">
              <w:rPr>
                <w:szCs w:val="20"/>
              </w:rPr>
              <w:t>h</w:t>
            </w:r>
            <w:r w:rsidRPr="005C62F3">
              <w:rPr>
                <w:szCs w:val="20"/>
              </w:rPr>
              <w:t>ome</w:t>
            </w:r>
          </w:p>
        </w:tc>
        <w:tc>
          <w:tcPr>
            <w:tcW w:w="1801" w:type="pct"/>
          </w:tcPr>
          <w:p w:rsidR="004B20E5" w:rsidRPr="005C62F3" w:rsidRDefault="004B20E5" w:rsidP="00D24FA0">
            <w:pPr>
              <w:pStyle w:val="TableOutcomeIndicator"/>
              <w:rPr>
                <w:szCs w:val="20"/>
              </w:rPr>
            </w:pPr>
            <w:r w:rsidRPr="005C62F3">
              <w:rPr>
                <w:szCs w:val="20"/>
              </w:rPr>
              <w:t xml:space="preserve">Children &amp; youth aged 0 </w:t>
            </w:r>
            <w:r w:rsidR="00D9064A">
              <w:rPr>
                <w:szCs w:val="20"/>
              </w:rPr>
              <w:t>–</w:t>
            </w:r>
            <w:r w:rsidRPr="005C62F3">
              <w:rPr>
                <w:szCs w:val="20"/>
              </w:rPr>
              <w:t xml:space="preserve"> 17</w:t>
            </w:r>
            <w:r w:rsidR="00D9064A">
              <w:rPr>
                <w:szCs w:val="20"/>
              </w:rPr>
              <w:t xml:space="preserve"> </w:t>
            </w:r>
          </w:p>
        </w:tc>
        <w:tc>
          <w:tcPr>
            <w:tcW w:w="1548" w:type="pct"/>
          </w:tcPr>
          <w:p w:rsidR="004B20E5" w:rsidRPr="005C62F3" w:rsidRDefault="004B20E5" w:rsidP="00D24FA0">
            <w:pPr>
              <w:pStyle w:val="TableDataSource"/>
              <w:rPr>
                <w:szCs w:val="20"/>
              </w:rPr>
            </w:pPr>
            <w:r w:rsidRPr="005C62F3">
              <w:rPr>
                <w:szCs w:val="20"/>
              </w:rPr>
              <w:t>National Survey of Children’s Health (NSCH) / 2011/2012</w:t>
            </w:r>
          </w:p>
        </w:tc>
      </w:tr>
      <w:tr w:rsidR="004B20E5" w:rsidRPr="00CE317D"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p>
        </w:tc>
        <w:tc>
          <w:tcPr>
            <w:tcW w:w="1801" w:type="pct"/>
          </w:tcPr>
          <w:p w:rsidR="004B20E5" w:rsidRPr="005C62F3" w:rsidRDefault="004B20E5" w:rsidP="00D24FA0">
            <w:pPr>
              <w:pStyle w:val="TableOutcomeIndicator"/>
              <w:rPr>
                <w:szCs w:val="20"/>
              </w:rPr>
            </w:pPr>
            <w:r w:rsidRPr="005C62F3">
              <w:rPr>
                <w:szCs w:val="20"/>
              </w:rPr>
              <w:t>Children &amp; youth with special health care needs</w:t>
            </w:r>
          </w:p>
        </w:tc>
        <w:tc>
          <w:tcPr>
            <w:tcW w:w="1548" w:type="pct"/>
          </w:tcPr>
          <w:p w:rsidR="004B20E5" w:rsidRPr="005C62F3" w:rsidRDefault="004B20E5" w:rsidP="00D24FA0">
            <w:pPr>
              <w:pStyle w:val="TableDataSource"/>
              <w:rPr>
                <w:szCs w:val="20"/>
              </w:rPr>
            </w:pPr>
            <w:r w:rsidRPr="005C62F3">
              <w:rPr>
                <w:rFonts w:ascii="Calibri" w:hAnsi="Calibri"/>
                <w:sz w:val="22"/>
                <w:szCs w:val="20"/>
              </w:rPr>
              <w:t>National Survey of Children’s Health (NSCH).(2011/12)</w:t>
            </w:r>
          </w:p>
        </w:tc>
      </w:tr>
      <w:tr w:rsidR="004B20E5" w:rsidRPr="00CE317D"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6.6</w:t>
            </w:r>
          </w:p>
        </w:tc>
        <w:tc>
          <w:tcPr>
            <w:tcW w:w="1117" w:type="pct"/>
            <w:tcBorders>
              <w:left w:val="nil"/>
            </w:tcBorders>
          </w:tcPr>
          <w:p w:rsidR="004B20E5" w:rsidRPr="005C62F3" w:rsidRDefault="004B20E5" w:rsidP="00D24FA0">
            <w:pPr>
              <w:pStyle w:val="TableOutcomeIndicator"/>
              <w:rPr>
                <w:szCs w:val="20"/>
              </w:rPr>
            </w:pPr>
            <w:r w:rsidRPr="005C62F3">
              <w:rPr>
                <w:szCs w:val="20"/>
              </w:rPr>
              <w:t>Measuring positive early childhood health and development</w:t>
            </w:r>
          </w:p>
        </w:tc>
        <w:tc>
          <w:tcPr>
            <w:tcW w:w="1801" w:type="pct"/>
          </w:tcPr>
          <w:p w:rsidR="004B20E5" w:rsidRPr="005C62F3" w:rsidRDefault="004B20E5" w:rsidP="00D24FA0">
            <w:pPr>
              <w:pStyle w:val="TableOutcomeIndicator"/>
              <w:rPr>
                <w:szCs w:val="20"/>
              </w:rPr>
            </w:pPr>
            <w:r w:rsidRPr="005C62F3">
              <w:rPr>
                <w:szCs w:val="20"/>
              </w:rPr>
              <w:t>Development of robust measure or measures</w:t>
            </w:r>
          </w:p>
        </w:tc>
        <w:tc>
          <w:tcPr>
            <w:tcW w:w="1548" w:type="pct"/>
          </w:tcPr>
          <w:p w:rsidR="004B20E5" w:rsidRPr="005C62F3" w:rsidRDefault="004B20E5" w:rsidP="00D24FA0">
            <w:pPr>
              <w:pStyle w:val="TableDataSource"/>
              <w:rPr>
                <w:szCs w:val="20"/>
              </w:rPr>
            </w:pPr>
            <w:r w:rsidRPr="005C62F3">
              <w:rPr>
                <w:szCs w:val="20"/>
              </w:rPr>
              <w:t>To be Identified and / or developed</w:t>
            </w:r>
          </w:p>
        </w:tc>
      </w:tr>
      <w:tr w:rsidR="004B20E5" w:rsidRPr="00CE317D" w:rsidTr="005C62F3">
        <w:trPr>
          <w:cantSplit/>
        </w:trPr>
        <w:tc>
          <w:tcPr>
            <w:tcW w:w="5000" w:type="pct"/>
            <w:gridSpan w:val="4"/>
          </w:tcPr>
          <w:p w:rsidR="004B20E5" w:rsidRPr="005C62F3" w:rsidRDefault="004B20E5" w:rsidP="00D24FA0">
            <w:pPr>
              <w:pStyle w:val="TableTitleTargetDataSource"/>
              <w:rPr>
                <w:szCs w:val="20"/>
              </w:rPr>
            </w:pPr>
            <w:r w:rsidRPr="005C62F3">
              <w:rPr>
                <w:szCs w:val="20"/>
              </w:rPr>
              <w:t xml:space="preserve">Domain 7:  </w:t>
            </w:r>
            <w:r w:rsidR="00CC4FA8">
              <w:rPr>
                <w:szCs w:val="20"/>
              </w:rPr>
              <w:t>Environmental Risk Factors and Health</w:t>
            </w:r>
          </w:p>
        </w:tc>
      </w:tr>
      <w:tr w:rsidR="004B20E5" w:rsidRPr="00CE317D"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7.1</w:t>
            </w:r>
          </w:p>
        </w:tc>
        <w:tc>
          <w:tcPr>
            <w:tcW w:w="1117" w:type="pct"/>
            <w:tcBorders>
              <w:left w:val="nil"/>
            </w:tcBorders>
          </w:tcPr>
          <w:p w:rsidR="004B20E5" w:rsidRPr="005C62F3" w:rsidRDefault="004B20E5" w:rsidP="00D24FA0">
            <w:pPr>
              <w:pStyle w:val="TableOutcomeIndicator"/>
              <w:rPr>
                <w:szCs w:val="20"/>
              </w:rPr>
            </w:pPr>
            <w:r w:rsidRPr="005C62F3">
              <w:rPr>
                <w:szCs w:val="20"/>
              </w:rPr>
              <w:t>Blood lead level screening</w:t>
            </w:r>
          </w:p>
        </w:tc>
        <w:tc>
          <w:tcPr>
            <w:tcW w:w="1801" w:type="pct"/>
          </w:tcPr>
          <w:p w:rsidR="004B20E5" w:rsidRPr="005C62F3" w:rsidRDefault="004B20E5" w:rsidP="00D24FA0">
            <w:pPr>
              <w:pStyle w:val="TableOutcomeIndicator"/>
              <w:rPr>
                <w:szCs w:val="20"/>
              </w:rPr>
            </w:pPr>
            <w:r w:rsidRPr="005C62F3">
              <w:rPr>
                <w:szCs w:val="20"/>
              </w:rPr>
              <w:t>Children 9-48 months</w:t>
            </w:r>
            <w:r w:rsidR="00D9064A">
              <w:rPr>
                <w:szCs w:val="20"/>
              </w:rPr>
              <w:t xml:space="preserve"> who received screening?</w:t>
            </w:r>
          </w:p>
        </w:tc>
        <w:tc>
          <w:tcPr>
            <w:tcW w:w="1548" w:type="pct"/>
          </w:tcPr>
          <w:p w:rsidR="004B20E5" w:rsidRPr="005C62F3" w:rsidRDefault="004B20E5" w:rsidP="00D24FA0">
            <w:pPr>
              <w:pStyle w:val="TableDataSource"/>
              <w:rPr>
                <w:szCs w:val="20"/>
              </w:rPr>
            </w:pPr>
            <w:r w:rsidRPr="005C62F3">
              <w:rPr>
                <w:szCs w:val="20"/>
              </w:rPr>
              <w:t>Childhood Lead Poisoning Prevention database, (2013)</w:t>
            </w:r>
          </w:p>
        </w:tc>
      </w:tr>
      <w:tr w:rsidR="004B20E5" w:rsidRPr="00CE317D"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7.2</w:t>
            </w:r>
          </w:p>
        </w:tc>
        <w:tc>
          <w:tcPr>
            <w:tcW w:w="1117" w:type="pct"/>
            <w:tcBorders>
              <w:left w:val="nil"/>
            </w:tcBorders>
          </w:tcPr>
          <w:p w:rsidR="004B20E5" w:rsidRPr="005C62F3" w:rsidRDefault="004B20E5" w:rsidP="00D24FA0">
            <w:pPr>
              <w:pStyle w:val="TableOutcomeIndicator"/>
              <w:rPr>
                <w:szCs w:val="20"/>
              </w:rPr>
            </w:pPr>
            <w:r w:rsidRPr="005C62F3">
              <w:rPr>
                <w:szCs w:val="20"/>
              </w:rPr>
              <w:t>Blood lead level</w:t>
            </w:r>
          </w:p>
        </w:tc>
        <w:tc>
          <w:tcPr>
            <w:tcW w:w="1801" w:type="pct"/>
          </w:tcPr>
          <w:p w:rsidR="004B20E5" w:rsidRPr="005C62F3" w:rsidRDefault="004B20E5" w:rsidP="00D24FA0">
            <w:pPr>
              <w:pStyle w:val="TableOutcomeIndicator"/>
              <w:rPr>
                <w:szCs w:val="20"/>
              </w:rPr>
            </w:pPr>
            <w:r w:rsidRPr="005C62F3">
              <w:rPr>
                <w:szCs w:val="20"/>
              </w:rPr>
              <w:t>Persons 16 + with blood lead levels of &gt; 25 ug/dL</w:t>
            </w:r>
          </w:p>
        </w:tc>
        <w:tc>
          <w:tcPr>
            <w:tcW w:w="1548" w:type="pct"/>
          </w:tcPr>
          <w:p w:rsidR="004B20E5" w:rsidRPr="005C62F3" w:rsidRDefault="004B20E5" w:rsidP="00D24FA0">
            <w:pPr>
              <w:pStyle w:val="TableDataSource"/>
              <w:rPr>
                <w:szCs w:val="20"/>
              </w:rPr>
            </w:pPr>
            <w:r w:rsidRPr="005C62F3">
              <w:rPr>
                <w:szCs w:val="20"/>
              </w:rPr>
              <w:t>Numerator Source: Massachusetts Occupational Lead Poisoning Registry</w:t>
            </w:r>
          </w:p>
          <w:p w:rsidR="004B20E5" w:rsidRPr="005C62F3" w:rsidRDefault="004B20E5" w:rsidP="00D24FA0">
            <w:pPr>
              <w:pStyle w:val="TableDataSource"/>
              <w:rPr>
                <w:szCs w:val="20"/>
              </w:rPr>
            </w:pPr>
            <w:r w:rsidRPr="005C62F3">
              <w:rPr>
                <w:szCs w:val="20"/>
              </w:rPr>
              <w:t>Denominator Source: BLS Current Population Survey</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7.3</w:t>
            </w:r>
          </w:p>
        </w:tc>
        <w:tc>
          <w:tcPr>
            <w:tcW w:w="1117" w:type="pct"/>
            <w:tcBorders>
              <w:left w:val="nil"/>
            </w:tcBorders>
          </w:tcPr>
          <w:p w:rsidR="004B20E5" w:rsidRPr="005C62F3" w:rsidRDefault="004B20E5" w:rsidP="00D24FA0">
            <w:pPr>
              <w:pStyle w:val="TableOutcomeIndicator"/>
              <w:rPr>
                <w:szCs w:val="20"/>
              </w:rPr>
            </w:pPr>
            <w:r w:rsidRPr="005C62F3">
              <w:rPr>
                <w:szCs w:val="20"/>
              </w:rPr>
              <w:t>Indoor environmental quality</w:t>
            </w:r>
          </w:p>
        </w:tc>
        <w:tc>
          <w:tcPr>
            <w:tcW w:w="1801" w:type="pct"/>
          </w:tcPr>
          <w:p w:rsidR="004B20E5" w:rsidRPr="005C62F3" w:rsidRDefault="004B20E5" w:rsidP="00D24FA0">
            <w:pPr>
              <w:pStyle w:val="TableOutcomeIndicator"/>
              <w:rPr>
                <w:szCs w:val="20"/>
              </w:rPr>
            </w:pPr>
            <w:r w:rsidRPr="005C62F3">
              <w:rPr>
                <w:szCs w:val="20"/>
              </w:rPr>
              <w:t>Average time between Division of Capital Asset Management and Maintenance (DCAMM) assessment and inspection</w:t>
            </w:r>
          </w:p>
        </w:tc>
        <w:tc>
          <w:tcPr>
            <w:tcW w:w="1548" w:type="pct"/>
          </w:tcPr>
          <w:p w:rsidR="004B20E5" w:rsidRPr="005C62F3" w:rsidRDefault="004B20E5" w:rsidP="00D24FA0">
            <w:pPr>
              <w:pStyle w:val="TableDataSource"/>
              <w:rPr>
                <w:szCs w:val="20"/>
              </w:rPr>
            </w:pPr>
            <w:r w:rsidRPr="005C62F3">
              <w:rPr>
                <w:szCs w:val="20"/>
              </w:rPr>
              <w:t>BEH IAQ database</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7.4</w:t>
            </w:r>
          </w:p>
        </w:tc>
        <w:tc>
          <w:tcPr>
            <w:tcW w:w="1117" w:type="pct"/>
            <w:tcBorders>
              <w:left w:val="nil"/>
            </w:tcBorders>
          </w:tcPr>
          <w:p w:rsidR="004B20E5" w:rsidRPr="005C62F3" w:rsidRDefault="004B20E5" w:rsidP="00D24FA0">
            <w:pPr>
              <w:pStyle w:val="TableOutcomeIndicator"/>
              <w:rPr>
                <w:szCs w:val="20"/>
              </w:rPr>
            </w:pPr>
            <w:r w:rsidRPr="005C62F3">
              <w:rPr>
                <w:szCs w:val="20"/>
              </w:rPr>
              <w:t>Poor housing condition complaints/increase number of trained local inspectors</w:t>
            </w:r>
          </w:p>
        </w:tc>
        <w:tc>
          <w:tcPr>
            <w:tcW w:w="1801" w:type="pct"/>
          </w:tcPr>
          <w:p w:rsidR="004B20E5" w:rsidRPr="005C62F3" w:rsidRDefault="004B20E5" w:rsidP="00D24FA0">
            <w:pPr>
              <w:pStyle w:val="TableOutcomeIndicator"/>
              <w:rPr>
                <w:color w:val="1F497D"/>
                <w:szCs w:val="20"/>
              </w:rPr>
            </w:pPr>
            <w:r w:rsidRPr="005C62F3">
              <w:rPr>
                <w:szCs w:val="20"/>
              </w:rPr>
              <w:t>Trained inspectors</w:t>
            </w:r>
          </w:p>
        </w:tc>
        <w:tc>
          <w:tcPr>
            <w:tcW w:w="1548" w:type="pct"/>
          </w:tcPr>
          <w:p w:rsidR="004B20E5" w:rsidRPr="005C62F3" w:rsidRDefault="004B20E5" w:rsidP="00D24FA0">
            <w:pPr>
              <w:pStyle w:val="TableDataSource"/>
              <w:rPr>
                <w:szCs w:val="20"/>
              </w:rPr>
            </w:pPr>
            <w:r w:rsidRPr="005C62F3">
              <w:rPr>
                <w:szCs w:val="20"/>
              </w:rPr>
              <w:t>Local Public Health Institute of Massachusetts (average number trained 2011-2013)</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7.5</w:t>
            </w:r>
          </w:p>
        </w:tc>
        <w:tc>
          <w:tcPr>
            <w:tcW w:w="1117" w:type="pct"/>
            <w:tcBorders>
              <w:left w:val="nil"/>
            </w:tcBorders>
          </w:tcPr>
          <w:p w:rsidR="004B20E5" w:rsidRPr="005C62F3" w:rsidRDefault="004B20E5" w:rsidP="00D24FA0">
            <w:pPr>
              <w:pStyle w:val="TableOutcomeIndicator"/>
              <w:rPr>
                <w:szCs w:val="20"/>
              </w:rPr>
            </w:pPr>
            <w:r w:rsidRPr="005C62F3">
              <w:rPr>
                <w:szCs w:val="20"/>
              </w:rPr>
              <w:t>Foodborne illness</w:t>
            </w:r>
          </w:p>
        </w:tc>
        <w:tc>
          <w:tcPr>
            <w:tcW w:w="1801" w:type="pct"/>
          </w:tcPr>
          <w:p w:rsidR="004B20E5" w:rsidRPr="005C62F3" w:rsidRDefault="004B20E5" w:rsidP="00D24FA0">
            <w:pPr>
              <w:pStyle w:val="TableOutcomeIndicator"/>
              <w:rPr>
                <w:color w:val="1F497D"/>
                <w:szCs w:val="20"/>
              </w:rPr>
            </w:pPr>
            <w:r w:rsidRPr="005C62F3">
              <w:rPr>
                <w:szCs w:val="20"/>
              </w:rPr>
              <w:t>Local health authorities completing two inspections per food establishment annually according to federal performance standard</w:t>
            </w:r>
          </w:p>
        </w:tc>
        <w:tc>
          <w:tcPr>
            <w:tcW w:w="1548" w:type="pct"/>
          </w:tcPr>
          <w:p w:rsidR="004B20E5" w:rsidRPr="005C62F3" w:rsidRDefault="004B20E5" w:rsidP="00D24FA0">
            <w:pPr>
              <w:pStyle w:val="TableDataSource"/>
              <w:rPr>
                <w:szCs w:val="20"/>
              </w:rPr>
            </w:pPr>
            <w:r w:rsidRPr="005C62F3">
              <w:rPr>
                <w:szCs w:val="20"/>
              </w:rPr>
              <w:t>Annual report to the legislator on status of local health inspections of food establishments(2012)</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r w:rsidRPr="005C62F3">
              <w:rPr>
                <w:szCs w:val="20"/>
              </w:rPr>
              <w:t>7.6</w:t>
            </w:r>
          </w:p>
        </w:tc>
        <w:tc>
          <w:tcPr>
            <w:tcW w:w="1117" w:type="pct"/>
            <w:tcBorders>
              <w:left w:val="nil"/>
            </w:tcBorders>
          </w:tcPr>
          <w:p w:rsidR="004B20E5" w:rsidRPr="005C62F3" w:rsidRDefault="004B20E5" w:rsidP="00D24FA0">
            <w:pPr>
              <w:pStyle w:val="TableOutcomeIndicator"/>
              <w:rPr>
                <w:szCs w:val="20"/>
              </w:rPr>
            </w:pPr>
            <w:r w:rsidRPr="005C62F3">
              <w:rPr>
                <w:szCs w:val="20"/>
              </w:rPr>
              <w:t>Capacity for climate change/adaptation/ number of local health officials trained</w:t>
            </w:r>
          </w:p>
        </w:tc>
        <w:tc>
          <w:tcPr>
            <w:tcW w:w="1801" w:type="pct"/>
          </w:tcPr>
          <w:p w:rsidR="004B20E5" w:rsidRPr="005C62F3" w:rsidRDefault="004B20E5" w:rsidP="00D24FA0">
            <w:pPr>
              <w:pStyle w:val="TableOutcomeIndicator"/>
              <w:rPr>
                <w:color w:val="1F497D"/>
                <w:szCs w:val="20"/>
              </w:rPr>
            </w:pPr>
            <w:r w:rsidRPr="005C62F3">
              <w:rPr>
                <w:szCs w:val="20"/>
              </w:rPr>
              <w:t>Local health/municipal officials trained</w:t>
            </w:r>
          </w:p>
        </w:tc>
        <w:tc>
          <w:tcPr>
            <w:tcW w:w="1548" w:type="pct"/>
          </w:tcPr>
          <w:p w:rsidR="004B20E5" w:rsidRPr="005C62F3" w:rsidRDefault="004B20E5" w:rsidP="00D24FA0">
            <w:pPr>
              <w:pStyle w:val="TableDataSource"/>
              <w:rPr>
                <w:szCs w:val="20"/>
              </w:rPr>
            </w:pPr>
            <w:r w:rsidRPr="005C62F3">
              <w:rPr>
                <w:szCs w:val="20"/>
              </w:rPr>
              <w:t>Attendance list of training sessions (April 30, 2013 Climate Variability and Health Impact Assessment Symposium)</w:t>
            </w:r>
          </w:p>
        </w:tc>
      </w:tr>
      <w:tr w:rsidR="004B20E5" w:rsidTr="005C62F3">
        <w:trPr>
          <w:cantSplit/>
        </w:trPr>
        <w:tc>
          <w:tcPr>
            <w:tcW w:w="534" w:type="pct"/>
            <w:tcBorders>
              <w:right w:val="nil"/>
            </w:tcBorders>
          </w:tcPr>
          <w:p w:rsidR="004B20E5" w:rsidRPr="005C62F3" w:rsidRDefault="004B20E5" w:rsidP="00D24FA0">
            <w:pPr>
              <w:pStyle w:val="TableOutcomeIndicator"/>
              <w:rPr>
                <w:szCs w:val="20"/>
              </w:rPr>
            </w:pPr>
          </w:p>
        </w:tc>
        <w:tc>
          <w:tcPr>
            <w:tcW w:w="1117" w:type="pct"/>
            <w:tcBorders>
              <w:left w:val="nil"/>
            </w:tcBorders>
          </w:tcPr>
          <w:p w:rsidR="004B20E5" w:rsidRPr="005C62F3" w:rsidRDefault="004B20E5" w:rsidP="00D24FA0">
            <w:pPr>
              <w:pStyle w:val="TableOutcomeIndicator"/>
              <w:rPr>
                <w:szCs w:val="20"/>
              </w:rPr>
            </w:pPr>
            <w:r w:rsidRPr="005C62F3">
              <w:rPr>
                <w:szCs w:val="20"/>
              </w:rPr>
              <w:t>Local capacity to respond to environmental health inquiries by use of the Environmental Public Health Tracking (EPHT) network</w:t>
            </w:r>
          </w:p>
        </w:tc>
        <w:tc>
          <w:tcPr>
            <w:tcW w:w="1801" w:type="pct"/>
          </w:tcPr>
          <w:p w:rsidR="004B20E5" w:rsidRPr="005C62F3" w:rsidRDefault="004B20E5" w:rsidP="00D24FA0">
            <w:pPr>
              <w:pStyle w:val="TableOutcomeIndicator"/>
              <w:rPr>
                <w:szCs w:val="20"/>
              </w:rPr>
            </w:pPr>
            <w:r w:rsidRPr="005C62F3">
              <w:rPr>
                <w:szCs w:val="20"/>
              </w:rPr>
              <w:t>MHOA conference registrants</w:t>
            </w:r>
          </w:p>
        </w:tc>
        <w:tc>
          <w:tcPr>
            <w:tcW w:w="1548" w:type="pct"/>
          </w:tcPr>
          <w:p w:rsidR="004B20E5" w:rsidRPr="005C62F3" w:rsidRDefault="004B20E5" w:rsidP="00D24FA0">
            <w:pPr>
              <w:pStyle w:val="TableDataSource"/>
              <w:rPr>
                <w:szCs w:val="20"/>
              </w:rPr>
            </w:pPr>
            <w:r w:rsidRPr="005C62F3">
              <w:rPr>
                <w:szCs w:val="20"/>
              </w:rPr>
              <w:t>MHOA Annual Conference Registration database (number registered at 2013 annual MHOA conference)</w:t>
            </w:r>
          </w:p>
        </w:tc>
      </w:tr>
    </w:tbl>
    <w:p w:rsidR="004B20E5" w:rsidRPr="00761BF1" w:rsidRDefault="004B20E5" w:rsidP="00E827FB">
      <w:pPr>
        <w:pStyle w:val="BodyTextunder3"/>
      </w:pPr>
    </w:p>
    <w:p w:rsidR="004B20E5" w:rsidRDefault="004B20E5" w:rsidP="003B6C46">
      <w:pPr>
        <w:pStyle w:val="Heading2LARGE"/>
      </w:pPr>
      <w:r>
        <w:br w:type="page"/>
      </w:r>
    </w:p>
    <w:p w:rsidR="004B20E5" w:rsidRDefault="004B20E5" w:rsidP="003B6C46">
      <w:pPr>
        <w:pStyle w:val="Heading2LARGE"/>
      </w:pPr>
      <w:bookmarkStart w:id="67" w:name="_Toc398819293"/>
      <w:r>
        <w:t>Appendix F</w:t>
      </w:r>
      <w:r w:rsidRPr="002A07A0">
        <w:t>:</w:t>
      </w:r>
      <w:r>
        <w:t xml:space="preserve">  </w:t>
      </w:r>
      <w:r w:rsidR="00645690">
        <w:t xml:space="preserve">List of </w:t>
      </w:r>
      <w:r>
        <w:t>Acronyms</w:t>
      </w:r>
      <w:bookmarkEnd w:id="67"/>
    </w:p>
    <w:p w:rsidR="004B20E5" w:rsidRPr="00644A67" w:rsidRDefault="004B20E5" w:rsidP="00644A67">
      <w:pPr>
        <w:spacing w:before="80"/>
        <w:ind w:left="540"/>
        <w:rPr>
          <w:b/>
        </w:rPr>
      </w:pPr>
    </w:p>
    <w:p w:rsidR="004B20E5" w:rsidRDefault="004B20E5" w:rsidP="00E827FB">
      <w:pPr>
        <w:pStyle w:val="BodyTextunder3"/>
      </w:pPr>
    </w:p>
    <w:p w:rsidR="004B20E5" w:rsidRPr="00644A67" w:rsidRDefault="004B20E5" w:rsidP="00644A67">
      <w:pPr>
        <w:spacing w:before="80"/>
        <w:ind w:left="540"/>
        <w:rPr>
          <w:b/>
        </w:rPr>
      </w:pPr>
      <w:r w:rsidRPr="00644A67">
        <w:rPr>
          <w:b/>
        </w:rPr>
        <w:t>Acronyms</w:t>
      </w:r>
    </w:p>
    <w:p w:rsidR="004B20E5" w:rsidRPr="00F207A8" w:rsidRDefault="004B20E5" w:rsidP="00AE3634">
      <w:pPr>
        <w:pStyle w:val="BodyTextunder3"/>
        <w:spacing w:before="100"/>
      </w:pPr>
      <w:r>
        <w:t>Advisory Committee on Immunization Practices (</w:t>
      </w:r>
      <w:r w:rsidRPr="00F207A8">
        <w:t>ACIP</w:t>
      </w:r>
      <w:r>
        <w:t>)</w:t>
      </w:r>
    </w:p>
    <w:p w:rsidR="004B20E5" w:rsidRPr="00F207A8" w:rsidRDefault="004B20E5" w:rsidP="00AE3634">
      <w:pPr>
        <w:pStyle w:val="BodyTextunder3"/>
        <w:spacing w:before="100"/>
      </w:pPr>
      <w:r w:rsidRPr="00F207A8">
        <w:t>Affordable Care Act (ACA)</w:t>
      </w:r>
    </w:p>
    <w:p w:rsidR="004B20E5" w:rsidRPr="00F207A8" w:rsidRDefault="004B20E5" w:rsidP="00AE3634">
      <w:pPr>
        <w:pStyle w:val="BodyTextunder3"/>
        <w:spacing w:before="100"/>
      </w:pPr>
      <w:r w:rsidRPr="00F207A8">
        <w:t>American Academy of Pediatrics (AAP)</w:t>
      </w:r>
    </w:p>
    <w:p w:rsidR="004B20E5" w:rsidRPr="00F207A8" w:rsidRDefault="004B20E5" w:rsidP="00AE3634">
      <w:pPr>
        <w:pStyle w:val="BodyTextunder3"/>
        <w:spacing w:before="100"/>
      </w:pPr>
      <w:r w:rsidRPr="00F207A8">
        <w:t>American Association of Retired Persons (AARP)</w:t>
      </w:r>
    </w:p>
    <w:p w:rsidR="004B20E5" w:rsidRPr="00F207A8" w:rsidRDefault="004B20E5" w:rsidP="00AE3634">
      <w:pPr>
        <w:pStyle w:val="BodyTextunder3"/>
        <w:spacing w:before="100"/>
      </w:pPr>
      <w:r w:rsidRPr="00F207A8">
        <w:t>American Community Survey (ACS)</w:t>
      </w:r>
    </w:p>
    <w:p w:rsidR="004B20E5" w:rsidRPr="00F207A8" w:rsidRDefault="004B20E5" w:rsidP="00AE3634">
      <w:pPr>
        <w:pStyle w:val="BodyTextunder3"/>
        <w:spacing w:before="100"/>
      </w:pPr>
      <w:r>
        <w:t>American Congress of Obstetricians and Gynecologists (</w:t>
      </w:r>
      <w:r w:rsidRPr="00F207A8">
        <w:t>ACOG</w:t>
      </w:r>
      <w:r>
        <w:t>)</w:t>
      </w:r>
    </w:p>
    <w:p w:rsidR="004B20E5" w:rsidRDefault="004B20E5" w:rsidP="00AE3634">
      <w:pPr>
        <w:pStyle w:val="BodyTextunder3"/>
        <w:spacing w:before="100"/>
      </w:pPr>
      <w:r>
        <w:t>American Dental Association (</w:t>
      </w:r>
      <w:r w:rsidRPr="00F207A8">
        <w:t>ADA</w:t>
      </w:r>
      <w:r>
        <w:t>)</w:t>
      </w:r>
    </w:p>
    <w:p w:rsidR="004B20E5" w:rsidRPr="00F207A8" w:rsidRDefault="004B20E5" w:rsidP="00AE3634">
      <w:pPr>
        <w:pStyle w:val="BodyTextunder3"/>
        <w:spacing w:before="100"/>
      </w:pPr>
      <w:r>
        <w:t>American Diabetes Association (ADA)</w:t>
      </w:r>
    </w:p>
    <w:p w:rsidR="004B20E5" w:rsidRPr="00F207A8" w:rsidRDefault="004B20E5" w:rsidP="00AE3634">
      <w:pPr>
        <w:pStyle w:val="BodyTextunder3"/>
        <w:spacing w:before="100"/>
      </w:pPr>
      <w:r>
        <w:t>American Society of Safety Engineers (</w:t>
      </w:r>
      <w:r w:rsidRPr="00F207A8">
        <w:t>ASSE</w:t>
      </w:r>
      <w:r>
        <w:t>)</w:t>
      </w:r>
    </w:p>
    <w:p w:rsidR="004B20E5" w:rsidRPr="00F207A8" w:rsidRDefault="004B20E5" w:rsidP="00AE3634">
      <w:pPr>
        <w:pStyle w:val="BodyTextunder3"/>
        <w:spacing w:before="100"/>
      </w:pPr>
      <w:r>
        <w:t>Amyotrophic lateral sclerosis (ALS) – Lou Gehrig’s disease</w:t>
      </w:r>
    </w:p>
    <w:p w:rsidR="004B20E5" w:rsidRPr="00F207A8" w:rsidRDefault="004B20E5" w:rsidP="00AE3634">
      <w:pPr>
        <w:pStyle w:val="BodyTextunder3"/>
        <w:spacing w:before="100"/>
      </w:pPr>
      <w:r>
        <w:t>Association of Women's Health, Obstetric and Neonatal Nurses (</w:t>
      </w:r>
      <w:r w:rsidRPr="00F207A8">
        <w:t>AWHONN</w:t>
      </w:r>
      <w:r>
        <w:t>)</w:t>
      </w:r>
    </w:p>
    <w:p w:rsidR="004B20E5" w:rsidRDefault="004B20E5" w:rsidP="00AE3634">
      <w:pPr>
        <w:pStyle w:val="BodyTextunder3"/>
        <w:spacing w:before="100"/>
      </w:pPr>
      <w:r>
        <w:t>Attorney General’s Office (</w:t>
      </w:r>
      <w:r w:rsidRPr="00F207A8">
        <w:t>AGO</w:t>
      </w:r>
      <w:r>
        <w:t>)</w:t>
      </w:r>
    </w:p>
    <w:p w:rsidR="004B20E5" w:rsidRPr="00F207A8" w:rsidRDefault="004B20E5" w:rsidP="00AE3634">
      <w:pPr>
        <w:pStyle w:val="BodyTextunder3"/>
        <w:spacing w:before="100"/>
      </w:pPr>
      <w:r w:rsidRPr="00F207A8">
        <w:t>Baby Friendly Hospital Initiative (BFHI)</w:t>
      </w:r>
    </w:p>
    <w:p w:rsidR="004B20E5" w:rsidRPr="00F207A8" w:rsidRDefault="004B20E5" w:rsidP="00AE3634">
      <w:pPr>
        <w:pStyle w:val="BodyTextunder3"/>
        <w:spacing w:before="100"/>
      </w:pPr>
      <w:r w:rsidRPr="00F207A8">
        <w:t>Behavioral Risk Factor Surveillance System (BRFSS)</w:t>
      </w:r>
    </w:p>
    <w:p w:rsidR="004B20E5" w:rsidRPr="00F207A8" w:rsidRDefault="004B20E5" w:rsidP="00AE3634">
      <w:pPr>
        <w:pStyle w:val="BodyTextunder3"/>
        <w:spacing w:before="100"/>
      </w:pPr>
      <w:r w:rsidRPr="00F207A8">
        <w:t>Better Oral Health for MA Coalition (BOHMAC)</w:t>
      </w:r>
    </w:p>
    <w:p w:rsidR="004B20E5" w:rsidRPr="00F207A8" w:rsidRDefault="004B20E5" w:rsidP="00AE3634">
      <w:pPr>
        <w:pStyle w:val="BodyTextunder3"/>
        <w:spacing w:before="100"/>
      </w:pPr>
      <w:r w:rsidRPr="00F207A8">
        <w:t>Blood Pressure (BP)</w:t>
      </w:r>
    </w:p>
    <w:p w:rsidR="004B20E5" w:rsidRPr="00F207A8" w:rsidRDefault="004B20E5" w:rsidP="00AE3634">
      <w:pPr>
        <w:pStyle w:val="BodyTextunder3"/>
        <w:spacing w:before="100"/>
      </w:pPr>
      <w:r w:rsidRPr="00F207A8">
        <w:t>Body Mass Index (BMI)</w:t>
      </w:r>
    </w:p>
    <w:p w:rsidR="004B20E5" w:rsidRDefault="004B20E5" w:rsidP="00AE3634">
      <w:pPr>
        <w:pStyle w:val="BodyTextunder3"/>
        <w:spacing w:before="100"/>
      </w:pPr>
      <w:r>
        <w:t>Brain Injury Association of Massachusetts (BIA-MA)</w:t>
      </w:r>
    </w:p>
    <w:p w:rsidR="004B20E5" w:rsidRPr="00F207A8" w:rsidRDefault="004B20E5" w:rsidP="00AE3634">
      <w:pPr>
        <w:pStyle w:val="BodyTextunder3"/>
        <w:spacing w:before="100"/>
      </w:pPr>
      <w:r w:rsidRPr="00F207A8">
        <w:t>Bureau of Labor Statistics (BLS)</w:t>
      </w:r>
    </w:p>
    <w:p w:rsidR="004B20E5" w:rsidRPr="00F207A8" w:rsidRDefault="004B20E5" w:rsidP="00AE3634">
      <w:pPr>
        <w:pStyle w:val="BodyTextunder3"/>
        <w:spacing w:before="100"/>
      </w:pPr>
      <w:r>
        <w:t>Bureau of Substance Abuse Services (</w:t>
      </w:r>
      <w:r w:rsidRPr="00F207A8">
        <w:t>BSAS</w:t>
      </w:r>
      <w:r>
        <w:t>)</w:t>
      </w:r>
    </w:p>
    <w:p w:rsidR="004B20E5" w:rsidRPr="00F207A8" w:rsidRDefault="004B20E5" w:rsidP="00AE3634">
      <w:pPr>
        <w:pStyle w:val="BodyTextunder3"/>
        <w:spacing w:before="100"/>
      </w:pPr>
      <w:r>
        <w:t>Cardio</w:t>
      </w:r>
      <w:r w:rsidR="00224B4A">
        <w:t>v</w:t>
      </w:r>
      <w:r>
        <w:t>ascular Disease (</w:t>
      </w:r>
      <w:r w:rsidRPr="00F207A8">
        <w:t>CVD</w:t>
      </w:r>
      <w:r>
        <w:t>)</w:t>
      </w:r>
    </w:p>
    <w:p w:rsidR="004B20E5" w:rsidRPr="00F207A8" w:rsidRDefault="004B20E5" w:rsidP="00AE3634">
      <w:pPr>
        <w:pStyle w:val="BodyTextunder3"/>
        <w:spacing w:before="100"/>
      </w:pPr>
      <w:r w:rsidRPr="00F207A8">
        <w:t>Catheter-associated urinary tract infection (CAUTI)</w:t>
      </w:r>
    </w:p>
    <w:p w:rsidR="004B20E5" w:rsidRDefault="004B20E5" w:rsidP="00AE3634">
      <w:pPr>
        <w:pStyle w:val="BodyTextunder3"/>
        <w:spacing w:before="100"/>
      </w:pPr>
      <w:r>
        <w:t>Center for Health Information and Analysis (</w:t>
      </w:r>
      <w:r w:rsidRPr="00F26381">
        <w:t>CHIA</w:t>
      </w:r>
      <w:r>
        <w:t>)</w:t>
      </w:r>
    </w:p>
    <w:p w:rsidR="004B20E5" w:rsidRPr="00F207A8" w:rsidRDefault="004B20E5" w:rsidP="00AE3634">
      <w:pPr>
        <w:pStyle w:val="BodyTextunder3"/>
        <w:spacing w:before="100"/>
      </w:pPr>
      <w:r w:rsidRPr="00F207A8">
        <w:t xml:space="preserve">Centers for Disease Control </w:t>
      </w:r>
      <w:r w:rsidR="00224B4A">
        <w:t xml:space="preserve">and Prevention </w:t>
      </w:r>
      <w:r w:rsidRPr="00F207A8">
        <w:t>(CDC)</w:t>
      </w:r>
    </w:p>
    <w:p w:rsidR="004B20E5" w:rsidRPr="00F207A8" w:rsidRDefault="004B20E5" w:rsidP="00AE3634">
      <w:pPr>
        <w:pStyle w:val="BodyTextunder3"/>
        <w:spacing w:before="100"/>
      </w:pPr>
      <w:r w:rsidRPr="00F207A8">
        <w:t>Central line-associated bloodstream Infection (CLABSI)</w:t>
      </w:r>
    </w:p>
    <w:p w:rsidR="004B20E5" w:rsidRPr="00F207A8" w:rsidRDefault="004B20E5" w:rsidP="00AE3634">
      <w:pPr>
        <w:pStyle w:val="BodyTextunder3"/>
        <w:spacing w:before="100"/>
      </w:pPr>
      <w:r w:rsidRPr="00F207A8">
        <w:t>Children &amp; Youth With Special Health Care Needs (CYSHCN)</w:t>
      </w:r>
    </w:p>
    <w:p w:rsidR="004B20E5" w:rsidRPr="00F207A8" w:rsidRDefault="004B20E5" w:rsidP="00AE3634">
      <w:pPr>
        <w:pStyle w:val="BodyTextunder3"/>
        <w:spacing w:before="100"/>
      </w:pPr>
      <w:r w:rsidRPr="005C68B1">
        <w:t>Children's Behavioral Health Initiative</w:t>
      </w:r>
      <w:r>
        <w:t xml:space="preserve"> (</w:t>
      </w:r>
      <w:r w:rsidRPr="00F207A8">
        <w:t>CBHI</w:t>
      </w:r>
      <w:r>
        <w:t>)</w:t>
      </w:r>
    </w:p>
    <w:p w:rsidR="004B20E5" w:rsidRPr="00F207A8" w:rsidRDefault="004B20E5" w:rsidP="00AE3634">
      <w:pPr>
        <w:pStyle w:val="BodyTextunder3"/>
        <w:spacing w:before="100"/>
      </w:pPr>
      <w:r w:rsidRPr="00F207A8">
        <w:t>Chronic obstructive pulmonary disease (COPD)</w:t>
      </w:r>
    </w:p>
    <w:p w:rsidR="004B20E5" w:rsidRPr="00F207A8" w:rsidRDefault="004B20E5" w:rsidP="00AE3634">
      <w:pPr>
        <w:pStyle w:val="BodyTextunder3"/>
        <w:spacing w:before="100"/>
      </w:pPr>
      <w:r w:rsidRPr="00F207A8">
        <w:t>Community Based Organization (CBO)</w:t>
      </w:r>
    </w:p>
    <w:p w:rsidR="004B20E5" w:rsidRPr="00F207A8" w:rsidRDefault="004B20E5" w:rsidP="00AE3634">
      <w:pPr>
        <w:pStyle w:val="BodyTextunder3"/>
        <w:spacing w:before="100"/>
      </w:pPr>
      <w:r w:rsidRPr="00F207A8">
        <w:t>Community Health Worker (CHW)</w:t>
      </w:r>
    </w:p>
    <w:p w:rsidR="004B20E5" w:rsidRPr="00F207A8" w:rsidRDefault="004B20E5" w:rsidP="00AE3634">
      <w:pPr>
        <w:pStyle w:val="BodyTextunder3"/>
        <w:spacing w:before="100"/>
      </w:pPr>
      <w:r w:rsidRPr="00F207A8">
        <w:t>Continuing Medical Education (CME)</w:t>
      </w:r>
    </w:p>
    <w:p w:rsidR="004B20E5" w:rsidRPr="00F207A8" w:rsidRDefault="004B20E5" w:rsidP="00AE3634">
      <w:pPr>
        <w:pStyle w:val="BodyTextunder3"/>
        <w:spacing w:before="100"/>
      </w:pPr>
      <w:r w:rsidRPr="00F207A8">
        <w:t>Culturally and Linguistically Appropriate Services (CLAS) Standards</w:t>
      </w:r>
    </w:p>
    <w:p w:rsidR="004B20E5" w:rsidRPr="00F207A8" w:rsidRDefault="004B20E5" w:rsidP="00AE3634">
      <w:pPr>
        <w:pStyle w:val="BodyTextunder3"/>
        <w:spacing w:before="100"/>
      </w:pPr>
      <w:r w:rsidRPr="00F207A8">
        <w:t>Department of Conservation and Recreation (DCR)</w:t>
      </w:r>
    </w:p>
    <w:p w:rsidR="004B20E5" w:rsidRPr="00F207A8" w:rsidRDefault="004B20E5" w:rsidP="00AE3634">
      <w:pPr>
        <w:pStyle w:val="BodyTextunder3"/>
        <w:spacing w:before="100"/>
      </w:pPr>
      <w:r>
        <w:t>Department of Developmental Services (</w:t>
      </w:r>
      <w:r w:rsidRPr="00F207A8">
        <w:t>DDS</w:t>
      </w:r>
      <w:r>
        <w:t>)</w:t>
      </w:r>
    </w:p>
    <w:p w:rsidR="004B20E5" w:rsidRPr="00F207A8" w:rsidRDefault="004B20E5" w:rsidP="00AE3634">
      <w:pPr>
        <w:pStyle w:val="BodyTextunder3"/>
        <w:spacing w:before="100"/>
      </w:pPr>
      <w:r>
        <w:t>Department of Early Education and Care (</w:t>
      </w:r>
      <w:r w:rsidRPr="00F207A8">
        <w:t>EEC</w:t>
      </w:r>
      <w:r>
        <w:t>)</w:t>
      </w:r>
    </w:p>
    <w:p w:rsidR="004B20E5" w:rsidRPr="00F207A8" w:rsidRDefault="004B20E5" w:rsidP="00AE3634">
      <w:pPr>
        <w:pStyle w:val="BodyTextunder3"/>
        <w:spacing w:before="100"/>
      </w:pPr>
      <w:r w:rsidRPr="00F207A8">
        <w:t>Department of Elementary and Secondary Education (DESE)</w:t>
      </w:r>
    </w:p>
    <w:p w:rsidR="004B20E5" w:rsidRPr="00F207A8" w:rsidRDefault="004B20E5" w:rsidP="00AE3634">
      <w:pPr>
        <w:pStyle w:val="BodyTextunder3"/>
        <w:spacing w:before="100"/>
      </w:pPr>
      <w:r>
        <w:t>Department of Higher Education (</w:t>
      </w:r>
      <w:r w:rsidRPr="00F207A8">
        <w:t>DHE</w:t>
      </w:r>
      <w:r>
        <w:t>)</w:t>
      </w:r>
    </w:p>
    <w:p w:rsidR="004B20E5" w:rsidRPr="00F207A8" w:rsidRDefault="004B20E5" w:rsidP="00AE3634">
      <w:pPr>
        <w:pStyle w:val="BodyTextunder3"/>
        <w:spacing w:before="100"/>
      </w:pPr>
      <w:r w:rsidRPr="00F207A8">
        <w:t>Department of Public Health (DPH)</w:t>
      </w:r>
    </w:p>
    <w:p w:rsidR="004B20E5" w:rsidRPr="00F207A8" w:rsidRDefault="004B20E5" w:rsidP="00AE3634">
      <w:pPr>
        <w:pStyle w:val="BodyTextunder3"/>
        <w:spacing w:before="100"/>
      </w:pPr>
      <w:r w:rsidRPr="00F207A8">
        <w:t>Department of Transportation (DOT)</w:t>
      </w:r>
    </w:p>
    <w:p w:rsidR="004B20E5" w:rsidRPr="00F207A8" w:rsidRDefault="004B20E5" w:rsidP="00AE3634">
      <w:pPr>
        <w:pStyle w:val="BodyTextunder3"/>
        <w:spacing w:before="100"/>
      </w:pPr>
      <w:r w:rsidRPr="00F207A8">
        <w:t>Diabetes self-management education (DSME)</w:t>
      </w:r>
    </w:p>
    <w:p w:rsidR="004B20E5" w:rsidRPr="00F207A8" w:rsidRDefault="004B20E5" w:rsidP="00AE3634">
      <w:pPr>
        <w:pStyle w:val="BodyTextunder3"/>
        <w:spacing w:before="100"/>
      </w:pPr>
      <w:r w:rsidRPr="005C68B1">
        <w:t>Disabled Persons Protection Commission</w:t>
      </w:r>
      <w:r>
        <w:t xml:space="preserve"> (</w:t>
      </w:r>
      <w:r w:rsidRPr="00F207A8">
        <w:t>DPPC</w:t>
      </w:r>
      <w:r>
        <w:t>)</w:t>
      </w:r>
    </w:p>
    <w:p w:rsidR="004B20E5" w:rsidRPr="00F207A8" w:rsidRDefault="004B20E5" w:rsidP="00AE3634">
      <w:pPr>
        <w:pStyle w:val="BodyTextunder3"/>
        <w:spacing w:before="100"/>
      </w:pPr>
      <w:r>
        <w:t>Division of Local Services (</w:t>
      </w:r>
      <w:r w:rsidRPr="00F207A8">
        <w:t>DLS</w:t>
      </w:r>
      <w:r>
        <w:t>)</w:t>
      </w:r>
    </w:p>
    <w:p w:rsidR="004B20E5" w:rsidRPr="00AF0910" w:rsidRDefault="004B20E5" w:rsidP="00AE3634">
      <w:pPr>
        <w:pStyle w:val="BodyTextunder3"/>
        <w:spacing w:before="100"/>
      </w:pPr>
      <w:r>
        <w:t>Department of Mental Health (DMH)</w:t>
      </w:r>
    </w:p>
    <w:p w:rsidR="004B20E5" w:rsidRPr="00F207A8" w:rsidRDefault="004B20E5" w:rsidP="00AE3634">
      <w:pPr>
        <w:pStyle w:val="BodyTextunder3"/>
        <w:spacing w:before="100"/>
      </w:pPr>
      <w:r w:rsidRPr="00F207A8">
        <w:t>Domestic Violence (DV)</w:t>
      </w:r>
    </w:p>
    <w:p w:rsidR="004B20E5" w:rsidRPr="00F207A8" w:rsidRDefault="004B20E5" w:rsidP="00AE3634">
      <w:pPr>
        <w:pStyle w:val="BodyTextunder3"/>
        <w:spacing w:before="100"/>
      </w:pPr>
      <w:r>
        <w:t>Drug Recognition Expert (</w:t>
      </w:r>
      <w:r w:rsidRPr="00F207A8">
        <w:t>DRE</w:t>
      </w:r>
      <w:r>
        <w:t>)</w:t>
      </w:r>
    </w:p>
    <w:p w:rsidR="004B20E5" w:rsidRPr="00F207A8" w:rsidRDefault="004B20E5" w:rsidP="00AE3634">
      <w:pPr>
        <w:pStyle w:val="BodyTextunder3"/>
        <w:spacing w:before="100"/>
      </w:pPr>
      <w:r w:rsidRPr="00F207A8">
        <w:t>Electronic Benefit Transfer (EBT)</w:t>
      </w:r>
    </w:p>
    <w:p w:rsidR="004B20E5" w:rsidRPr="00F207A8" w:rsidRDefault="004B20E5" w:rsidP="00AE3634">
      <w:pPr>
        <w:pStyle w:val="BodyTextunder3"/>
        <w:spacing w:before="100"/>
      </w:pPr>
      <w:r w:rsidRPr="00F207A8">
        <w:t>E</w:t>
      </w:r>
      <w:r>
        <w:t>lectronic H</w:t>
      </w:r>
      <w:r w:rsidRPr="00F207A8">
        <w:t>ea</w:t>
      </w:r>
      <w:r>
        <w:t>lth R</w:t>
      </w:r>
      <w:r w:rsidRPr="00F207A8">
        <w:t>ecords (EHR)</w:t>
      </w:r>
    </w:p>
    <w:p w:rsidR="004B20E5" w:rsidRPr="00F207A8" w:rsidRDefault="004B20E5" w:rsidP="00AE3634">
      <w:pPr>
        <w:pStyle w:val="BodyTextunder3"/>
        <w:spacing w:before="100"/>
      </w:pPr>
      <w:r w:rsidRPr="005C68B1">
        <w:t xml:space="preserve">Electronic Invoice Presentment &amp; Payment </w:t>
      </w:r>
      <w:r>
        <w:t>(</w:t>
      </w:r>
      <w:r w:rsidRPr="00F207A8">
        <w:t>EIPP</w:t>
      </w:r>
      <w:r>
        <w:t>)</w:t>
      </w:r>
    </w:p>
    <w:p w:rsidR="004B20E5" w:rsidRPr="00F207A8" w:rsidRDefault="004B20E5" w:rsidP="00AE3634">
      <w:pPr>
        <w:pStyle w:val="BodyTextunder3"/>
        <w:spacing w:before="100"/>
      </w:pPr>
      <w:r w:rsidRPr="00F207A8">
        <w:t>Emergency Department (ED)</w:t>
      </w:r>
    </w:p>
    <w:p w:rsidR="004B20E5" w:rsidRPr="00F207A8" w:rsidRDefault="004B20E5" w:rsidP="00AE3634">
      <w:pPr>
        <w:pStyle w:val="BodyTextunder3"/>
        <w:spacing w:before="100"/>
      </w:pPr>
      <w:r w:rsidRPr="00F207A8">
        <w:t xml:space="preserve">Environmental </w:t>
      </w:r>
      <w:r>
        <w:t>P</w:t>
      </w:r>
      <w:r w:rsidRPr="00F207A8">
        <w:t xml:space="preserve">ublic </w:t>
      </w:r>
      <w:r>
        <w:t>H</w:t>
      </w:r>
      <w:r w:rsidRPr="00F207A8">
        <w:t xml:space="preserve">ealth </w:t>
      </w:r>
      <w:r>
        <w:t>T</w:t>
      </w:r>
      <w:r w:rsidRPr="00F207A8">
        <w:t>racking (EPHT)</w:t>
      </w:r>
    </w:p>
    <w:p w:rsidR="004B20E5" w:rsidRPr="00F207A8" w:rsidRDefault="004B20E5" w:rsidP="00AE3634">
      <w:pPr>
        <w:pStyle w:val="BodyTextunder3"/>
        <w:spacing w:before="100"/>
      </w:pPr>
      <w:r w:rsidRPr="005C68B1">
        <w:t>Executive Office of Environmental Affairs</w:t>
      </w:r>
      <w:r>
        <w:t xml:space="preserve"> (</w:t>
      </w:r>
      <w:r w:rsidRPr="00F207A8">
        <w:t>EOEA</w:t>
      </w:r>
      <w:r>
        <w:t>)</w:t>
      </w:r>
    </w:p>
    <w:p w:rsidR="004B20E5" w:rsidRPr="00F207A8" w:rsidRDefault="004B20E5" w:rsidP="00AE3634">
      <w:pPr>
        <w:pStyle w:val="BodyTextunder3"/>
        <w:spacing w:before="100"/>
      </w:pPr>
      <w:r w:rsidRPr="00F207A8">
        <w:t>Executive Office of Health and Human Services (EOHHS)</w:t>
      </w:r>
    </w:p>
    <w:p w:rsidR="004B20E5" w:rsidRPr="00F207A8" w:rsidRDefault="004B20E5" w:rsidP="00AE3634">
      <w:pPr>
        <w:pStyle w:val="BodyTextunder3"/>
        <w:spacing w:before="100"/>
      </w:pPr>
      <w:r w:rsidRPr="005C68B1">
        <w:t>Executive Office of Public Safety</w:t>
      </w:r>
      <w:r>
        <w:t xml:space="preserve"> </w:t>
      </w:r>
      <w:r w:rsidR="00224B4A">
        <w:t xml:space="preserve">and Security </w:t>
      </w:r>
      <w:r>
        <w:t>(</w:t>
      </w:r>
      <w:r w:rsidRPr="00F207A8">
        <w:t>EOPSS</w:t>
      </w:r>
      <w:r>
        <w:t>)</w:t>
      </w:r>
    </w:p>
    <w:p w:rsidR="004B20E5" w:rsidRPr="00F207A8" w:rsidRDefault="004B20E5" w:rsidP="00AE3634">
      <w:pPr>
        <w:pStyle w:val="BodyTextunder3"/>
        <w:spacing w:before="100"/>
      </w:pPr>
      <w:r w:rsidRPr="00F207A8">
        <w:t>Food and Drug Administration (FDA)</w:t>
      </w:r>
    </w:p>
    <w:p w:rsidR="004B20E5" w:rsidRPr="00F207A8" w:rsidRDefault="004B20E5" w:rsidP="00AE3634">
      <w:pPr>
        <w:pStyle w:val="BodyTextunder3"/>
        <w:spacing w:before="100"/>
      </w:pPr>
      <w:r w:rsidRPr="00F207A8">
        <w:t>Food service establishment (FSE)</w:t>
      </w:r>
    </w:p>
    <w:p w:rsidR="004B20E5" w:rsidRPr="00F207A8" w:rsidRDefault="004B20E5" w:rsidP="00AE3634">
      <w:pPr>
        <w:pStyle w:val="BodyTextunder3"/>
        <w:spacing w:before="100"/>
      </w:pPr>
      <w:r w:rsidRPr="00F207A8">
        <w:t>Gay, Lesbian, Bi-Sexual, Transgender (GLBT)</w:t>
      </w:r>
    </w:p>
    <w:p w:rsidR="004B20E5" w:rsidRPr="00F207A8" w:rsidRDefault="004B20E5" w:rsidP="00AE3634">
      <w:pPr>
        <w:pStyle w:val="BodyTextunder3"/>
        <w:spacing w:before="100"/>
      </w:pPr>
      <w:r w:rsidRPr="00F207A8">
        <w:t>Harvard School of Public Health (HSPH)</w:t>
      </w:r>
    </w:p>
    <w:p w:rsidR="004B20E5" w:rsidRPr="00F207A8" w:rsidRDefault="004B20E5" w:rsidP="00AE3634">
      <w:pPr>
        <w:pStyle w:val="BodyTextunder3"/>
        <w:spacing w:before="100"/>
      </w:pPr>
      <w:r w:rsidRPr="00F207A8">
        <w:t>Hazard Analysis and Critical Control Points (HACCP)</w:t>
      </w:r>
    </w:p>
    <w:p w:rsidR="004B20E5" w:rsidRPr="00F207A8" w:rsidRDefault="004B20E5" w:rsidP="00AE3634">
      <w:pPr>
        <w:pStyle w:val="BodyTextunder3"/>
        <w:spacing w:before="100"/>
      </w:pPr>
      <w:r w:rsidRPr="005C68B1">
        <w:t>Health and Homeland Alert Network</w:t>
      </w:r>
      <w:r>
        <w:t xml:space="preserve"> (</w:t>
      </w:r>
      <w:r w:rsidRPr="00F207A8">
        <w:t>HHAN</w:t>
      </w:r>
      <w:r>
        <w:t>)</w:t>
      </w:r>
    </w:p>
    <w:p w:rsidR="004B20E5" w:rsidRPr="00F207A8" w:rsidRDefault="004B20E5" w:rsidP="00AE3634">
      <w:pPr>
        <w:pStyle w:val="BodyTextunder3"/>
        <w:spacing w:before="100"/>
      </w:pPr>
      <w:r>
        <w:t>Health Information T</w:t>
      </w:r>
      <w:r w:rsidRPr="00F207A8">
        <w:t>echnology (HIT)</w:t>
      </w:r>
    </w:p>
    <w:p w:rsidR="004B20E5" w:rsidRPr="00F207A8" w:rsidRDefault="004B20E5" w:rsidP="00AE3634">
      <w:pPr>
        <w:pStyle w:val="BodyTextunder3"/>
        <w:spacing w:before="100"/>
      </w:pPr>
      <w:r w:rsidRPr="00F207A8">
        <w:t>Health Resources in Action (HRiA)</w:t>
      </w:r>
    </w:p>
    <w:p w:rsidR="004B20E5" w:rsidRDefault="004B20E5" w:rsidP="00AE3634">
      <w:pPr>
        <w:pStyle w:val="BodyTextunder3"/>
        <w:spacing w:before="100"/>
      </w:pPr>
      <w:r>
        <w:t>Healthcare Associated Infections (</w:t>
      </w:r>
      <w:r w:rsidRPr="0046149F">
        <w:t>HAI’s</w:t>
      </w:r>
      <w:r>
        <w:t>)</w:t>
      </w:r>
    </w:p>
    <w:p w:rsidR="004B20E5" w:rsidRPr="00F207A8" w:rsidRDefault="004B20E5" w:rsidP="00AE3634">
      <w:pPr>
        <w:pStyle w:val="BodyTextunder3"/>
        <w:spacing w:before="100"/>
      </w:pPr>
      <w:r w:rsidRPr="00F207A8">
        <w:t>Heating, ventilation, and air conditioning (HVAC)</w:t>
      </w:r>
    </w:p>
    <w:p w:rsidR="004B20E5" w:rsidRPr="00F207A8" w:rsidRDefault="004B20E5" w:rsidP="00AE3634">
      <w:pPr>
        <w:pStyle w:val="BodyTextunder3"/>
        <w:spacing w:before="100"/>
      </w:pPr>
      <w:r w:rsidRPr="00F207A8">
        <w:t>Hepatitis C virus (HCV)</w:t>
      </w:r>
    </w:p>
    <w:p w:rsidR="004B20E5" w:rsidRPr="00F207A8" w:rsidRDefault="004B20E5" w:rsidP="00AE3634">
      <w:pPr>
        <w:pStyle w:val="BodyTextunder3"/>
        <w:spacing w:before="100"/>
      </w:pPr>
      <w:r w:rsidRPr="00F207A8">
        <w:t>Human immunodeficiency virus (HIV)</w:t>
      </w:r>
    </w:p>
    <w:p w:rsidR="004B20E5" w:rsidRPr="00F207A8" w:rsidRDefault="004B20E5" w:rsidP="00AE3634">
      <w:pPr>
        <w:pStyle w:val="BodyTextunder3"/>
        <w:spacing w:before="100"/>
      </w:pPr>
      <w:r w:rsidRPr="00F207A8">
        <w:t>Human papillomavirus (HPV)</w:t>
      </w:r>
    </w:p>
    <w:p w:rsidR="004B20E5" w:rsidRDefault="004B20E5" w:rsidP="00AE3634">
      <w:pPr>
        <w:pStyle w:val="BodyTextunder3"/>
        <w:spacing w:before="100"/>
      </w:pPr>
      <w:r>
        <w:t>Individual Education Plan (IEP)</w:t>
      </w:r>
    </w:p>
    <w:p w:rsidR="004B20E5" w:rsidRPr="00F207A8" w:rsidRDefault="004B20E5" w:rsidP="00AE3634">
      <w:pPr>
        <w:pStyle w:val="BodyTextunder3"/>
        <w:spacing w:before="100"/>
      </w:pPr>
      <w:r w:rsidRPr="00F207A8">
        <w:t>Information Technology (IT)</w:t>
      </w:r>
    </w:p>
    <w:p w:rsidR="004B20E5" w:rsidRPr="00F207A8" w:rsidRDefault="004B20E5" w:rsidP="00AE3634">
      <w:pPr>
        <w:pStyle w:val="BodyTextunder3"/>
        <w:spacing w:before="100"/>
      </w:pPr>
      <w:r w:rsidRPr="00F207A8">
        <w:t>Institutional Review Board (IRB)</w:t>
      </w:r>
    </w:p>
    <w:p w:rsidR="004B20E5" w:rsidRPr="00F207A8" w:rsidRDefault="004B20E5" w:rsidP="00AE3634">
      <w:pPr>
        <w:pStyle w:val="BodyTextunder3"/>
        <w:spacing w:before="100"/>
      </w:pPr>
      <w:r w:rsidRPr="00F207A8">
        <w:t>Integrated Pest Management (IPM)</w:t>
      </w:r>
    </w:p>
    <w:p w:rsidR="004B20E5" w:rsidRDefault="004B20E5" w:rsidP="00AE3634">
      <w:pPr>
        <w:pStyle w:val="BodyTextunder3"/>
        <w:spacing w:before="100"/>
      </w:pPr>
      <w:r>
        <w:t>Integrated Surveillance Intelligence System (ISIS)</w:t>
      </w:r>
    </w:p>
    <w:p w:rsidR="004B20E5" w:rsidRPr="00F207A8" w:rsidRDefault="004B20E5" w:rsidP="00AE3634">
      <w:pPr>
        <w:pStyle w:val="BodyTextunder3"/>
        <w:spacing w:before="100"/>
      </w:pPr>
      <w:r w:rsidRPr="00F207A8">
        <w:t>Intimate Partner Violence (IPV)</w:t>
      </w:r>
    </w:p>
    <w:p w:rsidR="004B20E5" w:rsidRDefault="004B20E5" w:rsidP="00AE3634">
      <w:pPr>
        <w:pStyle w:val="BodyTextunder3"/>
        <w:spacing w:before="100"/>
      </w:pPr>
      <w:r>
        <w:t>Local Educational Agencies (LEA)</w:t>
      </w:r>
    </w:p>
    <w:p w:rsidR="004B20E5" w:rsidRPr="00F207A8" w:rsidRDefault="004B20E5" w:rsidP="00AE3634">
      <w:pPr>
        <w:pStyle w:val="BodyTextunder3"/>
        <w:spacing w:before="100"/>
      </w:pPr>
      <w:r w:rsidRPr="00F207A8">
        <w:t xml:space="preserve">Low Birthweight Infants (LBW) </w:t>
      </w:r>
      <w:r w:rsidR="00224B4A">
        <w:t>(</w:t>
      </w:r>
      <w:r w:rsidRPr="00F207A8">
        <w:t>weighing less than 2,500 grams or 5.5 pounds)</w:t>
      </w:r>
    </w:p>
    <w:p w:rsidR="004B20E5" w:rsidRDefault="004B20E5" w:rsidP="00AE3634">
      <w:pPr>
        <w:pStyle w:val="BodyTextunder3"/>
        <w:spacing w:before="100"/>
      </w:pPr>
      <w:r w:rsidRPr="005A3C8B">
        <w:t>Mass</w:t>
      </w:r>
      <w:r w:rsidR="00224B4A">
        <w:t>achusetts</w:t>
      </w:r>
      <w:r w:rsidRPr="005A3C8B">
        <w:t xml:space="preserve"> Association of Health Plans (MAHP)</w:t>
      </w:r>
    </w:p>
    <w:p w:rsidR="004B20E5" w:rsidRDefault="004B20E5" w:rsidP="00AE3634">
      <w:pPr>
        <w:pStyle w:val="BodyTextunder3"/>
        <w:spacing w:before="100"/>
      </w:pPr>
      <w:r>
        <w:t>Massachusetts Bay Transit Authority (MBTA)</w:t>
      </w:r>
    </w:p>
    <w:p w:rsidR="004B20E5" w:rsidRDefault="004B20E5" w:rsidP="00AE3634">
      <w:pPr>
        <w:pStyle w:val="BodyTextunder3"/>
        <w:spacing w:before="100"/>
      </w:pPr>
      <w:r w:rsidRPr="00F207A8">
        <w:t>Massachusetts Child Psychiatry Access Project (MCPAP)</w:t>
      </w:r>
    </w:p>
    <w:p w:rsidR="004B20E5" w:rsidRDefault="004B20E5" w:rsidP="00AE3634">
      <w:pPr>
        <w:pStyle w:val="BodyTextunder3"/>
        <w:spacing w:before="100"/>
      </w:pPr>
      <w:r>
        <w:t>Massachusetts Department of Agricultural Resources (MDAR)</w:t>
      </w:r>
    </w:p>
    <w:p w:rsidR="004B20E5" w:rsidRPr="00F207A8" w:rsidRDefault="004B20E5" w:rsidP="00AE3634">
      <w:pPr>
        <w:pStyle w:val="BodyTextunder3"/>
        <w:spacing w:before="100"/>
      </w:pPr>
      <w:r w:rsidRPr="00F207A8">
        <w:t>Massachusetts Department of Public Health (MDPH)</w:t>
      </w:r>
    </w:p>
    <w:p w:rsidR="004B20E5" w:rsidRPr="00F207A8" w:rsidRDefault="004B20E5" w:rsidP="00AE3634">
      <w:pPr>
        <w:pStyle w:val="BodyTextunder3"/>
        <w:spacing w:before="100"/>
      </w:pPr>
      <w:r w:rsidRPr="00F207A8">
        <w:t>Massachusetts Health Quality Partners (MHQP)</w:t>
      </w:r>
    </w:p>
    <w:p w:rsidR="004B20E5" w:rsidRDefault="004B20E5" w:rsidP="00AE3634">
      <w:pPr>
        <w:pStyle w:val="BodyTextunder3"/>
        <w:spacing w:before="100"/>
      </w:pPr>
      <w:r w:rsidRPr="00F207A8">
        <w:t>Massachusetts Home Visiting Initiative (MHVI)</w:t>
      </w:r>
    </w:p>
    <w:p w:rsidR="004B20E5" w:rsidRDefault="004B20E5" w:rsidP="00AE3634">
      <w:pPr>
        <w:pStyle w:val="BodyTextunder3"/>
        <w:spacing w:before="100"/>
      </w:pPr>
      <w:r>
        <w:t>Massachusetts Hospital Association (MHA)</w:t>
      </w:r>
    </w:p>
    <w:p w:rsidR="004B20E5" w:rsidRPr="00F207A8" w:rsidRDefault="004B20E5" w:rsidP="00AE3634">
      <w:pPr>
        <w:pStyle w:val="BodyTextunder3"/>
        <w:spacing w:before="100"/>
      </w:pPr>
      <w:r w:rsidRPr="00F207A8">
        <w:t>Massachusetts Immunization Information System (MIIS)</w:t>
      </w:r>
    </w:p>
    <w:p w:rsidR="004B20E5" w:rsidRPr="00F207A8" w:rsidRDefault="004B20E5" w:rsidP="00AE3634">
      <w:pPr>
        <w:pStyle w:val="BodyTextunder3"/>
        <w:spacing w:before="100"/>
      </w:pPr>
      <w:r w:rsidRPr="00F207A8">
        <w:t>Massachusetts Perinatal Quality Collaborative (MPQC)</w:t>
      </w:r>
    </w:p>
    <w:p w:rsidR="004B20E5" w:rsidRPr="00F207A8" w:rsidRDefault="004B20E5" w:rsidP="00AE3634">
      <w:pPr>
        <w:pStyle w:val="BodyTextunder3"/>
        <w:spacing w:before="100"/>
      </w:pPr>
      <w:r w:rsidRPr="00F207A8">
        <w:t>Massachusetts Virtual Epidemiologic Network (MAVEN)</w:t>
      </w:r>
    </w:p>
    <w:p w:rsidR="004B20E5" w:rsidRPr="00F207A8" w:rsidRDefault="004B20E5" w:rsidP="00AE3634">
      <w:pPr>
        <w:pStyle w:val="BodyTextunder3"/>
        <w:spacing w:before="100"/>
      </w:pPr>
      <w:r w:rsidRPr="00F207A8">
        <w:t>Men who have sex with men (MSM)</w:t>
      </w:r>
    </w:p>
    <w:p w:rsidR="004B20E5" w:rsidRPr="00F207A8" w:rsidRDefault="004B20E5" w:rsidP="00AE3634">
      <w:pPr>
        <w:pStyle w:val="BodyTextunder3"/>
        <w:spacing w:before="100"/>
      </w:pPr>
      <w:r w:rsidRPr="00F207A8">
        <w:t>Methicillin-resistant Staphylococcus aureus (MRSA)</w:t>
      </w:r>
    </w:p>
    <w:p w:rsidR="004B20E5" w:rsidRDefault="004B20E5" w:rsidP="00AE3634">
      <w:pPr>
        <w:pStyle w:val="BodyTextunder3"/>
        <w:spacing w:before="100"/>
      </w:pPr>
      <w:r w:rsidRPr="005C68B1">
        <w:t>Morbidity and Mortality We</w:t>
      </w:r>
      <w:r>
        <w:t>ekly Report (</w:t>
      </w:r>
      <w:r w:rsidRPr="00F207A8">
        <w:t>MMWR</w:t>
      </w:r>
      <w:r>
        <w:t>)</w:t>
      </w:r>
    </w:p>
    <w:p w:rsidR="004B20E5" w:rsidRDefault="004B20E5" w:rsidP="00AE3634">
      <w:pPr>
        <w:pStyle w:val="BodyTextunder3"/>
        <w:spacing w:before="100"/>
      </w:pPr>
      <w:r w:rsidRPr="00E94769">
        <w:t>Massachusetts Adolescent Sex Offender Coalition</w:t>
      </w:r>
      <w:r>
        <w:t xml:space="preserve"> (MASOC)</w:t>
      </w:r>
    </w:p>
    <w:p w:rsidR="004B20E5" w:rsidRPr="00F207A8" w:rsidRDefault="004B20E5" w:rsidP="00AE3634">
      <w:pPr>
        <w:pStyle w:val="BodyTextunder3"/>
        <w:spacing w:before="100"/>
      </w:pPr>
      <w:r w:rsidRPr="00E94769">
        <w:t>Massachusetts Association for the Treatment of Sexual Abusers</w:t>
      </w:r>
      <w:r>
        <w:t xml:space="preserve"> (MATSA)</w:t>
      </w:r>
    </w:p>
    <w:p w:rsidR="004B20E5" w:rsidRPr="00F207A8" w:rsidRDefault="004B20E5" w:rsidP="00AE3634">
      <w:pPr>
        <w:pStyle w:val="BodyTextunder3"/>
        <w:spacing w:before="100"/>
      </w:pPr>
      <w:r w:rsidRPr="0014538D">
        <w:t>National Health and Nutrition Examination Survey</w:t>
      </w:r>
      <w:r>
        <w:t xml:space="preserve"> (</w:t>
      </w:r>
      <w:r w:rsidRPr="00F207A8">
        <w:t>NHANES</w:t>
      </w:r>
      <w:r>
        <w:t>)</w:t>
      </w:r>
    </w:p>
    <w:p w:rsidR="004B20E5" w:rsidRPr="00F207A8" w:rsidRDefault="004B20E5" w:rsidP="00AE3634">
      <w:pPr>
        <w:pStyle w:val="BodyTextunder3"/>
        <w:spacing w:before="100"/>
      </w:pPr>
      <w:r w:rsidRPr="00F207A8">
        <w:t>National Highway Traffic Safety Administration (NHTSA)</w:t>
      </w:r>
    </w:p>
    <w:p w:rsidR="004B20E5" w:rsidRPr="00F207A8" w:rsidRDefault="004B20E5" w:rsidP="00AE3634">
      <w:pPr>
        <w:pStyle w:val="BodyTextunder3"/>
        <w:spacing w:before="100"/>
      </w:pPr>
      <w:r>
        <w:t>National Quality Forum (</w:t>
      </w:r>
      <w:r w:rsidRPr="00F207A8">
        <w:t>NQF</w:t>
      </w:r>
      <w:r>
        <w:t>)</w:t>
      </w:r>
    </w:p>
    <w:p w:rsidR="004B20E5" w:rsidRPr="00F207A8" w:rsidRDefault="004B20E5" w:rsidP="00AE3634">
      <w:pPr>
        <w:pStyle w:val="BodyTextunder3"/>
        <w:spacing w:before="100"/>
      </w:pPr>
      <w:r w:rsidRPr="00F207A8">
        <w:t>Network of Employers for Traffic Safety (NETS)</w:t>
      </w:r>
    </w:p>
    <w:p w:rsidR="004B20E5" w:rsidRPr="00F207A8" w:rsidRDefault="004B20E5" w:rsidP="00AE3634">
      <w:pPr>
        <w:pStyle w:val="BodyTextunder3"/>
        <w:spacing w:before="100"/>
      </w:pPr>
      <w:r w:rsidRPr="00F207A8">
        <w:t>Ne</w:t>
      </w:r>
      <w:r w:rsidR="00224B4A">
        <w:t xml:space="preserve">onatal </w:t>
      </w:r>
      <w:r w:rsidRPr="00F207A8">
        <w:t>abstinence syndrome (NAS)</w:t>
      </w:r>
    </w:p>
    <w:p w:rsidR="004B20E5" w:rsidRPr="00F207A8" w:rsidRDefault="004B20E5" w:rsidP="00AE3634">
      <w:pPr>
        <w:pStyle w:val="BodyTextunder3"/>
        <w:spacing w:before="100"/>
      </w:pPr>
      <w:r w:rsidRPr="00F207A8">
        <w:t>Occupational Safety and Health Administration (OSHA)</w:t>
      </w:r>
    </w:p>
    <w:p w:rsidR="004B20E5" w:rsidRPr="00F207A8" w:rsidRDefault="004B20E5" w:rsidP="00AE3634">
      <w:pPr>
        <w:pStyle w:val="BodyTextunder3"/>
        <w:spacing w:before="100"/>
      </w:pPr>
      <w:r w:rsidRPr="00D878E3">
        <w:t>Operational Services Division</w:t>
      </w:r>
      <w:r>
        <w:t xml:space="preserve"> (</w:t>
      </w:r>
      <w:r w:rsidRPr="00F207A8">
        <w:t>OSD</w:t>
      </w:r>
      <w:r>
        <w:t>)</w:t>
      </w:r>
    </w:p>
    <w:p w:rsidR="00457B2C" w:rsidRDefault="00457B2C" w:rsidP="00AE3634">
      <w:pPr>
        <w:pStyle w:val="BodyTextunder3"/>
        <w:spacing w:before="100"/>
      </w:pPr>
      <w:r>
        <w:t>Parent Teacher Associations (PTA)</w:t>
      </w:r>
    </w:p>
    <w:p w:rsidR="004B20E5" w:rsidRPr="00F207A8" w:rsidRDefault="004B20E5" w:rsidP="00AE3634">
      <w:pPr>
        <w:pStyle w:val="BodyTextunder3"/>
        <w:spacing w:before="100"/>
      </w:pPr>
      <w:r w:rsidRPr="00F207A8">
        <w:t xml:space="preserve">Parent </w:t>
      </w:r>
      <w:r w:rsidR="00224B4A">
        <w:t xml:space="preserve">Teacher </w:t>
      </w:r>
      <w:r w:rsidRPr="00F207A8">
        <w:t>Organizations PTOs</w:t>
      </w:r>
    </w:p>
    <w:p w:rsidR="004B20E5" w:rsidRPr="00F207A8" w:rsidRDefault="004B20E5" w:rsidP="00AE3634">
      <w:pPr>
        <w:pStyle w:val="BodyTextunder3"/>
        <w:spacing w:before="100"/>
      </w:pPr>
      <w:r w:rsidRPr="00F207A8">
        <w:t>Particulate matter (PM)</w:t>
      </w:r>
    </w:p>
    <w:p w:rsidR="004B20E5" w:rsidRPr="00F207A8" w:rsidRDefault="004B20E5" w:rsidP="00AE3634">
      <w:pPr>
        <w:pStyle w:val="BodyTextunder3"/>
        <w:spacing w:before="100"/>
      </w:pPr>
      <w:r w:rsidRPr="00F207A8">
        <w:t>Post-Partum Depression (PPD)</w:t>
      </w:r>
    </w:p>
    <w:p w:rsidR="004B20E5" w:rsidRPr="00F207A8" w:rsidRDefault="004B20E5" w:rsidP="00AE3634">
      <w:pPr>
        <w:pStyle w:val="BodyTextunder3"/>
        <w:spacing w:before="100"/>
      </w:pPr>
      <w:r w:rsidRPr="00F207A8">
        <w:t>P</w:t>
      </w:r>
      <w:r>
        <w:t>renatal C</w:t>
      </w:r>
      <w:r w:rsidRPr="00F207A8">
        <w:t>are (PNC)</w:t>
      </w:r>
    </w:p>
    <w:p w:rsidR="004B20E5" w:rsidRPr="00F207A8" w:rsidRDefault="004B20E5" w:rsidP="00AE3634">
      <w:pPr>
        <w:pStyle w:val="BodyTextunder3"/>
        <w:spacing w:before="100"/>
      </w:pPr>
      <w:r w:rsidRPr="00F207A8">
        <w:t>P</w:t>
      </w:r>
      <w:r>
        <w:t>reterm B</w:t>
      </w:r>
      <w:r w:rsidRPr="00F207A8">
        <w:t>irth (PTB)</w:t>
      </w:r>
    </w:p>
    <w:p w:rsidR="004B20E5" w:rsidRDefault="004B20E5" w:rsidP="00AE3634">
      <w:pPr>
        <w:pStyle w:val="BodyTextunder3"/>
        <w:spacing w:before="100"/>
      </w:pPr>
      <w:r>
        <w:t>Preventi</w:t>
      </w:r>
      <w:r w:rsidR="00224B4A">
        <w:t>on</w:t>
      </w:r>
      <w:r>
        <w:t xml:space="preserve"> and Wellness Trust Fund (</w:t>
      </w:r>
      <w:r w:rsidDel="00715340">
        <w:t>PWTF</w:t>
      </w:r>
      <w:r>
        <w:t>)</w:t>
      </w:r>
    </w:p>
    <w:p w:rsidR="004B20E5" w:rsidRPr="00F207A8" w:rsidRDefault="004B20E5" w:rsidP="00AE3634">
      <w:pPr>
        <w:pStyle w:val="BodyTextunder3"/>
        <w:spacing w:before="100"/>
      </w:pPr>
      <w:r w:rsidRPr="00D878E3">
        <w:t>Prostate-Specific Antigen</w:t>
      </w:r>
      <w:r>
        <w:t xml:space="preserve"> (</w:t>
      </w:r>
      <w:r w:rsidRPr="00F207A8">
        <w:t>PSA</w:t>
      </w:r>
      <w:r>
        <w:t>)</w:t>
      </w:r>
    </w:p>
    <w:p w:rsidR="004B20E5" w:rsidRPr="00F207A8" w:rsidRDefault="004B20E5" w:rsidP="00AE3634">
      <w:pPr>
        <w:pStyle w:val="BodyTextunder3"/>
        <w:spacing w:before="100"/>
      </w:pPr>
      <w:r w:rsidRPr="00F207A8">
        <w:t>Quality Improvement (QI)</w:t>
      </w:r>
    </w:p>
    <w:p w:rsidR="004B20E5" w:rsidRPr="00F207A8" w:rsidRDefault="004B20E5" w:rsidP="00AE3634">
      <w:pPr>
        <w:pStyle w:val="BodyTextunder3"/>
        <w:spacing w:before="100"/>
      </w:pPr>
      <w:r w:rsidRPr="00F207A8">
        <w:t>Renovation, Repair and Painting (RRP) Program</w:t>
      </w:r>
    </w:p>
    <w:p w:rsidR="004B20E5" w:rsidRPr="00F207A8" w:rsidRDefault="004B20E5" w:rsidP="00AE3634">
      <w:pPr>
        <w:pStyle w:val="BodyTextunder3"/>
        <w:spacing w:before="100"/>
      </w:pPr>
      <w:r w:rsidRPr="00F207A8">
        <w:t>Screening, Brief Intervention, and Referral to Treatment (SBIRT)</w:t>
      </w:r>
    </w:p>
    <w:p w:rsidR="004B20E5" w:rsidRDefault="004B20E5" w:rsidP="00AE3634">
      <w:pPr>
        <w:pStyle w:val="BodyTextunder3"/>
        <w:spacing w:before="100"/>
      </w:pPr>
      <w:r>
        <w:t>Seal, Educate, Advocate for Learning Program (SEAL)</w:t>
      </w:r>
    </w:p>
    <w:p w:rsidR="004B20E5" w:rsidRPr="00F207A8" w:rsidRDefault="004B20E5" w:rsidP="00AE3634">
      <w:pPr>
        <w:pStyle w:val="BodyTextunder3"/>
        <w:spacing w:before="100"/>
      </w:pPr>
      <w:r>
        <w:t>S</w:t>
      </w:r>
      <w:r w:rsidRPr="00F207A8">
        <w:t>erious persistent mental illness (SPMI)</w:t>
      </w:r>
    </w:p>
    <w:p w:rsidR="004B20E5" w:rsidRPr="00F207A8" w:rsidRDefault="004B20E5" w:rsidP="00AE3634">
      <w:pPr>
        <w:pStyle w:val="BodyTextunder3"/>
        <w:spacing w:before="100"/>
      </w:pPr>
      <w:r w:rsidRPr="00F207A8">
        <w:t>Sexual assault prevention and survivor services (SAPSS)</w:t>
      </w:r>
    </w:p>
    <w:p w:rsidR="004B20E5" w:rsidRPr="00F207A8" w:rsidRDefault="004B20E5" w:rsidP="00AE3634">
      <w:pPr>
        <w:pStyle w:val="BodyTextunder3"/>
        <w:spacing w:before="100"/>
      </w:pPr>
      <w:r w:rsidRPr="00F207A8">
        <w:t>Special Supplemental Nutrition Program for Women, Infants, and Children (WIC)</w:t>
      </w:r>
    </w:p>
    <w:p w:rsidR="004B20E5" w:rsidRPr="00F207A8" w:rsidRDefault="004B20E5" w:rsidP="00AE3634">
      <w:pPr>
        <w:pStyle w:val="BodyTextunder3"/>
        <w:spacing w:before="100"/>
      </w:pPr>
      <w:r w:rsidRPr="00F207A8">
        <w:t>Standard infection ratios (SIR)</w:t>
      </w:r>
    </w:p>
    <w:p w:rsidR="004B20E5" w:rsidRPr="00F207A8" w:rsidRDefault="004B20E5" w:rsidP="00AE3634">
      <w:pPr>
        <w:pStyle w:val="BodyTextunder3"/>
        <w:spacing w:before="100"/>
      </w:pPr>
      <w:r w:rsidRPr="00F207A8">
        <w:t>State Health Improvement Plan (SHIP)</w:t>
      </w:r>
    </w:p>
    <w:p w:rsidR="004B20E5" w:rsidRPr="00F207A8" w:rsidRDefault="004B20E5" w:rsidP="00AE3634">
      <w:pPr>
        <w:pStyle w:val="BodyTextunder3"/>
        <w:spacing w:before="100"/>
      </w:pPr>
      <w:r w:rsidRPr="00F207A8">
        <w:t>Subject Matter Expert (SME)</w:t>
      </w:r>
    </w:p>
    <w:p w:rsidR="004B20E5" w:rsidRPr="00F207A8" w:rsidRDefault="004B20E5" w:rsidP="00AE3634">
      <w:pPr>
        <w:pStyle w:val="BodyTextunder3"/>
        <w:spacing w:before="100"/>
      </w:pPr>
      <w:r w:rsidRPr="00D878E3">
        <w:t>Substance Abuse and Mental Health Services Administra</w:t>
      </w:r>
      <w:r>
        <w:t>tion (</w:t>
      </w:r>
      <w:r w:rsidRPr="00F207A8">
        <w:t>SAMSHA</w:t>
      </w:r>
      <w:r>
        <w:t>)</w:t>
      </w:r>
    </w:p>
    <w:p w:rsidR="004B20E5" w:rsidRPr="00F207A8" w:rsidRDefault="004B20E5" w:rsidP="00AE3634">
      <w:pPr>
        <w:pStyle w:val="BodyTextunder3"/>
        <w:spacing w:before="100"/>
      </w:pPr>
      <w:r w:rsidRPr="00F207A8">
        <w:t>Sudden Infant Death Syndrome (SIDS)</w:t>
      </w:r>
    </w:p>
    <w:p w:rsidR="004B20E5" w:rsidRPr="00F207A8" w:rsidRDefault="004B20E5" w:rsidP="00AE3634">
      <w:pPr>
        <w:pStyle w:val="BodyTextunder3"/>
        <w:spacing w:before="100"/>
      </w:pPr>
      <w:r w:rsidRPr="00F207A8">
        <w:t>Sudden Unexpected Infant Death (SUID)</w:t>
      </w:r>
    </w:p>
    <w:p w:rsidR="004B20E5" w:rsidRPr="00F207A8" w:rsidRDefault="004B20E5" w:rsidP="00AE3634">
      <w:pPr>
        <w:pStyle w:val="BodyTextunder3"/>
        <w:spacing w:before="100"/>
      </w:pPr>
      <w:r w:rsidRPr="00F207A8">
        <w:t>Sugar sweetened beverages (SSBs)</w:t>
      </w:r>
    </w:p>
    <w:p w:rsidR="004B20E5" w:rsidRPr="00F207A8" w:rsidRDefault="004B20E5" w:rsidP="00AE3634">
      <w:pPr>
        <w:pStyle w:val="BodyTextunder3"/>
        <w:spacing w:before="100"/>
      </w:pPr>
      <w:r w:rsidRPr="00F207A8">
        <w:t>Supplemental Nutrition Assistance Program (SNAP)</w:t>
      </w:r>
    </w:p>
    <w:p w:rsidR="004B20E5" w:rsidRPr="00F207A8" w:rsidRDefault="004B20E5" w:rsidP="00AE3634">
      <w:pPr>
        <w:pStyle w:val="BodyTextunder3"/>
        <w:spacing w:before="100"/>
      </w:pPr>
      <w:r w:rsidRPr="00F207A8">
        <w:t>Support Safe Routes to School (SRTS)</w:t>
      </w:r>
    </w:p>
    <w:p w:rsidR="004B20E5" w:rsidRPr="00F207A8" w:rsidRDefault="004B20E5" w:rsidP="00AE3634">
      <w:pPr>
        <w:pStyle w:val="BodyTextunder3"/>
        <w:spacing w:before="100"/>
      </w:pPr>
      <w:r w:rsidRPr="00F207A8">
        <w:t>Surgical Site Infection (SSI)</w:t>
      </w:r>
    </w:p>
    <w:p w:rsidR="004B20E5" w:rsidRPr="00F207A8" w:rsidRDefault="004B20E5" w:rsidP="00AE3634">
      <w:pPr>
        <w:pStyle w:val="BodyTextunder3"/>
        <w:spacing w:before="100"/>
      </w:pPr>
      <w:r w:rsidRPr="00F207A8">
        <w:t>Toxic Use Reduction Institute (TURI)</w:t>
      </w:r>
    </w:p>
    <w:p w:rsidR="004B20E5" w:rsidRPr="00F207A8" w:rsidRDefault="004B20E5" w:rsidP="00AE3634">
      <w:pPr>
        <w:pStyle w:val="BodyTextunder3"/>
        <w:spacing w:before="100"/>
      </w:pPr>
      <w:r w:rsidRPr="00F207A8">
        <w:t>Transit-Oriented Development (TOD)</w:t>
      </w:r>
    </w:p>
    <w:p w:rsidR="004B20E5" w:rsidRPr="00F207A8" w:rsidRDefault="004B20E5" w:rsidP="00AE3634">
      <w:pPr>
        <w:pStyle w:val="BodyTextunder3"/>
        <w:spacing w:before="100"/>
      </w:pPr>
      <w:r w:rsidRPr="00F207A8">
        <w:t>Traumatic Brain Injury (TBI)</w:t>
      </w:r>
    </w:p>
    <w:p w:rsidR="004B20E5" w:rsidRPr="00F207A8" w:rsidRDefault="004B20E5" w:rsidP="00AE3634">
      <w:pPr>
        <w:pStyle w:val="BodyTextunder3"/>
        <w:spacing w:before="100"/>
      </w:pPr>
      <w:r w:rsidRPr="00F207A8">
        <w:t>Tuberculosis (TB)</w:t>
      </w:r>
    </w:p>
    <w:p w:rsidR="004B20E5" w:rsidRPr="00F207A8" w:rsidRDefault="004B20E5" w:rsidP="00AE3634">
      <w:pPr>
        <w:pStyle w:val="BodyTextunder3"/>
        <w:spacing w:before="100"/>
      </w:pPr>
      <w:r w:rsidRPr="00F207A8">
        <w:t>Vibrio Parahaemolyticus (VP)</w:t>
      </w:r>
    </w:p>
    <w:p w:rsidR="004B20E5" w:rsidRDefault="004B20E5" w:rsidP="00AE3634">
      <w:pPr>
        <w:pStyle w:val="BodyTextunder3"/>
        <w:spacing w:before="100"/>
      </w:pPr>
      <w:r>
        <w:t>Years of Potential Life Lost (YPLL)</w:t>
      </w:r>
    </w:p>
    <w:p w:rsidR="004B20E5" w:rsidRPr="00F207A8" w:rsidRDefault="004B20E5" w:rsidP="00AE3634">
      <w:pPr>
        <w:pStyle w:val="BodyTextunder3"/>
        <w:spacing w:before="100"/>
      </w:pPr>
      <w:r w:rsidRPr="00F207A8">
        <w:t>Young Men's Christian Association (YMCA)</w:t>
      </w:r>
    </w:p>
    <w:p w:rsidR="004B20E5" w:rsidRPr="00F207A8" w:rsidRDefault="004B20E5" w:rsidP="00AE3634">
      <w:pPr>
        <w:pStyle w:val="BodyTextunder3"/>
        <w:spacing w:before="100"/>
      </w:pPr>
      <w:r w:rsidRPr="00F207A8">
        <w:t>Young Women’s Christian Association (YWCA)</w:t>
      </w:r>
    </w:p>
    <w:p w:rsidR="004B20E5" w:rsidRPr="00F207A8" w:rsidRDefault="004B20E5" w:rsidP="00AE3634">
      <w:pPr>
        <w:pStyle w:val="BodyTextunder3"/>
        <w:spacing w:before="100"/>
      </w:pPr>
      <w:r w:rsidRPr="00F207A8">
        <w:t>Youth Health Survey (YHS)</w:t>
      </w:r>
    </w:p>
    <w:p w:rsidR="004B20E5" w:rsidRPr="00F207A8" w:rsidRDefault="004B20E5" w:rsidP="00AE3634">
      <w:pPr>
        <w:pStyle w:val="BodyTextunder3"/>
        <w:spacing w:before="100"/>
      </w:pPr>
      <w:r w:rsidRPr="00F207A8">
        <w:t>Youth Risk Behavior Surveillance System (YRBSS)</w:t>
      </w:r>
    </w:p>
    <w:p w:rsidR="004B20E5" w:rsidRPr="00F207A8" w:rsidRDefault="004B20E5" w:rsidP="00AE3634">
      <w:pPr>
        <w:pStyle w:val="BodyTextunder3"/>
        <w:spacing w:before="100"/>
      </w:pPr>
      <w:r w:rsidRPr="00F207A8">
        <w:t>Youth Risk Behavior Survey (YRBS)</w:t>
      </w:r>
    </w:p>
    <w:p w:rsidR="004B20E5" w:rsidRDefault="004B20E5" w:rsidP="00E827FB">
      <w:pPr>
        <w:pStyle w:val="BodyTextunder3"/>
      </w:pPr>
    </w:p>
    <w:p w:rsidR="004B20E5" w:rsidRDefault="004B20E5" w:rsidP="00563176">
      <w:pPr>
        <w:pStyle w:val="BodyText"/>
      </w:pPr>
    </w:p>
    <w:p w:rsidR="004B20E5" w:rsidRDefault="004B20E5" w:rsidP="00563176">
      <w:pPr>
        <w:pStyle w:val="BodyText"/>
        <w:sectPr w:rsidR="004B20E5" w:rsidSect="000D3A34">
          <w:headerReference w:type="even" r:id="rId54"/>
          <w:headerReference w:type="default" r:id="rId55"/>
          <w:footerReference w:type="even" r:id="rId56"/>
          <w:footerReference w:type="default" r:id="rId57"/>
          <w:headerReference w:type="first" r:id="rId58"/>
          <w:endnotePr>
            <w:numFmt w:val="decimal"/>
          </w:endnotePr>
          <w:pgSz w:w="12240" w:h="15840" w:code="1"/>
          <w:pgMar w:top="1080" w:right="1080" w:bottom="1080" w:left="1080" w:header="648" w:footer="504" w:gutter="0"/>
          <w:cols w:space="720"/>
          <w:docGrid w:linePitch="360"/>
        </w:sectPr>
      </w:pPr>
    </w:p>
    <w:p w:rsidR="004B20E5" w:rsidRDefault="004B20E5" w:rsidP="00662ADF">
      <w:pPr>
        <w:pStyle w:val="Heading2LARGE"/>
      </w:pPr>
      <w:bookmarkStart w:id="68" w:name="_Toc398819294"/>
      <w:r>
        <w:t>Appendix G:  Prioritization and Decision-Making Tools</w:t>
      </w:r>
      <w:bookmarkEnd w:id="68"/>
    </w:p>
    <w:p w:rsidR="004B20E5" w:rsidRPr="00644A67" w:rsidRDefault="004B20E5" w:rsidP="00644A67">
      <w:pPr>
        <w:spacing w:before="80"/>
        <w:ind w:left="720"/>
        <w:rPr>
          <w:b/>
        </w:rPr>
      </w:pPr>
      <w:r w:rsidRPr="00644A67">
        <w:rPr>
          <w:b/>
        </w:rPr>
        <w:t xml:space="preserve">SHIP Coalition Prioritization and Decision-Making </w:t>
      </w:r>
    </w:p>
    <w:p w:rsidR="004B20E5" w:rsidRDefault="00F03799" w:rsidP="00644A67">
      <w:r>
        <w:rPr>
          <w:noProof/>
        </w:rPr>
        <w:drawing>
          <wp:inline distT="0" distB="0" distL="0" distR="0" wp14:anchorId="62C88307" wp14:editId="415794FC">
            <wp:extent cx="7715250" cy="5581650"/>
            <wp:effectExtent l="0" t="0" r="0" b="0"/>
            <wp:docPr id="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9">
                      <a:extLst>
                        <a:ext uri="{28A0092B-C50C-407E-A947-70E740481C1C}">
                          <a14:useLocalDpi xmlns:a14="http://schemas.microsoft.com/office/drawing/2010/main" val="0"/>
                        </a:ext>
                      </a:extLst>
                    </a:blip>
                    <a:srcRect t="1863" b="4092"/>
                    <a:stretch>
                      <a:fillRect/>
                    </a:stretch>
                  </pic:blipFill>
                  <pic:spPr bwMode="auto">
                    <a:xfrm>
                      <a:off x="0" y="0"/>
                      <a:ext cx="7715250" cy="5581650"/>
                    </a:xfrm>
                    <a:prstGeom prst="rect">
                      <a:avLst/>
                    </a:prstGeom>
                    <a:noFill/>
                    <a:ln>
                      <a:noFill/>
                    </a:ln>
                  </pic:spPr>
                </pic:pic>
              </a:graphicData>
            </a:graphic>
          </wp:inline>
        </w:drawing>
      </w:r>
    </w:p>
    <w:p w:rsidR="004B20E5" w:rsidRPr="006858BE" w:rsidRDefault="00F03799" w:rsidP="00D24AC4">
      <w:pPr>
        <w:sectPr w:rsidR="004B20E5" w:rsidRPr="006858BE" w:rsidSect="006858BE">
          <w:headerReference w:type="even" r:id="rId60"/>
          <w:headerReference w:type="default" r:id="rId61"/>
          <w:footerReference w:type="even" r:id="rId62"/>
          <w:headerReference w:type="first" r:id="rId63"/>
          <w:endnotePr>
            <w:numFmt w:val="decimal"/>
          </w:endnotePr>
          <w:pgSz w:w="15840" w:h="12240" w:orient="landscape" w:code="1"/>
          <w:pgMar w:top="1080" w:right="1080" w:bottom="1080" w:left="1080" w:header="648" w:footer="504" w:gutter="0"/>
          <w:cols w:space="720"/>
          <w:docGrid w:linePitch="360"/>
        </w:sectPr>
      </w:pPr>
      <w:r>
        <w:rPr>
          <w:noProof/>
        </w:rPr>
        <w:drawing>
          <wp:inline distT="0" distB="0" distL="0" distR="0" wp14:anchorId="57FB6189" wp14:editId="61D9A460">
            <wp:extent cx="8001000" cy="6172200"/>
            <wp:effectExtent l="0" t="0" r="0" b="0"/>
            <wp:docPr id="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001000" cy="6172200"/>
                    </a:xfrm>
                    <a:prstGeom prst="rect">
                      <a:avLst/>
                    </a:prstGeom>
                    <a:noFill/>
                    <a:ln>
                      <a:noFill/>
                    </a:ln>
                  </pic:spPr>
                </pic:pic>
              </a:graphicData>
            </a:graphic>
          </wp:inline>
        </w:drawing>
      </w:r>
    </w:p>
    <w:p w:rsidR="004B20E5" w:rsidRDefault="004B20E5" w:rsidP="00D24AC4"/>
    <w:p w:rsidR="004B20E5" w:rsidRDefault="004B20E5" w:rsidP="00AD0251">
      <w:pPr>
        <w:pStyle w:val="Heading2LARGE"/>
      </w:pPr>
    </w:p>
    <w:p w:rsidR="004B20E5" w:rsidRDefault="004B20E5" w:rsidP="00D24AC4">
      <w:pPr>
        <w:sectPr w:rsidR="004B20E5" w:rsidSect="000D3A34">
          <w:headerReference w:type="even" r:id="rId65"/>
          <w:headerReference w:type="default" r:id="rId66"/>
          <w:footerReference w:type="even" r:id="rId67"/>
          <w:headerReference w:type="first" r:id="rId68"/>
          <w:endnotePr>
            <w:numFmt w:val="decimal"/>
          </w:endnotePr>
          <w:pgSz w:w="12240" w:h="15840" w:code="1"/>
          <w:pgMar w:top="1080" w:right="1080" w:bottom="1080" w:left="1080" w:header="648" w:footer="504" w:gutter="0"/>
          <w:cols w:space="720"/>
          <w:docGrid w:linePitch="360"/>
        </w:sectPr>
      </w:pPr>
    </w:p>
    <w:p w:rsidR="004B20E5" w:rsidRDefault="004B20E5" w:rsidP="00AD0251">
      <w:pPr>
        <w:pStyle w:val="Heading2LARGE"/>
      </w:pPr>
      <w:bookmarkStart w:id="69" w:name="_Toc398819295"/>
      <w:r>
        <w:t>Appendix H:  How You Can Use This Plan</w:t>
      </w:r>
      <w:bookmarkEnd w:id="69"/>
    </w:p>
    <w:p w:rsidR="004B20E5" w:rsidRPr="00644A67" w:rsidRDefault="004B20E5" w:rsidP="00644A67">
      <w:pPr>
        <w:spacing w:before="80"/>
        <w:ind w:left="547"/>
        <w:rPr>
          <w:b/>
        </w:rPr>
      </w:pPr>
      <w:r w:rsidRPr="00644A67">
        <w:rPr>
          <w:b/>
        </w:rPr>
        <w:t>Individuals and families</w:t>
      </w:r>
    </w:p>
    <w:p w:rsidR="004B20E5" w:rsidRDefault="004B20E5" w:rsidP="00980812">
      <w:pPr>
        <w:pStyle w:val="ListBulleted"/>
      </w:pPr>
      <w:r w:rsidRPr="0046149F">
        <w:t>Understand and promote priority health issues among family members and friends</w:t>
      </w:r>
    </w:p>
    <w:p w:rsidR="004B20E5" w:rsidRDefault="004B20E5" w:rsidP="00980812">
      <w:pPr>
        <w:pStyle w:val="ListBulleted"/>
      </w:pPr>
      <w:r w:rsidRPr="0046149F">
        <w:t>Create opportunities to educate others and take action at schools, churches, workplaces, etc., to support the recommendations in this plan</w:t>
      </w:r>
    </w:p>
    <w:p w:rsidR="004B20E5" w:rsidRPr="00644A67" w:rsidRDefault="004B20E5" w:rsidP="00644A67">
      <w:pPr>
        <w:spacing w:before="80"/>
        <w:ind w:left="547"/>
        <w:rPr>
          <w:b/>
        </w:rPr>
      </w:pPr>
      <w:r w:rsidRPr="00644A67">
        <w:rPr>
          <w:b/>
        </w:rPr>
        <w:t>Community, Nonprofit, Faith-based Organizations:</w:t>
      </w:r>
    </w:p>
    <w:p w:rsidR="004B20E5" w:rsidRDefault="004B20E5" w:rsidP="009C3475">
      <w:pPr>
        <w:pStyle w:val="ListBulleted"/>
      </w:pPr>
      <w:r w:rsidRPr="0046149F">
        <w:t>Understand and promote priority health issues among the community members and stakeholders you serve</w:t>
      </w:r>
    </w:p>
    <w:p w:rsidR="004B20E5" w:rsidRDefault="004B20E5" w:rsidP="009C3475">
      <w:pPr>
        <w:pStyle w:val="ListBulleted"/>
      </w:pPr>
      <w:r w:rsidRPr="0046149F">
        <w:t>Talk with community members about the importance of wellness and connect them with resources</w:t>
      </w:r>
    </w:p>
    <w:p w:rsidR="004B20E5" w:rsidRDefault="004B20E5" w:rsidP="009C3475">
      <w:pPr>
        <w:pStyle w:val="ListBulleted"/>
      </w:pPr>
      <w:r w:rsidRPr="0046149F">
        <w:t>Align activities and outreach efforts with health improvement needs and recommendations in this report</w:t>
      </w:r>
    </w:p>
    <w:p w:rsidR="004B20E5" w:rsidRDefault="004B20E5" w:rsidP="009C3475">
      <w:pPr>
        <w:pStyle w:val="ListBulleted"/>
      </w:pPr>
      <w:r w:rsidRPr="0046149F">
        <w:t>Advocate for changes that improve health with policy makers and legislative officials</w:t>
      </w:r>
    </w:p>
    <w:p w:rsidR="004B20E5" w:rsidRPr="00644A67" w:rsidRDefault="004B20E5" w:rsidP="00644A67">
      <w:pPr>
        <w:spacing w:before="80"/>
        <w:ind w:left="547"/>
        <w:rPr>
          <w:b/>
        </w:rPr>
      </w:pPr>
      <w:r w:rsidRPr="00644A67">
        <w:rPr>
          <w:b/>
        </w:rPr>
        <w:t>Government (local, state)</w:t>
      </w:r>
    </w:p>
    <w:p w:rsidR="004B20E5" w:rsidRDefault="004B20E5" w:rsidP="009C3475">
      <w:pPr>
        <w:pStyle w:val="ListBulleted"/>
      </w:pPr>
      <w:r w:rsidRPr="0046149F">
        <w:t>Understand and promote priority health issues in the community</w:t>
      </w:r>
    </w:p>
    <w:p w:rsidR="004B20E5" w:rsidRDefault="004B20E5" w:rsidP="009C3475">
      <w:pPr>
        <w:pStyle w:val="ListBulleted"/>
      </w:pPr>
      <w:r w:rsidRPr="0046149F">
        <w:t>Identify barriers to health in the community and make plans for action</w:t>
      </w:r>
    </w:p>
    <w:p w:rsidR="004B20E5" w:rsidRDefault="004B20E5" w:rsidP="009C3475">
      <w:pPr>
        <w:pStyle w:val="ListBulleted"/>
      </w:pPr>
      <w:r w:rsidRPr="0046149F">
        <w:t xml:space="preserve">Invest in programs, services, and </w:t>
      </w:r>
      <w:r>
        <w:t xml:space="preserve">environmental, systems and </w:t>
      </w:r>
      <w:r w:rsidRPr="0046149F">
        <w:t>policy changes that will support the health needs of the community</w:t>
      </w:r>
    </w:p>
    <w:p w:rsidR="004B20E5" w:rsidRPr="00644A67" w:rsidRDefault="004B20E5" w:rsidP="00644A67">
      <w:pPr>
        <w:spacing w:before="80"/>
        <w:ind w:left="547"/>
        <w:rPr>
          <w:b/>
        </w:rPr>
      </w:pPr>
      <w:r w:rsidRPr="00644A67">
        <w:rPr>
          <w:b/>
        </w:rPr>
        <w:t>Business/employers</w:t>
      </w:r>
    </w:p>
    <w:p w:rsidR="004B20E5" w:rsidRDefault="004B20E5" w:rsidP="009C3475">
      <w:pPr>
        <w:pStyle w:val="ListBulleted"/>
      </w:pPr>
      <w:r w:rsidRPr="0046149F">
        <w:t>Understand priority health issues and recommendations in this plan and how they apply to your workforce</w:t>
      </w:r>
    </w:p>
    <w:p w:rsidR="004B20E5" w:rsidRDefault="004B20E5" w:rsidP="009C3475">
      <w:pPr>
        <w:pStyle w:val="ListBulleted"/>
      </w:pPr>
      <w:r>
        <w:t>Adapt</w:t>
      </w:r>
      <w:r w:rsidRPr="0046149F">
        <w:t xml:space="preserve"> your work environment and </w:t>
      </w:r>
      <w:r>
        <w:t>enhance</w:t>
      </w:r>
      <w:r w:rsidRPr="0046149F">
        <w:t xml:space="preserve"> your benefits plans to </w:t>
      </w:r>
      <w:r>
        <w:t>protect and promote employee health</w:t>
      </w:r>
    </w:p>
    <w:p w:rsidR="004B20E5" w:rsidRDefault="004B20E5" w:rsidP="009C3475">
      <w:pPr>
        <w:pStyle w:val="ListBulleted"/>
      </w:pPr>
      <w:r w:rsidRPr="0046149F">
        <w:t>Educate your management team and employees about the link between employee health and work productivity</w:t>
      </w:r>
    </w:p>
    <w:p w:rsidR="004B20E5" w:rsidRDefault="004B20E5" w:rsidP="009C3475">
      <w:pPr>
        <w:pStyle w:val="ListBulleted"/>
      </w:pPr>
      <w:r>
        <w:t>Negotiate with benefits providers to provide additional services that address improvement in the outcomes associated with the priority health areas (i.e., healthy housing evaluation services; fitness benefits; wellness programming; etc.)</w:t>
      </w:r>
    </w:p>
    <w:p w:rsidR="004B20E5" w:rsidRPr="00644A67" w:rsidRDefault="004B20E5" w:rsidP="00644A67">
      <w:pPr>
        <w:spacing w:before="80"/>
        <w:ind w:left="547"/>
        <w:rPr>
          <w:b/>
        </w:rPr>
      </w:pPr>
      <w:r w:rsidRPr="00644A67">
        <w:rPr>
          <w:b/>
        </w:rPr>
        <w:t xml:space="preserve">Healthcare </w:t>
      </w:r>
      <w:r>
        <w:rPr>
          <w:b/>
        </w:rPr>
        <w:t>S</w:t>
      </w:r>
      <w:r w:rsidRPr="00644A67">
        <w:rPr>
          <w:b/>
        </w:rPr>
        <w:t>ystems</w:t>
      </w:r>
    </w:p>
    <w:p w:rsidR="004B20E5" w:rsidRDefault="004B20E5" w:rsidP="009C3475">
      <w:pPr>
        <w:pStyle w:val="ListBulleted"/>
      </w:pPr>
      <w:r w:rsidRPr="0046149F">
        <w:t>Plan for Non-Profit Hospital Community Benefits initiatives</w:t>
      </w:r>
    </w:p>
    <w:p w:rsidR="004B20E5" w:rsidRDefault="004B20E5" w:rsidP="009C3475">
      <w:pPr>
        <w:pStyle w:val="ListBulleted"/>
      </w:pPr>
      <w:r w:rsidRPr="0046149F">
        <w:t>Incorporate recommendations into organizational strategic planning</w:t>
      </w:r>
    </w:p>
    <w:p w:rsidR="004B20E5" w:rsidRDefault="004B20E5" w:rsidP="009C3475">
      <w:pPr>
        <w:pStyle w:val="ListBulleted"/>
      </w:pPr>
      <w:r w:rsidRPr="0046149F">
        <w:t>Lead your organization and the health care industry in responding to the health needs of the community</w:t>
      </w:r>
    </w:p>
    <w:p w:rsidR="004B20E5" w:rsidRPr="00644A67" w:rsidRDefault="004B20E5" w:rsidP="00644A67">
      <w:pPr>
        <w:spacing w:before="80"/>
        <w:ind w:left="547"/>
        <w:rPr>
          <w:b/>
        </w:rPr>
      </w:pPr>
      <w:r w:rsidRPr="00644A67">
        <w:rPr>
          <w:b/>
        </w:rPr>
        <w:t>Health Care Professionals</w:t>
      </w:r>
    </w:p>
    <w:p w:rsidR="004B20E5" w:rsidRDefault="004B20E5" w:rsidP="009C3475">
      <w:pPr>
        <w:pStyle w:val="ListBulleted"/>
      </w:pPr>
      <w:r w:rsidRPr="0046149F">
        <w:t>Identify important health issues and barriers that exist for your clients and use recommended practices to make changes</w:t>
      </w:r>
    </w:p>
    <w:p w:rsidR="004B20E5" w:rsidRDefault="004B20E5" w:rsidP="009C3475">
      <w:pPr>
        <w:pStyle w:val="ListBulleted"/>
      </w:pPr>
      <w:r w:rsidRPr="0046149F">
        <w:t>Share the information in this plan with your colleagues</w:t>
      </w:r>
    </w:p>
    <w:p w:rsidR="004B20E5" w:rsidRDefault="004B20E5" w:rsidP="009C3475">
      <w:pPr>
        <w:pStyle w:val="ListBulleted"/>
      </w:pPr>
      <w:r w:rsidRPr="0046149F">
        <w:t>Lead your peers in advocating for actions that will improve the health of the community</w:t>
      </w:r>
    </w:p>
    <w:p w:rsidR="004B20E5" w:rsidRPr="00644A67" w:rsidRDefault="004B20E5" w:rsidP="00365AE9">
      <w:pPr>
        <w:keepNext/>
        <w:spacing w:before="80"/>
        <w:ind w:left="547"/>
        <w:rPr>
          <w:b/>
        </w:rPr>
      </w:pPr>
      <w:r w:rsidRPr="00644A67">
        <w:rPr>
          <w:b/>
        </w:rPr>
        <w:t>Health Insurers</w:t>
      </w:r>
    </w:p>
    <w:p w:rsidR="004B20E5" w:rsidRDefault="004B20E5" w:rsidP="009C3475">
      <w:pPr>
        <w:pStyle w:val="ListBulleted"/>
      </w:pPr>
      <w:r w:rsidRPr="0046149F">
        <w:t>Educate employers and other health insurance purchasers about the benefits of preventive health care and responding specifically to the health needs of the community</w:t>
      </w:r>
    </w:p>
    <w:p w:rsidR="004B20E5" w:rsidRDefault="004B20E5" w:rsidP="009C3475">
      <w:pPr>
        <w:pStyle w:val="ListBulleted"/>
      </w:pPr>
      <w:r>
        <w:t>Implement preventive health care programs and/or incentives into insurance policies</w:t>
      </w:r>
    </w:p>
    <w:p w:rsidR="004B20E5" w:rsidRPr="00644A67" w:rsidRDefault="004B20E5" w:rsidP="00644A67">
      <w:pPr>
        <w:spacing w:before="80"/>
        <w:ind w:left="547"/>
        <w:rPr>
          <w:b/>
        </w:rPr>
      </w:pPr>
      <w:r w:rsidRPr="00644A67">
        <w:rPr>
          <w:b/>
        </w:rPr>
        <w:t>Education</w:t>
      </w:r>
    </w:p>
    <w:p w:rsidR="004B20E5" w:rsidRPr="009B5346" w:rsidRDefault="004B20E5" w:rsidP="009C3475">
      <w:pPr>
        <w:pStyle w:val="ListBulleted"/>
      </w:pPr>
      <w:r w:rsidRPr="009B5346">
        <w:t>Understand and promote priority health issues and recommendations in this plan and incorporate them as educational lessons in health, science, social studies, and other subjects, or when designing research studies or community service projects within the community</w:t>
      </w:r>
    </w:p>
    <w:p w:rsidR="004B20E5" w:rsidRPr="005B06A5" w:rsidRDefault="004B20E5" w:rsidP="009C3475">
      <w:pPr>
        <w:pStyle w:val="ListBulleted"/>
      </w:pPr>
      <w:r w:rsidRPr="009B5346">
        <w:t>Create opportunities to take action at schools to support the recommendations in this plan that impact students, faculty, staff, and parents.</w:t>
      </w:r>
    </w:p>
    <w:p w:rsidR="004B20E5" w:rsidRPr="006A4BD8" w:rsidRDefault="004B20E5" w:rsidP="006A4BD8">
      <w:r>
        <w:tab/>
      </w:r>
    </w:p>
    <w:p w:rsidR="004B20E5" w:rsidRPr="006A4BD8" w:rsidRDefault="004B20E5" w:rsidP="006A4BD8">
      <w:pPr>
        <w:sectPr w:rsidR="004B20E5" w:rsidRPr="006A4BD8" w:rsidSect="000D3A34">
          <w:headerReference w:type="even" r:id="rId69"/>
          <w:headerReference w:type="default" r:id="rId70"/>
          <w:footerReference w:type="even" r:id="rId71"/>
          <w:headerReference w:type="first" r:id="rId72"/>
          <w:endnotePr>
            <w:numFmt w:val="decimal"/>
          </w:endnotePr>
          <w:pgSz w:w="12240" w:h="15840" w:code="1"/>
          <w:pgMar w:top="1080" w:right="1080" w:bottom="1080" w:left="1080" w:header="648" w:footer="504" w:gutter="0"/>
          <w:cols w:space="720"/>
          <w:docGrid w:linePitch="360"/>
        </w:sectPr>
      </w:pPr>
      <w:r>
        <w:tab/>
      </w:r>
    </w:p>
    <w:p w:rsidR="004B20E5" w:rsidRPr="002A07A0" w:rsidRDefault="004B20E5" w:rsidP="00AD0251">
      <w:pPr>
        <w:pStyle w:val="Heading2LARGE"/>
      </w:pPr>
      <w:bookmarkStart w:id="70" w:name="_Toc398819296"/>
      <w:r w:rsidRPr="002A07A0">
        <w:t>References</w:t>
      </w:r>
      <w:bookmarkEnd w:id="70"/>
    </w:p>
    <w:p w:rsidR="004B20E5" w:rsidRPr="00257000" w:rsidRDefault="004B20E5"/>
    <w:sectPr w:rsidR="004B20E5" w:rsidRPr="00257000" w:rsidSect="000D3A34">
      <w:endnotePr>
        <w:numFmt w:val="decimal"/>
      </w:endnotePr>
      <w:pgSz w:w="12240" w:h="15840" w:code="1"/>
      <w:pgMar w:top="1080" w:right="1080" w:bottom="1080" w:left="1080" w:header="648"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29A" w:rsidRDefault="002D429A" w:rsidP="008316AB">
      <w:r>
        <w:separator/>
      </w:r>
    </w:p>
  </w:endnote>
  <w:endnote w:type="continuationSeparator" w:id="0">
    <w:p w:rsidR="002D429A" w:rsidRDefault="002D429A" w:rsidP="008316AB">
      <w:r>
        <w:continuationSeparator/>
      </w:r>
    </w:p>
  </w:endnote>
  <w:endnote w:id="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Institute of Medicine.  See http://www.iom.edu/~/media/Files/Report%20Files/2002/The-Future-of-the-Publics-Health-in-the-21st-Century/Future%20of%20Publics%20Health%202002%20Report%20Brief.pdf</w:t>
      </w:r>
    </w:p>
  </w:endnote>
  <w:endnote w:id="2">
    <w:p w:rsidR="00CC3C63" w:rsidRDefault="00CC3C63" w:rsidP="00BE6A99">
      <w:pPr>
        <w:pStyle w:val="EndnoteText"/>
        <w:ind w:left="270" w:hanging="270"/>
      </w:pPr>
      <w:r w:rsidRPr="00BE6A99">
        <w:rPr>
          <w:rStyle w:val="EndnoteReference"/>
          <w:rFonts w:cs="Arial"/>
          <w:szCs w:val="18"/>
        </w:rPr>
        <w:endnoteRef/>
      </w:r>
      <w:hyperlink r:id="rId1" w:history="1">
        <w:r w:rsidRPr="00BE6A99">
          <w:rPr>
            <w:rStyle w:val="Hyperlink"/>
            <w:rFonts w:cs="Arial"/>
            <w:szCs w:val="18"/>
          </w:rPr>
          <w:t>http://www.improvingpopulationhealth.org/blog/what-is-population-health.html</w:t>
        </w:r>
      </w:hyperlink>
    </w:p>
  </w:endnote>
  <w:endnote w:id="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Institute for Health Care Improvement at http://www.ihi.org/Engage/Initiatives/TripleAim/Pages/default.aspx</w:t>
      </w:r>
    </w:p>
  </w:endnote>
  <w:endnote w:id="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Preamble to the Constitution of the World Health Organization as adopted by the International Health Conference, New York, 19-22 June, 1946; signed on 22 July 1946 by the representatives of 61 States (Official Records of the World Health Organization, no. 2, p. 100) and entered into force on 7 April 1948</w:t>
      </w:r>
      <w:r>
        <w:rPr>
          <w:rFonts w:cs="Arial"/>
          <w:szCs w:val="18"/>
        </w:rPr>
        <w:t>.</w:t>
      </w:r>
    </w:p>
  </w:endnote>
  <w:endnote w:id="5">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US Department of Health and Human Services. Physical Activity. Healthy People 2020. [Online] [Cited November 4, 2013] HealthyPeople.gov http://www.healthypeople.gov/2020/about/disparitiesAbout.aspx.</w:t>
      </w:r>
    </w:p>
  </w:endnote>
  <w:endnote w:id="6">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Health of Massachusetts report, 2010.  </w:t>
      </w:r>
      <w:hyperlink r:id="rId2" w:history="1">
        <w:r w:rsidRPr="00BE6A99">
          <w:rPr>
            <w:rStyle w:val="Hyperlink"/>
            <w:rFonts w:cs="Arial"/>
            <w:szCs w:val="18"/>
          </w:rPr>
          <w:t>http://www.mass.gov/dph/healthofmassachusetts</w:t>
        </w:r>
      </w:hyperlink>
    </w:p>
  </w:endnote>
  <w:endnote w:id="7">
    <w:p w:rsidR="00CC3C63" w:rsidRDefault="00CC3C63" w:rsidP="00BE6A99">
      <w:pPr>
        <w:pStyle w:val="EndnoteText"/>
        <w:ind w:left="270" w:hanging="270"/>
      </w:pPr>
      <w:r w:rsidRPr="00BE6A99">
        <w:rPr>
          <w:rStyle w:val="EndnoteReference"/>
          <w:rFonts w:cs="Arial"/>
          <w:szCs w:val="18"/>
        </w:rPr>
        <w:endnoteRef/>
      </w:r>
      <w:r w:rsidRPr="00BE6A99">
        <w:rPr>
          <w:rStyle w:val="EndnoteTextChar"/>
          <w:rFonts w:cs="Arial"/>
          <w:szCs w:val="18"/>
        </w:rPr>
        <w:t>Massachusetts Department of Public Health. Health of Massachusetts. Boston, MA; April 2010. Page 114.</w:t>
      </w:r>
    </w:p>
  </w:endnote>
  <w:endnote w:id="8">
    <w:p w:rsidR="00CC3C63" w:rsidRDefault="00CC3C63" w:rsidP="00BE6A99">
      <w:pPr>
        <w:pStyle w:val="EndnoteText"/>
        <w:ind w:left="270" w:hanging="270"/>
      </w:pPr>
      <w:r w:rsidRPr="00BE6A99">
        <w:rPr>
          <w:rStyle w:val="EndnoteReference"/>
          <w:rFonts w:cs="Arial"/>
          <w:color w:val="000000"/>
          <w:szCs w:val="18"/>
        </w:rPr>
        <w:endnoteRef/>
      </w:r>
      <w:r w:rsidRPr="00BE6A99">
        <w:rPr>
          <w:rFonts w:cs="Arial"/>
          <w:color w:val="000000"/>
          <w:szCs w:val="18"/>
        </w:rPr>
        <w:t xml:space="preserve"> MDPH BRFSS 2011. </w:t>
      </w:r>
      <w:r w:rsidRPr="00BE6A99">
        <w:rPr>
          <w:rFonts w:cs="Arial"/>
          <w:b/>
          <w:i/>
          <w:color w:val="000000"/>
          <w:szCs w:val="18"/>
        </w:rPr>
        <w:t>Data for 2011.</w:t>
      </w:r>
    </w:p>
  </w:endnote>
  <w:endnote w:id="9">
    <w:p w:rsidR="00CC3C63" w:rsidRDefault="00CC3C63" w:rsidP="00BE6A99">
      <w:pPr>
        <w:pStyle w:val="EndnoteText"/>
        <w:ind w:left="270" w:hanging="270"/>
      </w:pPr>
      <w:r w:rsidRPr="00BE6A99">
        <w:rPr>
          <w:rStyle w:val="EndnoteReference"/>
          <w:rFonts w:cs="Arial"/>
          <w:color w:val="000000"/>
          <w:szCs w:val="18"/>
        </w:rPr>
        <w:endnoteRef/>
      </w:r>
      <w:r w:rsidRPr="00BE6A99">
        <w:rPr>
          <w:rFonts w:cs="Arial"/>
          <w:color w:val="000000"/>
          <w:szCs w:val="18"/>
        </w:rPr>
        <w:t xml:space="preserve"> MDPH, Health Status of American Indians, 2001-2009. </w:t>
      </w:r>
      <w:r w:rsidRPr="00BE6A99">
        <w:rPr>
          <w:rFonts w:cs="Arial"/>
          <w:b/>
          <w:i/>
          <w:color w:val="000000"/>
          <w:szCs w:val="18"/>
        </w:rPr>
        <w:t>Data for 2007-2009</w:t>
      </w:r>
      <w:r w:rsidRPr="00BE6A99">
        <w:rPr>
          <w:rFonts w:cs="Arial"/>
          <w:color w:val="000000"/>
          <w:szCs w:val="18"/>
        </w:rPr>
        <w:t xml:space="preserve">. </w:t>
      </w:r>
    </w:p>
  </w:endnote>
  <w:endnote w:id="10">
    <w:p w:rsidR="00CC3C63" w:rsidRDefault="00CC3C63" w:rsidP="00BE6A99">
      <w:pPr>
        <w:pStyle w:val="EndnoteText"/>
        <w:ind w:left="270" w:hanging="270"/>
      </w:pPr>
      <w:r w:rsidRPr="00BE6A99">
        <w:rPr>
          <w:rStyle w:val="EndnoteReference"/>
          <w:rFonts w:cs="Arial"/>
          <w:szCs w:val="18"/>
        </w:rPr>
        <w:endnoteRef/>
      </w:r>
      <w:r w:rsidRPr="00BE6A99">
        <w:rPr>
          <w:rFonts w:eastAsia="HelveticaNeueLTStd-ThCn" w:cs="Arial"/>
          <w:color w:val="231F20"/>
          <w:szCs w:val="18"/>
        </w:rPr>
        <w:t xml:space="preserve">Willett WC. </w:t>
      </w:r>
      <w:r w:rsidRPr="00BE6A99">
        <w:rPr>
          <w:rFonts w:eastAsia="HelveticaNeueLTStd-ThCn" w:cs="Arial"/>
          <w:i/>
          <w:iCs/>
          <w:color w:val="231F20"/>
          <w:szCs w:val="18"/>
        </w:rPr>
        <w:t>Eat, drink, and be healthy</w:t>
      </w:r>
      <w:r w:rsidRPr="00BE6A99">
        <w:rPr>
          <w:rFonts w:eastAsia="HelveticaNeueLTStd-ThCn" w:cs="Arial"/>
          <w:color w:val="231F20"/>
          <w:szCs w:val="18"/>
        </w:rPr>
        <w:t>. New York, NY: Simon and Schuster Source, Inc. 2001.</w:t>
      </w:r>
    </w:p>
  </w:endnote>
  <w:endnote w:id="11">
    <w:p w:rsidR="00CC3C63" w:rsidRDefault="00CC3C63" w:rsidP="00BE6A99">
      <w:pPr>
        <w:pStyle w:val="EndnoteText"/>
        <w:ind w:left="270" w:hanging="270"/>
      </w:pPr>
      <w:r w:rsidRPr="00BE6A99">
        <w:rPr>
          <w:rStyle w:val="EndnoteReference"/>
          <w:rFonts w:cs="Arial"/>
          <w:szCs w:val="18"/>
        </w:rPr>
        <w:endnoteRef/>
      </w:r>
      <w:r w:rsidRPr="00BE6A99">
        <w:rPr>
          <w:rFonts w:eastAsia="HelveticaNeueLTStd-ThCn" w:cs="Arial"/>
          <w:color w:val="231F20"/>
          <w:szCs w:val="18"/>
        </w:rPr>
        <w:t>5 a day for better health program evaluation report: evidence. Cancer Control and Population Sciences, National Cancer Institute. Retrieved 4/2004 from http://dccps. nci.nih.gov/5ad_2_evi.html.</w:t>
      </w:r>
    </w:p>
  </w:endnote>
  <w:endnote w:id="12">
    <w:p w:rsidR="00CC3C63" w:rsidRDefault="00CC3C63" w:rsidP="00BE6A99">
      <w:pPr>
        <w:pStyle w:val="EndnoteText"/>
        <w:ind w:left="270" w:hanging="270"/>
      </w:pPr>
      <w:r w:rsidRPr="00BE6A99">
        <w:rPr>
          <w:rStyle w:val="EndnoteReference"/>
          <w:rFonts w:cs="Arial"/>
          <w:szCs w:val="18"/>
        </w:rPr>
        <w:endnoteRef/>
      </w:r>
      <w:r w:rsidRPr="00BE6A99">
        <w:rPr>
          <w:rFonts w:eastAsia="HelveticaNeueLTStd-ThCn" w:cs="Arial"/>
          <w:color w:val="231F20"/>
          <w:szCs w:val="18"/>
        </w:rPr>
        <w:t xml:space="preserve">Hu, FB. Plant-based foods and prevention of cardiovascular disease: an overview. </w:t>
      </w:r>
      <w:r w:rsidRPr="00BE6A99">
        <w:rPr>
          <w:rFonts w:eastAsia="HelveticaNeueLTStd-ThCn" w:cs="Arial"/>
          <w:i/>
          <w:iCs/>
          <w:color w:val="231F20"/>
          <w:szCs w:val="18"/>
        </w:rPr>
        <w:t xml:space="preserve">Am J Clin Nutr </w:t>
      </w:r>
      <w:r w:rsidRPr="00BE6A99">
        <w:rPr>
          <w:rFonts w:eastAsia="HelveticaNeueLTStd-ThCn" w:cs="Arial"/>
          <w:color w:val="231F20"/>
          <w:szCs w:val="18"/>
        </w:rPr>
        <w:t>2003, 78(3 Suppl):544S-551S.</w:t>
      </w:r>
    </w:p>
  </w:endnote>
  <w:endnote w:id="13">
    <w:p w:rsidR="00CC3C63" w:rsidRDefault="00CC3C63" w:rsidP="00BE6A99">
      <w:pPr>
        <w:pStyle w:val="EndnoteText"/>
        <w:ind w:left="270" w:hanging="270"/>
      </w:pPr>
      <w:r w:rsidRPr="00BE6A99">
        <w:rPr>
          <w:rStyle w:val="EndnoteReference"/>
          <w:rFonts w:cs="Arial"/>
          <w:szCs w:val="18"/>
        </w:rPr>
        <w:endnoteRef/>
      </w:r>
      <w:r w:rsidRPr="00BE6A99">
        <w:rPr>
          <w:rFonts w:eastAsia="HelveticaNeueLTStd-ThCn" w:cs="Arial"/>
          <w:color w:val="231F20"/>
          <w:szCs w:val="18"/>
        </w:rPr>
        <w:t xml:space="preserve">Kahn EB, et al. and the Task Force on Community Preventive Services. The effectiveness of interventions to increase physical activity: a systematic review. </w:t>
      </w:r>
      <w:r w:rsidRPr="00BE6A99">
        <w:rPr>
          <w:rFonts w:eastAsia="HelveticaNeueLTStd-ThCn" w:cs="Arial"/>
          <w:i/>
          <w:iCs/>
          <w:color w:val="231F20"/>
          <w:szCs w:val="18"/>
        </w:rPr>
        <w:t xml:space="preserve">Am J Prev Med </w:t>
      </w:r>
      <w:r w:rsidRPr="00BE6A99">
        <w:rPr>
          <w:rFonts w:eastAsia="HelveticaNeueLTStd-ThCn" w:cs="Arial"/>
          <w:color w:val="231F20"/>
          <w:szCs w:val="18"/>
        </w:rPr>
        <w:t>2002, 22(4S):73-107.</w:t>
      </w:r>
    </w:p>
  </w:endnote>
  <w:endnote w:id="1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Centers for Disease Control and Prevention. The Impact of Medicaid Coverage for Tobacco Dependence Treatments on Smoking Prevalence – Massachusetts, 2006-2008. Submitted for publication. Mortality and Morbidity Weekly Report (MMWR).</w:t>
      </w:r>
    </w:p>
  </w:endnote>
  <w:endnote w:id="15">
    <w:p w:rsidR="00CC3C63" w:rsidRDefault="00CC3C63" w:rsidP="00BE6A99">
      <w:pPr>
        <w:pStyle w:val="EndnoteText"/>
        <w:ind w:left="270" w:hanging="270"/>
      </w:pPr>
      <w:r w:rsidRPr="00BE6A99">
        <w:rPr>
          <w:rStyle w:val="EndnoteReference"/>
          <w:rFonts w:cs="Arial"/>
          <w:szCs w:val="18"/>
        </w:rPr>
        <w:endnoteRef/>
      </w:r>
      <w:r w:rsidRPr="00BE6A99">
        <w:rPr>
          <w:rFonts w:cs="Arial"/>
          <w:color w:val="000000"/>
          <w:szCs w:val="18"/>
        </w:rPr>
        <w:t>Massachusetts Division of Health Care Finance and Policy Hospital Discharge Data</w:t>
      </w:r>
      <w:r>
        <w:rPr>
          <w:rFonts w:cs="Arial"/>
          <w:color w:val="000000"/>
          <w:szCs w:val="18"/>
        </w:rPr>
        <w:t>set</w:t>
      </w:r>
      <w:r w:rsidRPr="00BE6A99">
        <w:rPr>
          <w:rFonts w:cs="Arial"/>
          <w:color w:val="000000"/>
          <w:szCs w:val="18"/>
        </w:rPr>
        <w:t xml:space="preserve">, FY2007. </w:t>
      </w:r>
      <w:r w:rsidRPr="00BE6A99">
        <w:rPr>
          <w:rFonts w:cs="Arial"/>
          <w:b/>
          <w:bCs/>
          <w:i/>
          <w:iCs/>
          <w:color w:val="000000"/>
          <w:szCs w:val="18"/>
        </w:rPr>
        <w:t>Data for 2007.</w:t>
      </w:r>
    </w:p>
  </w:endnote>
  <w:endnote w:id="16">
    <w:p w:rsidR="00CC3C63" w:rsidRDefault="00CC3C63" w:rsidP="00BE6A99">
      <w:pPr>
        <w:pStyle w:val="EndnoteText"/>
        <w:ind w:left="270" w:hanging="270"/>
      </w:pPr>
      <w:r w:rsidRPr="00BE6A99">
        <w:rPr>
          <w:rStyle w:val="EndnoteReference"/>
          <w:rFonts w:cs="Arial"/>
          <w:szCs w:val="18"/>
        </w:rPr>
        <w:endnoteRef/>
      </w:r>
      <w:r w:rsidRPr="00BE6A99">
        <w:rPr>
          <w:rFonts w:cs="Arial"/>
          <w:color w:val="000000"/>
          <w:szCs w:val="18"/>
        </w:rPr>
        <w:t>Health of Massachusetts: Impact of Heart Disease and Stroke. Massachusetts Department of Public Health Heart Disease and Stroke Prevention and Control Program, 2011.  </w:t>
      </w:r>
      <w:r w:rsidRPr="00BE6A99">
        <w:rPr>
          <w:rFonts w:cs="Arial"/>
          <w:b/>
          <w:bCs/>
          <w:i/>
          <w:iCs/>
          <w:color w:val="000000"/>
          <w:szCs w:val="18"/>
        </w:rPr>
        <w:t>Data for 2009.</w:t>
      </w:r>
      <w:r>
        <w:rPr>
          <w:rFonts w:cs="Arial"/>
          <w:b/>
          <w:bCs/>
          <w:i/>
          <w:iCs/>
          <w:color w:val="000000"/>
          <w:szCs w:val="18"/>
        </w:rPr>
        <w:t xml:space="preserve"> </w:t>
      </w:r>
      <w:r w:rsidRPr="00BE6A99">
        <w:rPr>
          <w:rFonts w:cs="Arial"/>
          <w:color w:val="000000"/>
          <w:szCs w:val="18"/>
        </w:rPr>
        <w:t>Colorectal</w:t>
      </w:r>
      <w:r>
        <w:rPr>
          <w:rFonts w:cs="Arial"/>
          <w:color w:val="000000"/>
          <w:szCs w:val="18"/>
        </w:rPr>
        <w:t xml:space="preserve"> </w:t>
      </w:r>
      <w:r w:rsidRPr="00BE6A99">
        <w:rPr>
          <w:rFonts w:cs="Arial"/>
          <w:color w:val="000000"/>
          <w:szCs w:val="18"/>
        </w:rPr>
        <w:t>cancer alone accrues $133 million in MA for inpatient hospital charges</w:t>
      </w:r>
    </w:p>
  </w:endnote>
  <w:endnote w:id="17">
    <w:p w:rsidR="00CC3C63" w:rsidRDefault="00CC3C63" w:rsidP="00BE6A99">
      <w:pPr>
        <w:pStyle w:val="EndnoteText"/>
        <w:ind w:left="270" w:hanging="270"/>
      </w:pPr>
      <w:r w:rsidRPr="00BE6A99">
        <w:rPr>
          <w:rStyle w:val="EndnoteReference"/>
          <w:rFonts w:cs="Arial"/>
          <w:szCs w:val="18"/>
        </w:rPr>
        <w:endnoteRef/>
      </w:r>
      <w:r w:rsidRPr="00BE6A99">
        <w:rPr>
          <w:rFonts w:cs="Arial"/>
          <w:color w:val="000000"/>
          <w:szCs w:val="18"/>
        </w:rPr>
        <w:t xml:space="preserve">Prevention and Wellness Fund Advisory Board. An Overview of Health Care Costs for Chronic Conditions in Massachusetts. </w:t>
      </w:r>
      <w:r w:rsidRPr="00BE6A99">
        <w:rPr>
          <w:rFonts w:cs="Arial"/>
          <w:b/>
          <w:bCs/>
          <w:i/>
          <w:iCs/>
          <w:color w:val="000000"/>
          <w:szCs w:val="18"/>
        </w:rPr>
        <w:t>Data for 2010.</w:t>
      </w:r>
    </w:p>
  </w:endnote>
  <w:endnote w:id="18">
    <w:p w:rsidR="00CC3C63" w:rsidRDefault="00CC3C63" w:rsidP="00BE6A99">
      <w:pPr>
        <w:pStyle w:val="EndnoteText"/>
        <w:ind w:left="270" w:hanging="270"/>
      </w:pPr>
      <w:r w:rsidRPr="00BE6A99">
        <w:rPr>
          <w:rStyle w:val="EndnoteReference"/>
          <w:rFonts w:cs="Arial"/>
          <w:szCs w:val="18"/>
        </w:rPr>
        <w:endnoteRef/>
      </w:r>
      <w:r w:rsidRPr="00BE6A99">
        <w:rPr>
          <w:rFonts w:cs="Arial"/>
          <w:color w:val="000000"/>
          <w:szCs w:val="18"/>
        </w:rPr>
        <w:t xml:space="preserve">MDPH, Infectious Disease Bureau, </w:t>
      </w:r>
      <w:r w:rsidRPr="00BE6A99">
        <w:rPr>
          <w:rFonts w:cs="Arial"/>
          <w:bCs/>
          <w:color w:val="000000"/>
          <w:szCs w:val="18"/>
        </w:rPr>
        <w:t xml:space="preserve">STD, HIV/AIDS and Viral Hepatitis Surveillance Report 2011, from Dec. 2012. </w:t>
      </w:r>
      <w:r w:rsidRPr="00BE6A99">
        <w:rPr>
          <w:rFonts w:cs="Arial"/>
          <w:b/>
          <w:i/>
          <w:color w:val="000000"/>
          <w:szCs w:val="18"/>
        </w:rPr>
        <w:t>Data for 2011.</w:t>
      </w:r>
    </w:p>
  </w:endnote>
  <w:endnote w:id="1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Adapted by CESAR from Hingson, R. W., Heeren, T., and Edwards, E.M., (2008), “Age at Drinking Onset, Alcohol Dependence and Their Relation to Drug Use and Dependence, Driving Under the Influence of Drugs, and Motor-Vehicle Crash Involvement Because of Drugs,” Journal of Studies on Alcohol and Drugs 69, (2), 192-201</w:t>
      </w:r>
    </w:p>
  </w:endnote>
  <w:endnote w:id="2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Neumark, Y.D. et al. “Drug dependence and death:  Survival analysis of the Baltimore ECA sample from 1981-1995.”  Subst Use Misuse 2000;35(3):313-327.</w:t>
      </w:r>
    </w:p>
  </w:endnote>
  <w:endnote w:id="2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BSAS FY13 Data</w:t>
      </w:r>
    </w:p>
  </w:endnote>
  <w:endnote w:id="2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Registry of Vital Records and Statistics MDPH.</w:t>
      </w:r>
    </w:p>
  </w:endnote>
  <w:endnote w:id="2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Registry of Vital Records and Statistics MDPH.</w:t>
      </w:r>
    </w:p>
  </w:endnote>
  <w:endnote w:id="2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Centers for Disease Control and Prevention. Vital Signs: Overdoses of Prescription Opioid Pain Relievers – United States, 1999-2008. MMWR 2011; 60(43)</w:t>
      </w:r>
    </w:p>
  </w:endnote>
  <w:endnote w:id="25">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Stanford Social Innovation Review, Stanford University, By John Kania &amp; Mark Kramer | </w:t>
      </w:r>
      <w:hyperlink r:id="rId3" w:anchor="comments" w:history="1">
        <w:r w:rsidRPr="00BE6A99">
          <w:rPr>
            <w:rFonts w:cs="Arial"/>
            <w:szCs w:val="18"/>
          </w:rPr>
          <w:t>65</w:t>
        </w:r>
      </w:hyperlink>
      <w:r w:rsidRPr="00BE6A99">
        <w:rPr>
          <w:rFonts w:cs="Arial"/>
          <w:szCs w:val="18"/>
        </w:rPr>
        <w:t xml:space="preserve"> | </w:t>
      </w:r>
      <w:hyperlink r:id="rId4" w:history="1">
        <w:r w:rsidRPr="00BE6A99">
          <w:rPr>
            <w:rFonts w:cs="Arial"/>
            <w:szCs w:val="18"/>
          </w:rPr>
          <w:t>Winter 2011</w:t>
        </w:r>
      </w:hyperlink>
    </w:p>
  </w:endnote>
  <w:endnote w:id="26">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PHAB PUBLIC HEALTH ACCREDITATION BOARD Standards &amp; Measures VERSION 1.5 APPROVED DECEMBER 2013</w:t>
      </w:r>
    </w:p>
  </w:endnote>
  <w:endnote w:id="2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PHAB PUBLIC HEALTH ACCREDITATION BOARD Standards &amp; Measures VERSION 1.5 APPROVED DECEMBER 2013</w:t>
      </w:r>
    </w:p>
  </w:endnote>
  <w:endnote w:id="28">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Department of Public Health. Vital Statistics.</w:t>
      </w:r>
      <w:r w:rsidRPr="00BE6A99">
        <w:rPr>
          <w:rFonts w:cs="Arial"/>
          <w:b/>
          <w:i/>
          <w:szCs w:val="18"/>
        </w:rPr>
        <w:t xml:space="preserve"> Data for 2012. (Not yet published.)</w:t>
      </w:r>
    </w:p>
  </w:endnote>
  <w:endnote w:id="2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The National Campaign to Prevent Teen and Unplanned Pregnancy. </w:t>
      </w:r>
      <w:r w:rsidRPr="00BE6A99">
        <w:rPr>
          <w:rFonts w:cs="Arial"/>
          <w:i/>
          <w:szCs w:val="18"/>
        </w:rPr>
        <w:t>Counting</w:t>
      </w:r>
      <w:r>
        <w:rPr>
          <w:rFonts w:cs="Arial"/>
          <w:i/>
          <w:szCs w:val="18"/>
        </w:rPr>
        <w:t xml:space="preserve"> It </w:t>
      </w:r>
      <w:r w:rsidRPr="00BE6A99">
        <w:rPr>
          <w:rFonts w:cs="Arial"/>
          <w:i/>
          <w:szCs w:val="18"/>
        </w:rPr>
        <w:t>Up</w:t>
      </w:r>
      <w:r>
        <w:rPr>
          <w:rFonts w:cs="Arial"/>
          <w:i/>
          <w:szCs w:val="18"/>
        </w:rPr>
        <w:t>:</w:t>
      </w:r>
      <w:r w:rsidRPr="00BE6A99">
        <w:rPr>
          <w:rFonts w:cs="Arial"/>
          <w:i/>
          <w:szCs w:val="18"/>
        </w:rPr>
        <w:t xml:space="preserve"> The Public Costs of Teen Childbearing in Massachusetts in 2008.</w:t>
      </w:r>
      <w:r w:rsidRPr="00BE6A99">
        <w:rPr>
          <w:rFonts w:cs="Arial"/>
          <w:szCs w:val="18"/>
        </w:rPr>
        <w:t xml:space="preserve"> June 2011. </w:t>
      </w:r>
      <w:r w:rsidRPr="00BE6A99">
        <w:rPr>
          <w:rFonts w:cs="Arial"/>
          <w:b/>
          <w:i/>
          <w:szCs w:val="18"/>
        </w:rPr>
        <w:t>Data for 2008.</w:t>
      </w:r>
    </w:p>
  </w:endnote>
  <w:endnote w:id="3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Department of Public Health. Vital Statistics.</w:t>
      </w:r>
      <w:r w:rsidRPr="00BE6A99">
        <w:rPr>
          <w:rFonts w:cs="Arial"/>
          <w:b/>
          <w:i/>
          <w:szCs w:val="18"/>
        </w:rPr>
        <w:t xml:space="preserve"> Data for 2012 (not yet published).</w:t>
      </w:r>
    </w:p>
  </w:endnote>
  <w:endnote w:id="3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Department of Public Health. Vital Statistics.</w:t>
      </w:r>
      <w:r w:rsidRPr="00BE6A99">
        <w:rPr>
          <w:rFonts w:cs="Arial"/>
          <w:b/>
          <w:i/>
          <w:szCs w:val="18"/>
        </w:rPr>
        <w:t xml:space="preserve"> Data for 2012 (not yet published).</w:t>
      </w:r>
    </w:p>
  </w:endnote>
  <w:endnote w:id="3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Department of Public Health. Vital Statistics </w:t>
      </w:r>
      <w:r w:rsidRPr="00BE6A99">
        <w:rPr>
          <w:rFonts w:cs="Arial"/>
          <w:b/>
          <w:i/>
          <w:szCs w:val="18"/>
        </w:rPr>
        <w:t>Data for 2012 (not yet published).</w:t>
      </w:r>
    </w:p>
  </w:endnote>
  <w:endnote w:id="3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Department of Public Health. Vital Statistics.</w:t>
      </w:r>
      <w:r w:rsidRPr="00BE6A99">
        <w:rPr>
          <w:rFonts w:cs="Arial"/>
          <w:b/>
          <w:i/>
          <w:szCs w:val="18"/>
        </w:rPr>
        <w:t xml:space="preserve"> Data for 2012 (not yet published).</w:t>
      </w:r>
    </w:p>
  </w:endnote>
  <w:endnote w:id="3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Department of Public Health. Vital Statistics.</w:t>
      </w:r>
      <w:r w:rsidRPr="00BE6A99">
        <w:rPr>
          <w:rFonts w:cs="Arial"/>
          <w:b/>
          <w:i/>
          <w:szCs w:val="18"/>
        </w:rPr>
        <w:t xml:space="preserve"> Data for 2012 (not yet published).</w:t>
      </w:r>
    </w:p>
  </w:endnote>
  <w:endnote w:id="35">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Centers for Disease Control and Prevention. </w:t>
      </w:r>
      <w:r w:rsidRPr="00BE6A99">
        <w:rPr>
          <w:rFonts w:cs="Arial"/>
          <w:i/>
          <w:szCs w:val="18"/>
        </w:rPr>
        <w:t>Preterm Birth</w:t>
      </w:r>
      <w:r w:rsidRPr="00BE6A99">
        <w:rPr>
          <w:rFonts w:cs="Arial"/>
          <w:szCs w:val="18"/>
        </w:rPr>
        <w:t xml:space="preserve">. Centers for Disease Control and Prevention, Reproductive Health, Maternal and Infant Health. 2013. [Online] [Cited May 5, 2013] </w:t>
      </w:r>
      <w:hyperlink r:id="rId5" w:history="1">
        <w:r w:rsidRPr="00BE6A99">
          <w:rPr>
            <w:rStyle w:val="Hyperlink"/>
            <w:rFonts w:cs="Arial"/>
            <w:szCs w:val="18"/>
          </w:rPr>
          <w:t>http://www.cdc.gov/reproductivehealth/MaternalInfantHealth/PretermBirth.htm</w:t>
        </w:r>
      </w:hyperlink>
    </w:p>
  </w:endnote>
  <w:endnote w:id="36">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Department of Public Health. Vital Statistics.</w:t>
      </w:r>
      <w:r w:rsidRPr="00BE6A99">
        <w:rPr>
          <w:rFonts w:cs="Arial"/>
          <w:b/>
          <w:i/>
          <w:szCs w:val="18"/>
        </w:rPr>
        <w:t xml:space="preserve"> Data for 2012 (not yet published).</w:t>
      </w:r>
    </w:p>
  </w:endnote>
  <w:endnote w:id="3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Smoking-Attributable Mortality, Morbidity, and Economic Costs, 2006 as reported in Massachusetts Department of Public Health. </w:t>
      </w:r>
      <w:r w:rsidRPr="00BE6A99">
        <w:rPr>
          <w:rFonts w:cs="Arial"/>
          <w:i/>
          <w:szCs w:val="18"/>
        </w:rPr>
        <w:t xml:space="preserve">Health of Massachusetts. </w:t>
      </w:r>
      <w:r w:rsidRPr="00BE6A99">
        <w:rPr>
          <w:rFonts w:cs="Arial"/>
          <w:szCs w:val="18"/>
        </w:rPr>
        <w:t xml:space="preserve">Boston, MA: April 2010. </w:t>
      </w:r>
      <w:r w:rsidRPr="00BE6A99">
        <w:rPr>
          <w:rFonts w:cs="Arial"/>
          <w:b/>
          <w:i/>
          <w:szCs w:val="18"/>
        </w:rPr>
        <w:t>Data for 2006.</w:t>
      </w:r>
    </w:p>
  </w:endnote>
  <w:endnote w:id="38">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Centers for Disease Control and Prevention. BRFSS 2012. </w:t>
      </w:r>
      <w:r w:rsidRPr="00BE6A99">
        <w:rPr>
          <w:rFonts w:cs="Arial"/>
          <w:b/>
          <w:i/>
          <w:szCs w:val="18"/>
        </w:rPr>
        <w:t>Data for 2012.</w:t>
      </w:r>
    </w:p>
  </w:endnote>
  <w:endnote w:id="3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Centers for Disease Control and Prevention, Youth Risk Behavioral Surveillance System.  [Online] [Cited June 20, 2014] </w:t>
      </w:r>
      <w:hyperlink r:id="rId6" w:history="1">
        <w:r w:rsidRPr="00BE6A99">
          <w:rPr>
            <w:rStyle w:val="Hyperlink"/>
            <w:rFonts w:cs="Arial"/>
            <w:szCs w:val="18"/>
          </w:rPr>
          <w:t>http://nccd.cdc.gov/youthonline/App/Default.aspx</w:t>
        </w:r>
      </w:hyperlink>
      <w:r w:rsidRPr="00BE6A99">
        <w:rPr>
          <w:rFonts w:cs="Arial"/>
          <w:szCs w:val="18"/>
        </w:rPr>
        <w:t xml:space="preserve">. </w:t>
      </w:r>
      <w:r w:rsidRPr="00BE6A99">
        <w:rPr>
          <w:rFonts w:cs="Arial"/>
          <w:b/>
          <w:i/>
          <w:szCs w:val="18"/>
        </w:rPr>
        <w:t>Data for 2013.</w:t>
      </w:r>
    </w:p>
  </w:endnote>
  <w:endnote w:id="4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Smoking-Attributable Mortality, Morbidity, and Economic Costs, 2006 as reported in Massachusetts Department of Public Health. </w:t>
      </w:r>
      <w:r w:rsidRPr="00BE6A99">
        <w:rPr>
          <w:rFonts w:cs="Arial"/>
          <w:i/>
          <w:szCs w:val="18"/>
        </w:rPr>
        <w:t xml:space="preserve">Health of Massachusetts. </w:t>
      </w:r>
      <w:r w:rsidRPr="00BE6A99">
        <w:rPr>
          <w:rFonts w:cs="Arial"/>
          <w:szCs w:val="18"/>
        </w:rPr>
        <w:t xml:space="preserve">Boston, MA: April 2010. </w:t>
      </w:r>
      <w:r w:rsidRPr="00BE6A99">
        <w:rPr>
          <w:rFonts w:cs="Arial"/>
          <w:b/>
          <w:i/>
          <w:szCs w:val="18"/>
        </w:rPr>
        <w:t>Data for 2006.</w:t>
      </w:r>
    </w:p>
  </w:endnote>
  <w:endnote w:id="4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2008, as reported in Health of Massachusetts 2010. </w:t>
      </w:r>
      <w:r w:rsidRPr="00BE6A99">
        <w:rPr>
          <w:rFonts w:cs="Arial"/>
          <w:b/>
          <w:i/>
          <w:szCs w:val="18"/>
        </w:rPr>
        <w:t>Data for 2008.</w:t>
      </w:r>
    </w:p>
  </w:endnote>
  <w:endnote w:id="4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4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4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YHS 2013 </w:t>
      </w:r>
      <w:r w:rsidRPr="00BE6A99">
        <w:rPr>
          <w:rFonts w:cs="Arial"/>
          <w:b/>
          <w:i/>
          <w:szCs w:val="18"/>
        </w:rPr>
        <w:t>Data for 2013</w:t>
      </w:r>
    </w:p>
  </w:endnote>
  <w:endnote w:id="45">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YHS 2013 </w:t>
      </w:r>
      <w:r w:rsidRPr="00BE6A99">
        <w:rPr>
          <w:rFonts w:cs="Arial"/>
          <w:b/>
          <w:i/>
          <w:szCs w:val="18"/>
        </w:rPr>
        <w:t>Data for 2013</w:t>
      </w:r>
    </w:p>
  </w:endnote>
  <w:endnote w:id="46">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YHS 2013 </w:t>
      </w:r>
      <w:r w:rsidRPr="00BE6A99">
        <w:rPr>
          <w:rFonts w:cs="Arial"/>
          <w:b/>
          <w:i/>
          <w:szCs w:val="18"/>
        </w:rPr>
        <w:t>Data for 2013</w:t>
      </w:r>
    </w:p>
  </w:endnote>
  <w:endnote w:id="4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YHS 2013 </w:t>
      </w:r>
      <w:r w:rsidRPr="00BE6A99">
        <w:rPr>
          <w:rFonts w:cs="Arial"/>
          <w:b/>
          <w:i/>
          <w:szCs w:val="18"/>
        </w:rPr>
        <w:t>Data for 2013</w:t>
      </w:r>
    </w:p>
  </w:endnote>
  <w:endnote w:id="48">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4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5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2012. </w:t>
      </w:r>
      <w:r w:rsidRPr="00BE6A99">
        <w:rPr>
          <w:rFonts w:cs="Arial"/>
          <w:b/>
          <w:i/>
          <w:szCs w:val="18"/>
        </w:rPr>
        <w:t>Data for 2012.</w:t>
      </w:r>
    </w:p>
  </w:endnote>
  <w:endnote w:id="5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The Status of Childhood Weight in Massachusetts, 2009-2011: Preliminary Results from the Body Mass Index Screening in Massachusetts Public School Districts, 2009-2011. </w:t>
      </w:r>
      <w:r w:rsidRPr="00BE6A99">
        <w:rPr>
          <w:rFonts w:cs="Arial"/>
          <w:b/>
          <w:i/>
          <w:szCs w:val="18"/>
        </w:rPr>
        <w:t>Data for 2009-2011.</w:t>
      </w:r>
    </w:p>
  </w:endnote>
  <w:endnote w:id="5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Trogdon JG, Finkelstein EA, Feagan CW, and Cohen JW. State</w:t>
      </w:r>
      <w:r w:rsidRPr="00BE6A99">
        <w:rPr>
          <w:rFonts w:ascii="Cambria Math" w:hAnsi="Cambria Math" w:cs="Cambria Math"/>
          <w:szCs w:val="18"/>
        </w:rPr>
        <w:t>‐</w:t>
      </w:r>
      <w:r w:rsidRPr="00BE6A99">
        <w:rPr>
          <w:rFonts w:cs="Arial"/>
          <w:szCs w:val="18"/>
        </w:rPr>
        <w:t xml:space="preserve"> and payer</w:t>
      </w:r>
      <w:r w:rsidRPr="00BE6A99">
        <w:rPr>
          <w:rFonts w:ascii="Cambria Math" w:hAnsi="Cambria Math" w:cs="Cambria Math"/>
          <w:szCs w:val="18"/>
        </w:rPr>
        <w:t>‐</w:t>
      </w:r>
      <w:r w:rsidRPr="00BE6A99">
        <w:rPr>
          <w:rFonts w:cs="Arial"/>
          <w:szCs w:val="18"/>
        </w:rPr>
        <w:t xml:space="preserve">specific estimates of annual medical expenditures attributable to obesity. </w:t>
      </w:r>
      <w:r w:rsidRPr="00BE6A99">
        <w:rPr>
          <w:rFonts w:cs="Arial"/>
          <w:i/>
          <w:iCs/>
          <w:szCs w:val="18"/>
        </w:rPr>
        <w:t xml:space="preserve">Obesity. </w:t>
      </w:r>
      <w:r w:rsidRPr="00BE6A99">
        <w:rPr>
          <w:rFonts w:cs="Arial"/>
          <w:szCs w:val="18"/>
        </w:rPr>
        <w:t>2012. 20: 214</w:t>
      </w:r>
      <w:r w:rsidRPr="00BE6A99">
        <w:rPr>
          <w:rFonts w:ascii="Cambria Math" w:hAnsi="Cambria Math" w:cs="Cambria Math"/>
          <w:szCs w:val="18"/>
        </w:rPr>
        <w:t>‐</w:t>
      </w:r>
      <w:r w:rsidRPr="00BE6A99">
        <w:rPr>
          <w:rFonts w:cs="Arial"/>
          <w:szCs w:val="18"/>
        </w:rPr>
        <w:t xml:space="preserve">220. </w:t>
      </w:r>
      <w:r w:rsidRPr="00BE6A99">
        <w:rPr>
          <w:rFonts w:cs="Arial"/>
          <w:b/>
          <w:i/>
          <w:szCs w:val="18"/>
        </w:rPr>
        <w:t>Data for 2009.</w:t>
      </w:r>
    </w:p>
  </w:endnote>
  <w:endnote w:id="5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Trogdon JG, Finkelstein EA, Feagan CW, and Cohen JW. State</w:t>
      </w:r>
      <w:r w:rsidRPr="00BE6A99">
        <w:rPr>
          <w:rFonts w:ascii="Cambria Math" w:hAnsi="Cambria Math" w:cs="Cambria Math"/>
          <w:szCs w:val="18"/>
        </w:rPr>
        <w:t>‐</w:t>
      </w:r>
      <w:r w:rsidRPr="00BE6A99">
        <w:rPr>
          <w:rFonts w:cs="Arial"/>
          <w:szCs w:val="18"/>
        </w:rPr>
        <w:t xml:space="preserve"> and payer</w:t>
      </w:r>
      <w:r w:rsidRPr="00BE6A99">
        <w:rPr>
          <w:rFonts w:ascii="Cambria Math" w:hAnsi="Cambria Math" w:cs="Cambria Math"/>
          <w:szCs w:val="18"/>
        </w:rPr>
        <w:t>‐</w:t>
      </w:r>
      <w:r w:rsidRPr="00BE6A99">
        <w:rPr>
          <w:rFonts w:cs="Arial"/>
          <w:szCs w:val="18"/>
        </w:rPr>
        <w:t xml:space="preserve">specific estimates of annual medical expenditures attributable to obesity. </w:t>
      </w:r>
      <w:r w:rsidRPr="00BE6A99">
        <w:rPr>
          <w:rFonts w:cs="Arial"/>
          <w:i/>
          <w:iCs/>
          <w:szCs w:val="18"/>
        </w:rPr>
        <w:t xml:space="preserve">Obesity. </w:t>
      </w:r>
      <w:r w:rsidRPr="00BE6A99">
        <w:rPr>
          <w:rFonts w:cs="Arial"/>
          <w:szCs w:val="18"/>
        </w:rPr>
        <w:t>2012. 20: 214</w:t>
      </w:r>
      <w:r w:rsidRPr="00BE6A99">
        <w:rPr>
          <w:rFonts w:ascii="Cambria Math" w:hAnsi="Cambria Math" w:cs="Cambria Math"/>
          <w:szCs w:val="18"/>
        </w:rPr>
        <w:t>‐</w:t>
      </w:r>
      <w:r w:rsidRPr="00BE6A99">
        <w:rPr>
          <w:rFonts w:cs="Arial"/>
          <w:szCs w:val="18"/>
        </w:rPr>
        <w:t xml:space="preserve">220. </w:t>
      </w:r>
      <w:r w:rsidRPr="00BE6A99">
        <w:rPr>
          <w:rFonts w:cs="Arial"/>
          <w:b/>
          <w:i/>
          <w:szCs w:val="18"/>
        </w:rPr>
        <w:t>Data for 2009.</w:t>
      </w:r>
    </w:p>
  </w:endnote>
  <w:endnote w:id="5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Health Status of American Indians, 2001-2009. </w:t>
      </w:r>
      <w:r w:rsidRPr="00BE6A99">
        <w:rPr>
          <w:rFonts w:cs="Arial"/>
          <w:b/>
          <w:i/>
          <w:szCs w:val="18"/>
        </w:rPr>
        <w:t>Data for 2007-2009</w:t>
      </w:r>
      <w:r w:rsidRPr="00BE6A99">
        <w:rPr>
          <w:rFonts w:cs="Arial"/>
          <w:szCs w:val="18"/>
        </w:rPr>
        <w:t xml:space="preserve">. </w:t>
      </w:r>
    </w:p>
  </w:endnote>
  <w:endnote w:id="55">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56">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5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Prevention and Wellness Fund Advisory Board. An Overview of Health Care Costs for Chronic Conditions in Massachusetts. </w:t>
      </w:r>
      <w:r w:rsidRPr="00BE6A99">
        <w:rPr>
          <w:rFonts w:cs="Arial"/>
          <w:b/>
          <w:i/>
          <w:szCs w:val="18"/>
        </w:rPr>
        <w:t>Data for no date provided.</w:t>
      </w:r>
    </w:p>
  </w:endnote>
  <w:endnote w:id="58">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Prevention and Wellness Fund Advisory Board. An Overview of Health Care Costs for Chronic Conditions in Massachusetts. </w:t>
      </w:r>
      <w:r w:rsidRPr="00BE6A99">
        <w:rPr>
          <w:rFonts w:cs="Arial"/>
          <w:b/>
          <w:i/>
          <w:szCs w:val="18"/>
        </w:rPr>
        <w:t>Data for 2010.</w:t>
      </w:r>
    </w:p>
  </w:endnote>
  <w:endnote w:id="5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6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6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Medical Expenditure Panel Survey. US Department of Health and Human Services, 2010.  http://meps.ahrq.gov/mepsweb/data_stats/quick_tables_results.jsp?component=1&amp;subcomponent=0&amp;year=</w:t>
      </w:r>
      <w:r w:rsidRPr="00BE6A99">
        <w:rPr>
          <w:rFonts w:ascii="Cambria Math" w:hAnsi="Cambria Math" w:cs="Cambria Math"/>
          <w:szCs w:val="18"/>
        </w:rPr>
        <w:t>‐</w:t>
      </w:r>
      <w:r w:rsidRPr="00BE6A99">
        <w:rPr>
          <w:rFonts w:cs="Arial"/>
          <w:szCs w:val="18"/>
        </w:rPr>
        <w:t xml:space="preserve">1&amp;tableSeries=2&amp;searchText=&amp;SearchMethod=1&amp;Action=Search, </w:t>
      </w:r>
      <w:r w:rsidRPr="00BE6A99">
        <w:rPr>
          <w:rFonts w:cs="Arial"/>
          <w:b/>
          <w:i/>
          <w:szCs w:val="18"/>
        </w:rPr>
        <w:t>Data for 2010</w:t>
      </w:r>
      <w:r w:rsidRPr="00BE6A99">
        <w:rPr>
          <w:rFonts w:cs="Arial"/>
          <w:szCs w:val="18"/>
        </w:rPr>
        <w:t>.</w:t>
      </w:r>
    </w:p>
  </w:endnote>
  <w:endnote w:id="6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Centers for Disease Control and Prevention. BRFSS 2011. </w:t>
      </w:r>
      <w:r w:rsidRPr="00BE6A99">
        <w:rPr>
          <w:rFonts w:cs="Arial"/>
          <w:b/>
          <w:i/>
          <w:szCs w:val="18"/>
        </w:rPr>
        <w:t>Data for 2011.</w:t>
      </w:r>
    </w:p>
  </w:endnote>
  <w:endnote w:id="6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2010. Boston, MA: Division of Research and Epidemiology, Bureau of Health Information, Statistics, Research, and Evaluation, Massachusetts Department of Public Health. January 2013. </w:t>
      </w:r>
      <w:r w:rsidRPr="00BE6A99">
        <w:rPr>
          <w:rFonts w:cs="Arial"/>
          <w:b/>
          <w:i/>
          <w:szCs w:val="18"/>
        </w:rPr>
        <w:t>Data for 2010.</w:t>
      </w:r>
    </w:p>
  </w:endnote>
  <w:endnote w:id="6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2010. Boston, MA: Division of Research and Epidemiology, Bureau of Health Information, Statistics, Research, and Evaluation, Massachusetts Department of Public Health. January 2013. </w:t>
      </w:r>
      <w:r w:rsidRPr="00BE6A99">
        <w:rPr>
          <w:rFonts w:cs="Arial"/>
          <w:b/>
          <w:i/>
          <w:szCs w:val="18"/>
        </w:rPr>
        <w:t>Data for 2010.</w:t>
      </w:r>
    </w:p>
  </w:endnote>
  <w:endnote w:id="65">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2010. Boston, MA: Division of Research and Epidemiology, Bureau of Health Information, Statistics, Research, and Evaluation, Massachusetts Department of Public Health. January 2013. </w:t>
      </w:r>
      <w:r w:rsidRPr="00BE6A99">
        <w:rPr>
          <w:rFonts w:cs="Arial"/>
          <w:b/>
          <w:i/>
          <w:szCs w:val="18"/>
        </w:rPr>
        <w:t>Data for 2010.</w:t>
      </w:r>
    </w:p>
  </w:endnote>
  <w:endnote w:id="66">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2010. Boston, MA: Division of Research and Epidemiology, Bureau of Health Information, Statistics, Research, and Evaluation, Massachusetts Department of Public Health. January 2013. </w:t>
      </w:r>
      <w:r w:rsidRPr="00BE6A99">
        <w:rPr>
          <w:rFonts w:cs="Arial"/>
          <w:b/>
          <w:i/>
          <w:szCs w:val="18"/>
        </w:rPr>
        <w:t>Data for 2010.</w:t>
      </w:r>
    </w:p>
  </w:endnote>
  <w:endnote w:id="6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68">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6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Health of Massachusetts 2010, </w:t>
      </w:r>
      <w:r w:rsidRPr="00BE6A99">
        <w:rPr>
          <w:rFonts w:cs="Arial"/>
          <w:b/>
          <w:i/>
          <w:szCs w:val="18"/>
        </w:rPr>
        <w:t>Data for 2009.</w:t>
      </w:r>
    </w:p>
  </w:endnote>
  <w:endnote w:id="7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Division of Health Care Finance and Policy Hospitalization Department Discharge Databases, FY2007. </w:t>
      </w:r>
      <w:r w:rsidRPr="00BE6A99">
        <w:rPr>
          <w:rFonts w:cs="Arial"/>
          <w:b/>
          <w:i/>
          <w:szCs w:val="18"/>
        </w:rPr>
        <w:t>Data for 2007.</w:t>
      </w:r>
    </w:p>
  </w:endnote>
  <w:endnote w:id="7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7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7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2010. Boston, MA: Division of Research and Epidemiology, Bureau of Health Information, Statistics, Research, and Evaluation, Massachusetts Department of Public Health. January 2013. </w:t>
      </w:r>
      <w:r w:rsidRPr="00BE6A99">
        <w:rPr>
          <w:rFonts w:cs="Arial"/>
          <w:b/>
          <w:i/>
          <w:szCs w:val="18"/>
        </w:rPr>
        <w:t>Data for 2010.</w:t>
      </w:r>
    </w:p>
  </w:endnote>
  <w:endnote w:id="7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2010. Boston, MA: Division of Research and Epidemiology, Bureau of Health Information, Statistics, Research, and Evaluation, Massachusetts Department of Public Health. January 2013. </w:t>
      </w:r>
      <w:r w:rsidRPr="00BE6A99">
        <w:rPr>
          <w:rFonts w:cs="Arial"/>
          <w:b/>
          <w:i/>
          <w:szCs w:val="18"/>
        </w:rPr>
        <w:t>Data for 2010.</w:t>
      </w:r>
    </w:p>
  </w:endnote>
  <w:endnote w:id="75">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2012. </w:t>
      </w:r>
      <w:r w:rsidRPr="00BE6A99">
        <w:rPr>
          <w:rFonts w:cs="Arial"/>
          <w:b/>
          <w:i/>
          <w:szCs w:val="18"/>
        </w:rPr>
        <w:t>Data for 2012.</w:t>
      </w:r>
    </w:p>
  </w:endnote>
  <w:endnote w:id="76">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Center for Health Information and Analysis, Hospital Discharge Database, 2011</w:t>
      </w:r>
    </w:p>
  </w:endnote>
  <w:endnote w:id="7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Prevention and Wellness Advisory Board, An Overview of Health Care Costs for Chronic Conditions in Massachusetts, 2013. Unknown year and original data source for diabetes hospitalization cost data. </w:t>
      </w:r>
    </w:p>
  </w:endnote>
  <w:endnote w:id="78">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2012. </w:t>
      </w:r>
      <w:r w:rsidRPr="00BE6A99">
        <w:rPr>
          <w:rFonts w:cs="Arial"/>
          <w:b/>
          <w:i/>
          <w:szCs w:val="18"/>
        </w:rPr>
        <w:t>Data for 2012.</w:t>
      </w:r>
    </w:p>
  </w:endnote>
  <w:endnote w:id="7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2011. Boston, MA: Division of Research and Epidemiology, Bureau of Health Information, Statistics, Research, and Evaluation, Massachusetts Department of Public Health. December 2013. </w:t>
      </w:r>
      <w:r w:rsidRPr="00BE6A99">
        <w:rPr>
          <w:rFonts w:cs="Arial"/>
          <w:b/>
          <w:i/>
          <w:szCs w:val="18"/>
        </w:rPr>
        <w:t>Data for 2011.</w:t>
      </w:r>
    </w:p>
  </w:endnote>
  <w:endnote w:id="8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2011. Boston, MA: Division of Research and Epidemiology, Bureau of Health Information, Statistics, Research, and Evaluation, Massachusetts Department of Public Health. December 2013. </w:t>
      </w:r>
      <w:r w:rsidRPr="00BE6A99">
        <w:rPr>
          <w:rFonts w:cs="Arial"/>
          <w:b/>
          <w:i/>
          <w:szCs w:val="18"/>
        </w:rPr>
        <w:t>Data for 2011.</w:t>
      </w:r>
    </w:p>
  </w:endnote>
  <w:endnote w:id="8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2012. </w:t>
      </w:r>
      <w:r w:rsidRPr="00BE6A99">
        <w:rPr>
          <w:rFonts w:cs="Arial"/>
          <w:b/>
          <w:i/>
          <w:szCs w:val="18"/>
        </w:rPr>
        <w:t>Data for 2012.</w:t>
      </w:r>
    </w:p>
  </w:endnote>
  <w:endnote w:id="8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Prevention and Wellness Fund Advisory Board. An Overview of Health Care Costs for Chronic Conditions in Massachusetts. </w:t>
      </w:r>
      <w:r w:rsidRPr="00BE6A99">
        <w:rPr>
          <w:rFonts w:cs="Arial"/>
          <w:b/>
          <w:i/>
          <w:szCs w:val="18"/>
        </w:rPr>
        <w:t>Data for 2010.</w:t>
      </w:r>
    </w:p>
  </w:endnote>
  <w:endnote w:id="8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2007-2011. Boston, MA: Division of Research and Epidemiology, Bureau of Health Information, Statistics, Research, and Evaluation, Massachusetts Department of Public Health. June 2014 Preliminary Data. </w:t>
      </w:r>
      <w:r w:rsidRPr="00BE6A99">
        <w:rPr>
          <w:rFonts w:cs="Arial"/>
          <w:b/>
          <w:i/>
          <w:szCs w:val="18"/>
        </w:rPr>
        <w:t>Data for 2007-2011.</w:t>
      </w:r>
    </w:p>
  </w:endnote>
  <w:endnote w:id="8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2010. Boston, MA: Division of Research and Epidemiology, Bureau of Health Information, Statistics, Research, and Evaluation, Massachusetts Department of Public Health. January 2013. </w:t>
      </w:r>
      <w:r w:rsidRPr="00BE6A99">
        <w:rPr>
          <w:rFonts w:cs="Arial"/>
          <w:b/>
          <w:i/>
          <w:szCs w:val="18"/>
        </w:rPr>
        <w:t>Data for 2010. For residents 35-64 years old.</w:t>
      </w:r>
    </w:p>
  </w:endnote>
  <w:endnote w:id="85">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2010. Boston, MA: Division of Research and Epidemiology, Bureau of Health Information, Statistics, Research, and Evaluation, Massachusetts Department of Public Health. January 2013. </w:t>
      </w:r>
      <w:r w:rsidRPr="00BE6A99">
        <w:rPr>
          <w:rFonts w:cs="Arial"/>
          <w:b/>
          <w:i/>
          <w:szCs w:val="18"/>
        </w:rPr>
        <w:t>Data for 2010. For residents 45+.</w:t>
      </w:r>
    </w:p>
  </w:endnote>
  <w:endnote w:id="86">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8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2011 Health and Risk Behaviors of Massachusetts Youth. Massachusetts Department of Elementary and Secondary Education and Massachusetts Department of Public Health. Massachusetts Youth Risk Behavior Survey. May 2012. </w:t>
      </w:r>
      <w:r w:rsidRPr="00BE6A99">
        <w:rPr>
          <w:rFonts w:cs="Arial"/>
          <w:b/>
          <w:i/>
          <w:szCs w:val="18"/>
        </w:rPr>
        <w:t>Data for 2011.</w:t>
      </w:r>
    </w:p>
  </w:endnote>
  <w:endnote w:id="88">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Burden of Asthma in Massachusetts, April 2009. </w:t>
      </w:r>
      <w:r w:rsidRPr="00BE6A99">
        <w:rPr>
          <w:rFonts w:cs="Arial"/>
          <w:b/>
          <w:i/>
          <w:szCs w:val="18"/>
        </w:rPr>
        <w:t>Data for 2006.</w:t>
      </w:r>
    </w:p>
  </w:endnote>
  <w:endnote w:id="8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Burden of Asthma in Massachusetts, April 2009. </w:t>
      </w:r>
      <w:r w:rsidRPr="00BE6A99">
        <w:rPr>
          <w:rFonts w:cs="Arial"/>
          <w:b/>
          <w:i/>
          <w:szCs w:val="18"/>
        </w:rPr>
        <w:t>Data for 2005 age adjusted rate.</w:t>
      </w:r>
    </w:p>
  </w:endnote>
  <w:endnote w:id="9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Burden of Asthma in Massachusetts, April 2009. </w:t>
      </w:r>
      <w:r w:rsidRPr="00BE6A99">
        <w:rPr>
          <w:rFonts w:cs="Arial"/>
          <w:b/>
          <w:i/>
          <w:szCs w:val="18"/>
        </w:rPr>
        <w:t>Data for 2006.</w:t>
      </w:r>
    </w:p>
  </w:endnote>
  <w:endnote w:id="9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Burden of Asthma in Massachusetts, April 2009. </w:t>
      </w:r>
      <w:r w:rsidRPr="00BE6A99">
        <w:rPr>
          <w:rFonts w:cs="Arial"/>
          <w:b/>
          <w:i/>
          <w:szCs w:val="18"/>
        </w:rPr>
        <w:t>Data for 2005 age adjusted rate.</w:t>
      </w:r>
    </w:p>
  </w:endnote>
  <w:endnote w:id="9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From MDPH Bureau of Environmental Health, Environmental Public Health Tracking Program</w:t>
      </w:r>
    </w:p>
  </w:endnote>
  <w:endnote w:id="9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Weiss, K.B., Sullivan, S.D., Lytle, C.S., Trends in the Cost of Illness for Asthma in the US, 1985-1994. Journal of Allergy </w:t>
      </w:r>
      <w:r>
        <w:rPr>
          <w:rFonts w:cs="Arial"/>
          <w:szCs w:val="18"/>
        </w:rPr>
        <w:t xml:space="preserve">and </w:t>
      </w:r>
      <w:r w:rsidRPr="00BE6A99">
        <w:rPr>
          <w:rFonts w:cs="Arial"/>
          <w:szCs w:val="18"/>
        </w:rPr>
        <w:t>Clinical Immunology 2000; 106:493-499.</w:t>
      </w:r>
    </w:p>
  </w:endnote>
  <w:endnote w:id="9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Burden of Asthma in Massachusetts.  Prepared by the MDPH Bureau of Community Health Access and Promotion. April 2009.</w:t>
      </w:r>
    </w:p>
  </w:endnote>
  <w:endnote w:id="95">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http://www.healthypeople.gov/2020/topicsobjectives2020/overview.aspx?topicid=36</w:t>
      </w:r>
    </w:p>
  </w:endnote>
  <w:endnote w:id="96">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9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Prevention and Wellness Fund Advisory Board. An Overview of Health Care Costs for Chronic Conditions in Massachusetts. Cited from ADA News June 12, 2012. </w:t>
      </w:r>
      <w:r w:rsidRPr="00BE6A99">
        <w:rPr>
          <w:rFonts w:cs="Arial"/>
          <w:b/>
          <w:i/>
          <w:szCs w:val="18"/>
        </w:rPr>
        <w:t>Data for 2010.</w:t>
      </w:r>
    </w:p>
  </w:endnote>
  <w:endnote w:id="98">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Center for Health Information and Analysis. Massachusetts’ Emergency Departments and Preventable Adult Oral Health Conditions: Utilization, Impact and Missed Opportunities (2008-2011). December 2012. </w:t>
      </w:r>
      <w:r w:rsidRPr="00BE6A99">
        <w:rPr>
          <w:rFonts w:cs="Arial"/>
          <w:b/>
          <w:i/>
          <w:szCs w:val="18"/>
        </w:rPr>
        <w:t>Data for 2011.</w:t>
      </w:r>
    </w:p>
  </w:endnote>
  <w:endnote w:id="9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 xml:space="preserve">Data for 2011. NOTE: </w:t>
      </w:r>
      <w:r w:rsidRPr="00BE6A99">
        <w:rPr>
          <w:rFonts w:cs="Arial"/>
          <w:i/>
          <w:szCs w:val="18"/>
        </w:rPr>
        <w:t xml:space="preserve">Disability as meeting one of two criteria </w:t>
      </w:r>
      <w:r w:rsidRPr="00BE6A99">
        <w:rPr>
          <w:rFonts w:cs="Arial"/>
          <w:szCs w:val="18"/>
        </w:rPr>
        <w:t>(1) physical, mental, or emotional problem that limited activities or caused cognitive difficulties; or (2) use special equipment or require help from others to get around.</w:t>
      </w:r>
    </w:p>
  </w:endnote>
  <w:endnote w:id="10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Infectious Disease Bureau, </w:t>
      </w:r>
      <w:r w:rsidRPr="00BE6A99">
        <w:rPr>
          <w:rFonts w:cs="Arial"/>
          <w:bCs/>
          <w:szCs w:val="18"/>
        </w:rPr>
        <w:t xml:space="preserve">STD, HIV/AIDS and Viral Hepatitis Surveillance Report 2011, from Dec. 2012. </w:t>
      </w:r>
      <w:r w:rsidRPr="00BE6A99">
        <w:rPr>
          <w:rFonts w:cs="Arial"/>
          <w:b/>
          <w:i/>
          <w:szCs w:val="18"/>
        </w:rPr>
        <w:t>Data for 2011.</w:t>
      </w:r>
    </w:p>
  </w:endnote>
  <w:endnote w:id="10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Department of Public Health, Infectious Disease Bureau, </w:t>
      </w:r>
      <w:r w:rsidRPr="00BE6A99">
        <w:rPr>
          <w:rFonts w:cs="Arial"/>
          <w:bCs/>
          <w:szCs w:val="18"/>
        </w:rPr>
        <w:t xml:space="preserve">STD, HIV/AIDS and Viral Hepatitis Surveillance Report 2011, from Dec. 2012. </w:t>
      </w:r>
      <w:r w:rsidRPr="00BE6A99">
        <w:rPr>
          <w:rFonts w:cs="Arial"/>
          <w:b/>
          <w:i/>
          <w:szCs w:val="18"/>
        </w:rPr>
        <w:t>Data for 2011.</w:t>
      </w:r>
    </w:p>
  </w:endnote>
  <w:endnote w:id="10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Department of Public Health, Infectious Disease Bureau</w:t>
      </w:r>
      <w:r>
        <w:rPr>
          <w:rFonts w:cs="Arial"/>
          <w:szCs w:val="18"/>
        </w:rPr>
        <w:t>,</w:t>
      </w:r>
      <w:r w:rsidRPr="00BE6A99">
        <w:rPr>
          <w:rFonts w:cs="Arial"/>
          <w:szCs w:val="18"/>
        </w:rPr>
        <w:t xml:space="preserve"> </w:t>
      </w:r>
      <w:r w:rsidRPr="00BE6A99">
        <w:rPr>
          <w:rFonts w:cs="Arial"/>
          <w:bCs/>
          <w:szCs w:val="18"/>
        </w:rPr>
        <w:t xml:space="preserve">STD, HIV/AIDS and Viral Hepatitis Surveillance Report 2011, from Dec. 2012. </w:t>
      </w:r>
      <w:r w:rsidRPr="00BE6A99">
        <w:rPr>
          <w:rFonts w:cs="Arial"/>
          <w:b/>
          <w:i/>
          <w:szCs w:val="18"/>
        </w:rPr>
        <w:t>Data for 2011.</w:t>
      </w:r>
    </w:p>
  </w:endnote>
  <w:endnote w:id="10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Owusu-Edusei K, et al. The estimated direct medical cost of selected sexually transmitted infections in the United States, 2008. Sex Transm Dis 2013; 40(3): pp. 197-201. </w:t>
      </w:r>
      <w:r w:rsidRPr="00BE6A99">
        <w:rPr>
          <w:rFonts w:cs="Arial"/>
          <w:b/>
          <w:szCs w:val="18"/>
        </w:rPr>
        <w:t>Data for 2008.</w:t>
      </w:r>
    </w:p>
  </w:endnote>
  <w:endnote w:id="10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Infectious Disease Bureau, </w:t>
      </w:r>
      <w:r w:rsidRPr="00BE6A99">
        <w:rPr>
          <w:rFonts w:cs="Arial"/>
          <w:bCs/>
          <w:szCs w:val="18"/>
        </w:rPr>
        <w:t xml:space="preserve">STD, HIV/AIDS and Viral Hepatitis Surveillance Report 2011, from Dec. 2012. </w:t>
      </w:r>
      <w:r w:rsidRPr="00BE6A99">
        <w:rPr>
          <w:rFonts w:cs="Arial"/>
          <w:b/>
          <w:i/>
          <w:szCs w:val="18"/>
        </w:rPr>
        <w:t>Data for 2011.</w:t>
      </w:r>
    </w:p>
  </w:endnote>
  <w:endnote w:id="105">
    <w:p w:rsidR="00CC3C63" w:rsidRDefault="00CC3C63" w:rsidP="00BE6A99">
      <w:pPr>
        <w:pStyle w:val="EndnoteText"/>
        <w:ind w:left="270" w:hanging="270"/>
      </w:pPr>
      <w:r w:rsidRPr="00BE6A99">
        <w:rPr>
          <w:rStyle w:val="EndnoteReference"/>
          <w:rFonts w:cs="Arial"/>
          <w:szCs w:val="18"/>
        </w:rPr>
        <w:endnoteRef/>
      </w:r>
      <w:r w:rsidRPr="00421EC0">
        <w:rPr>
          <w:rFonts w:cs="Arial"/>
          <w:szCs w:val="18"/>
        </w:rPr>
        <w:t>Massachusetts State HIV/AIDS Plan, September 2013</w:t>
      </w:r>
      <w:r w:rsidRPr="00BE6A99">
        <w:rPr>
          <w:rFonts w:cs="Arial"/>
          <w:b/>
          <w:i/>
          <w:szCs w:val="18"/>
        </w:rPr>
        <w:t>.</w:t>
      </w:r>
    </w:p>
  </w:endnote>
  <w:endnote w:id="106">
    <w:p w:rsidR="00CC3C63" w:rsidRDefault="00CC3C63" w:rsidP="00BE6A99">
      <w:pPr>
        <w:pStyle w:val="EndnoteText"/>
        <w:ind w:left="270" w:hanging="270"/>
      </w:pPr>
      <w:r w:rsidRPr="00BE6A99">
        <w:rPr>
          <w:rStyle w:val="EndnoteReference"/>
          <w:rFonts w:cs="Arial"/>
          <w:szCs w:val="18"/>
        </w:rPr>
        <w:endnoteRef/>
      </w:r>
      <w:r w:rsidRPr="00421EC0">
        <w:rPr>
          <w:rFonts w:cs="Arial"/>
          <w:szCs w:val="18"/>
        </w:rPr>
        <w:t>Detailed Data Table  11: Fact Sheet: Who is dying with HIV/AIDS and how has this changed over time?  MDPH HIV/AIDS Surveillance Program 2010</w:t>
      </w:r>
      <w:r w:rsidRPr="00BE6A99">
        <w:rPr>
          <w:rFonts w:cs="Arial"/>
          <w:b/>
          <w:i/>
          <w:szCs w:val="18"/>
        </w:rPr>
        <w:t>.</w:t>
      </w:r>
    </w:p>
  </w:endnote>
  <w:endnote w:id="10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Department of Public Health, Infectious Disease Bureau, </w:t>
      </w:r>
      <w:r w:rsidRPr="00BE6A99">
        <w:rPr>
          <w:rFonts w:cs="Arial"/>
          <w:bCs/>
          <w:szCs w:val="18"/>
        </w:rPr>
        <w:t xml:space="preserve">STD, HIV/AIDS and Viral Hepatitis Surveillance Report 2011, from Dec. 2012. </w:t>
      </w:r>
      <w:r w:rsidRPr="00BE6A99">
        <w:rPr>
          <w:rFonts w:cs="Arial"/>
          <w:b/>
          <w:i/>
          <w:szCs w:val="18"/>
        </w:rPr>
        <w:t>Data for 2011.</w:t>
      </w:r>
    </w:p>
  </w:endnote>
  <w:endnote w:id="108">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Owusu-Edusei K, et al. The estimated direct medical cost of selected sexually transmitted infections in the United States, 2008. Sex Transm Dis 2013; 40(3): pp. 197-201. </w:t>
      </w:r>
      <w:r w:rsidRPr="00BE6A99">
        <w:rPr>
          <w:rFonts w:cs="Arial"/>
          <w:b/>
          <w:szCs w:val="18"/>
        </w:rPr>
        <w:t>Data for 2008.</w:t>
      </w:r>
    </w:p>
  </w:endnote>
  <w:endnote w:id="10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2010. Boston, MA: Division of Research and Epidemiology, Bureau of Health Information, Statistics, Research, and Evaluation, Massachusetts Department of Public Health. January 2013. </w:t>
      </w:r>
      <w:r w:rsidRPr="00BE6A99">
        <w:rPr>
          <w:rFonts w:cs="Arial"/>
          <w:b/>
          <w:i/>
          <w:szCs w:val="18"/>
        </w:rPr>
        <w:t>Data for 2010.</w:t>
      </w:r>
    </w:p>
  </w:endnote>
  <w:endnote w:id="11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2010. Boston, MA: Division of Research and Epidemiology, Bureau of Health Information, Statistics, Research, and Evaluation, Massachusetts Department of Public Health. January 2013. </w:t>
      </w:r>
      <w:r w:rsidRPr="00BE6A99">
        <w:rPr>
          <w:rFonts w:cs="Arial"/>
          <w:b/>
          <w:i/>
          <w:szCs w:val="18"/>
        </w:rPr>
        <w:t>Data for 2010.</w:t>
      </w:r>
    </w:p>
  </w:endnote>
  <w:endnote w:id="11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2010. Boston, MA: Division of Research and Epidemiology, Bureau of Health Information, Statistics, Research, and Evaluation, Massachusetts Department of Public Health. January 2013. </w:t>
      </w:r>
      <w:r w:rsidRPr="00BE6A99">
        <w:rPr>
          <w:rFonts w:cs="Arial"/>
          <w:b/>
          <w:i/>
          <w:szCs w:val="18"/>
        </w:rPr>
        <w:t>Data for 2010.</w:t>
      </w:r>
    </w:p>
  </w:endnote>
  <w:endnote w:id="11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Bureau of Infectious Disease, Division of Global Populations and Infectious Disease Prevention. </w:t>
      </w:r>
      <w:r w:rsidRPr="00BE6A99">
        <w:rPr>
          <w:rFonts w:cs="Arial"/>
          <w:b/>
          <w:i/>
          <w:szCs w:val="18"/>
        </w:rPr>
        <w:t>Data for 2013.</w:t>
      </w:r>
    </w:p>
  </w:endnote>
  <w:endnote w:id="11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Marks SM et al. Treatment practices, outcomes, and costs of multidrug-resistant and extensively drug-resistant tuberculosis, United States, 2005–2007. Emerg Inf Dis. 2014;20:812-820. </w:t>
      </w:r>
      <w:hyperlink r:id="rId7" w:history="1">
        <w:r w:rsidRPr="00BE6A99">
          <w:rPr>
            <w:rFonts w:cs="Arial"/>
            <w:szCs w:val="18"/>
          </w:rPr>
          <w:t>http://www.ncbi.nlm.nih.gov/pmc/articles/PMC4012799/pdf/13-1037.pdf</w:t>
        </w:r>
      </w:hyperlink>
      <w:r w:rsidRPr="00BE6A99">
        <w:rPr>
          <w:rFonts w:cs="Arial"/>
          <w:szCs w:val="18"/>
        </w:rPr>
        <w:t>.</w:t>
      </w:r>
    </w:p>
  </w:endnote>
  <w:endnote w:id="11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Infectious Disease Bureau, </w:t>
      </w:r>
      <w:r w:rsidRPr="00BE6A99">
        <w:rPr>
          <w:rFonts w:cs="Arial"/>
          <w:bCs/>
          <w:szCs w:val="18"/>
        </w:rPr>
        <w:t xml:space="preserve">STD, HIV/AIDS and Viral Hepatitis Surveillance Report 2011, from Dec. 2012. </w:t>
      </w:r>
      <w:r w:rsidRPr="00BE6A99">
        <w:rPr>
          <w:rFonts w:cs="Arial"/>
          <w:b/>
          <w:i/>
          <w:szCs w:val="18"/>
        </w:rPr>
        <w:t>Data for 2011.</w:t>
      </w:r>
    </w:p>
  </w:endnote>
  <w:endnote w:id="115">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Infectious Disease Bureau, </w:t>
      </w:r>
      <w:r w:rsidRPr="00BE6A99">
        <w:rPr>
          <w:rFonts w:cs="Arial"/>
          <w:bCs/>
          <w:szCs w:val="18"/>
        </w:rPr>
        <w:t xml:space="preserve">STD, HIV/AIDS and Viral Hepatitis Surveillance Report 2011, from Dec. 2012. </w:t>
      </w:r>
      <w:r w:rsidRPr="00BE6A99">
        <w:rPr>
          <w:rFonts w:cs="Arial"/>
          <w:b/>
          <w:i/>
          <w:szCs w:val="18"/>
        </w:rPr>
        <w:t>Data for 2011.</w:t>
      </w:r>
    </w:p>
  </w:endnote>
  <w:endnote w:id="116">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Owusu-Edusei K, et al. The estimated direct medical cost of selected sexually transmitted infections in the United States, 2008. </w:t>
      </w:r>
      <w:r w:rsidRPr="00BE6A99">
        <w:rPr>
          <w:rFonts w:cs="Arial"/>
          <w:i/>
          <w:szCs w:val="18"/>
        </w:rPr>
        <w:t>Sex Transm Dis</w:t>
      </w:r>
      <w:r w:rsidRPr="00BE6A99">
        <w:rPr>
          <w:rFonts w:cs="Arial"/>
          <w:szCs w:val="18"/>
        </w:rPr>
        <w:t xml:space="preserve"> 2013; 40(3): pp. 197-201. </w:t>
      </w:r>
      <w:r w:rsidRPr="00BE6A99">
        <w:rPr>
          <w:rFonts w:cs="Arial"/>
          <w:b/>
          <w:szCs w:val="18"/>
        </w:rPr>
        <w:t>Data for 2008.</w:t>
      </w:r>
    </w:p>
  </w:endnote>
  <w:endnote w:id="11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El Khoury AC, et al. Economic burden of hepatitis C-associated diseases in the United States. Journal of Viral Hepatitis; 2012, 19: 153-60.  </w:t>
      </w:r>
    </w:p>
  </w:endnote>
  <w:endnote w:id="118">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Provisional Deaths 2011. Boston, MA: Division of Research and Epidemiology, Bureau of Health Information, Statistics, Research, and Evaluation, Massachusetts Department of Public Health. December 2013. </w:t>
      </w:r>
      <w:r w:rsidRPr="00BE6A99">
        <w:rPr>
          <w:rFonts w:cs="Arial"/>
          <w:b/>
          <w:bCs/>
          <w:i/>
          <w:iCs/>
          <w:szCs w:val="18"/>
        </w:rPr>
        <w:t>Data for 2011.</w:t>
      </w:r>
    </w:p>
  </w:endnote>
  <w:endnote w:id="11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Department of Public Health, Flu Summary Report, 2013-2014. </w:t>
      </w:r>
      <w:r w:rsidRPr="00BE6A99">
        <w:rPr>
          <w:rFonts w:cs="Arial"/>
          <w:b/>
          <w:bCs/>
          <w:i/>
          <w:iCs/>
          <w:szCs w:val="18"/>
        </w:rPr>
        <w:t>Data for October 2013-May 2014</w:t>
      </w:r>
    </w:p>
  </w:endnote>
  <w:endnote w:id="12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American Lung Association, Disease Data: Influenza and Pneumonia. 2008. </w:t>
      </w:r>
      <w:r w:rsidRPr="00BE6A99">
        <w:rPr>
          <w:rFonts w:cs="Arial"/>
          <w:b/>
          <w:i/>
          <w:szCs w:val="18"/>
        </w:rPr>
        <w:t>Data for 2007.</w:t>
      </w:r>
    </w:p>
  </w:endnote>
  <w:endnote w:id="12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Disease Surveillance System 2012. </w:t>
      </w:r>
      <w:r w:rsidRPr="00BE6A99">
        <w:rPr>
          <w:rFonts w:cs="Arial"/>
          <w:b/>
          <w:i/>
          <w:szCs w:val="18"/>
        </w:rPr>
        <w:t>Data for 2012.</w:t>
      </w:r>
    </w:p>
  </w:endnote>
  <w:endnote w:id="12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Disease Surveillance System 2012. </w:t>
      </w:r>
      <w:r w:rsidRPr="00BE6A99">
        <w:rPr>
          <w:rFonts w:cs="Arial"/>
          <w:b/>
          <w:i/>
          <w:szCs w:val="18"/>
        </w:rPr>
        <w:t>Data for 2012.</w:t>
      </w:r>
    </w:p>
  </w:endnote>
  <w:endnote w:id="12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Zhang X, Meltzer MI, Peña CA, Hopkins AB, Wroth L, Fix AD. Economic impact of Lyme disease. Emerg Infect Dis, 2006 Apr. </w:t>
      </w:r>
      <w:r w:rsidRPr="00BE6A99">
        <w:rPr>
          <w:rFonts w:cs="Arial"/>
          <w:b/>
          <w:szCs w:val="18"/>
        </w:rPr>
        <w:t>Data from 2000</w:t>
      </w:r>
      <w:r w:rsidRPr="00BE6A99">
        <w:rPr>
          <w:rFonts w:cs="Arial"/>
          <w:szCs w:val="18"/>
        </w:rPr>
        <w:t>, study used data from Maryland patients for estimates.</w:t>
      </w:r>
    </w:p>
  </w:endnote>
  <w:endnote w:id="12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http://www.cdc.gov/foodborneburden/2011-foodborne-estimates.html. Accessed on 6/20/14.</w:t>
      </w:r>
    </w:p>
  </w:endnote>
  <w:endnote w:id="125">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http://www.cdc.gov/foodborneburden/2011-foodborne-estimates.html. Accessed on 6/20/14.</w:t>
      </w:r>
    </w:p>
  </w:endnote>
  <w:endnote w:id="126">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From the MDPH Bureau of Infectious Disease Prevention, Response and Services, Office of Integrated Surveillance and Informatics Services (June 20, 2014). Includes 15 enteric diseases.</w:t>
      </w:r>
    </w:p>
  </w:endnote>
  <w:endnote w:id="12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http://www.foodsafetynews.com/2012/01/foodborne-illness-costs-77-billion-annually-study-finds. Accessed on 6/20/14.</w:t>
      </w:r>
    </w:p>
  </w:endnote>
  <w:endnote w:id="128">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http://www.fda.gov/Food/FoodScienceResearch/HealthyPeopleInitiative/ucm236494.htm.  Accessed on 6/20/14</w:t>
      </w:r>
    </w:p>
  </w:endnote>
  <w:endnote w:id="12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www.cdc.gov/foodnet (April 2014)</w:t>
      </w:r>
    </w:p>
  </w:endnote>
  <w:endnote w:id="13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Bureau of Health Care Safety and Quality. Health Care Associated Infections in Massachusetts Acute Care Hospitals, February 2012. </w:t>
      </w:r>
      <w:r w:rsidRPr="00BE6A99">
        <w:rPr>
          <w:rFonts w:cs="Arial"/>
          <w:b/>
          <w:i/>
          <w:szCs w:val="18"/>
        </w:rPr>
        <w:t>Data for 2009-2010.</w:t>
      </w:r>
    </w:p>
  </w:endnote>
  <w:endnote w:id="13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Department of Public Health, Health Care Associated Infections in Massachusetts Acute Care Hospitals, </w:t>
      </w:r>
      <w:r w:rsidRPr="00BE6A99">
        <w:rPr>
          <w:rFonts w:cs="Arial"/>
          <w:b/>
          <w:i/>
          <w:szCs w:val="18"/>
        </w:rPr>
        <w:t>Data for 2007.</w:t>
      </w:r>
    </w:p>
  </w:endnote>
  <w:endnote w:id="132">
    <w:p w:rsidR="00CC3C63" w:rsidRDefault="00CC3C63">
      <w:pPr>
        <w:pStyle w:val="EndnoteText"/>
      </w:pPr>
      <w:r>
        <w:rPr>
          <w:rStyle w:val="EndnoteReference"/>
        </w:rPr>
        <w:endnoteRef/>
      </w:r>
      <w:r w:rsidRPr="00CB08E2">
        <w:t>2011 Health and Risk Behaviors of Massachusetts You</w:t>
      </w:r>
      <w:r>
        <w:t>th" with MYRBS data.</w:t>
      </w:r>
    </w:p>
  </w:endnote>
  <w:endnote w:id="13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"A Profile of Health among Massachusetts Middle and High School Students, 2011" with combined MYRBS and MYHS data.</w:t>
      </w:r>
    </w:p>
  </w:endnote>
  <w:endnote w:id="134">
    <w:p w:rsidR="00CC3C63" w:rsidRDefault="00CC3C63">
      <w:pPr>
        <w:pStyle w:val="EndnoteText"/>
      </w:pPr>
      <w:r>
        <w:rPr>
          <w:rStyle w:val="EndnoteReference"/>
        </w:rPr>
        <w:endnoteRef/>
      </w:r>
      <w:r>
        <w:t xml:space="preserve"> “</w:t>
      </w:r>
      <w:r w:rsidRPr="00CB08E2">
        <w:t>2011 Health and Risk Behaviors of Massachusetts You</w:t>
      </w:r>
      <w:r>
        <w:t>th" with MYRBS data.</w:t>
      </w:r>
    </w:p>
  </w:endnote>
  <w:endnote w:id="135">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"2011 Health and Risk Behaviors of Massachusetts Youth" with MYRBS data.</w:t>
      </w:r>
    </w:p>
  </w:endnote>
  <w:endnote w:id="136">
    <w:p w:rsidR="00CC3C63" w:rsidRDefault="00CC3C63">
      <w:pPr>
        <w:pStyle w:val="EndnoteText"/>
      </w:pPr>
      <w:r>
        <w:rPr>
          <w:rStyle w:val="EndnoteReference"/>
        </w:rPr>
        <w:endnoteRef/>
      </w:r>
      <w:r w:rsidRPr="00A5332F">
        <w:t>"2011 Health and Risk Behaviors of Massachusetts Youth" with  MYRBS  data.</w:t>
      </w:r>
    </w:p>
  </w:endnote>
  <w:endnote w:id="137">
    <w:p w:rsidR="00CC3C63" w:rsidRDefault="00CC3C63" w:rsidP="00BE6A99">
      <w:pPr>
        <w:pStyle w:val="EndnoteText"/>
        <w:ind w:left="270" w:hanging="270"/>
      </w:pPr>
      <w:r w:rsidRPr="00BE6A99">
        <w:rPr>
          <w:rStyle w:val="EndnoteReference"/>
          <w:rFonts w:cs="Arial"/>
          <w:szCs w:val="18"/>
        </w:rPr>
        <w:endnoteRef/>
      </w:r>
      <w:r w:rsidRPr="00484851">
        <w:rPr>
          <w:rFonts w:cs="Arial"/>
          <w:szCs w:val="18"/>
        </w:rPr>
        <w:t>"A Profile of Health among Massachusetts Middle and High School Students, 2011" with combined MYRBS and MYHS data.</w:t>
      </w:r>
    </w:p>
  </w:endnote>
  <w:endnote w:id="138">
    <w:p w:rsidR="00CC3C63" w:rsidRDefault="00CC3C63" w:rsidP="00BE6A99">
      <w:pPr>
        <w:pStyle w:val="EndnoteText"/>
        <w:ind w:left="270" w:hanging="270"/>
      </w:pPr>
      <w:r w:rsidRPr="00BE6A99">
        <w:rPr>
          <w:rStyle w:val="EndnoteReference"/>
          <w:rFonts w:cs="Arial"/>
          <w:szCs w:val="18"/>
        </w:rPr>
        <w:endnoteRef/>
      </w:r>
      <w:r w:rsidRPr="00484851">
        <w:rPr>
          <w:rFonts w:cs="Arial"/>
          <w:szCs w:val="18"/>
        </w:rPr>
        <w:t xml:space="preserve">"2011 Health and Risk Behaviors of Massachusetts Youth" with MYRBS data.            </w:t>
      </w:r>
    </w:p>
  </w:endnote>
  <w:endnote w:id="13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2012. Registry of Vital Records and Statistics, MDPH. Data prepared by the Injury Prevention and Control Program, MDPH. </w:t>
      </w:r>
      <w:r w:rsidRPr="00BE6A99">
        <w:rPr>
          <w:rFonts w:cs="Arial"/>
          <w:b/>
          <w:szCs w:val="18"/>
        </w:rPr>
        <w:t>Crude rate for CY 2012.</w:t>
      </w:r>
    </w:p>
  </w:endnote>
  <w:endnote w:id="14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Inpatient Hospital, Observation Stay and Emergency Department Discharge Databases, Center for Health Information and Analysis. Data prepared by the Injury Prevention and Control Program, MDPH. </w:t>
      </w:r>
      <w:r w:rsidRPr="00BE6A99">
        <w:rPr>
          <w:rFonts w:cs="Arial"/>
          <w:b/>
          <w:szCs w:val="18"/>
        </w:rPr>
        <w:t xml:space="preserve">Crude rates for FY2012. </w:t>
      </w:r>
    </w:p>
  </w:endnote>
  <w:endnote w:id="14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Inpatient Hospital Discharge Database, Center for Health Information and Analysis. Data prepared by the Injury Prevention and Control Program, MDPH. </w:t>
      </w:r>
      <w:r w:rsidRPr="00BE6A99">
        <w:rPr>
          <w:rFonts w:cs="Arial"/>
          <w:b/>
          <w:i/>
          <w:szCs w:val="18"/>
        </w:rPr>
        <w:t>Data for FY2012.</w:t>
      </w:r>
    </w:p>
  </w:endnote>
  <w:endnote w:id="14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2012. Registry of Vital Records and Statistics, MDPH. Massachusetts Inpatient Hospital and Observation Stay Databases, Center for Health Information and Analysis. Data prepared by the Injury Prevention Program, MDPH. </w:t>
      </w:r>
      <w:r w:rsidRPr="00BE6A99">
        <w:rPr>
          <w:rFonts w:cs="Arial"/>
          <w:b/>
          <w:szCs w:val="18"/>
        </w:rPr>
        <w:t>Crude rates for death data (CY2012) and hospital stay data (FY2012)</w:t>
      </w:r>
      <w:r w:rsidRPr="00BE6A99">
        <w:rPr>
          <w:rFonts w:cs="Arial"/>
          <w:b/>
          <w:i/>
          <w:szCs w:val="18"/>
        </w:rPr>
        <w:t>.</w:t>
      </w:r>
    </w:p>
  </w:endnote>
  <w:endnote w:id="14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2012 Death File. Registry of Vital Records and Statistics. Injury Surveillance Program, Office of Statistics and Evaluation, Massachusetts Department of Public Health. July 2014. </w:t>
      </w:r>
      <w:r w:rsidRPr="00BE6A99">
        <w:rPr>
          <w:rFonts w:cs="Arial"/>
          <w:b/>
          <w:i/>
          <w:szCs w:val="18"/>
        </w:rPr>
        <w:t>Data for 2012. Includes drug overdoses, accounts for 70%.</w:t>
      </w:r>
    </w:p>
  </w:endnote>
  <w:endnote w:id="14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2012 Death File. Registry of Vital Records and Statistics. Injury Surveillance Program, Office of Statistics and Evaluation, Massachusetts Department of Public Health. July 2014. </w:t>
      </w:r>
      <w:r w:rsidRPr="00BE6A99">
        <w:rPr>
          <w:rFonts w:cs="Arial"/>
          <w:b/>
          <w:szCs w:val="18"/>
        </w:rPr>
        <w:t>2012 Data</w:t>
      </w:r>
      <w:r w:rsidRPr="00BE6A99">
        <w:rPr>
          <w:rFonts w:cs="Arial"/>
          <w:b/>
          <w:i/>
          <w:szCs w:val="18"/>
        </w:rPr>
        <w:t>.</w:t>
      </w:r>
    </w:p>
  </w:endnote>
  <w:endnote w:id="145">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2010. Boston, MA: Division of Research and Epidemiology, Bureau of Health Information, Statistics, Research, and Evaluation, Massachusetts Department of Public Health. January 2013. </w:t>
      </w:r>
      <w:r w:rsidRPr="00BE6A99">
        <w:rPr>
          <w:rFonts w:cs="Arial"/>
          <w:b/>
          <w:i/>
          <w:szCs w:val="18"/>
        </w:rPr>
        <w:t>Data for 2010.</w:t>
      </w:r>
    </w:p>
  </w:endnote>
  <w:endnote w:id="146">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2010. Boston, MA: Division of Research and Epidemiology, Bureau of Health Information, Statistics, Research, and Evaluation, Massachusetts Department of Public Health. January 2013. </w:t>
      </w:r>
      <w:r w:rsidRPr="00BE6A99">
        <w:rPr>
          <w:rFonts w:cs="Arial"/>
          <w:b/>
          <w:i/>
          <w:szCs w:val="18"/>
        </w:rPr>
        <w:t>Data for 2010.</w:t>
      </w:r>
    </w:p>
  </w:endnote>
  <w:endnote w:id="14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Registry of Vital Records and Statistics, Analysis by Injury Surveillance</w:t>
      </w:r>
      <w:r>
        <w:rPr>
          <w:rFonts w:cs="Arial"/>
          <w:szCs w:val="18"/>
        </w:rPr>
        <w:t xml:space="preserve"> Program, </w:t>
      </w:r>
      <w:r w:rsidRPr="00BE6A99">
        <w:rPr>
          <w:rFonts w:cs="Arial"/>
          <w:szCs w:val="18"/>
        </w:rPr>
        <w:t xml:space="preserve">Massachusetts Department of Public Health. July 2014. </w:t>
      </w:r>
      <w:r w:rsidRPr="00BE6A99">
        <w:rPr>
          <w:rFonts w:cs="Arial"/>
          <w:b/>
          <w:i/>
          <w:szCs w:val="18"/>
        </w:rPr>
        <w:t>Crude rate for CY2012.</w:t>
      </w:r>
    </w:p>
  </w:endnote>
  <w:endnote w:id="148">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Inpatient Hospital Discharge and Outpatient Observation Stay Databases, Massachusetts Center for Health Information and Analysis.  Analysis by Injury Surveillance Program, Massachusetts Department of Public Health.  July 2014.  </w:t>
      </w:r>
      <w:r w:rsidRPr="00BE6A99">
        <w:rPr>
          <w:rFonts w:cs="Arial"/>
          <w:b/>
          <w:i/>
          <w:szCs w:val="18"/>
        </w:rPr>
        <w:t>Crude rate for FY2012.</w:t>
      </w:r>
    </w:p>
  </w:endnote>
  <w:endnote w:id="14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Centers for Disease Control and Prevention, Web-based Injury Statistics Query and Reporting System (WISQARS) Cost of Injury Reports 2005.  July 2014. </w:t>
      </w:r>
      <w:r w:rsidRPr="00BE6A99">
        <w:rPr>
          <w:rFonts w:cs="Arial"/>
          <w:b/>
          <w:i/>
          <w:szCs w:val="18"/>
        </w:rPr>
        <w:t>Data for 2010</w:t>
      </w:r>
      <w:r w:rsidRPr="00BE6A99">
        <w:rPr>
          <w:rFonts w:cs="Arial"/>
          <w:szCs w:val="18"/>
        </w:rPr>
        <w:t>.</w:t>
      </w:r>
    </w:p>
  </w:endnote>
  <w:endnote w:id="15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Registry of Vital Records and Statistics, Analysis by Injury Surveillance Program, Massachusetts Department of Public Health. July 2014. </w:t>
      </w:r>
      <w:r w:rsidRPr="00BE6A99">
        <w:rPr>
          <w:rFonts w:cs="Arial"/>
          <w:b/>
          <w:i/>
          <w:szCs w:val="18"/>
        </w:rPr>
        <w:t>Crude rates for CY2012.</w:t>
      </w:r>
    </w:p>
  </w:endnote>
  <w:endnote w:id="15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2012 Death File. Registry of Vital Records and Statistics. Injury Surveillance Program, Office of Statistics and Evaluation, Massachusetts Department of Public Health. July 2014. </w:t>
      </w:r>
      <w:r w:rsidRPr="00BE6A99">
        <w:rPr>
          <w:rFonts w:cs="Arial"/>
          <w:b/>
          <w:szCs w:val="18"/>
        </w:rPr>
        <w:t>2012 Data.</w:t>
      </w:r>
    </w:p>
  </w:endnote>
  <w:endnote w:id="15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Deaths 2010. Boston, MA: Division of Research and Epidemiology, Bureau of Health Information, Statistics, Research, and Evaluation, Massachusetts Department of Public Health. January 2013. </w:t>
      </w:r>
      <w:r w:rsidRPr="00BE6A99">
        <w:rPr>
          <w:rFonts w:cs="Arial"/>
          <w:b/>
          <w:i/>
          <w:szCs w:val="18"/>
        </w:rPr>
        <w:t>Data for 2010.</w:t>
      </w:r>
    </w:p>
  </w:endnote>
  <w:endnote w:id="15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2011 Health and Risk Behaviors of Massachusetts Youth. Massachusetts Department of Elementary and Secondary Education and Massachusetts Department of Public Health. Massachusetts Youth Risk Behavior Survey. May 2012. </w:t>
      </w:r>
      <w:r w:rsidRPr="00BE6A99">
        <w:rPr>
          <w:rFonts w:cs="Arial"/>
          <w:b/>
          <w:i/>
          <w:szCs w:val="18"/>
        </w:rPr>
        <w:t>Data for 2011.</w:t>
      </w:r>
    </w:p>
  </w:endnote>
  <w:endnote w:id="15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2012 Death File. Registry of Vital Records and Statistics. Injury Surveillance Program, Office of Statistics and Evaluation, Massachusetts Department of Public Health. July 2014. </w:t>
      </w:r>
      <w:r w:rsidRPr="00BE6A99">
        <w:rPr>
          <w:rFonts w:cs="Arial"/>
          <w:b/>
          <w:szCs w:val="18"/>
        </w:rPr>
        <w:t>2012 Data</w:t>
      </w:r>
      <w:r w:rsidRPr="00BE6A99">
        <w:rPr>
          <w:rFonts w:cs="Arial"/>
          <w:b/>
          <w:i/>
          <w:szCs w:val="18"/>
        </w:rPr>
        <w:t>.</w:t>
      </w:r>
    </w:p>
  </w:endnote>
  <w:endnote w:id="155">
    <w:p w:rsidR="00CC3C63" w:rsidRDefault="00CC3C63" w:rsidP="00BE6A99">
      <w:pPr>
        <w:pStyle w:val="EndnoteText"/>
        <w:ind w:left="270" w:hanging="270"/>
      </w:pPr>
      <w:r w:rsidRPr="00BE6A99">
        <w:rPr>
          <w:rStyle w:val="EndnoteReference"/>
          <w:rFonts w:cs="Arial"/>
          <w:szCs w:val="18"/>
        </w:rPr>
        <w:endnoteRef/>
      </w:r>
      <w:r w:rsidRPr="00BE6A99">
        <w:rPr>
          <w:rFonts w:cs="Arial"/>
          <w:i/>
          <w:szCs w:val="18"/>
        </w:rPr>
        <w:t>Massachusetts Provisional Deaths 2011</w:t>
      </w:r>
      <w:r w:rsidRPr="00BE6A99">
        <w:rPr>
          <w:rFonts w:cs="Arial"/>
          <w:szCs w:val="18"/>
        </w:rPr>
        <w:t xml:space="preserve">. Boston, MA: Division of Research and Epidemiology, Bureau of Health Information, Statistics, Research, and Evaluation, Massachusetts Department of Public Health. December 2013. </w:t>
      </w:r>
      <w:r w:rsidRPr="00BE6A99">
        <w:rPr>
          <w:rFonts w:cs="Arial"/>
          <w:b/>
          <w:i/>
          <w:szCs w:val="18"/>
        </w:rPr>
        <w:t>Data for 2011.</w:t>
      </w:r>
    </w:p>
  </w:endnote>
  <w:endnote w:id="156">
    <w:p w:rsidR="00CC3C63" w:rsidRDefault="00CC3C63" w:rsidP="00BE6A99">
      <w:pPr>
        <w:pStyle w:val="EndnoteText"/>
        <w:ind w:left="270" w:hanging="270"/>
      </w:pPr>
      <w:r w:rsidRPr="00BE6A99">
        <w:rPr>
          <w:rStyle w:val="EndnoteReference"/>
          <w:rFonts w:cs="Arial"/>
          <w:szCs w:val="18"/>
        </w:rPr>
        <w:endnoteRef/>
      </w:r>
      <w:r w:rsidRPr="00BE6A99">
        <w:rPr>
          <w:rFonts w:cs="Arial"/>
          <w:i/>
          <w:szCs w:val="18"/>
        </w:rPr>
        <w:t>Massachusetts Provisional Deaths 2011</w:t>
      </w:r>
      <w:r w:rsidRPr="00BE6A99">
        <w:rPr>
          <w:rFonts w:cs="Arial"/>
          <w:szCs w:val="18"/>
        </w:rPr>
        <w:t xml:space="preserve">. Boston, MA: Division of Research and Epidemiology, Bureau of Health Information, Statistics, Research, and Evaluation, Massachusetts Department of Public Health. December 2013. </w:t>
      </w:r>
      <w:r w:rsidRPr="00BE6A99">
        <w:rPr>
          <w:rFonts w:cs="Arial"/>
          <w:b/>
          <w:i/>
          <w:szCs w:val="18"/>
        </w:rPr>
        <w:t>Data for 2011.</w:t>
      </w:r>
    </w:p>
  </w:endnote>
  <w:endnote w:id="15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FBI, </w:t>
      </w:r>
      <w:r w:rsidRPr="00BE6A99">
        <w:rPr>
          <w:rFonts w:cs="Arial"/>
          <w:i/>
          <w:szCs w:val="18"/>
        </w:rPr>
        <w:t>Uniform Crime Reports</w:t>
      </w:r>
      <w:r w:rsidRPr="00BE6A99">
        <w:rPr>
          <w:rFonts w:cs="Arial"/>
          <w:szCs w:val="18"/>
        </w:rPr>
        <w:t>, Table 5: Crime in the United States by State, 2011.</w:t>
      </w:r>
      <w:hyperlink r:id="rId8" w:history="1">
        <w:r w:rsidRPr="00BE6A99">
          <w:rPr>
            <w:rStyle w:val="Hyperlink"/>
            <w:rFonts w:cs="Arial"/>
            <w:szCs w:val="18"/>
          </w:rPr>
          <w:t>http://www.fbi.gov/about-us/cjis/ucr/crime-in-the-u.s/2011/crime-in-the-u.s.-2011/tables/table-5</w:t>
        </w:r>
      </w:hyperlink>
      <w:r w:rsidRPr="00BE6A99">
        <w:rPr>
          <w:rFonts w:cs="Arial"/>
          <w:szCs w:val="18"/>
        </w:rPr>
        <w:t>.</w:t>
      </w:r>
      <w:r w:rsidRPr="00BE6A99">
        <w:rPr>
          <w:rFonts w:cs="Arial"/>
          <w:b/>
          <w:i/>
          <w:szCs w:val="18"/>
        </w:rPr>
        <w:t xml:space="preserve"> Data for 2011.</w:t>
      </w:r>
    </w:p>
  </w:endnote>
  <w:endnote w:id="158">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FBI, </w:t>
      </w:r>
      <w:r w:rsidRPr="00BE6A99">
        <w:rPr>
          <w:rFonts w:cs="Arial"/>
          <w:i/>
          <w:szCs w:val="18"/>
        </w:rPr>
        <w:t>Uniform Crime Reports</w:t>
      </w:r>
      <w:r w:rsidRPr="00BE6A99">
        <w:rPr>
          <w:rFonts w:cs="Arial"/>
          <w:szCs w:val="18"/>
        </w:rPr>
        <w:t xml:space="preserve">, Table 5: Crime in the United States by State, 2011. </w:t>
      </w:r>
      <w:hyperlink r:id="rId9" w:history="1">
        <w:r w:rsidRPr="00BE6A99">
          <w:rPr>
            <w:rStyle w:val="Hyperlink"/>
            <w:rFonts w:cs="Arial"/>
            <w:szCs w:val="18"/>
          </w:rPr>
          <w:t>http://www.fbi.gov/about-us/cjis/ucr/crime-in-the-u.s/2011/crime-in-the-u.s.-2011/tables/table-5</w:t>
        </w:r>
      </w:hyperlink>
      <w:r w:rsidRPr="00BE6A99">
        <w:rPr>
          <w:rFonts w:cs="Arial"/>
          <w:b/>
          <w:i/>
          <w:szCs w:val="18"/>
        </w:rPr>
        <w:t>. Data for 2011.</w:t>
      </w:r>
    </w:p>
  </w:endnote>
  <w:endnote w:id="159">
    <w:p w:rsidR="00CC3C63" w:rsidRDefault="00CC3C63" w:rsidP="00BE6A99">
      <w:pPr>
        <w:pStyle w:val="EndnoteText"/>
        <w:ind w:left="270" w:hanging="270"/>
      </w:pPr>
      <w:r w:rsidRPr="00BE6A99">
        <w:rPr>
          <w:rStyle w:val="EndnoteReference"/>
          <w:rFonts w:cs="Arial"/>
          <w:szCs w:val="18"/>
        </w:rPr>
        <w:endnoteRef/>
      </w:r>
      <w:r w:rsidRPr="00BE6A99">
        <w:rPr>
          <w:rFonts w:cs="Arial"/>
          <w:i/>
          <w:szCs w:val="18"/>
        </w:rPr>
        <w:t>Health and Risk Behaviors of Massachusetts Youth, 2011</w:t>
      </w:r>
      <w:r w:rsidRPr="00BE6A99">
        <w:rPr>
          <w:rFonts w:cs="Arial"/>
          <w:szCs w:val="18"/>
        </w:rPr>
        <w:t xml:space="preserve">. Massachusetts Department of Elementary and Secondary Education and Massachusetts Department of Public Health. Massachusetts Youth Risk Behavior Survey. May 2012. </w:t>
      </w:r>
      <w:r w:rsidRPr="00BE6A99">
        <w:rPr>
          <w:rFonts w:cs="Arial"/>
          <w:b/>
          <w:i/>
          <w:szCs w:val="18"/>
        </w:rPr>
        <w:t>Data for 2011.</w:t>
      </w:r>
    </w:p>
  </w:endnote>
  <w:endnote w:id="16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Children’s Safety Network, </w:t>
      </w:r>
      <w:r w:rsidRPr="00BE6A99">
        <w:rPr>
          <w:rFonts w:cs="Arial"/>
          <w:i/>
          <w:szCs w:val="18"/>
        </w:rPr>
        <w:t>The Cost of Firearm Violence</w:t>
      </w:r>
      <w:r w:rsidRPr="00BE6A99">
        <w:rPr>
          <w:rFonts w:cs="Arial"/>
          <w:szCs w:val="18"/>
        </w:rPr>
        <w:t xml:space="preserve">, January, 2013. </w:t>
      </w:r>
      <w:hyperlink r:id="rId10" w:history="1">
        <w:r w:rsidRPr="00BE6A99">
          <w:rPr>
            <w:rStyle w:val="Hyperlink"/>
            <w:rFonts w:cs="Arial"/>
            <w:szCs w:val="18"/>
          </w:rPr>
          <w:t>http://www.childrenssafetynetwork.org/publications/cost-firearm-violence</w:t>
        </w:r>
      </w:hyperlink>
      <w:r w:rsidRPr="00BE6A99">
        <w:rPr>
          <w:rFonts w:cs="Arial"/>
          <w:szCs w:val="18"/>
        </w:rPr>
        <w:t xml:space="preserve">. </w:t>
      </w:r>
      <w:r w:rsidRPr="00BE6A99">
        <w:rPr>
          <w:rFonts w:cs="Arial"/>
          <w:b/>
          <w:i/>
          <w:szCs w:val="18"/>
        </w:rPr>
        <w:t>Data for 2010</w:t>
      </w:r>
      <w:r w:rsidRPr="00BE6A99">
        <w:rPr>
          <w:rFonts w:cs="Arial"/>
          <w:szCs w:val="18"/>
        </w:rPr>
        <w:t>.</w:t>
      </w:r>
    </w:p>
  </w:endnote>
  <w:endnote w:id="161">
    <w:p w:rsidR="00CC3C63" w:rsidRDefault="00CC3C63" w:rsidP="00BE6A99">
      <w:pPr>
        <w:pStyle w:val="EndnoteText"/>
        <w:ind w:left="270" w:hanging="270"/>
      </w:pPr>
      <w:r w:rsidRPr="00BE6A99">
        <w:rPr>
          <w:rStyle w:val="EndnoteReference"/>
          <w:rFonts w:cs="Arial"/>
          <w:szCs w:val="18"/>
        </w:rPr>
        <w:endnoteRef/>
      </w:r>
      <w:r w:rsidRPr="00BE6A99">
        <w:rPr>
          <w:rFonts w:cs="Arial"/>
          <w:color w:val="000000"/>
          <w:szCs w:val="18"/>
        </w:rPr>
        <w:t xml:space="preserve">Duvvury, Nata; Callan, Aoife; Carney, Patrick; Raghavendra, Srinivas. 2013. </w:t>
      </w:r>
      <w:r w:rsidRPr="00BE6A99">
        <w:rPr>
          <w:rFonts w:cs="Arial"/>
          <w:i/>
          <w:iCs/>
          <w:color w:val="000000"/>
          <w:szCs w:val="18"/>
        </w:rPr>
        <w:t>Intimate partner violence: economic costs and implications for growth and development</w:t>
      </w:r>
      <w:r w:rsidRPr="00BE6A99">
        <w:rPr>
          <w:rFonts w:cs="Arial"/>
          <w:color w:val="000000"/>
          <w:szCs w:val="18"/>
        </w:rPr>
        <w:t xml:space="preserve">. Women's voice, agency, and participation research series; no. 3. Washington DC; World Bank. </w:t>
      </w:r>
      <w:hyperlink r:id="rId11" w:history="1">
        <w:r w:rsidRPr="00A37343">
          <w:rPr>
            <w:rStyle w:val="Hyperlink"/>
            <w:rFonts w:cs="Arial"/>
            <w:szCs w:val="18"/>
          </w:rPr>
          <w:t>http://documents.worldbank.org/curated/en/2013/11/18486239/intimate-partner-violence-economic-costs-implications-growth-development</w:t>
        </w:r>
        <w:r w:rsidRPr="00A24126">
          <w:rPr>
            <w:rStyle w:val="Hyperlink"/>
            <w:rFonts w:cs="Arial"/>
            <w:szCs w:val="18"/>
          </w:rPr>
          <w:t xml:space="preserve">. </w:t>
        </w:r>
        <w:r w:rsidRPr="00A37343">
          <w:rPr>
            <w:rStyle w:val="Hyperlink"/>
            <w:rFonts w:cs="Arial"/>
            <w:b/>
            <w:i/>
            <w:color w:val="auto"/>
            <w:szCs w:val="18"/>
            <w:u w:val="none"/>
          </w:rPr>
          <w:t>Cites U.S</w:t>
        </w:r>
      </w:hyperlink>
      <w:r w:rsidRPr="00BE6A99">
        <w:rPr>
          <w:rFonts w:cs="Arial"/>
          <w:b/>
          <w:i/>
          <w:color w:val="000000"/>
          <w:szCs w:val="18"/>
        </w:rPr>
        <w:t>.</w:t>
      </w:r>
      <w:r>
        <w:rPr>
          <w:rFonts w:cs="Arial"/>
          <w:b/>
          <w:i/>
          <w:color w:val="000000"/>
          <w:szCs w:val="18"/>
        </w:rPr>
        <w:t xml:space="preserve"> </w:t>
      </w:r>
      <w:r w:rsidRPr="00BE6A99">
        <w:rPr>
          <w:rFonts w:cs="Arial"/>
          <w:b/>
          <w:i/>
          <w:color w:val="000000"/>
          <w:szCs w:val="18"/>
        </w:rPr>
        <w:t>Statistics from 2003 and earlier.</w:t>
      </w:r>
    </w:p>
  </w:endnote>
  <w:endnote w:id="16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Provisional Deaths 2011. Boston, MA: Division of Research and Epidemiology, Bureau of Health Information, Statistics, Research, and Evaluation, Massachusetts Department of Public Health. December 2013. </w:t>
      </w:r>
      <w:r w:rsidRPr="00BE6A99">
        <w:rPr>
          <w:rFonts w:cs="Arial"/>
          <w:b/>
          <w:i/>
          <w:szCs w:val="18"/>
        </w:rPr>
        <w:t>Data for 2011.</w:t>
      </w:r>
    </w:p>
  </w:endnote>
  <w:endnote w:id="16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Registry of Vital Statistics, 2002-2011 Analyses conducted by the MDPH Injury Surveillance Program, June, 2014.</w:t>
      </w:r>
      <w:r w:rsidRPr="00BE6A99">
        <w:rPr>
          <w:rFonts w:cs="Arial"/>
          <w:b/>
          <w:i/>
          <w:color w:val="000000"/>
          <w:szCs w:val="18"/>
        </w:rPr>
        <w:t>Data for 2002 through 2011</w:t>
      </w:r>
    </w:p>
  </w:endnote>
  <w:endnote w:id="164">
    <w:p w:rsidR="00CC3C63" w:rsidRDefault="00CC3C63" w:rsidP="00BE6A99">
      <w:pPr>
        <w:pStyle w:val="EndnoteText"/>
        <w:ind w:left="270" w:hanging="270"/>
      </w:pPr>
      <w:r w:rsidRPr="00BE6A99">
        <w:rPr>
          <w:rStyle w:val="EndnoteReference"/>
          <w:rFonts w:cs="Arial"/>
          <w:szCs w:val="18"/>
        </w:rPr>
        <w:endnoteRef/>
      </w:r>
      <w:r w:rsidRPr="00BE6A99">
        <w:rPr>
          <w:rFonts w:cs="Arial"/>
          <w:iCs/>
          <w:color w:val="221E1F"/>
          <w:szCs w:val="18"/>
        </w:rPr>
        <w:t>Black, M.C., Basile, K.C., Breiding, M.J., Smith, S.G., Walters, M.L., Merrick, M.T., Chen, J., &amp; Stevens, M.R. (2011).</w:t>
      </w:r>
      <w:r w:rsidRPr="00BE6A99">
        <w:rPr>
          <w:rFonts w:cs="Arial"/>
          <w:i/>
          <w:iCs/>
          <w:color w:val="221E1F"/>
          <w:szCs w:val="18"/>
        </w:rPr>
        <w:t xml:space="preserve"> The National Intimate Partner and Sexual Violence Survey (NISVS): 2010 Summary Report. </w:t>
      </w:r>
      <w:r w:rsidRPr="00BE6A99">
        <w:rPr>
          <w:rFonts w:cs="Arial"/>
          <w:iCs/>
          <w:color w:val="221E1F"/>
          <w:szCs w:val="18"/>
        </w:rPr>
        <w:t xml:space="preserve">Atlanta, GA: National Center for Injury Prevention and Control, Centers for Disease Control and Prevention. </w:t>
      </w:r>
      <w:r w:rsidRPr="00BE6A99">
        <w:rPr>
          <w:rFonts w:cs="Arial"/>
          <w:b/>
          <w:i/>
          <w:iCs/>
          <w:color w:val="221E1F"/>
          <w:szCs w:val="18"/>
        </w:rPr>
        <w:t>Statistics from 2010.</w:t>
      </w:r>
    </w:p>
  </w:endnote>
  <w:endnote w:id="165">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Health Survey Program, A Profile of Health Among MA Adults, 2011: Results from the Behavioral Risk Factor Surveillance System, January 2013. </w:t>
      </w:r>
      <w:r w:rsidRPr="00BE6A99">
        <w:rPr>
          <w:rFonts w:cs="Arial"/>
          <w:b/>
          <w:i/>
          <w:szCs w:val="18"/>
        </w:rPr>
        <w:t>Data for 2011.</w:t>
      </w:r>
    </w:p>
  </w:endnote>
  <w:endnote w:id="166">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MA High School Youth Health Survey, 2011. Data analysis conducted by the Division of Violence and Injury Prevention, June 2014. </w:t>
      </w:r>
      <w:r w:rsidRPr="00BE6A99">
        <w:rPr>
          <w:rFonts w:cs="Arial"/>
          <w:b/>
          <w:i/>
          <w:szCs w:val="18"/>
        </w:rPr>
        <w:t>Data for 2011.</w:t>
      </w:r>
    </w:p>
  </w:endnote>
  <w:endnote w:id="16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MDESE &amp; MDPH, Combined 2011 MA Youth Risk Behavior Survey and 2011 MA High School Youth Health Survey data. Analysis conducted by the MDPH Health Survey Program, June 2014. </w:t>
      </w:r>
      <w:r w:rsidRPr="00BE6A99">
        <w:rPr>
          <w:rFonts w:cs="Arial"/>
          <w:b/>
          <w:i/>
          <w:szCs w:val="18"/>
        </w:rPr>
        <w:t>Data for 2011.</w:t>
      </w:r>
    </w:p>
  </w:endnote>
  <w:endnote w:id="168">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MDESE &amp; MDPH Combined 2011 MA Youth Risk Behavior Survey and 2011 MA High School Youth Health Survey data. Analysis conducted by the MDPH Health Survey Program, June 2014. </w:t>
      </w:r>
      <w:r w:rsidRPr="00BE6A99">
        <w:rPr>
          <w:rFonts w:cs="Arial"/>
          <w:b/>
          <w:i/>
          <w:szCs w:val="18"/>
        </w:rPr>
        <w:t>Data for 2011.</w:t>
      </w:r>
    </w:p>
  </w:endnote>
  <w:endnote w:id="16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MA High School Youth Health Survey, 2011. Data analysis conducted by the Division of Violence and Injury Prevention, June 2014. </w:t>
      </w:r>
      <w:r w:rsidRPr="00BE6A99">
        <w:rPr>
          <w:rFonts w:cs="Arial"/>
          <w:b/>
          <w:i/>
          <w:szCs w:val="18"/>
        </w:rPr>
        <w:t>Data for 2011.</w:t>
      </w:r>
    </w:p>
  </w:endnote>
  <w:endnote w:id="17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Registry of Vital Statistics, 2002-2011. Data prepared by the MDPH Injury Surveillance Program, June, 2014. The trend analyses were done by the Division of Violence and Injury Prevention, June 2014, using the JoinPoint Regression Program, 4.1.0, Statistical Research and Applications Branch, National Cancer Institute, 2014. </w:t>
      </w:r>
      <w:r w:rsidRPr="00BE6A99">
        <w:rPr>
          <w:rFonts w:cs="Arial"/>
          <w:b/>
          <w:i/>
          <w:szCs w:val="18"/>
        </w:rPr>
        <w:t>Data for 2002 through 2011.</w:t>
      </w:r>
    </w:p>
  </w:endnote>
  <w:endnote w:id="17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Health and Risk Behaviors of Massachusetts Youth, 2011. Massachusetts Department of Elementary and Secondary Education and Massachusetts Department of Public Health. Massachusetts Youth Risk Behavior Survey. May 2012. </w:t>
      </w:r>
      <w:r w:rsidRPr="00BE6A99">
        <w:rPr>
          <w:rFonts w:cs="Arial"/>
          <w:b/>
          <w:i/>
          <w:szCs w:val="18"/>
        </w:rPr>
        <w:t>Data for 2011.</w:t>
      </w:r>
    </w:p>
  </w:endnote>
  <w:endnote w:id="17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BLS Census of Fatal Occupational Injuries. </w:t>
      </w:r>
      <w:r w:rsidRPr="00BE6A99">
        <w:rPr>
          <w:rFonts w:cs="Arial"/>
          <w:b/>
          <w:i/>
          <w:szCs w:val="18"/>
        </w:rPr>
        <w:t>Data for 2010.</w:t>
      </w:r>
    </w:p>
  </w:endnote>
  <w:endnote w:id="17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Bureau of Labor Statistics Survey of Occupational Injuries and Illnesses. </w:t>
      </w:r>
      <w:r w:rsidRPr="00BE6A99">
        <w:rPr>
          <w:rFonts w:cs="Arial"/>
          <w:b/>
          <w:i/>
          <w:szCs w:val="18"/>
        </w:rPr>
        <w:t>Data for 2010.</w:t>
      </w:r>
    </w:p>
  </w:endnote>
  <w:endnote w:id="17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Bureau of Labor Statistics of Occupational Injuries and Illnesses, as reported in the Health of Massachusetts 2010. </w:t>
      </w:r>
      <w:r w:rsidRPr="00BE6A99">
        <w:rPr>
          <w:rFonts w:cs="Arial"/>
          <w:b/>
          <w:i/>
          <w:szCs w:val="18"/>
        </w:rPr>
        <w:t>Data for 2007.</w:t>
      </w:r>
    </w:p>
  </w:endnote>
  <w:endnote w:id="175">
    <w:p w:rsidR="00CC3C63" w:rsidRDefault="00CC3C63" w:rsidP="00BE6A99">
      <w:pPr>
        <w:pStyle w:val="EndnoteText"/>
        <w:ind w:left="270" w:hanging="270"/>
      </w:pPr>
      <w:r w:rsidRPr="00BE6A99">
        <w:rPr>
          <w:rStyle w:val="EndnoteReference"/>
          <w:rFonts w:cs="Arial"/>
          <w:szCs w:val="18"/>
        </w:rPr>
        <w:endnoteRef/>
      </w:r>
      <w:r w:rsidRPr="00BE6A99">
        <w:rPr>
          <w:rFonts w:cs="Arial"/>
          <w:b/>
          <w:bCs/>
          <w:szCs w:val="18"/>
        </w:rPr>
        <w:t>Leigh JP. Economic burden of occupational injury and illness in the United States. Milbank Q. 2011 Dec;89(4):728-72. Data for 2007.</w:t>
      </w:r>
    </w:p>
  </w:endnote>
  <w:endnote w:id="176">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BLS Census of Fatal Occupational Injuries. </w:t>
      </w:r>
      <w:r w:rsidRPr="00BE6A99">
        <w:rPr>
          <w:rFonts w:cs="Arial"/>
          <w:b/>
          <w:i/>
          <w:szCs w:val="18"/>
        </w:rPr>
        <w:t>Data for 2010.</w:t>
      </w:r>
    </w:p>
  </w:endnote>
  <w:endnote w:id="17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Teens at Work: Injury Surveillance System. </w:t>
      </w:r>
      <w:r w:rsidRPr="00BE6A99">
        <w:rPr>
          <w:rFonts w:cs="Arial"/>
          <w:b/>
          <w:i/>
          <w:szCs w:val="18"/>
        </w:rPr>
        <w:t xml:space="preserve">Data for 2006-2010, teenagers 15-17. </w:t>
      </w:r>
    </w:p>
  </w:endnote>
  <w:endnote w:id="178">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Massachusetts Department of Environmental Protection, Bureau of Waste Prevention,</w:t>
      </w:r>
      <w:r>
        <w:rPr>
          <w:rFonts w:cs="Arial"/>
          <w:szCs w:val="18"/>
        </w:rPr>
        <w:t xml:space="preserve"> </w:t>
      </w:r>
      <w:r w:rsidRPr="00BE6A99">
        <w:rPr>
          <w:rFonts w:cs="Arial"/>
          <w:szCs w:val="18"/>
        </w:rPr>
        <w:t xml:space="preserve">as reported in the Health of Massachusetts 2010. </w:t>
      </w:r>
      <w:r w:rsidRPr="00BE6A99">
        <w:rPr>
          <w:rFonts w:cs="Arial"/>
          <w:b/>
          <w:i/>
          <w:szCs w:val="18"/>
        </w:rPr>
        <w:t>Data for 2008.</w:t>
      </w:r>
    </w:p>
  </w:endnote>
  <w:endnote w:id="179">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 Landline results only.</w:t>
      </w:r>
    </w:p>
  </w:endnote>
  <w:endnote w:id="180">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 Landline results only.</w:t>
      </w:r>
    </w:p>
  </w:endnote>
  <w:endnote w:id="181">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Massey R and Ackerman F. (2003). Costs of Preventable Childhood Illness: The Price We Pay for Pollution. Global Development and Environment Institute, Tufts University. </w:t>
      </w:r>
      <w:r w:rsidRPr="00BE6A99">
        <w:rPr>
          <w:rFonts w:cs="Arial"/>
          <w:b/>
          <w:i/>
          <w:szCs w:val="18"/>
        </w:rPr>
        <w:t>Data for 2002.</w:t>
      </w:r>
    </w:p>
  </w:endnote>
  <w:endnote w:id="182">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From the MDPH Bureau of Environmental Health, Childhood Lead Poisoning Prevention Program (June 20, 2014).</w:t>
      </w:r>
    </w:p>
  </w:endnote>
  <w:endnote w:id="183">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Urban Institute tabulations on the Massachusetts Health Insurance Survey. </w:t>
      </w:r>
      <w:r w:rsidRPr="00BE6A99">
        <w:rPr>
          <w:rFonts w:cs="Arial"/>
          <w:b/>
          <w:i/>
          <w:szCs w:val="18"/>
        </w:rPr>
        <w:t>Data for 2010.</w:t>
      </w:r>
    </w:p>
  </w:endnote>
  <w:endnote w:id="184">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185">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186">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 w:id="187">
    <w:p w:rsidR="00CC3C63" w:rsidRDefault="00CC3C63" w:rsidP="00BE6A99">
      <w:pPr>
        <w:pStyle w:val="EndnoteText"/>
        <w:ind w:left="270" w:hanging="270"/>
      </w:pPr>
      <w:r w:rsidRPr="00BE6A99">
        <w:rPr>
          <w:rStyle w:val="EndnoteReference"/>
          <w:rFonts w:cs="Arial"/>
          <w:szCs w:val="18"/>
        </w:rPr>
        <w:endnoteRef/>
      </w:r>
      <w:r w:rsidRPr="00BE6A99">
        <w:rPr>
          <w:rFonts w:cs="Arial"/>
          <w:szCs w:val="18"/>
        </w:rPr>
        <w:t xml:space="preserve"> MDPH. BRFSS 2011. </w:t>
      </w:r>
      <w:r w:rsidRPr="00BE6A99">
        <w:rPr>
          <w:rFonts w:cs="Arial"/>
          <w:b/>
          <w:i/>
          <w:szCs w:val="18"/>
        </w:rPr>
        <w:t>Data for 2011.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JIBOI+TimesNewRoman">
    <w:altName w:val="Times New Roman"/>
    <w:panose1 w:val="00000000000000000000"/>
    <w:charset w:val="00"/>
    <w:family w:val="roman"/>
    <w:notTrueType/>
    <w:pitch w:val="default"/>
    <w:sig w:usb0="00000003" w:usb1="00000000" w:usb2="00000000" w:usb3="00000000" w:csb0="00000001" w:csb1="00000000"/>
  </w:font>
  <w:font w:name="HelveticaNeueLTStd-ThCn">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Pr="005B5A64" w:rsidRDefault="00535275" w:rsidP="000D3A34">
    <w:pPr>
      <w:pStyle w:val="Footer"/>
      <w:tabs>
        <w:tab w:val="clear" w:pos="4680"/>
        <w:tab w:val="clear" w:pos="9360"/>
        <w:tab w:val="center" w:pos="5400"/>
        <w:tab w:val="right" w:pos="10080"/>
      </w:tabs>
      <w:rPr>
        <w:rFonts w:cs="Arial"/>
        <w:sz w:val="20"/>
      </w:rPr>
    </w:pPr>
    <w:r>
      <w:rPr>
        <w:rFonts w:cs="Arial"/>
        <w:sz w:val="20"/>
      </w:rPr>
      <w:t>MDPH SHIP</w:t>
    </w:r>
    <w:r w:rsidR="00CC3C63">
      <w:rPr>
        <w:rFonts w:cs="Arial"/>
        <w:sz w:val="20"/>
      </w:rPr>
      <w:tab/>
      <w:t xml:space="preserve">October </w:t>
    </w:r>
    <w:r w:rsidR="00365AE9">
      <w:rPr>
        <w:rFonts w:cs="Arial"/>
        <w:sz w:val="20"/>
      </w:rPr>
      <w:t>31</w:t>
    </w:r>
    <w:r w:rsidR="00CC3C63">
      <w:rPr>
        <w:rFonts w:cs="Arial"/>
        <w:sz w:val="20"/>
      </w:rPr>
      <w:t>, 2014</w:t>
    </w:r>
    <w:r w:rsidR="00CC3C63" w:rsidRPr="00C83431">
      <w:rPr>
        <w:rFonts w:cs="Arial"/>
        <w:sz w:val="20"/>
      </w:rPr>
      <w:tab/>
      <w:t xml:space="preserve">Page </w:t>
    </w:r>
    <w:r w:rsidR="00CC3C63" w:rsidRPr="00C83431">
      <w:rPr>
        <w:rFonts w:cs="Arial"/>
        <w:sz w:val="20"/>
      </w:rPr>
      <w:fldChar w:fldCharType="begin"/>
    </w:r>
    <w:r w:rsidR="00CC3C63" w:rsidRPr="00C83431">
      <w:rPr>
        <w:rFonts w:cs="Arial"/>
        <w:sz w:val="20"/>
      </w:rPr>
      <w:instrText xml:space="preserve"> PAGE </w:instrText>
    </w:r>
    <w:r w:rsidR="00CC3C63" w:rsidRPr="00C83431">
      <w:rPr>
        <w:rFonts w:cs="Arial"/>
        <w:sz w:val="20"/>
      </w:rPr>
      <w:fldChar w:fldCharType="separate"/>
    </w:r>
    <w:r w:rsidR="00E9565B">
      <w:rPr>
        <w:rFonts w:cs="Arial"/>
        <w:noProof/>
        <w:sz w:val="20"/>
      </w:rPr>
      <w:t>6</w:t>
    </w:r>
    <w:r w:rsidR="00CC3C63" w:rsidRPr="00C83431">
      <w:rPr>
        <w:rFonts w:cs="Arial"/>
        <w:sz w:val="20"/>
      </w:rPr>
      <w:fldChar w:fldCharType="end"/>
    </w:r>
    <w:r w:rsidR="00CC3C63" w:rsidRPr="00C83431">
      <w:rPr>
        <w:rFonts w:cs="Arial"/>
        <w:sz w:val="20"/>
      </w:rPr>
      <w:t xml:space="preserve"> of </w:t>
    </w:r>
    <w:r w:rsidR="00CC3C63" w:rsidRPr="00C83431">
      <w:rPr>
        <w:rFonts w:cs="Arial"/>
        <w:sz w:val="20"/>
      </w:rPr>
      <w:fldChar w:fldCharType="begin"/>
    </w:r>
    <w:r w:rsidR="00CC3C63" w:rsidRPr="00C83431">
      <w:rPr>
        <w:rFonts w:cs="Arial"/>
        <w:sz w:val="20"/>
      </w:rPr>
      <w:instrText xml:space="preserve"> NUMPAGES  </w:instrText>
    </w:r>
    <w:r w:rsidR="00CC3C63" w:rsidRPr="00C83431">
      <w:rPr>
        <w:rFonts w:cs="Arial"/>
        <w:sz w:val="20"/>
      </w:rPr>
      <w:fldChar w:fldCharType="separate"/>
    </w:r>
    <w:r w:rsidR="00E9565B">
      <w:rPr>
        <w:rFonts w:cs="Arial"/>
        <w:noProof/>
        <w:sz w:val="20"/>
      </w:rPr>
      <w:t>74</w:t>
    </w:r>
    <w:r w:rsidR="00CC3C63" w:rsidRPr="00C83431">
      <w:rPr>
        <w:rFonts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Pr="005B5A64" w:rsidRDefault="00CC3C63" w:rsidP="000D3A34">
    <w:pPr>
      <w:pStyle w:val="Footer"/>
      <w:tabs>
        <w:tab w:val="clear" w:pos="4680"/>
        <w:tab w:val="clear" w:pos="9360"/>
        <w:tab w:val="center" w:pos="5400"/>
        <w:tab w:val="right" w:pos="10080"/>
      </w:tabs>
      <w:rPr>
        <w:rFonts w:cs="Arial"/>
        <w:sz w:val="20"/>
      </w:rPr>
    </w:pPr>
    <w:r>
      <w:rPr>
        <w:rFonts w:cs="Arial"/>
        <w:sz w:val="20"/>
      </w:rPr>
      <w:tab/>
      <w:t xml:space="preserve">October </w:t>
    </w:r>
    <w:r w:rsidR="00365AE9">
      <w:rPr>
        <w:rFonts w:cs="Arial"/>
        <w:sz w:val="20"/>
      </w:rPr>
      <w:t>31</w:t>
    </w:r>
    <w:r>
      <w:rPr>
        <w:rFonts w:cs="Arial"/>
        <w:sz w:val="20"/>
      </w:rPr>
      <w:t>, 2014</w:t>
    </w:r>
    <w:r w:rsidRPr="00C83431">
      <w:rPr>
        <w:rFonts w:cs="Arial"/>
        <w:sz w:val="20"/>
      </w:rPr>
      <w:tab/>
      <w:t xml:space="preserve">Page </w:t>
    </w:r>
    <w:r w:rsidRPr="00C83431">
      <w:rPr>
        <w:rFonts w:cs="Arial"/>
        <w:sz w:val="20"/>
      </w:rPr>
      <w:fldChar w:fldCharType="begin"/>
    </w:r>
    <w:r w:rsidRPr="00C83431">
      <w:rPr>
        <w:rFonts w:cs="Arial"/>
        <w:sz w:val="20"/>
      </w:rPr>
      <w:instrText xml:space="preserve"> PAGE </w:instrText>
    </w:r>
    <w:r w:rsidRPr="00C83431">
      <w:rPr>
        <w:rFonts w:cs="Arial"/>
        <w:sz w:val="20"/>
      </w:rPr>
      <w:fldChar w:fldCharType="separate"/>
    </w:r>
    <w:r w:rsidR="00535275">
      <w:rPr>
        <w:rFonts w:cs="Arial"/>
        <w:noProof/>
        <w:sz w:val="20"/>
      </w:rPr>
      <w:t>118</w:t>
    </w:r>
    <w:r w:rsidRPr="00C83431">
      <w:rPr>
        <w:rFonts w:cs="Arial"/>
        <w:sz w:val="20"/>
      </w:rPr>
      <w:fldChar w:fldCharType="end"/>
    </w:r>
    <w:r w:rsidRPr="00C83431">
      <w:rPr>
        <w:rFonts w:cs="Arial"/>
        <w:sz w:val="20"/>
      </w:rPr>
      <w:t xml:space="preserve"> of </w:t>
    </w:r>
    <w:r w:rsidRPr="00C83431">
      <w:rPr>
        <w:rFonts w:cs="Arial"/>
        <w:sz w:val="20"/>
      </w:rPr>
      <w:fldChar w:fldCharType="begin"/>
    </w:r>
    <w:r w:rsidRPr="00C83431">
      <w:rPr>
        <w:rFonts w:cs="Arial"/>
        <w:sz w:val="20"/>
      </w:rPr>
      <w:instrText xml:space="preserve"> NUMPAGES  </w:instrText>
    </w:r>
    <w:r w:rsidRPr="00C83431">
      <w:rPr>
        <w:rFonts w:cs="Arial"/>
        <w:sz w:val="20"/>
      </w:rPr>
      <w:fldChar w:fldCharType="separate"/>
    </w:r>
    <w:r w:rsidR="00535275">
      <w:rPr>
        <w:rFonts w:cs="Arial"/>
        <w:noProof/>
        <w:sz w:val="20"/>
      </w:rPr>
      <w:t>167</w:t>
    </w:r>
    <w:r w:rsidRPr="00C83431">
      <w:rPr>
        <w:rFonts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Pr="003E4C11" w:rsidRDefault="00CC3C63" w:rsidP="003E4C11">
    <w:pPr>
      <w:pStyle w:val="Footer"/>
      <w:tabs>
        <w:tab w:val="clear" w:pos="4680"/>
        <w:tab w:val="clear" w:pos="9360"/>
        <w:tab w:val="center" w:pos="5400"/>
        <w:tab w:val="right" w:pos="10080"/>
      </w:tabs>
      <w:rPr>
        <w:rFonts w:cs="Arial"/>
        <w:sz w:val="20"/>
      </w:rPr>
    </w:pPr>
    <w:r>
      <w:rPr>
        <w:rFonts w:cs="Arial"/>
        <w:sz w:val="20"/>
      </w:rPr>
      <w:t>Revised Draft-10</w:t>
    </w:r>
    <w:r>
      <w:rPr>
        <w:rFonts w:cs="Arial"/>
        <w:sz w:val="20"/>
      </w:rPr>
      <w:tab/>
      <w:t>August 29, 2014</w:t>
    </w:r>
    <w:r w:rsidRPr="00C83431">
      <w:rPr>
        <w:rFonts w:cs="Arial"/>
        <w:sz w:val="20"/>
      </w:rPr>
      <w:tab/>
      <w:t xml:space="preserve">Page </w:t>
    </w:r>
    <w:r w:rsidRPr="00C83431">
      <w:rPr>
        <w:rFonts w:cs="Arial"/>
        <w:sz w:val="20"/>
      </w:rPr>
      <w:fldChar w:fldCharType="begin"/>
    </w:r>
    <w:r w:rsidRPr="00C83431">
      <w:rPr>
        <w:rFonts w:cs="Arial"/>
        <w:sz w:val="20"/>
      </w:rPr>
      <w:instrText xml:space="preserve"> PAGE </w:instrText>
    </w:r>
    <w:r w:rsidRPr="00C83431">
      <w:rPr>
        <w:rFonts w:cs="Arial"/>
        <w:sz w:val="20"/>
      </w:rPr>
      <w:fldChar w:fldCharType="separate"/>
    </w:r>
    <w:r>
      <w:rPr>
        <w:rFonts w:cs="Arial"/>
        <w:noProof/>
        <w:sz w:val="20"/>
      </w:rPr>
      <w:t>122</w:t>
    </w:r>
    <w:r w:rsidRPr="00C83431">
      <w:rPr>
        <w:rFonts w:cs="Arial"/>
        <w:sz w:val="20"/>
      </w:rPr>
      <w:fldChar w:fldCharType="end"/>
    </w:r>
    <w:r w:rsidRPr="00C83431">
      <w:rPr>
        <w:rFonts w:cs="Arial"/>
        <w:sz w:val="20"/>
      </w:rPr>
      <w:t xml:space="preserve"> of </w:t>
    </w:r>
    <w:r w:rsidRPr="00C83431">
      <w:rPr>
        <w:rFonts w:cs="Arial"/>
        <w:sz w:val="20"/>
      </w:rPr>
      <w:fldChar w:fldCharType="begin"/>
    </w:r>
    <w:r w:rsidRPr="00C83431">
      <w:rPr>
        <w:rFonts w:cs="Arial"/>
        <w:sz w:val="20"/>
      </w:rPr>
      <w:instrText xml:space="preserve"> NUMPAGES  </w:instrText>
    </w:r>
    <w:r w:rsidRPr="00C83431">
      <w:rPr>
        <w:rFonts w:cs="Arial"/>
        <w:sz w:val="20"/>
      </w:rPr>
      <w:fldChar w:fldCharType="separate"/>
    </w:r>
    <w:r w:rsidR="00592678">
      <w:rPr>
        <w:rFonts w:cs="Arial"/>
        <w:noProof/>
        <w:sz w:val="20"/>
      </w:rPr>
      <w:t>167</w:t>
    </w:r>
    <w:r w:rsidRPr="00C83431">
      <w:rPr>
        <w:rFonts w:cs="Arial"/>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Pr="005B5A64" w:rsidRDefault="00CC3C63" w:rsidP="00C04E0B">
    <w:pPr>
      <w:pStyle w:val="Footer"/>
      <w:tabs>
        <w:tab w:val="clear" w:pos="4680"/>
        <w:tab w:val="clear" w:pos="9360"/>
        <w:tab w:val="center" w:pos="6840"/>
        <w:tab w:val="right" w:pos="13680"/>
      </w:tabs>
      <w:rPr>
        <w:rFonts w:cs="Arial"/>
        <w:sz w:val="20"/>
      </w:rPr>
    </w:pPr>
    <w:r>
      <w:rPr>
        <w:rFonts w:cs="Arial"/>
        <w:sz w:val="20"/>
      </w:rPr>
      <w:tab/>
      <w:t xml:space="preserve">October </w:t>
    </w:r>
    <w:r w:rsidR="00365AE9">
      <w:rPr>
        <w:rFonts w:cs="Arial"/>
        <w:sz w:val="20"/>
      </w:rPr>
      <w:t>31</w:t>
    </w:r>
    <w:r>
      <w:rPr>
        <w:rFonts w:cs="Arial"/>
        <w:sz w:val="20"/>
      </w:rPr>
      <w:t>, 2014</w:t>
    </w:r>
    <w:r w:rsidRPr="00C83431">
      <w:rPr>
        <w:rFonts w:cs="Arial"/>
        <w:sz w:val="20"/>
      </w:rPr>
      <w:tab/>
      <w:t xml:space="preserve">Page </w:t>
    </w:r>
    <w:r w:rsidRPr="00C83431">
      <w:rPr>
        <w:rFonts w:cs="Arial"/>
        <w:sz w:val="20"/>
      </w:rPr>
      <w:fldChar w:fldCharType="begin"/>
    </w:r>
    <w:r w:rsidRPr="00C83431">
      <w:rPr>
        <w:rFonts w:cs="Arial"/>
        <w:sz w:val="20"/>
      </w:rPr>
      <w:instrText xml:space="preserve"> PAGE </w:instrText>
    </w:r>
    <w:r w:rsidRPr="00C83431">
      <w:rPr>
        <w:rFonts w:cs="Arial"/>
        <w:sz w:val="20"/>
      </w:rPr>
      <w:fldChar w:fldCharType="separate"/>
    </w:r>
    <w:r w:rsidR="00535275">
      <w:rPr>
        <w:rFonts w:cs="Arial"/>
        <w:noProof/>
        <w:sz w:val="20"/>
      </w:rPr>
      <w:t>143</w:t>
    </w:r>
    <w:r w:rsidRPr="00C83431">
      <w:rPr>
        <w:rFonts w:cs="Arial"/>
        <w:sz w:val="20"/>
      </w:rPr>
      <w:fldChar w:fldCharType="end"/>
    </w:r>
    <w:r w:rsidRPr="00C83431">
      <w:rPr>
        <w:rFonts w:cs="Arial"/>
        <w:sz w:val="20"/>
      </w:rPr>
      <w:t xml:space="preserve"> of </w:t>
    </w:r>
    <w:r w:rsidRPr="00C83431">
      <w:rPr>
        <w:rFonts w:cs="Arial"/>
        <w:sz w:val="20"/>
      </w:rPr>
      <w:fldChar w:fldCharType="begin"/>
    </w:r>
    <w:r w:rsidRPr="00C83431">
      <w:rPr>
        <w:rFonts w:cs="Arial"/>
        <w:sz w:val="20"/>
      </w:rPr>
      <w:instrText xml:space="preserve"> NUMPAGES  </w:instrText>
    </w:r>
    <w:r w:rsidRPr="00C83431">
      <w:rPr>
        <w:rFonts w:cs="Arial"/>
        <w:sz w:val="20"/>
      </w:rPr>
      <w:fldChar w:fldCharType="separate"/>
    </w:r>
    <w:r w:rsidR="00535275">
      <w:rPr>
        <w:rFonts w:cs="Arial"/>
        <w:noProof/>
        <w:sz w:val="20"/>
      </w:rPr>
      <w:t>167</w:t>
    </w:r>
    <w:r w:rsidRPr="00C83431">
      <w:rPr>
        <w:rFonts w:cs="Arial"/>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Pr="003E4C11" w:rsidRDefault="00CC3C63" w:rsidP="003E4C11">
    <w:pPr>
      <w:pStyle w:val="Footer"/>
      <w:tabs>
        <w:tab w:val="clear" w:pos="4680"/>
        <w:tab w:val="clear" w:pos="9360"/>
        <w:tab w:val="center" w:pos="5400"/>
        <w:tab w:val="right" w:pos="10080"/>
      </w:tabs>
      <w:rPr>
        <w:rFonts w:cs="Arial"/>
        <w:sz w:val="20"/>
      </w:rPr>
    </w:pPr>
    <w:r>
      <w:rPr>
        <w:rFonts w:cs="Arial"/>
        <w:sz w:val="20"/>
      </w:rPr>
      <w:t>Revised Draft-9A</w:t>
    </w:r>
    <w:r>
      <w:rPr>
        <w:rFonts w:cs="Arial"/>
        <w:sz w:val="20"/>
      </w:rPr>
      <w:tab/>
      <w:t>August 21, 2014</w:t>
    </w:r>
    <w:r w:rsidRPr="00C83431">
      <w:rPr>
        <w:rFonts w:cs="Arial"/>
        <w:sz w:val="20"/>
      </w:rPr>
      <w:tab/>
      <w:t xml:space="preserve">Page </w:t>
    </w:r>
    <w:r w:rsidRPr="00C83431">
      <w:rPr>
        <w:rFonts w:cs="Arial"/>
        <w:sz w:val="20"/>
      </w:rPr>
      <w:fldChar w:fldCharType="begin"/>
    </w:r>
    <w:r w:rsidRPr="00C83431">
      <w:rPr>
        <w:rFonts w:cs="Arial"/>
        <w:sz w:val="20"/>
      </w:rPr>
      <w:instrText xml:space="preserve"> PAGE </w:instrText>
    </w:r>
    <w:r w:rsidRPr="00C83431">
      <w:rPr>
        <w:rFonts w:cs="Arial"/>
        <w:sz w:val="20"/>
      </w:rPr>
      <w:fldChar w:fldCharType="separate"/>
    </w:r>
    <w:r>
      <w:rPr>
        <w:rFonts w:cs="Arial"/>
        <w:noProof/>
        <w:sz w:val="20"/>
      </w:rPr>
      <w:t>158</w:t>
    </w:r>
    <w:r w:rsidRPr="00C83431">
      <w:rPr>
        <w:rFonts w:cs="Arial"/>
        <w:sz w:val="20"/>
      </w:rPr>
      <w:fldChar w:fldCharType="end"/>
    </w:r>
    <w:r w:rsidRPr="00C83431">
      <w:rPr>
        <w:rFonts w:cs="Arial"/>
        <w:sz w:val="20"/>
      </w:rPr>
      <w:t xml:space="preserve"> of </w:t>
    </w:r>
    <w:r w:rsidRPr="00C83431">
      <w:rPr>
        <w:rFonts w:cs="Arial"/>
        <w:sz w:val="20"/>
      </w:rPr>
      <w:fldChar w:fldCharType="begin"/>
    </w:r>
    <w:r w:rsidRPr="00C83431">
      <w:rPr>
        <w:rFonts w:cs="Arial"/>
        <w:sz w:val="20"/>
      </w:rPr>
      <w:instrText xml:space="preserve"> NUMPAGES  </w:instrText>
    </w:r>
    <w:r w:rsidRPr="00C83431">
      <w:rPr>
        <w:rFonts w:cs="Arial"/>
        <w:sz w:val="20"/>
      </w:rPr>
      <w:fldChar w:fldCharType="separate"/>
    </w:r>
    <w:r w:rsidR="00592678">
      <w:rPr>
        <w:rFonts w:cs="Arial"/>
        <w:noProof/>
        <w:sz w:val="20"/>
      </w:rPr>
      <w:t>167</w:t>
    </w:r>
    <w:r w:rsidRPr="00C83431">
      <w:rPr>
        <w:rFonts w:cs="Arial"/>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Pr="003E4C11" w:rsidRDefault="00CC3C63" w:rsidP="003E4C11">
    <w:pPr>
      <w:pStyle w:val="Footer"/>
      <w:tabs>
        <w:tab w:val="clear" w:pos="4680"/>
        <w:tab w:val="clear" w:pos="9360"/>
        <w:tab w:val="center" w:pos="5400"/>
        <w:tab w:val="right" w:pos="10080"/>
      </w:tabs>
      <w:rPr>
        <w:rFonts w:cs="Arial"/>
        <w:sz w:val="20"/>
      </w:rPr>
    </w:pPr>
    <w:r>
      <w:rPr>
        <w:rFonts w:cs="Arial"/>
        <w:sz w:val="20"/>
      </w:rPr>
      <w:tab/>
      <w:t xml:space="preserve">October </w:t>
    </w:r>
    <w:r w:rsidR="00365AE9">
      <w:rPr>
        <w:rFonts w:cs="Arial"/>
        <w:sz w:val="20"/>
      </w:rPr>
      <w:t>31</w:t>
    </w:r>
    <w:r>
      <w:rPr>
        <w:rFonts w:cs="Arial"/>
        <w:sz w:val="20"/>
      </w:rPr>
      <w:t>, 2014</w:t>
    </w:r>
    <w:r w:rsidRPr="00C83431">
      <w:rPr>
        <w:rFonts w:cs="Arial"/>
        <w:sz w:val="20"/>
      </w:rPr>
      <w:tab/>
      <w:t xml:space="preserve">Page </w:t>
    </w:r>
    <w:r w:rsidRPr="00C83431">
      <w:rPr>
        <w:rFonts w:cs="Arial"/>
        <w:sz w:val="20"/>
      </w:rPr>
      <w:fldChar w:fldCharType="begin"/>
    </w:r>
    <w:r w:rsidRPr="00C83431">
      <w:rPr>
        <w:rFonts w:cs="Arial"/>
        <w:sz w:val="20"/>
      </w:rPr>
      <w:instrText xml:space="preserve"> PAGE </w:instrText>
    </w:r>
    <w:r w:rsidRPr="00C83431">
      <w:rPr>
        <w:rFonts w:cs="Arial"/>
        <w:sz w:val="20"/>
      </w:rPr>
      <w:fldChar w:fldCharType="separate"/>
    </w:r>
    <w:r w:rsidR="00535275">
      <w:rPr>
        <w:rFonts w:cs="Arial"/>
        <w:noProof/>
        <w:sz w:val="20"/>
      </w:rPr>
      <w:t>166</w:t>
    </w:r>
    <w:r w:rsidRPr="00C83431">
      <w:rPr>
        <w:rFonts w:cs="Arial"/>
        <w:sz w:val="20"/>
      </w:rPr>
      <w:fldChar w:fldCharType="end"/>
    </w:r>
    <w:r w:rsidRPr="00C83431">
      <w:rPr>
        <w:rFonts w:cs="Arial"/>
        <w:sz w:val="20"/>
      </w:rPr>
      <w:t xml:space="preserve"> of </w:t>
    </w:r>
    <w:r w:rsidRPr="00C83431">
      <w:rPr>
        <w:rFonts w:cs="Arial"/>
        <w:sz w:val="20"/>
      </w:rPr>
      <w:fldChar w:fldCharType="begin"/>
    </w:r>
    <w:r w:rsidRPr="00C83431">
      <w:rPr>
        <w:rFonts w:cs="Arial"/>
        <w:sz w:val="20"/>
      </w:rPr>
      <w:instrText xml:space="preserve"> NUMPAGES  </w:instrText>
    </w:r>
    <w:r w:rsidRPr="00C83431">
      <w:rPr>
        <w:rFonts w:cs="Arial"/>
        <w:sz w:val="20"/>
      </w:rPr>
      <w:fldChar w:fldCharType="separate"/>
    </w:r>
    <w:r w:rsidR="00535275">
      <w:rPr>
        <w:rFonts w:cs="Arial"/>
        <w:noProof/>
        <w:sz w:val="20"/>
      </w:rPr>
      <w:t>167</w:t>
    </w:r>
    <w:r w:rsidRPr="00C83431">
      <w:rPr>
        <w:rFonts w:cs="Arial"/>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Pr="003E4C11" w:rsidRDefault="00CC3C63" w:rsidP="006858BE">
    <w:pPr>
      <w:pStyle w:val="Footer"/>
      <w:tabs>
        <w:tab w:val="clear" w:pos="4680"/>
        <w:tab w:val="clear" w:pos="9360"/>
        <w:tab w:val="center" w:pos="7200"/>
        <w:tab w:val="right" w:pos="13680"/>
      </w:tabs>
      <w:rPr>
        <w:rFonts w:cs="Arial"/>
        <w:sz w:val="20"/>
      </w:rPr>
    </w:pPr>
    <w:r>
      <w:rPr>
        <w:rFonts w:cs="Arial"/>
        <w:sz w:val="20"/>
      </w:rPr>
      <w:t>Revised Draft-9A</w:t>
    </w:r>
    <w:r>
      <w:rPr>
        <w:rFonts w:cs="Arial"/>
        <w:sz w:val="20"/>
      </w:rPr>
      <w:tab/>
      <w:t>August 21, 2014</w:t>
    </w:r>
    <w:r w:rsidRPr="00C83431">
      <w:rPr>
        <w:rFonts w:cs="Arial"/>
        <w:sz w:val="20"/>
      </w:rPr>
      <w:tab/>
      <w:t xml:space="preserve">Page </w:t>
    </w:r>
    <w:r w:rsidRPr="00C83431">
      <w:rPr>
        <w:rFonts w:cs="Arial"/>
        <w:sz w:val="20"/>
      </w:rPr>
      <w:fldChar w:fldCharType="begin"/>
    </w:r>
    <w:r w:rsidRPr="00C83431">
      <w:rPr>
        <w:rFonts w:cs="Arial"/>
        <w:sz w:val="20"/>
      </w:rPr>
      <w:instrText xml:space="preserve"> PAGE </w:instrText>
    </w:r>
    <w:r w:rsidRPr="00C83431">
      <w:rPr>
        <w:rFonts w:cs="Arial"/>
        <w:sz w:val="20"/>
      </w:rPr>
      <w:fldChar w:fldCharType="separate"/>
    </w:r>
    <w:r>
      <w:rPr>
        <w:rFonts w:cs="Arial"/>
        <w:noProof/>
        <w:sz w:val="20"/>
      </w:rPr>
      <w:t>160</w:t>
    </w:r>
    <w:r w:rsidRPr="00C83431">
      <w:rPr>
        <w:rFonts w:cs="Arial"/>
        <w:sz w:val="20"/>
      </w:rPr>
      <w:fldChar w:fldCharType="end"/>
    </w:r>
    <w:r w:rsidRPr="00C83431">
      <w:rPr>
        <w:rFonts w:cs="Arial"/>
        <w:sz w:val="20"/>
      </w:rPr>
      <w:t xml:space="preserve"> of </w:t>
    </w:r>
    <w:r w:rsidRPr="00C83431">
      <w:rPr>
        <w:rFonts w:cs="Arial"/>
        <w:sz w:val="20"/>
      </w:rPr>
      <w:fldChar w:fldCharType="begin"/>
    </w:r>
    <w:r w:rsidRPr="00C83431">
      <w:rPr>
        <w:rFonts w:cs="Arial"/>
        <w:sz w:val="20"/>
      </w:rPr>
      <w:instrText xml:space="preserve"> NUMPAGES  </w:instrText>
    </w:r>
    <w:r w:rsidRPr="00C83431">
      <w:rPr>
        <w:rFonts w:cs="Arial"/>
        <w:sz w:val="20"/>
      </w:rPr>
      <w:fldChar w:fldCharType="separate"/>
    </w:r>
    <w:r w:rsidR="00592678">
      <w:rPr>
        <w:rFonts w:cs="Arial"/>
        <w:noProof/>
        <w:sz w:val="20"/>
      </w:rPr>
      <w:t>167</w:t>
    </w:r>
    <w:r w:rsidRPr="00C83431">
      <w:rPr>
        <w:rFonts w:cs="Arial"/>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Pr="003E4C11" w:rsidRDefault="00CC3C63" w:rsidP="00D24AC4">
    <w:pPr>
      <w:pStyle w:val="Footer"/>
      <w:tabs>
        <w:tab w:val="clear" w:pos="4680"/>
        <w:tab w:val="clear" w:pos="9360"/>
        <w:tab w:val="center" w:pos="5040"/>
        <w:tab w:val="right" w:pos="10080"/>
        <w:tab w:val="right" w:pos="13680"/>
      </w:tabs>
      <w:rPr>
        <w:rFonts w:cs="Arial"/>
        <w:sz w:val="20"/>
      </w:rPr>
    </w:pPr>
    <w:r>
      <w:rPr>
        <w:rFonts w:cs="Arial"/>
        <w:sz w:val="20"/>
      </w:rPr>
      <w:t>Revised Draft-9A</w:t>
    </w:r>
    <w:r>
      <w:rPr>
        <w:rFonts w:cs="Arial"/>
        <w:sz w:val="20"/>
      </w:rPr>
      <w:tab/>
      <w:t>August 21, 2014</w:t>
    </w:r>
    <w:r w:rsidRPr="00C83431">
      <w:rPr>
        <w:rFonts w:cs="Arial"/>
        <w:sz w:val="20"/>
      </w:rPr>
      <w:tab/>
      <w:t xml:space="preserve">Page </w:t>
    </w:r>
    <w:r w:rsidRPr="00C83431">
      <w:rPr>
        <w:rFonts w:cs="Arial"/>
        <w:sz w:val="20"/>
      </w:rPr>
      <w:fldChar w:fldCharType="begin"/>
    </w:r>
    <w:r w:rsidRPr="00C83431">
      <w:rPr>
        <w:rFonts w:cs="Arial"/>
        <w:sz w:val="20"/>
      </w:rPr>
      <w:instrText xml:space="preserve"> PAGE </w:instrText>
    </w:r>
    <w:r w:rsidRPr="00C83431">
      <w:rPr>
        <w:rFonts w:cs="Arial"/>
        <w:sz w:val="20"/>
      </w:rPr>
      <w:fldChar w:fldCharType="separate"/>
    </w:r>
    <w:r>
      <w:rPr>
        <w:rFonts w:cs="Arial"/>
        <w:noProof/>
        <w:sz w:val="20"/>
      </w:rPr>
      <w:t>162</w:t>
    </w:r>
    <w:r w:rsidRPr="00C83431">
      <w:rPr>
        <w:rFonts w:cs="Arial"/>
        <w:sz w:val="20"/>
      </w:rPr>
      <w:fldChar w:fldCharType="end"/>
    </w:r>
    <w:r w:rsidRPr="00C83431">
      <w:rPr>
        <w:rFonts w:cs="Arial"/>
        <w:sz w:val="20"/>
      </w:rPr>
      <w:t xml:space="preserve"> of </w:t>
    </w:r>
    <w:r w:rsidRPr="00C83431">
      <w:rPr>
        <w:rFonts w:cs="Arial"/>
        <w:sz w:val="20"/>
      </w:rPr>
      <w:fldChar w:fldCharType="begin"/>
    </w:r>
    <w:r w:rsidRPr="00C83431">
      <w:rPr>
        <w:rFonts w:cs="Arial"/>
        <w:sz w:val="20"/>
      </w:rPr>
      <w:instrText xml:space="preserve"> NUMPAGES  </w:instrText>
    </w:r>
    <w:r w:rsidRPr="00C83431">
      <w:rPr>
        <w:rFonts w:cs="Arial"/>
        <w:sz w:val="20"/>
      </w:rPr>
      <w:fldChar w:fldCharType="separate"/>
    </w:r>
    <w:r w:rsidR="00592678">
      <w:rPr>
        <w:rFonts w:cs="Arial"/>
        <w:noProof/>
        <w:sz w:val="20"/>
      </w:rPr>
      <w:t>167</w:t>
    </w:r>
    <w:r w:rsidRPr="00C83431">
      <w:rPr>
        <w:rFonts w:cs="Arial"/>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Pr="003E4C11" w:rsidRDefault="00CC3C63" w:rsidP="006858BE">
    <w:pPr>
      <w:pStyle w:val="Footer"/>
      <w:tabs>
        <w:tab w:val="clear" w:pos="4680"/>
        <w:tab w:val="clear" w:pos="9360"/>
        <w:tab w:val="center" w:pos="5040"/>
        <w:tab w:val="right" w:pos="10080"/>
        <w:tab w:val="right" w:pos="13680"/>
      </w:tabs>
      <w:rPr>
        <w:rFonts w:cs="Arial"/>
        <w:sz w:val="20"/>
      </w:rPr>
    </w:pPr>
    <w:r>
      <w:rPr>
        <w:rFonts w:cs="Arial"/>
        <w:sz w:val="20"/>
      </w:rPr>
      <w:t>Revised Draft-9A</w:t>
    </w:r>
    <w:r>
      <w:rPr>
        <w:rFonts w:cs="Arial"/>
        <w:sz w:val="20"/>
      </w:rPr>
      <w:tab/>
      <w:t>August 21, 2014</w:t>
    </w:r>
    <w:r w:rsidRPr="00C83431">
      <w:rPr>
        <w:rFonts w:cs="Arial"/>
        <w:sz w:val="20"/>
      </w:rPr>
      <w:tab/>
      <w:t xml:space="preserve">Page </w:t>
    </w:r>
    <w:r w:rsidRPr="00C83431">
      <w:rPr>
        <w:rFonts w:cs="Arial"/>
        <w:sz w:val="20"/>
      </w:rPr>
      <w:fldChar w:fldCharType="begin"/>
    </w:r>
    <w:r w:rsidRPr="00C83431">
      <w:rPr>
        <w:rFonts w:cs="Arial"/>
        <w:sz w:val="20"/>
      </w:rPr>
      <w:instrText xml:space="preserve"> PAGE </w:instrText>
    </w:r>
    <w:r w:rsidRPr="00C83431">
      <w:rPr>
        <w:rFonts w:cs="Arial"/>
        <w:sz w:val="20"/>
      </w:rPr>
      <w:fldChar w:fldCharType="separate"/>
    </w:r>
    <w:r>
      <w:rPr>
        <w:rFonts w:cs="Arial"/>
        <w:noProof/>
        <w:sz w:val="20"/>
      </w:rPr>
      <w:t>164</w:t>
    </w:r>
    <w:r w:rsidRPr="00C83431">
      <w:rPr>
        <w:rFonts w:cs="Arial"/>
        <w:sz w:val="20"/>
      </w:rPr>
      <w:fldChar w:fldCharType="end"/>
    </w:r>
    <w:r w:rsidRPr="00C83431">
      <w:rPr>
        <w:rFonts w:cs="Arial"/>
        <w:sz w:val="20"/>
      </w:rPr>
      <w:t xml:space="preserve"> of </w:t>
    </w:r>
    <w:r w:rsidRPr="00C83431">
      <w:rPr>
        <w:rFonts w:cs="Arial"/>
        <w:sz w:val="20"/>
      </w:rPr>
      <w:fldChar w:fldCharType="begin"/>
    </w:r>
    <w:r w:rsidRPr="00C83431">
      <w:rPr>
        <w:rFonts w:cs="Arial"/>
        <w:sz w:val="20"/>
      </w:rPr>
      <w:instrText xml:space="preserve"> NUMPAGES  </w:instrText>
    </w:r>
    <w:r w:rsidRPr="00C83431">
      <w:rPr>
        <w:rFonts w:cs="Arial"/>
        <w:sz w:val="20"/>
      </w:rPr>
      <w:fldChar w:fldCharType="separate"/>
    </w:r>
    <w:r w:rsidR="00592678">
      <w:rPr>
        <w:rFonts w:cs="Arial"/>
        <w:noProof/>
        <w:sz w:val="20"/>
      </w:rPr>
      <w:t>167</w:t>
    </w:r>
    <w:r w:rsidRPr="00C83431">
      <w:rPr>
        <w:rFonts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29A" w:rsidRDefault="002D429A" w:rsidP="008316AB">
      <w:r>
        <w:separator/>
      </w:r>
    </w:p>
  </w:footnote>
  <w:footnote w:type="continuationSeparator" w:id="0">
    <w:p w:rsidR="002D429A" w:rsidRDefault="002D429A" w:rsidP="008316AB">
      <w:r>
        <w:continuationSeparator/>
      </w:r>
    </w:p>
  </w:footnote>
  <w:footnote w:id="1">
    <w:p w:rsidR="00CC3C63" w:rsidRDefault="00CC3C63" w:rsidP="00CB64D5">
      <w:pPr>
        <w:pStyle w:val="FootnoteText"/>
      </w:pPr>
      <w:r>
        <w:rPr>
          <w:rStyle w:val="FootnoteReference"/>
        </w:rPr>
        <w:footnoteRef/>
      </w:r>
      <w:r>
        <w:t xml:space="preserve"> Throughout this document, “all residents” is inclusive of those with disparities/disproportionate burden, those not served or underserved, those at-risk, and those hard to reach.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p w:rsidR="00CC3C63" w:rsidRDefault="00CC3C63"/>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rsidP="003E17D4">
    <w:pPr>
      <w:pStyle w:val="Header"/>
      <w:tabs>
        <w:tab w:val="clear" w:pos="4680"/>
        <w:tab w:val="center" w:pos="5040"/>
        <w:tab w:val="right" w:pos="14400"/>
      </w:tabs>
      <w:rPr>
        <w:rFonts w:cs="Arial"/>
        <w:b/>
        <w:sz w:val="24"/>
      </w:rPr>
    </w:pPr>
    <w:r>
      <w:rPr>
        <w:rFonts w:cs="Arial"/>
        <w:b/>
        <w:sz w:val="24"/>
      </w:rPr>
      <w:tab/>
    </w:r>
    <w:r>
      <w:rPr>
        <w:rFonts w:cs="Arial"/>
        <w:b/>
        <w:sz w:val="24"/>
      </w:rPr>
      <w:tab/>
    </w:r>
  </w:p>
  <w:p w:rsidR="00CC3C63" w:rsidRPr="00C83431" w:rsidRDefault="00CC3C63" w:rsidP="00911399">
    <w:pPr>
      <w:rPr>
        <w:sz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rsidP="00E77374">
    <w:pPr>
      <w:pStyle w:val="Header"/>
      <w:tabs>
        <w:tab w:val="clear" w:pos="4680"/>
        <w:tab w:val="left" w:pos="3709"/>
        <w:tab w:val="left" w:pos="4918"/>
        <w:tab w:val="center" w:pos="5040"/>
        <w:tab w:val="right" w:pos="14400"/>
      </w:tabs>
      <w:rPr>
        <w:rFonts w:cs="Arial"/>
        <w:b/>
        <w:sz w:val="24"/>
      </w:rPr>
    </w:pPr>
    <w:r>
      <w:rPr>
        <w:rFonts w:cs="Arial"/>
        <w:b/>
        <w:sz w:val="24"/>
      </w:rPr>
      <w:tab/>
    </w:r>
    <w:r>
      <w:rPr>
        <w:rFonts w:cs="Arial"/>
        <w:b/>
        <w:sz w:val="24"/>
      </w:rPr>
      <w:tab/>
    </w:r>
    <w:r>
      <w:rPr>
        <w:rFonts w:cs="Arial"/>
        <w:b/>
        <w:sz w:val="24"/>
      </w:rPr>
      <w:tab/>
    </w:r>
    <w:r>
      <w:rPr>
        <w:rFonts w:cs="Arial"/>
        <w:b/>
        <w:sz w:val="24"/>
      </w:rPr>
      <w:tab/>
    </w:r>
  </w:p>
  <w:p w:rsidR="00CC3C63" w:rsidRPr="00C83431" w:rsidRDefault="00CC3C63" w:rsidP="00911399">
    <w:pPr>
      <w:rPr>
        <w:sz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rsidP="003E17D4">
    <w:pPr>
      <w:pStyle w:val="Header"/>
      <w:tabs>
        <w:tab w:val="clear" w:pos="4680"/>
        <w:tab w:val="center" w:pos="5040"/>
        <w:tab w:val="right" w:pos="14400"/>
      </w:tabs>
      <w:rPr>
        <w:rFonts w:cs="Arial"/>
        <w:b/>
        <w:sz w:val="24"/>
      </w:rPr>
    </w:pPr>
    <w:r>
      <w:rPr>
        <w:rFonts w:cs="Arial"/>
        <w:b/>
        <w:sz w:val="24"/>
      </w:rPr>
      <w:tab/>
    </w:r>
    <w:r>
      <w:rPr>
        <w:rFonts w:cs="Arial"/>
        <w:b/>
        <w:sz w:val="24"/>
      </w:rPr>
      <w:tab/>
    </w:r>
  </w:p>
  <w:p w:rsidR="00CC3C63" w:rsidRPr="00C83431" w:rsidRDefault="00CC3C63" w:rsidP="00911399">
    <w:pP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rsidP="003E17D4">
    <w:pPr>
      <w:pStyle w:val="Header"/>
      <w:tabs>
        <w:tab w:val="clear" w:pos="4680"/>
        <w:tab w:val="center" w:pos="5040"/>
        <w:tab w:val="right" w:pos="14400"/>
      </w:tabs>
      <w:rPr>
        <w:rFonts w:cs="Arial"/>
        <w:b/>
        <w:sz w:val="24"/>
      </w:rPr>
    </w:pPr>
    <w:r>
      <w:rPr>
        <w:rFonts w:cs="Arial"/>
        <w:b/>
        <w:sz w:val="24"/>
      </w:rPr>
      <w:tab/>
    </w:r>
    <w:r>
      <w:rPr>
        <w:rFonts w:cs="Arial"/>
        <w:b/>
        <w:sz w:val="24"/>
      </w:rPr>
      <w:tab/>
    </w:r>
  </w:p>
  <w:p w:rsidR="00CC3C63" w:rsidRPr="00C83431" w:rsidRDefault="00CC3C63" w:rsidP="00911399">
    <w:pPr>
      <w:rPr>
        <w:sz w:val="20"/>
      </w:rPr>
    </w:pPr>
  </w:p>
  <w:p w:rsidR="00CC3C63" w:rsidRDefault="00CC3C63"/>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Pr="00BC07B7" w:rsidRDefault="00CC3C63" w:rsidP="00BC07B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rsidP="00CD0B31">
    <w:pPr>
      <w:pStyle w:val="Header"/>
      <w:tabs>
        <w:tab w:val="clear" w:pos="4680"/>
        <w:tab w:val="left" w:pos="4918"/>
        <w:tab w:val="center" w:pos="5040"/>
        <w:tab w:val="right" w:pos="14400"/>
      </w:tabs>
      <w:rPr>
        <w:rFonts w:cs="Arial"/>
        <w:b/>
        <w:sz w:val="24"/>
      </w:rPr>
    </w:pPr>
    <w:r>
      <w:rPr>
        <w:rFonts w:cs="Arial"/>
        <w:b/>
        <w:sz w:val="24"/>
      </w:rPr>
      <w:tab/>
    </w:r>
    <w:r>
      <w:rPr>
        <w:rFonts w:cs="Arial"/>
        <w:b/>
        <w:sz w:val="24"/>
      </w:rPr>
      <w:tab/>
    </w:r>
    <w:r>
      <w:rPr>
        <w:rFonts w:cs="Arial"/>
        <w:b/>
        <w:sz w:val="24"/>
      </w:rPr>
      <w:tab/>
    </w:r>
  </w:p>
  <w:p w:rsidR="00CC3C63" w:rsidRPr="00C83431" w:rsidRDefault="00CC3C63" w:rsidP="00911399">
    <w:pPr>
      <w:rPr>
        <w:sz w:val="20"/>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rsidP="008F0C00">
    <w:pPr>
      <w:pStyle w:val="Header"/>
      <w:tabs>
        <w:tab w:val="clear" w:pos="4680"/>
        <w:tab w:val="left" w:pos="4918"/>
        <w:tab w:val="right" w:pos="14400"/>
      </w:tabs>
      <w:rPr>
        <w:rFonts w:cs="Arial"/>
        <w:b/>
        <w:sz w:val="24"/>
      </w:rPr>
    </w:pPr>
    <w:r>
      <w:rPr>
        <w:rFonts w:cs="Arial"/>
        <w:b/>
        <w:sz w:val="24"/>
      </w:rPr>
      <w:tab/>
    </w:r>
    <w:r>
      <w:rPr>
        <w:rFonts w:cs="Arial"/>
        <w:b/>
        <w:sz w:val="24"/>
      </w:rPr>
      <w:tab/>
    </w:r>
    <w:r>
      <w:rPr>
        <w:rFonts w:cs="Arial"/>
        <w:b/>
        <w:sz w:val="24"/>
      </w:rPr>
      <w:tab/>
    </w:r>
    <w:r>
      <w:rPr>
        <w:rFonts w:cs="Arial"/>
        <w:b/>
        <w:sz w:val="24"/>
      </w:rPr>
      <w:tab/>
    </w:r>
  </w:p>
  <w:p w:rsidR="00CC3C63" w:rsidRPr="00C83431" w:rsidRDefault="00CC3C63" w:rsidP="00911399">
    <w:pPr>
      <w:rPr>
        <w:sz w:val="20"/>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Pr="00393F10" w:rsidRDefault="00CC3C63" w:rsidP="00393F10">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rsidP="003E17D4">
    <w:pPr>
      <w:pStyle w:val="Header"/>
      <w:tabs>
        <w:tab w:val="clear" w:pos="4680"/>
        <w:tab w:val="center" w:pos="5040"/>
        <w:tab w:val="right" w:pos="14400"/>
      </w:tabs>
      <w:rPr>
        <w:rFonts w:cs="Arial"/>
        <w:b/>
        <w:sz w:val="24"/>
      </w:rPr>
    </w:pPr>
    <w:r>
      <w:rPr>
        <w:rFonts w:cs="Arial"/>
        <w:b/>
        <w:sz w:val="24"/>
      </w:rPr>
      <w:tab/>
    </w:r>
    <w:r>
      <w:rPr>
        <w:rFonts w:cs="Arial"/>
        <w:b/>
        <w:sz w:val="24"/>
      </w:rPr>
      <w:tab/>
    </w:r>
  </w:p>
  <w:p w:rsidR="00CC3C63" w:rsidRPr="00C83431" w:rsidRDefault="00CC3C63" w:rsidP="00911399">
    <w:pPr>
      <w:rPr>
        <w:sz w:val="20"/>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rsidP="00E77374">
    <w:pPr>
      <w:pStyle w:val="Header"/>
      <w:tabs>
        <w:tab w:val="clear" w:pos="4680"/>
        <w:tab w:val="left" w:pos="3709"/>
        <w:tab w:val="left" w:pos="4918"/>
        <w:tab w:val="center" w:pos="5040"/>
        <w:tab w:val="right" w:pos="14400"/>
      </w:tabs>
      <w:rPr>
        <w:rFonts w:cs="Arial"/>
        <w:b/>
        <w:sz w:val="24"/>
      </w:rPr>
    </w:pPr>
    <w:r>
      <w:rPr>
        <w:rFonts w:cs="Arial"/>
        <w:b/>
        <w:sz w:val="24"/>
      </w:rPr>
      <w:tab/>
    </w:r>
    <w:r>
      <w:rPr>
        <w:rFonts w:cs="Arial"/>
        <w:b/>
        <w:sz w:val="24"/>
      </w:rPr>
      <w:tab/>
    </w:r>
    <w:r>
      <w:rPr>
        <w:rFonts w:cs="Arial"/>
        <w:b/>
        <w:sz w:val="24"/>
      </w:rPr>
      <w:tab/>
    </w:r>
    <w:r>
      <w:rPr>
        <w:rFonts w:cs="Arial"/>
        <w:b/>
        <w:sz w:val="24"/>
      </w:rPr>
      <w:tab/>
    </w:r>
  </w:p>
  <w:p w:rsidR="00CC3C63" w:rsidRPr="00C83431" w:rsidRDefault="00CC3C63" w:rsidP="00911399">
    <w:pPr>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63" w:rsidRDefault="00CC3C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605"/>
    <w:multiLevelType w:val="hybridMultilevel"/>
    <w:tmpl w:val="6FD81974"/>
    <w:lvl w:ilvl="0" w:tplc="C73A8294">
      <w:start w:val="1"/>
      <w:numFmt w:val="bullet"/>
      <w:pStyle w:val="Strategiessubbullets"/>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8F431B2"/>
    <w:multiLevelType w:val="hybridMultilevel"/>
    <w:tmpl w:val="7D662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C86FD2"/>
    <w:multiLevelType w:val="hybridMultilevel"/>
    <w:tmpl w:val="22347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E81D5C"/>
    <w:multiLevelType w:val="hybridMultilevel"/>
    <w:tmpl w:val="9E12C224"/>
    <w:lvl w:ilvl="0" w:tplc="F3B4F9CC">
      <w:start w:val="78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1155A7D"/>
    <w:multiLevelType w:val="hybridMultilevel"/>
    <w:tmpl w:val="4CAEFC8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8AD416E"/>
    <w:multiLevelType w:val="hybridMultilevel"/>
    <w:tmpl w:val="73AE72C0"/>
    <w:lvl w:ilvl="0" w:tplc="95DCC178">
      <w:numFmt w:val="bullet"/>
      <w:pStyle w:val="BodyTextFirstIndBULLETS"/>
      <w:lvlText w:val="•"/>
      <w:lvlJc w:val="left"/>
      <w:pPr>
        <w:ind w:left="1008"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3165F21"/>
    <w:multiLevelType w:val="hybridMultilevel"/>
    <w:tmpl w:val="6AAA9900"/>
    <w:lvl w:ilvl="0" w:tplc="6BC6EFEC">
      <w:numFmt w:val="bullet"/>
      <w:lvlText w:val="-"/>
      <w:lvlJc w:val="left"/>
      <w:pPr>
        <w:ind w:left="840" w:hanging="360"/>
      </w:pPr>
      <w:rPr>
        <w:rFonts w:ascii="Arial" w:eastAsia="Times New Roman" w:hAnsi="Aria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51B26AB9"/>
    <w:multiLevelType w:val="multilevel"/>
    <w:tmpl w:val="F680226C"/>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350"/>
        </w:tabs>
        <w:ind w:left="1350" w:hanging="360"/>
      </w:pPr>
      <w:rPr>
        <w:rFonts w:cs="Times New Roman" w:hint="default"/>
      </w:rPr>
    </w:lvl>
    <w:lvl w:ilvl="2">
      <w:start w:val="2"/>
      <w:numFmt w:val="decimal"/>
      <w:lvlText w:val="%1.%2.%3"/>
      <w:lvlJc w:val="left"/>
      <w:pPr>
        <w:tabs>
          <w:tab w:val="num" w:pos="2700"/>
        </w:tabs>
        <w:ind w:left="2700" w:hanging="720"/>
      </w:pPr>
      <w:rPr>
        <w:rFonts w:cs="Times New Roman" w:hint="default"/>
      </w:rPr>
    </w:lvl>
    <w:lvl w:ilvl="3">
      <w:start w:val="1"/>
      <w:numFmt w:val="decimal"/>
      <w:lvlText w:val="%1.%2.%3.%4"/>
      <w:lvlJc w:val="left"/>
      <w:pPr>
        <w:tabs>
          <w:tab w:val="num" w:pos="3690"/>
        </w:tabs>
        <w:ind w:left="3690" w:hanging="720"/>
      </w:pPr>
      <w:rPr>
        <w:rFonts w:cs="Times New Roman" w:hint="default"/>
      </w:rPr>
    </w:lvl>
    <w:lvl w:ilvl="4">
      <w:start w:val="1"/>
      <w:numFmt w:val="decimal"/>
      <w:lvlText w:val="%1.%2.%3.%4.%5"/>
      <w:lvlJc w:val="left"/>
      <w:pPr>
        <w:tabs>
          <w:tab w:val="num" w:pos="5040"/>
        </w:tabs>
        <w:ind w:left="5040" w:hanging="1080"/>
      </w:pPr>
      <w:rPr>
        <w:rFonts w:cs="Times New Roman" w:hint="default"/>
      </w:rPr>
    </w:lvl>
    <w:lvl w:ilvl="5">
      <w:start w:val="1"/>
      <w:numFmt w:val="decimal"/>
      <w:lvlText w:val="%1.%2.%3.%4.%5.%6"/>
      <w:lvlJc w:val="left"/>
      <w:pPr>
        <w:tabs>
          <w:tab w:val="num" w:pos="6030"/>
        </w:tabs>
        <w:ind w:left="6030" w:hanging="1080"/>
      </w:pPr>
      <w:rPr>
        <w:rFonts w:cs="Times New Roman" w:hint="default"/>
      </w:rPr>
    </w:lvl>
    <w:lvl w:ilvl="6">
      <w:start w:val="1"/>
      <w:numFmt w:val="decimal"/>
      <w:lvlText w:val="%1.%2.%3.%4.%5.%6.%7"/>
      <w:lvlJc w:val="left"/>
      <w:pPr>
        <w:tabs>
          <w:tab w:val="num" w:pos="7380"/>
        </w:tabs>
        <w:ind w:left="7380" w:hanging="1440"/>
      </w:pPr>
      <w:rPr>
        <w:rFonts w:cs="Times New Roman" w:hint="default"/>
      </w:rPr>
    </w:lvl>
    <w:lvl w:ilvl="7">
      <w:start w:val="1"/>
      <w:numFmt w:val="decimal"/>
      <w:lvlText w:val="%1.%2.%3.%4.%5.%6.%7.%8"/>
      <w:lvlJc w:val="left"/>
      <w:pPr>
        <w:tabs>
          <w:tab w:val="num" w:pos="8370"/>
        </w:tabs>
        <w:ind w:left="8370" w:hanging="1440"/>
      </w:pPr>
      <w:rPr>
        <w:rFonts w:cs="Times New Roman" w:hint="default"/>
      </w:rPr>
    </w:lvl>
    <w:lvl w:ilvl="8">
      <w:start w:val="1"/>
      <w:numFmt w:val="decimal"/>
      <w:lvlText w:val="%1.%2.%3.%4.%5.%6.%7.%8.%9"/>
      <w:lvlJc w:val="left"/>
      <w:pPr>
        <w:tabs>
          <w:tab w:val="num" w:pos="9720"/>
        </w:tabs>
        <w:ind w:left="9720" w:hanging="1800"/>
      </w:pPr>
      <w:rPr>
        <w:rFonts w:cs="Times New Roman" w:hint="default"/>
      </w:rPr>
    </w:lvl>
  </w:abstractNum>
  <w:abstractNum w:abstractNumId="8">
    <w:nsid w:val="5D5014EA"/>
    <w:multiLevelType w:val="hybridMultilevel"/>
    <w:tmpl w:val="A0846E96"/>
    <w:lvl w:ilvl="0" w:tplc="DD242D24">
      <w:start w:val="1"/>
      <w:numFmt w:val="bullet"/>
      <w:pStyle w:val="ListParagraph"/>
      <w:lvlText w:val=""/>
      <w:lvlJc w:val="left"/>
      <w:pPr>
        <w:ind w:left="3060" w:hanging="360"/>
      </w:pPr>
      <w:rPr>
        <w:rFonts w:ascii="Symbol" w:hAnsi="Symbol" w:hint="default"/>
      </w:rPr>
    </w:lvl>
    <w:lvl w:ilvl="1" w:tplc="04090003">
      <w:start w:val="1"/>
      <w:numFmt w:val="bullet"/>
      <w:lvlText w:val="o"/>
      <w:lvlJc w:val="left"/>
      <w:pPr>
        <w:ind w:left="116" w:hanging="360"/>
      </w:pPr>
      <w:rPr>
        <w:rFonts w:ascii="Courier New" w:hAnsi="Courier New" w:hint="default"/>
      </w:rPr>
    </w:lvl>
    <w:lvl w:ilvl="2" w:tplc="04090005">
      <w:start w:val="1"/>
      <w:numFmt w:val="bullet"/>
      <w:lvlText w:val=""/>
      <w:lvlJc w:val="left"/>
      <w:pPr>
        <w:ind w:left="836" w:hanging="360"/>
      </w:pPr>
      <w:rPr>
        <w:rFonts w:ascii="Wingdings" w:hAnsi="Wingdings" w:hint="default"/>
      </w:rPr>
    </w:lvl>
    <w:lvl w:ilvl="3" w:tplc="04090001" w:tentative="1">
      <w:start w:val="1"/>
      <w:numFmt w:val="bullet"/>
      <w:lvlText w:val=""/>
      <w:lvlJc w:val="left"/>
      <w:pPr>
        <w:ind w:left="1556" w:hanging="360"/>
      </w:pPr>
      <w:rPr>
        <w:rFonts w:ascii="Symbol" w:hAnsi="Symbol" w:hint="default"/>
      </w:rPr>
    </w:lvl>
    <w:lvl w:ilvl="4" w:tplc="04090003" w:tentative="1">
      <w:start w:val="1"/>
      <w:numFmt w:val="bullet"/>
      <w:lvlText w:val="o"/>
      <w:lvlJc w:val="left"/>
      <w:pPr>
        <w:ind w:left="2276" w:hanging="360"/>
      </w:pPr>
      <w:rPr>
        <w:rFonts w:ascii="Courier New" w:hAnsi="Courier New" w:hint="default"/>
      </w:rPr>
    </w:lvl>
    <w:lvl w:ilvl="5" w:tplc="04090005" w:tentative="1">
      <w:start w:val="1"/>
      <w:numFmt w:val="bullet"/>
      <w:lvlText w:val=""/>
      <w:lvlJc w:val="left"/>
      <w:pPr>
        <w:ind w:left="2996" w:hanging="360"/>
      </w:pPr>
      <w:rPr>
        <w:rFonts w:ascii="Wingdings" w:hAnsi="Wingdings" w:hint="default"/>
      </w:rPr>
    </w:lvl>
    <w:lvl w:ilvl="6" w:tplc="04090001" w:tentative="1">
      <w:start w:val="1"/>
      <w:numFmt w:val="bullet"/>
      <w:lvlText w:val=""/>
      <w:lvlJc w:val="left"/>
      <w:pPr>
        <w:ind w:left="3716" w:hanging="360"/>
      </w:pPr>
      <w:rPr>
        <w:rFonts w:ascii="Symbol" w:hAnsi="Symbol" w:hint="default"/>
      </w:rPr>
    </w:lvl>
    <w:lvl w:ilvl="7" w:tplc="04090003" w:tentative="1">
      <w:start w:val="1"/>
      <w:numFmt w:val="bullet"/>
      <w:lvlText w:val="o"/>
      <w:lvlJc w:val="left"/>
      <w:pPr>
        <w:ind w:left="4436" w:hanging="360"/>
      </w:pPr>
      <w:rPr>
        <w:rFonts w:ascii="Courier New" w:hAnsi="Courier New" w:hint="default"/>
      </w:rPr>
    </w:lvl>
    <w:lvl w:ilvl="8" w:tplc="04090005" w:tentative="1">
      <w:start w:val="1"/>
      <w:numFmt w:val="bullet"/>
      <w:lvlText w:val=""/>
      <w:lvlJc w:val="left"/>
      <w:pPr>
        <w:ind w:left="5156" w:hanging="360"/>
      </w:pPr>
      <w:rPr>
        <w:rFonts w:ascii="Wingdings" w:hAnsi="Wingdings" w:hint="default"/>
      </w:rPr>
    </w:lvl>
  </w:abstractNum>
  <w:abstractNum w:abstractNumId="9">
    <w:nsid w:val="64FF6071"/>
    <w:multiLevelType w:val="hybridMultilevel"/>
    <w:tmpl w:val="643A7884"/>
    <w:lvl w:ilvl="0" w:tplc="13C01A0E">
      <w:start w:val="1"/>
      <w:numFmt w:val="decimal"/>
      <w:lvlText w:val="%1."/>
      <w:lvlJc w:val="left"/>
      <w:pPr>
        <w:ind w:left="1080" w:hanging="360"/>
      </w:pPr>
      <w:rPr>
        <w:rFonts w:cs="Times New Roman" w:hint="default"/>
      </w:rPr>
    </w:lvl>
    <w:lvl w:ilvl="1" w:tplc="76A4F9EC">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8222A7C"/>
    <w:multiLevelType w:val="hybridMultilevel"/>
    <w:tmpl w:val="3ECC8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0774A42"/>
    <w:multiLevelType w:val="hybridMultilevel"/>
    <w:tmpl w:val="01D6CBC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738C1624"/>
    <w:multiLevelType w:val="hybridMultilevel"/>
    <w:tmpl w:val="61BE2176"/>
    <w:lvl w:ilvl="0" w:tplc="3D7AEB94">
      <w:start w:val="1"/>
      <w:numFmt w:val="decimal"/>
      <w:pStyle w:val="ListNumbered"/>
      <w:lvlText w:val="%1."/>
      <w:lvlJc w:val="left"/>
      <w:pPr>
        <w:ind w:left="720" w:hanging="360"/>
      </w:pPr>
      <w:rPr>
        <w:rFonts w:cs="Times New Roman" w:hint="default"/>
      </w:rPr>
    </w:lvl>
    <w:lvl w:ilvl="1" w:tplc="76A4F9EC">
      <w:start w:val="1"/>
      <w:numFmt w:val="lowerLetter"/>
      <w:pStyle w:val="ListNumberedIndented"/>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5656D67"/>
    <w:multiLevelType w:val="hybridMultilevel"/>
    <w:tmpl w:val="37F6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AF4DE9"/>
    <w:multiLevelType w:val="hybridMultilevel"/>
    <w:tmpl w:val="2CE233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F105C6B"/>
    <w:multiLevelType w:val="hybridMultilevel"/>
    <w:tmpl w:val="B5065E02"/>
    <w:lvl w:ilvl="0" w:tplc="001C88D8">
      <w:start w:val="1"/>
      <w:numFmt w:val="bullet"/>
      <w:pStyle w:val="Partners"/>
      <w:lvlText w:val=""/>
      <w:lvlJc w:val="left"/>
      <w:pPr>
        <w:ind w:left="720" w:hanging="360"/>
      </w:pPr>
      <w:rPr>
        <w:rFonts w:ascii="Symbol" w:hAnsi="Symbol" w:hint="default"/>
      </w:rPr>
    </w:lvl>
    <w:lvl w:ilvl="1" w:tplc="15166270">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8"/>
  </w:num>
  <w:num w:numId="4">
    <w:abstractNumId w:val="1"/>
  </w:num>
  <w:num w:numId="5">
    <w:abstractNumId w:val="10"/>
  </w:num>
  <w:num w:numId="6">
    <w:abstractNumId w:val="2"/>
  </w:num>
  <w:num w:numId="7">
    <w:abstractNumId w:val="5"/>
  </w:num>
  <w:num w:numId="8">
    <w:abstractNumId w:val="12"/>
  </w:num>
  <w:num w:numId="9">
    <w:abstractNumId w:val="12"/>
  </w:num>
  <w:num w:numId="10">
    <w:abstractNumId w:val="6"/>
  </w:num>
  <w:num w:numId="11">
    <w:abstractNumId w:val="13"/>
  </w:num>
  <w:num w:numId="12">
    <w:abstractNumId w:val="15"/>
  </w:num>
  <w:num w:numId="13">
    <w:abstractNumId w:val="15"/>
  </w:num>
  <w:num w:numId="14">
    <w:abstractNumId w:val="7"/>
  </w:num>
  <w:num w:numId="15">
    <w:abstractNumId w:val="9"/>
  </w:num>
  <w:num w:numId="16">
    <w:abstractNumId w:val="14"/>
  </w:num>
  <w:num w:numId="17">
    <w:abstractNumId w:val="12"/>
    <w:lvlOverride w:ilvl="0">
      <w:startOverride w:val="1"/>
    </w:lvlOverride>
  </w:num>
  <w:num w:numId="18">
    <w:abstractNumId w:val="12"/>
    <w:lvlOverride w:ilvl="0">
      <w:startOverride w:val="1"/>
    </w:lvlOverride>
  </w:num>
  <w:num w:numId="19">
    <w:abstractNumId w:val="4"/>
  </w:num>
  <w:num w:numId="20">
    <w:abstractNumId w:val="3"/>
  </w:num>
  <w:num w:numId="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6AB"/>
    <w:rsid w:val="00001293"/>
    <w:rsid w:val="00001733"/>
    <w:rsid w:val="00001803"/>
    <w:rsid w:val="00001959"/>
    <w:rsid w:val="00001A26"/>
    <w:rsid w:val="00001D73"/>
    <w:rsid w:val="0000232D"/>
    <w:rsid w:val="00002631"/>
    <w:rsid w:val="000027DA"/>
    <w:rsid w:val="000027E8"/>
    <w:rsid w:val="00002FCF"/>
    <w:rsid w:val="000037D3"/>
    <w:rsid w:val="000038A7"/>
    <w:rsid w:val="00003B7F"/>
    <w:rsid w:val="00003B9A"/>
    <w:rsid w:val="00003CEE"/>
    <w:rsid w:val="00003F4B"/>
    <w:rsid w:val="00003F51"/>
    <w:rsid w:val="000041C1"/>
    <w:rsid w:val="00004279"/>
    <w:rsid w:val="00004336"/>
    <w:rsid w:val="000047D2"/>
    <w:rsid w:val="00004D1E"/>
    <w:rsid w:val="00004FD6"/>
    <w:rsid w:val="000055CF"/>
    <w:rsid w:val="00005DEE"/>
    <w:rsid w:val="00006881"/>
    <w:rsid w:val="00006D74"/>
    <w:rsid w:val="00007074"/>
    <w:rsid w:val="00007192"/>
    <w:rsid w:val="00007A69"/>
    <w:rsid w:val="00007ECF"/>
    <w:rsid w:val="00010050"/>
    <w:rsid w:val="000105E4"/>
    <w:rsid w:val="000108B6"/>
    <w:rsid w:val="00010BF9"/>
    <w:rsid w:val="00010DB9"/>
    <w:rsid w:val="00010DC3"/>
    <w:rsid w:val="0001141C"/>
    <w:rsid w:val="00011959"/>
    <w:rsid w:val="00011C63"/>
    <w:rsid w:val="00011FC4"/>
    <w:rsid w:val="00012549"/>
    <w:rsid w:val="000133A3"/>
    <w:rsid w:val="000136D5"/>
    <w:rsid w:val="000139BB"/>
    <w:rsid w:val="000141FA"/>
    <w:rsid w:val="000143E9"/>
    <w:rsid w:val="00014627"/>
    <w:rsid w:val="00014F7A"/>
    <w:rsid w:val="000152B6"/>
    <w:rsid w:val="00015865"/>
    <w:rsid w:val="00015A0A"/>
    <w:rsid w:val="00015AE4"/>
    <w:rsid w:val="00015EF3"/>
    <w:rsid w:val="00016526"/>
    <w:rsid w:val="0001719D"/>
    <w:rsid w:val="000171F3"/>
    <w:rsid w:val="0001750A"/>
    <w:rsid w:val="00017518"/>
    <w:rsid w:val="00017C1F"/>
    <w:rsid w:val="000200B5"/>
    <w:rsid w:val="0002022E"/>
    <w:rsid w:val="000204B4"/>
    <w:rsid w:val="000204D1"/>
    <w:rsid w:val="00020544"/>
    <w:rsid w:val="00020709"/>
    <w:rsid w:val="00021091"/>
    <w:rsid w:val="000210E8"/>
    <w:rsid w:val="000215F9"/>
    <w:rsid w:val="00021618"/>
    <w:rsid w:val="000218B6"/>
    <w:rsid w:val="00021C82"/>
    <w:rsid w:val="0002213A"/>
    <w:rsid w:val="0002215B"/>
    <w:rsid w:val="00022501"/>
    <w:rsid w:val="000230A8"/>
    <w:rsid w:val="00023246"/>
    <w:rsid w:val="000233AB"/>
    <w:rsid w:val="000237F4"/>
    <w:rsid w:val="00023C3F"/>
    <w:rsid w:val="00023CEA"/>
    <w:rsid w:val="0002400C"/>
    <w:rsid w:val="000242B7"/>
    <w:rsid w:val="0002433A"/>
    <w:rsid w:val="0002449D"/>
    <w:rsid w:val="000246FA"/>
    <w:rsid w:val="00024B95"/>
    <w:rsid w:val="00024E36"/>
    <w:rsid w:val="00025D3A"/>
    <w:rsid w:val="00025F2B"/>
    <w:rsid w:val="0002676C"/>
    <w:rsid w:val="00026B89"/>
    <w:rsid w:val="00026B95"/>
    <w:rsid w:val="00026E4A"/>
    <w:rsid w:val="00026F85"/>
    <w:rsid w:val="00026FBF"/>
    <w:rsid w:val="000270B4"/>
    <w:rsid w:val="000270C0"/>
    <w:rsid w:val="00027D38"/>
    <w:rsid w:val="00030B44"/>
    <w:rsid w:val="00030B89"/>
    <w:rsid w:val="00030D01"/>
    <w:rsid w:val="00031198"/>
    <w:rsid w:val="0003135F"/>
    <w:rsid w:val="0003139C"/>
    <w:rsid w:val="00031469"/>
    <w:rsid w:val="0003153F"/>
    <w:rsid w:val="0003156F"/>
    <w:rsid w:val="00031E30"/>
    <w:rsid w:val="00031EA9"/>
    <w:rsid w:val="000322B7"/>
    <w:rsid w:val="0003251E"/>
    <w:rsid w:val="00032A34"/>
    <w:rsid w:val="00032CC9"/>
    <w:rsid w:val="00032F55"/>
    <w:rsid w:val="00032FEC"/>
    <w:rsid w:val="00033112"/>
    <w:rsid w:val="000339CB"/>
    <w:rsid w:val="00033D5D"/>
    <w:rsid w:val="00033D76"/>
    <w:rsid w:val="00033F10"/>
    <w:rsid w:val="000341BB"/>
    <w:rsid w:val="0003454E"/>
    <w:rsid w:val="000346D9"/>
    <w:rsid w:val="00034C32"/>
    <w:rsid w:val="000353C3"/>
    <w:rsid w:val="00035BB1"/>
    <w:rsid w:val="00035C06"/>
    <w:rsid w:val="00035E38"/>
    <w:rsid w:val="0003620B"/>
    <w:rsid w:val="00036542"/>
    <w:rsid w:val="0003660A"/>
    <w:rsid w:val="000366F4"/>
    <w:rsid w:val="00036703"/>
    <w:rsid w:val="000369FA"/>
    <w:rsid w:val="000375CD"/>
    <w:rsid w:val="00037780"/>
    <w:rsid w:val="00037CBC"/>
    <w:rsid w:val="0004004C"/>
    <w:rsid w:val="00040057"/>
    <w:rsid w:val="00040230"/>
    <w:rsid w:val="0004061D"/>
    <w:rsid w:val="00040A20"/>
    <w:rsid w:val="00040B7E"/>
    <w:rsid w:val="00040F1D"/>
    <w:rsid w:val="0004102F"/>
    <w:rsid w:val="000411D1"/>
    <w:rsid w:val="00041426"/>
    <w:rsid w:val="000420DA"/>
    <w:rsid w:val="00042146"/>
    <w:rsid w:val="00042E5B"/>
    <w:rsid w:val="00043039"/>
    <w:rsid w:val="00043397"/>
    <w:rsid w:val="000435F0"/>
    <w:rsid w:val="0004381A"/>
    <w:rsid w:val="000439C0"/>
    <w:rsid w:val="00043A86"/>
    <w:rsid w:val="00043EE9"/>
    <w:rsid w:val="00044165"/>
    <w:rsid w:val="00044665"/>
    <w:rsid w:val="00044675"/>
    <w:rsid w:val="0004482B"/>
    <w:rsid w:val="000448D7"/>
    <w:rsid w:val="00044C21"/>
    <w:rsid w:val="00044C68"/>
    <w:rsid w:val="00044DD4"/>
    <w:rsid w:val="000450AB"/>
    <w:rsid w:val="0004574B"/>
    <w:rsid w:val="00045D24"/>
    <w:rsid w:val="00045D58"/>
    <w:rsid w:val="00046039"/>
    <w:rsid w:val="000460AD"/>
    <w:rsid w:val="0004640C"/>
    <w:rsid w:val="00046519"/>
    <w:rsid w:val="00046E65"/>
    <w:rsid w:val="000473AE"/>
    <w:rsid w:val="0004799F"/>
    <w:rsid w:val="00047B1C"/>
    <w:rsid w:val="00047CFF"/>
    <w:rsid w:val="000501D0"/>
    <w:rsid w:val="00050250"/>
    <w:rsid w:val="00050618"/>
    <w:rsid w:val="00050B78"/>
    <w:rsid w:val="00051023"/>
    <w:rsid w:val="0005139A"/>
    <w:rsid w:val="00051A24"/>
    <w:rsid w:val="00051ABF"/>
    <w:rsid w:val="00052AC3"/>
    <w:rsid w:val="00053471"/>
    <w:rsid w:val="000537A8"/>
    <w:rsid w:val="000538C2"/>
    <w:rsid w:val="00053D82"/>
    <w:rsid w:val="000541B0"/>
    <w:rsid w:val="00054671"/>
    <w:rsid w:val="000548D5"/>
    <w:rsid w:val="00054F40"/>
    <w:rsid w:val="00054F59"/>
    <w:rsid w:val="00055307"/>
    <w:rsid w:val="00055454"/>
    <w:rsid w:val="00055BF6"/>
    <w:rsid w:val="00055E0B"/>
    <w:rsid w:val="00055E50"/>
    <w:rsid w:val="00056C92"/>
    <w:rsid w:val="00056D58"/>
    <w:rsid w:val="00056DF7"/>
    <w:rsid w:val="000572BD"/>
    <w:rsid w:val="000573E8"/>
    <w:rsid w:val="0005748C"/>
    <w:rsid w:val="0005756F"/>
    <w:rsid w:val="000576EC"/>
    <w:rsid w:val="00057AF1"/>
    <w:rsid w:val="000603AF"/>
    <w:rsid w:val="00060563"/>
    <w:rsid w:val="0006099B"/>
    <w:rsid w:val="00060ADE"/>
    <w:rsid w:val="00060D80"/>
    <w:rsid w:val="0006174C"/>
    <w:rsid w:val="00061C34"/>
    <w:rsid w:val="000621E7"/>
    <w:rsid w:val="000625C6"/>
    <w:rsid w:val="000626EB"/>
    <w:rsid w:val="00062E2B"/>
    <w:rsid w:val="0006319E"/>
    <w:rsid w:val="00063A57"/>
    <w:rsid w:val="00063AD8"/>
    <w:rsid w:val="00063CC7"/>
    <w:rsid w:val="00063DB4"/>
    <w:rsid w:val="00063EE5"/>
    <w:rsid w:val="00063EED"/>
    <w:rsid w:val="0006409F"/>
    <w:rsid w:val="00064DC8"/>
    <w:rsid w:val="0006506D"/>
    <w:rsid w:val="000659BD"/>
    <w:rsid w:val="00066F09"/>
    <w:rsid w:val="000672A6"/>
    <w:rsid w:val="0006739F"/>
    <w:rsid w:val="00067661"/>
    <w:rsid w:val="00067684"/>
    <w:rsid w:val="00067933"/>
    <w:rsid w:val="00067C71"/>
    <w:rsid w:val="00067E67"/>
    <w:rsid w:val="00067E77"/>
    <w:rsid w:val="00070E57"/>
    <w:rsid w:val="000710D4"/>
    <w:rsid w:val="00071387"/>
    <w:rsid w:val="000713B8"/>
    <w:rsid w:val="00071574"/>
    <w:rsid w:val="0007181F"/>
    <w:rsid w:val="00071832"/>
    <w:rsid w:val="0007199E"/>
    <w:rsid w:val="00072131"/>
    <w:rsid w:val="000726F5"/>
    <w:rsid w:val="00072966"/>
    <w:rsid w:val="00072AC7"/>
    <w:rsid w:val="00072FC6"/>
    <w:rsid w:val="0007304C"/>
    <w:rsid w:val="0007316A"/>
    <w:rsid w:val="0007351F"/>
    <w:rsid w:val="00073E6F"/>
    <w:rsid w:val="00073FD6"/>
    <w:rsid w:val="000741A5"/>
    <w:rsid w:val="00074896"/>
    <w:rsid w:val="000751D7"/>
    <w:rsid w:val="000753D0"/>
    <w:rsid w:val="000756C4"/>
    <w:rsid w:val="000757DD"/>
    <w:rsid w:val="00075A43"/>
    <w:rsid w:val="00075A4C"/>
    <w:rsid w:val="00075AE1"/>
    <w:rsid w:val="00075B61"/>
    <w:rsid w:val="00075D8A"/>
    <w:rsid w:val="0007637B"/>
    <w:rsid w:val="0007659B"/>
    <w:rsid w:val="00076B80"/>
    <w:rsid w:val="00077079"/>
    <w:rsid w:val="00077529"/>
    <w:rsid w:val="000775D3"/>
    <w:rsid w:val="00077B4E"/>
    <w:rsid w:val="00077C4B"/>
    <w:rsid w:val="00080339"/>
    <w:rsid w:val="00080845"/>
    <w:rsid w:val="00080EF2"/>
    <w:rsid w:val="000816C0"/>
    <w:rsid w:val="00081EDB"/>
    <w:rsid w:val="00081FC3"/>
    <w:rsid w:val="00082C46"/>
    <w:rsid w:val="000832D8"/>
    <w:rsid w:val="00083377"/>
    <w:rsid w:val="0008496A"/>
    <w:rsid w:val="00084A87"/>
    <w:rsid w:val="000851B0"/>
    <w:rsid w:val="00085647"/>
    <w:rsid w:val="00085DA6"/>
    <w:rsid w:val="00085E19"/>
    <w:rsid w:val="00086224"/>
    <w:rsid w:val="000865E8"/>
    <w:rsid w:val="00086857"/>
    <w:rsid w:val="00086A49"/>
    <w:rsid w:val="00086A5C"/>
    <w:rsid w:val="00086D30"/>
    <w:rsid w:val="00087275"/>
    <w:rsid w:val="00087744"/>
    <w:rsid w:val="00087FEB"/>
    <w:rsid w:val="00090085"/>
    <w:rsid w:val="0009036D"/>
    <w:rsid w:val="0009045C"/>
    <w:rsid w:val="00090571"/>
    <w:rsid w:val="00090DDD"/>
    <w:rsid w:val="00091219"/>
    <w:rsid w:val="00091278"/>
    <w:rsid w:val="00091317"/>
    <w:rsid w:val="00091FBB"/>
    <w:rsid w:val="00092983"/>
    <w:rsid w:val="00092B51"/>
    <w:rsid w:val="00092CAD"/>
    <w:rsid w:val="00092D1F"/>
    <w:rsid w:val="00093C24"/>
    <w:rsid w:val="00094744"/>
    <w:rsid w:val="00094896"/>
    <w:rsid w:val="00094E17"/>
    <w:rsid w:val="00094EC4"/>
    <w:rsid w:val="000958BD"/>
    <w:rsid w:val="00095D9C"/>
    <w:rsid w:val="00096036"/>
    <w:rsid w:val="000963B2"/>
    <w:rsid w:val="00096515"/>
    <w:rsid w:val="00097270"/>
    <w:rsid w:val="000972BA"/>
    <w:rsid w:val="00097483"/>
    <w:rsid w:val="0009787D"/>
    <w:rsid w:val="00097F4E"/>
    <w:rsid w:val="000A05CF"/>
    <w:rsid w:val="000A081F"/>
    <w:rsid w:val="000A091E"/>
    <w:rsid w:val="000A0C7E"/>
    <w:rsid w:val="000A0E52"/>
    <w:rsid w:val="000A1910"/>
    <w:rsid w:val="000A19DC"/>
    <w:rsid w:val="000A1DD5"/>
    <w:rsid w:val="000A1FB2"/>
    <w:rsid w:val="000A2004"/>
    <w:rsid w:val="000A2603"/>
    <w:rsid w:val="000A2CC3"/>
    <w:rsid w:val="000A2D7D"/>
    <w:rsid w:val="000A2DE0"/>
    <w:rsid w:val="000A31B9"/>
    <w:rsid w:val="000A3AA8"/>
    <w:rsid w:val="000A3FCF"/>
    <w:rsid w:val="000A414D"/>
    <w:rsid w:val="000A4C23"/>
    <w:rsid w:val="000A4CFB"/>
    <w:rsid w:val="000A51E5"/>
    <w:rsid w:val="000A53CD"/>
    <w:rsid w:val="000A5A80"/>
    <w:rsid w:val="000A5AE7"/>
    <w:rsid w:val="000A5DDF"/>
    <w:rsid w:val="000A62A8"/>
    <w:rsid w:val="000A62BB"/>
    <w:rsid w:val="000A675E"/>
    <w:rsid w:val="000A6839"/>
    <w:rsid w:val="000A69B8"/>
    <w:rsid w:val="000A6CE1"/>
    <w:rsid w:val="000A6F58"/>
    <w:rsid w:val="000A7719"/>
    <w:rsid w:val="000A7AAB"/>
    <w:rsid w:val="000A7CF2"/>
    <w:rsid w:val="000A7F86"/>
    <w:rsid w:val="000A7FE4"/>
    <w:rsid w:val="000B0117"/>
    <w:rsid w:val="000B0553"/>
    <w:rsid w:val="000B05AA"/>
    <w:rsid w:val="000B0866"/>
    <w:rsid w:val="000B09B6"/>
    <w:rsid w:val="000B09CD"/>
    <w:rsid w:val="000B0F3E"/>
    <w:rsid w:val="000B0FC2"/>
    <w:rsid w:val="000B12D7"/>
    <w:rsid w:val="000B1313"/>
    <w:rsid w:val="000B176A"/>
    <w:rsid w:val="000B1886"/>
    <w:rsid w:val="000B18A8"/>
    <w:rsid w:val="000B1C13"/>
    <w:rsid w:val="000B2014"/>
    <w:rsid w:val="000B24B9"/>
    <w:rsid w:val="000B2548"/>
    <w:rsid w:val="000B277E"/>
    <w:rsid w:val="000B292E"/>
    <w:rsid w:val="000B2E99"/>
    <w:rsid w:val="000B30EA"/>
    <w:rsid w:val="000B30F9"/>
    <w:rsid w:val="000B420D"/>
    <w:rsid w:val="000B4302"/>
    <w:rsid w:val="000B43EA"/>
    <w:rsid w:val="000B43ED"/>
    <w:rsid w:val="000B447B"/>
    <w:rsid w:val="000B453C"/>
    <w:rsid w:val="000B47DE"/>
    <w:rsid w:val="000B49BC"/>
    <w:rsid w:val="000B4AD5"/>
    <w:rsid w:val="000B4EF1"/>
    <w:rsid w:val="000B4FBB"/>
    <w:rsid w:val="000B4FE2"/>
    <w:rsid w:val="000B5090"/>
    <w:rsid w:val="000B5093"/>
    <w:rsid w:val="000B5290"/>
    <w:rsid w:val="000B539F"/>
    <w:rsid w:val="000B55B9"/>
    <w:rsid w:val="000B655E"/>
    <w:rsid w:val="000B68CA"/>
    <w:rsid w:val="000B6CC3"/>
    <w:rsid w:val="000B6CD1"/>
    <w:rsid w:val="000B6F07"/>
    <w:rsid w:val="000B79D4"/>
    <w:rsid w:val="000B7A71"/>
    <w:rsid w:val="000B7AB5"/>
    <w:rsid w:val="000B7DEA"/>
    <w:rsid w:val="000C0134"/>
    <w:rsid w:val="000C043C"/>
    <w:rsid w:val="000C0634"/>
    <w:rsid w:val="000C0683"/>
    <w:rsid w:val="000C0F95"/>
    <w:rsid w:val="000C1405"/>
    <w:rsid w:val="000C197B"/>
    <w:rsid w:val="000C1EC2"/>
    <w:rsid w:val="000C3503"/>
    <w:rsid w:val="000C4293"/>
    <w:rsid w:val="000C42C1"/>
    <w:rsid w:val="000C42CD"/>
    <w:rsid w:val="000C4318"/>
    <w:rsid w:val="000C4723"/>
    <w:rsid w:val="000C4AD9"/>
    <w:rsid w:val="000C5316"/>
    <w:rsid w:val="000C556A"/>
    <w:rsid w:val="000C56EC"/>
    <w:rsid w:val="000C57E9"/>
    <w:rsid w:val="000C6583"/>
    <w:rsid w:val="000C664C"/>
    <w:rsid w:val="000C680C"/>
    <w:rsid w:val="000C69E6"/>
    <w:rsid w:val="000C6D4B"/>
    <w:rsid w:val="000C719E"/>
    <w:rsid w:val="000C7227"/>
    <w:rsid w:val="000C7B79"/>
    <w:rsid w:val="000C7CCB"/>
    <w:rsid w:val="000C7D97"/>
    <w:rsid w:val="000C7DF6"/>
    <w:rsid w:val="000C7F36"/>
    <w:rsid w:val="000D06F7"/>
    <w:rsid w:val="000D06FD"/>
    <w:rsid w:val="000D0781"/>
    <w:rsid w:val="000D0F3A"/>
    <w:rsid w:val="000D14BE"/>
    <w:rsid w:val="000D16DE"/>
    <w:rsid w:val="000D1D25"/>
    <w:rsid w:val="000D2300"/>
    <w:rsid w:val="000D25C0"/>
    <w:rsid w:val="000D26AE"/>
    <w:rsid w:val="000D2B90"/>
    <w:rsid w:val="000D2D6D"/>
    <w:rsid w:val="000D330D"/>
    <w:rsid w:val="000D33EC"/>
    <w:rsid w:val="000D3709"/>
    <w:rsid w:val="000D3842"/>
    <w:rsid w:val="000D3A34"/>
    <w:rsid w:val="000D3C46"/>
    <w:rsid w:val="000D3D4E"/>
    <w:rsid w:val="000D3D81"/>
    <w:rsid w:val="000D42AC"/>
    <w:rsid w:val="000D5787"/>
    <w:rsid w:val="000D5814"/>
    <w:rsid w:val="000D58E9"/>
    <w:rsid w:val="000D5B0F"/>
    <w:rsid w:val="000D5E6D"/>
    <w:rsid w:val="000D6312"/>
    <w:rsid w:val="000D632D"/>
    <w:rsid w:val="000D6377"/>
    <w:rsid w:val="000D6A6A"/>
    <w:rsid w:val="000D6F47"/>
    <w:rsid w:val="000D7048"/>
    <w:rsid w:val="000D7057"/>
    <w:rsid w:val="000D75F8"/>
    <w:rsid w:val="000D7656"/>
    <w:rsid w:val="000E017F"/>
    <w:rsid w:val="000E11FC"/>
    <w:rsid w:val="000E1341"/>
    <w:rsid w:val="000E139F"/>
    <w:rsid w:val="000E13ED"/>
    <w:rsid w:val="000E185C"/>
    <w:rsid w:val="000E1A2A"/>
    <w:rsid w:val="000E1A45"/>
    <w:rsid w:val="000E1B05"/>
    <w:rsid w:val="000E1F7B"/>
    <w:rsid w:val="000E20F1"/>
    <w:rsid w:val="000E2543"/>
    <w:rsid w:val="000E2AE4"/>
    <w:rsid w:val="000E2D3C"/>
    <w:rsid w:val="000E2EA9"/>
    <w:rsid w:val="000E3D25"/>
    <w:rsid w:val="000E45A6"/>
    <w:rsid w:val="000E476C"/>
    <w:rsid w:val="000E4A99"/>
    <w:rsid w:val="000E4EF7"/>
    <w:rsid w:val="000E533F"/>
    <w:rsid w:val="000E5762"/>
    <w:rsid w:val="000E5F9E"/>
    <w:rsid w:val="000E67FD"/>
    <w:rsid w:val="000E6C56"/>
    <w:rsid w:val="000E6EA9"/>
    <w:rsid w:val="000E6EAA"/>
    <w:rsid w:val="000E6FB5"/>
    <w:rsid w:val="000E70B9"/>
    <w:rsid w:val="000E7182"/>
    <w:rsid w:val="000E726C"/>
    <w:rsid w:val="000E7555"/>
    <w:rsid w:val="000E79C7"/>
    <w:rsid w:val="000E7C1D"/>
    <w:rsid w:val="000F06D7"/>
    <w:rsid w:val="000F08CB"/>
    <w:rsid w:val="000F0FF9"/>
    <w:rsid w:val="000F10C1"/>
    <w:rsid w:val="000F10D5"/>
    <w:rsid w:val="000F110D"/>
    <w:rsid w:val="000F1917"/>
    <w:rsid w:val="000F1CB7"/>
    <w:rsid w:val="000F2156"/>
    <w:rsid w:val="000F228E"/>
    <w:rsid w:val="000F2393"/>
    <w:rsid w:val="000F2D09"/>
    <w:rsid w:val="000F2DFE"/>
    <w:rsid w:val="000F2E2C"/>
    <w:rsid w:val="000F379C"/>
    <w:rsid w:val="000F3D5A"/>
    <w:rsid w:val="000F3D7B"/>
    <w:rsid w:val="000F417F"/>
    <w:rsid w:val="000F4AFE"/>
    <w:rsid w:val="000F4B1B"/>
    <w:rsid w:val="000F4D6E"/>
    <w:rsid w:val="000F5474"/>
    <w:rsid w:val="000F57B3"/>
    <w:rsid w:val="000F59BE"/>
    <w:rsid w:val="000F5F7F"/>
    <w:rsid w:val="000F6128"/>
    <w:rsid w:val="000F6381"/>
    <w:rsid w:val="000F686B"/>
    <w:rsid w:val="000F6D24"/>
    <w:rsid w:val="000F6E2F"/>
    <w:rsid w:val="000F6FAD"/>
    <w:rsid w:val="000F7494"/>
    <w:rsid w:val="000F7AA0"/>
    <w:rsid w:val="000F7BC4"/>
    <w:rsid w:val="000F7F05"/>
    <w:rsid w:val="00100231"/>
    <w:rsid w:val="00100273"/>
    <w:rsid w:val="001007BD"/>
    <w:rsid w:val="0010088B"/>
    <w:rsid w:val="00100E8A"/>
    <w:rsid w:val="00101032"/>
    <w:rsid w:val="00101328"/>
    <w:rsid w:val="001015A3"/>
    <w:rsid w:val="001015DD"/>
    <w:rsid w:val="001020DC"/>
    <w:rsid w:val="001024A4"/>
    <w:rsid w:val="00102CBB"/>
    <w:rsid w:val="00102E80"/>
    <w:rsid w:val="001031FC"/>
    <w:rsid w:val="00103288"/>
    <w:rsid w:val="00103E70"/>
    <w:rsid w:val="00103FB4"/>
    <w:rsid w:val="0010419F"/>
    <w:rsid w:val="00104482"/>
    <w:rsid w:val="00104569"/>
    <w:rsid w:val="001049DA"/>
    <w:rsid w:val="00104DAA"/>
    <w:rsid w:val="00104F12"/>
    <w:rsid w:val="00105541"/>
    <w:rsid w:val="00105F02"/>
    <w:rsid w:val="00106009"/>
    <w:rsid w:val="00106127"/>
    <w:rsid w:val="001067EE"/>
    <w:rsid w:val="00106A3D"/>
    <w:rsid w:val="00107245"/>
    <w:rsid w:val="00107741"/>
    <w:rsid w:val="0011030E"/>
    <w:rsid w:val="0011032C"/>
    <w:rsid w:val="00110655"/>
    <w:rsid w:val="00110857"/>
    <w:rsid w:val="00110B57"/>
    <w:rsid w:val="00110DD1"/>
    <w:rsid w:val="00110ED0"/>
    <w:rsid w:val="00110ED8"/>
    <w:rsid w:val="00111A9E"/>
    <w:rsid w:val="001124B8"/>
    <w:rsid w:val="001124BD"/>
    <w:rsid w:val="001125B3"/>
    <w:rsid w:val="0011276B"/>
    <w:rsid w:val="001127CA"/>
    <w:rsid w:val="00112CDD"/>
    <w:rsid w:val="00113A01"/>
    <w:rsid w:val="00113DAC"/>
    <w:rsid w:val="00114041"/>
    <w:rsid w:val="001140F3"/>
    <w:rsid w:val="0011420D"/>
    <w:rsid w:val="00114583"/>
    <w:rsid w:val="00114621"/>
    <w:rsid w:val="00114AF4"/>
    <w:rsid w:val="00115BA7"/>
    <w:rsid w:val="00115DD4"/>
    <w:rsid w:val="00116118"/>
    <w:rsid w:val="00116249"/>
    <w:rsid w:val="00116522"/>
    <w:rsid w:val="00116606"/>
    <w:rsid w:val="001170E6"/>
    <w:rsid w:val="001175F0"/>
    <w:rsid w:val="00117913"/>
    <w:rsid w:val="00120C39"/>
    <w:rsid w:val="00120F74"/>
    <w:rsid w:val="0012142D"/>
    <w:rsid w:val="00121531"/>
    <w:rsid w:val="00121A20"/>
    <w:rsid w:val="00121E2A"/>
    <w:rsid w:val="00122C45"/>
    <w:rsid w:val="00122C4D"/>
    <w:rsid w:val="00123CD9"/>
    <w:rsid w:val="00123F0B"/>
    <w:rsid w:val="00124CA3"/>
    <w:rsid w:val="00124CBF"/>
    <w:rsid w:val="00124DE4"/>
    <w:rsid w:val="0012500A"/>
    <w:rsid w:val="00125098"/>
    <w:rsid w:val="00125B56"/>
    <w:rsid w:val="0012601B"/>
    <w:rsid w:val="00126094"/>
    <w:rsid w:val="0012652C"/>
    <w:rsid w:val="001266E5"/>
    <w:rsid w:val="00126750"/>
    <w:rsid w:val="001267A8"/>
    <w:rsid w:val="0012696F"/>
    <w:rsid w:val="0012705B"/>
    <w:rsid w:val="001276C6"/>
    <w:rsid w:val="00127B84"/>
    <w:rsid w:val="00127DD3"/>
    <w:rsid w:val="00127ECE"/>
    <w:rsid w:val="001302FF"/>
    <w:rsid w:val="00130D8A"/>
    <w:rsid w:val="00131002"/>
    <w:rsid w:val="0013111E"/>
    <w:rsid w:val="00131322"/>
    <w:rsid w:val="00131637"/>
    <w:rsid w:val="001316CE"/>
    <w:rsid w:val="0013178E"/>
    <w:rsid w:val="00131BB9"/>
    <w:rsid w:val="00131EBF"/>
    <w:rsid w:val="00131FD9"/>
    <w:rsid w:val="00132030"/>
    <w:rsid w:val="0013223C"/>
    <w:rsid w:val="00132824"/>
    <w:rsid w:val="00132C62"/>
    <w:rsid w:val="0013382C"/>
    <w:rsid w:val="0013480F"/>
    <w:rsid w:val="00134906"/>
    <w:rsid w:val="001355F1"/>
    <w:rsid w:val="0013574A"/>
    <w:rsid w:val="001358FB"/>
    <w:rsid w:val="00135C09"/>
    <w:rsid w:val="00135C8E"/>
    <w:rsid w:val="00135E10"/>
    <w:rsid w:val="00136498"/>
    <w:rsid w:val="00136F60"/>
    <w:rsid w:val="00136F6B"/>
    <w:rsid w:val="001372A6"/>
    <w:rsid w:val="00137796"/>
    <w:rsid w:val="00137A8B"/>
    <w:rsid w:val="00140027"/>
    <w:rsid w:val="00140772"/>
    <w:rsid w:val="001409C2"/>
    <w:rsid w:val="00140E4D"/>
    <w:rsid w:val="00140F23"/>
    <w:rsid w:val="00141177"/>
    <w:rsid w:val="00141E32"/>
    <w:rsid w:val="0014201B"/>
    <w:rsid w:val="001422A7"/>
    <w:rsid w:val="001425EF"/>
    <w:rsid w:val="00142648"/>
    <w:rsid w:val="00142A9D"/>
    <w:rsid w:val="00142D56"/>
    <w:rsid w:val="001432CB"/>
    <w:rsid w:val="00143762"/>
    <w:rsid w:val="00143A32"/>
    <w:rsid w:val="00144209"/>
    <w:rsid w:val="0014424E"/>
    <w:rsid w:val="0014435B"/>
    <w:rsid w:val="0014454C"/>
    <w:rsid w:val="00144820"/>
    <w:rsid w:val="00144894"/>
    <w:rsid w:val="00144DA4"/>
    <w:rsid w:val="00144F12"/>
    <w:rsid w:val="00144FB5"/>
    <w:rsid w:val="0014516A"/>
    <w:rsid w:val="0014524D"/>
    <w:rsid w:val="00145336"/>
    <w:rsid w:val="0014538D"/>
    <w:rsid w:val="00145A18"/>
    <w:rsid w:val="00145C62"/>
    <w:rsid w:val="00145F45"/>
    <w:rsid w:val="00146CA9"/>
    <w:rsid w:val="001471B0"/>
    <w:rsid w:val="001474C4"/>
    <w:rsid w:val="00147652"/>
    <w:rsid w:val="001476D3"/>
    <w:rsid w:val="00150064"/>
    <w:rsid w:val="00150125"/>
    <w:rsid w:val="00150209"/>
    <w:rsid w:val="0015022E"/>
    <w:rsid w:val="0015042D"/>
    <w:rsid w:val="001506FD"/>
    <w:rsid w:val="00150BB5"/>
    <w:rsid w:val="00150C55"/>
    <w:rsid w:val="00150D44"/>
    <w:rsid w:val="00150F0A"/>
    <w:rsid w:val="00152526"/>
    <w:rsid w:val="001527E5"/>
    <w:rsid w:val="00152814"/>
    <w:rsid w:val="00152C53"/>
    <w:rsid w:val="00152FE8"/>
    <w:rsid w:val="001530BD"/>
    <w:rsid w:val="0015311D"/>
    <w:rsid w:val="00153526"/>
    <w:rsid w:val="00153734"/>
    <w:rsid w:val="001539F5"/>
    <w:rsid w:val="00153E26"/>
    <w:rsid w:val="00154270"/>
    <w:rsid w:val="001542F5"/>
    <w:rsid w:val="00154F31"/>
    <w:rsid w:val="00155170"/>
    <w:rsid w:val="0015562E"/>
    <w:rsid w:val="001556C0"/>
    <w:rsid w:val="00155CD5"/>
    <w:rsid w:val="00155CDF"/>
    <w:rsid w:val="00156606"/>
    <w:rsid w:val="001567A4"/>
    <w:rsid w:val="00156B76"/>
    <w:rsid w:val="00157C0D"/>
    <w:rsid w:val="00157C32"/>
    <w:rsid w:val="00157DB9"/>
    <w:rsid w:val="00160117"/>
    <w:rsid w:val="001604C4"/>
    <w:rsid w:val="001607C4"/>
    <w:rsid w:val="0016087A"/>
    <w:rsid w:val="00160E2F"/>
    <w:rsid w:val="00161EF6"/>
    <w:rsid w:val="001620FA"/>
    <w:rsid w:val="0016232E"/>
    <w:rsid w:val="00162A0F"/>
    <w:rsid w:val="00162EE9"/>
    <w:rsid w:val="001630CB"/>
    <w:rsid w:val="00163288"/>
    <w:rsid w:val="001633F7"/>
    <w:rsid w:val="0016387E"/>
    <w:rsid w:val="00163F6F"/>
    <w:rsid w:val="001642CE"/>
    <w:rsid w:val="00164AD5"/>
    <w:rsid w:val="0016549E"/>
    <w:rsid w:val="00165D38"/>
    <w:rsid w:val="00165E8D"/>
    <w:rsid w:val="00166091"/>
    <w:rsid w:val="00166C8D"/>
    <w:rsid w:val="00166D22"/>
    <w:rsid w:val="0016719A"/>
    <w:rsid w:val="00167B49"/>
    <w:rsid w:val="00167C91"/>
    <w:rsid w:val="00167D83"/>
    <w:rsid w:val="00167E4F"/>
    <w:rsid w:val="00167FB9"/>
    <w:rsid w:val="001707DD"/>
    <w:rsid w:val="00170A28"/>
    <w:rsid w:val="00170B21"/>
    <w:rsid w:val="0017100B"/>
    <w:rsid w:val="00171210"/>
    <w:rsid w:val="0017138B"/>
    <w:rsid w:val="001716B3"/>
    <w:rsid w:val="00171750"/>
    <w:rsid w:val="00171FD6"/>
    <w:rsid w:val="00172178"/>
    <w:rsid w:val="00172498"/>
    <w:rsid w:val="001724E1"/>
    <w:rsid w:val="001727B5"/>
    <w:rsid w:val="00172B35"/>
    <w:rsid w:val="00172D23"/>
    <w:rsid w:val="00173047"/>
    <w:rsid w:val="0017315A"/>
    <w:rsid w:val="00173696"/>
    <w:rsid w:val="001736DA"/>
    <w:rsid w:val="001737A1"/>
    <w:rsid w:val="00173E86"/>
    <w:rsid w:val="00174229"/>
    <w:rsid w:val="00174381"/>
    <w:rsid w:val="001749EE"/>
    <w:rsid w:val="00175282"/>
    <w:rsid w:val="001757F3"/>
    <w:rsid w:val="00175D16"/>
    <w:rsid w:val="00175ED5"/>
    <w:rsid w:val="00175F31"/>
    <w:rsid w:val="00176232"/>
    <w:rsid w:val="00176685"/>
    <w:rsid w:val="001767BB"/>
    <w:rsid w:val="00176EB4"/>
    <w:rsid w:val="001771E5"/>
    <w:rsid w:val="0017764B"/>
    <w:rsid w:val="00177D96"/>
    <w:rsid w:val="00177F0C"/>
    <w:rsid w:val="00177FD2"/>
    <w:rsid w:val="00180E72"/>
    <w:rsid w:val="0018172C"/>
    <w:rsid w:val="00182A23"/>
    <w:rsid w:val="00182BF4"/>
    <w:rsid w:val="00182DC8"/>
    <w:rsid w:val="00182E8F"/>
    <w:rsid w:val="001832B6"/>
    <w:rsid w:val="00183778"/>
    <w:rsid w:val="00183D98"/>
    <w:rsid w:val="0018466B"/>
    <w:rsid w:val="00184888"/>
    <w:rsid w:val="0018490A"/>
    <w:rsid w:val="00184914"/>
    <w:rsid w:val="00184CB3"/>
    <w:rsid w:val="00185253"/>
    <w:rsid w:val="00185A56"/>
    <w:rsid w:val="00185AEC"/>
    <w:rsid w:val="00185B11"/>
    <w:rsid w:val="00185D8C"/>
    <w:rsid w:val="00186244"/>
    <w:rsid w:val="0018662A"/>
    <w:rsid w:val="0018697B"/>
    <w:rsid w:val="00186A1D"/>
    <w:rsid w:val="00186C54"/>
    <w:rsid w:val="00186D50"/>
    <w:rsid w:val="001870AC"/>
    <w:rsid w:val="001870BE"/>
    <w:rsid w:val="00187653"/>
    <w:rsid w:val="001876D8"/>
    <w:rsid w:val="00187C42"/>
    <w:rsid w:val="00190078"/>
    <w:rsid w:val="001900D7"/>
    <w:rsid w:val="001906E0"/>
    <w:rsid w:val="001909AB"/>
    <w:rsid w:val="00190E03"/>
    <w:rsid w:val="00191484"/>
    <w:rsid w:val="001914E2"/>
    <w:rsid w:val="001917D0"/>
    <w:rsid w:val="00191C86"/>
    <w:rsid w:val="0019207E"/>
    <w:rsid w:val="001925D4"/>
    <w:rsid w:val="001927A7"/>
    <w:rsid w:val="001928CB"/>
    <w:rsid w:val="0019298F"/>
    <w:rsid w:val="00192AC6"/>
    <w:rsid w:val="001932BC"/>
    <w:rsid w:val="00193956"/>
    <w:rsid w:val="00193E61"/>
    <w:rsid w:val="00193FE2"/>
    <w:rsid w:val="00194F6A"/>
    <w:rsid w:val="00195B13"/>
    <w:rsid w:val="00195FA7"/>
    <w:rsid w:val="00196167"/>
    <w:rsid w:val="001962BB"/>
    <w:rsid w:val="001963D9"/>
    <w:rsid w:val="00196491"/>
    <w:rsid w:val="001965F0"/>
    <w:rsid w:val="00196698"/>
    <w:rsid w:val="00196809"/>
    <w:rsid w:val="00196BC5"/>
    <w:rsid w:val="00197B14"/>
    <w:rsid w:val="00197CB0"/>
    <w:rsid w:val="001A0B2C"/>
    <w:rsid w:val="001A0F6A"/>
    <w:rsid w:val="001A117D"/>
    <w:rsid w:val="001A1245"/>
    <w:rsid w:val="001A1753"/>
    <w:rsid w:val="001A19F1"/>
    <w:rsid w:val="001A1A83"/>
    <w:rsid w:val="001A1E2C"/>
    <w:rsid w:val="001A2174"/>
    <w:rsid w:val="001A2EC7"/>
    <w:rsid w:val="001A2FE5"/>
    <w:rsid w:val="001A3BA2"/>
    <w:rsid w:val="001A4241"/>
    <w:rsid w:val="001A43DE"/>
    <w:rsid w:val="001A469C"/>
    <w:rsid w:val="001A4794"/>
    <w:rsid w:val="001A53BD"/>
    <w:rsid w:val="001A5478"/>
    <w:rsid w:val="001A5A72"/>
    <w:rsid w:val="001A5B30"/>
    <w:rsid w:val="001A6397"/>
    <w:rsid w:val="001A6438"/>
    <w:rsid w:val="001A6697"/>
    <w:rsid w:val="001A684D"/>
    <w:rsid w:val="001A68A2"/>
    <w:rsid w:val="001A6B9B"/>
    <w:rsid w:val="001A6C9C"/>
    <w:rsid w:val="001A6EEF"/>
    <w:rsid w:val="001A7EEC"/>
    <w:rsid w:val="001A7FAE"/>
    <w:rsid w:val="001B0131"/>
    <w:rsid w:val="001B02A9"/>
    <w:rsid w:val="001B08DE"/>
    <w:rsid w:val="001B0A6E"/>
    <w:rsid w:val="001B14D5"/>
    <w:rsid w:val="001B152F"/>
    <w:rsid w:val="001B1F84"/>
    <w:rsid w:val="001B1FFC"/>
    <w:rsid w:val="001B216D"/>
    <w:rsid w:val="001B2989"/>
    <w:rsid w:val="001B2F8D"/>
    <w:rsid w:val="001B35B2"/>
    <w:rsid w:val="001B38CB"/>
    <w:rsid w:val="001B3B5A"/>
    <w:rsid w:val="001B3D23"/>
    <w:rsid w:val="001B3D7C"/>
    <w:rsid w:val="001B410B"/>
    <w:rsid w:val="001B46D2"/>
    <w:rsid w:val="001B4EA3"/>
    <w:rsid w:val="001B4F8C"/>
    <w:rsid w:val="001B5074"/>
    <w:rsid w:val="001B5468"/>
    <w:rsid w:val="001B59EB"/>
    <w:rsid w:val="001B67CC"/>
    <w:rsid w:val="001B69AB"/>
    <w:rsid w:val="001B6B8D"/>
    <w:rsid w:val="001B6BBA"/>
    <w:rsid w:val="001B6D33"/>
    <w:rsid w:val="001B6E59"/>
    <w:rsid w:val="001B6F48"/>
    <w:rsid w:val="001B72DE"/>
    <w:rsid w:val="001B73AD"/>
    <w:rsid w:val="001B74BF"/>
    <w:rsid w:val="001B776C"/>
    <w:rsid w:val="001C00A7"/>
    <w:rsid w:val="001C046B"/>
    <w:rsid w:val="001C0B33"/>
    <w:rsid w:val="001C0CBE"/>
    <w:rsid w:val="001C0EBE"/>
    <w:rsid w:val="001C15E6"/>
    <w:rsid w:val="001C165A"/>
    <w:rsid w:val="001C1A50"/>
    <w:rsid w:val="001C1AF6"/>
    <w:rsid w:val="001C20F3"/>
    <w:rsid w:val="001C220B"/>
    <w:rsid w:val="001C240D"/>
    <w:rsid w:val="001C28E6"/>
    <w:rsid w:val="001C29D2"/>
    <w:rsid w:val="001C2B14"/>
    <w:rsid w:val="001C2D2C"/>
    <w:rsid w:val="001C2E49"/>
    <w:rsid w:val="001C31A2"/>
    <w:rsid w:val="001C3351"/>
    <w:rsid w:val="001C37A2"/>
    <w:rsid w:val="001C3AD0"/>
    <w:rsid w:val="001C3D88"/>
    <w:rsid w:val="001C3DE8"/>
    <w:rsid w:val="001C41E9"/>
    <w:rsid w:val="001C4579"/>
    <w:rsid w:val="001C51AD"/>
    <w:rsid w:val="001C5418"/>
    <w:rsid w:val="001C5453"/>
    <w:rsid w:val="001C5557"/>
    <w:rsid w:val="001C58DA"/>
    <w:rsid w:val="001C59CE"/>
    <w:rsid w:val="001C59DE"/>
    <w:rsid w:val="001C5DF9"/>
    <w:rsid w:val="001C60E9"/>
    <w:rsid w:val="001C60EA"/>
    <w:rsid w:val="001C69F1"/>
    <w:rsid w:val="001C7451"/>
    <w:rsid w:val="001C764C"/>
    <w:rsid w:val="001C7CF4"/>
    <w:rsid w:val="001D02D2"/>
    <w:rsid w:val="001D0DFF"/>
    <w:rsid w:val="001D123E"/>
    <w:rsid w:val="001D1991"/>
    <w:rsid w:val="001D21A4"/>
    <w:rsid w:val="001D21B1"/>
    <w:rsid w:val="001D22D8"/>
    <w:rsid w:val="001D2664"/>
    <w:rsid w:val="001D2A3B"/>
    <w:rsid w:val="001D2E3D"/>
    <w:rsid w:val="001D3013"/>
    <w:rsid w:val="001D3741"/>
    <w:rsid w:val="001D41B7"/>
    <w:rsid w:val="001D4367"/>
    <w:rsid w:val="001D43A7"/>
    <w:rsid w:val="001D45D9"/>
    <w:rsid w:val="001D4926"/>
    <w:rsid w:val="001D4969"/>
    <w:rsid w:val="001D512D"/>
    <w:rsid w:val="001D532F"/>
    <w:rsid w:val="001D56A6"/>
    <w:rsid w:val="001D599B"/>
    <w:rsid w:val="001D5FFF"/>
    <w:rsid w:val="001D686E"/>
    <w:rsid w:val="001D7421"/>
    <w:rsid w:val="001D7807"/>
    <w:rsid w:val="001D7896"/>
    <w:rsid w:val="001D7A48"/>
    <w:rsid w:val="001D7DD1"/>
    <w:rsid w:val="001D7F36"/>
    <w:rsid w:val="001E0222"/>
    <w:rsid w:val="001E0358"/>
    <w:rsid w:val="001E0588"/>
    <w:rsid w:val="001E09E5"/>
    <w:rsid w:val="001E0CDC"/>
    <w:rsid w:val="001E10F9"/>
    <w:rsid w:val="001E175D"/>
    <w:rsid w:val="001E1948"/>
    <w:rsid w:val="001E1B08"/>
    <w:rsid w:val="001E202E"/>
    <w:rsid w:val="001E20FD"/>
    <w:rsid w:val="001E292A"/>
    <w:rsid w:val="001E2BF8"/>
    <w:rsid w:val="001E2DD4"/>
    <w:rsid w:val="001E3776"/>
    <w:rsid w:val="001E3860"/>
    <w:rsid w:val="001E3ADA"/>
    <w:rsid w:val="001E410E"/>
    <w:rsid w:val="001E441C"/>
    <w:rsid w:val="001E45BF"/>
    <w:rsid w:val="001E4665"/>
    <w:rsid w:val="001E4724"/>
    <w:rsid w:val="001E4DD4"/>
    <w:rsid w:val="001E5578"/>
    <w:rsid w:val="001E5959"/>
    <w:rsid w:val="001E59F2"/>
    <w:rsid w:val="001E5D8E"/>
    <w:rsid w:val="001E6381"/>
    <w:rsid w:val="001E6E23"/>
    <w:rsid w:val="001E7116"/>
    <w:rsid w:val="001E7BA9"/>
    <w:rsid w:val="001E7D96"/>
    <w:rsid w:val="001F0AC7"/>
    <w:rsid w:val="001F0B18"/>
    <w:rsid w:val="001F0CAF"/>
    <w:rsid w:val="001F0E65"/>
    <w:rsid w:val="001F0E6E"/>
    <w:rsid w:val="001F10E9"/>
    <w:rsid w:val="001F12EC"/>
    <w:rsid w:val="001F12FB"/>
    <w:rsid w:val="001F15B5"/>
    <w:rsid w:val="001F17EE"/>
    <w:rsid w:val="001F18CC"/>
    <w:rsid w:val="001F1B78"/>
    <w:rsid w:val="001F1D51"/>
    <w:rsid w:val="001F1EEC"/>
    <w:rsid w:val="001F2278"/>
    <w:rsid w:val="001F24C7"/>
    <w:rsid w:val="001F2A50"/>
    <w:rsid w:val="001F2C03"/>
    <w:rsid w:val="001F2C4A"/>
    <w:rsid w:val="001F2D42"/>
    <w:rsid w:val="001F34F9"/>
    <w:rsid w:val="001F394E"/>
    <w:rsid w:val="001F3B3A"/>
    <w:rsid w:val="001F3C75"/>
    <w:rsid w:val="001F425C"/>
    <w:rsid w:val="001F45AD"/>
    <w:rsid w:val="001F4762"/>
    <w:rsid w:val="001F4BC5"/>
    <w:rsid w:val="001F4D08"/>
    <w:rsid w:val="001F5002"/>
    <w:rsid w:val="001F51DF"/>
    <w:rsid w:val="001F5F2E"/>
    <w:rsid w:val="001F6C3D"/>
    <w:rsid w:val="001F720A"/>
    <w:rsid w:val="001F730F"/>
    <w:rsid w:val="001F7479"/>
    <w:rsid w:val="001F7488"/>
    <w:rsid w:val="001F7E12"/>
    <w:rsid w:val="001F7F35"/>
    <w:rsid w:val="001F7FBD"/>
    <w:rsid w:val="00200154"/>
    <w:rsid w:val="002001EE"/>
    <w:rsid w:val="00200754"/>
    <w:rsid w:val="00200797"/>
    <w:rsid w:val="00200B0F"/>
    <w:rsid w:val="00200CC5"/>
    <w:rsid w:val="00201960"/>
    <w:rsid w:val="00201ABC"/>
    <w:rsid w:val="00201C1E"/>
    <w:rsid w:val="0020252B"/>
    <w:rsid w:val="00202A83"/>
    <w:rsid w:val="00202A8E"/>
    <w:rsid w:val="00202EB2"/>
    <w:rsid w:val="00202ECA"/>
    <w:rsid w:val="00203176"/>
    <w:rsid w:val="00203229"/>
    <w:rsid w:val="002038A3"/>
    <w:rsid w:val="00203910"/>
    <w:rsid w:val="002039CA"/>
    <w:rsid w:val="00203A93"/>
    <w:rsid w:val="00203B1B"/>
    <w:rsid w:val="00204032"/>
    <w:rsid w:val="0020410C"/>
    <w:rsid w:val="00204409"/>
    <w:rsid w:val="00204750"/>
    <w:rsid w:val="00204E75"/>
    <w:rsid w:val="002050F8"/>
    <w:rsid w:val="00205480"/>
    <w:rsid w:val="002055AA"/>
    <w:rsid w:val="002055FD"/>
    <w:rsid w:val="00205644"/>
    <w:rsid w:val="00205934"/>
    <w:rsid w:val="00205B29"/>
    <w:rsid w:val="00205E72"/>
    <w:rsid w:val="00206435"/>
    <w:rsid w:val="00206A4D"/>
    <w:rsid w:val="00206A51"/>
    <w:rsid w:val="00206C19"/>
    <w:rsid w:val="00206D4A"/>
    <w:rsid w:val="0020710C"/>
    <w:rsid w:val="0020783B"/>
    <w:rsid w:val="00207C3C"/>
    <w:rsid w:val="00210071"/>
    <w:rsid w:val="0021026E"/>
    <w:rsid w:val="00210296"/>
    <w:rsid w:val="00210F04"/>
    <w:rsid w:val="00210F2C"/>
    <w:rsid w:val="002111B6"/>
    <w:rsid w:val="00212F17"/>
    <w:rsid w:val="00212FEE"/>
    <w:rsid w:val="00213206"/>
    <w:rsid w:val="002139BD"/>
    <w:rsid w:val="00213CFA"/>
    <w:rsid w:val="00213F2A"/>
    <w:rsid w:val="00214103"/>
    <w:rsid w:val="00214160"/>
    <w:rsid w:val="00215435"/>
    <w:rsid w:val="002156A6"/>
    <w:rsid w:val="00216344"/>
    <w:rsid w:val="002165EF"/>
    <w:rsid w:val="00217560"/>
    <w:rsid w:val="002178DC"/>
    <w:rsid w:val="0022015C"/>
    <w:rsid w:val="00220841"/>
    <w:rsid w:val="00220919"/>
    <w:rsid w:val="00220A00"/>
    <w:rsid w:val="00220A2E"/>
    <w:rsid w:val="00220A3C"/>
    <w:rsid w:val="00220FBD"/>
    <w:rsid w:val="00221316"/>
    <w:rsid w:val="002213A6"/>
    <w:rsid w:val="002217B1"/>
    <w:rsid w:val="002217FC"/>
    <w:rsid w:val="0022192C"/>
    <w:rsid w:val="002220DF"/>
    <w:rsid w:val="002221CC"/>
    <w:rsid w:val="00222536"/>
    <w:rsid w:val="00222840"/>
    <w:rsid w:val="002228A9"/>
    <w:rsid w:val="00222BDB"/>
    <w:rsid w:val="00222C79"/>
    <w:rsid w:val="002238D0"/>
    <w:rsid w:val="00223A5E"/>
    <w:rsid w:val="00224480"/>
    <w:rsid w:val="00224B4A"/>
    <w:rsid w:val="002251E1"/>
    <w:rsid w:val="00225240"/>
    <w:rsid w:val="00225576"/>
    <w:rsid w:val="00225B49"/>
    <w:rsid w:val="00225CCA"/>
    <w:rsid w:val="00225DE5"/>
    <w:rsid w:val="00225E64"/>
    <w:rsid w:val="00226090"/>
    <w:rsid w:val="002262CE"/>
    <w:rsid w:val="0022672E"/>
    <w:rsid w:val="002269B5"/>
    <w:rsid w:val="002276C8"/>
    <w:rsid w:val="00227E58"/>
    <w:rsid w:val="00227F8F"/>
    <w:rsid w:val="00230B5D"/>
    <w:rsid w:val="0023116B"/>
    <w:rsid w:val="0023125C"/>
    <w:rsid w:val="00231524"/>
    <w:rsid w:val="00231549"/>
    <w:rsid w:val="0023193B"/>
    <w:rsid w:val="00231F0C"/>
    <w:rsid w:val="00232533"/>
    <w:rsid w:val="00232537"/>
    <w:rsid w:val="0023266F"/>
    <w:rsid w:val="00232B91"/>
    <w:rsid w:val="0023327F"/>
    <w:rsid w:val="002338D5"/>
    <w:rsid w:val="002339BA"/>
    <w:rsid w:val="002339D2"/>
    <w:rsid w:val="00233AAD"/>
    <w:rsid w:val="00233D4C"/>
    <w:rsid w:val="00233F3E"/>
    <w:rsid w:val="00234065"/>
    <w:rsid w:val="00234135"/>
    <w:rsid w:val="002346EC"/>
    <w:rsid w:val="002347FC"/>
    <w:rsid w:val="00234B82"/>
    <w:rsid w:val="00235700"/>
    <w:rsid w:val="00235A9E"/>
    <w:rsid w:val="00235CA1"/>
    <w:rsid w:val="0023615F"/>
    <w:rsid w:val="00236973"/>
    <w:rsid w:val="00236B81"/>
    <w:rsid w:val="00236BBB"/>
    <w:rsid w:val="00236BFC"/>
    <w:rsid w:val="00236D48"/>
    <w:rsid w:val="00236D6F"/>
    <w:rsid w:val="00237068"/>
    <w:rsid w:val="00237224"/>
    <w:rsid w:val="0023735E"/>
    <w:rsid w:val="002374BE"/>
    <w:rsid w:val="0023780C"/>
    <w:rsid w:val="00237AF2"/>
    <w:rsid w:val="00237C0E"/>
    <w:rsid w:val="00240455"/>
    <w:rsid w:val="00240641"/>
    <w:rsid w:val="0024068E"/>
    <w:rsid w:val="002415B9"/>
    <w:rsid w:val="0024193F"/>
    <w:rsid w:val="0024198C"/>
    <w:rsid w:val="002425D8"/>
    <w:rsid w:val="00242F49"/>
    <w:rsid w:val="00242F54"/>
    <w:rsid w:val="00242F66"/>
    <w:rsid w:val="002432AB"/>
    <w:rsid w:val="0024334D"/>
    <w:rsid w:val="00243404"/>
    <w:rsid w:val="00243556"/>
    <w:rsid w:val="00243BFD"/>
    <w:rsid w:val="00243D77"/>
    <w:rsid w:val="002441A3"/>
    <w:rsid w:val="0024425C"/>
    <w:rsid w:val="002444F5"/>
    <w:rsid w:val="0024497C"/>
    <w:rsid w:val="002449BC"/>
    <w:rsid w:val="00244B78"/>
    <w:rsid w:val="00244C84"/>
    <w:rsid w:val="00245442"/>
    <w:rsid w:val="0024550D"/>
    <w:rsid w:val="00245692"/>
    <w:rsid w:val="00245983"/>
    <w:rsid w:val="0024598E"/>
    <w:rsid w:val="00245B73"/>
    <w:rsid w:val="002466B1"/>
    <w:rsid w:val="00246786"/>
    <w:rsid w:val="002469F5"/>
    <w:rsid w:val="00246A2C"/>
    <w:rsid w:val="00246A83"/>
    <w:rsid w:val="00247007"/>
    <w:rsid w:val="002470AD"/>
    <w:rsid w:val="00247573"/>
    <w:rsid w:val="00247BDB"/>
    <w:rsid w:val="00250836"/>
    <w:rsid w:val="00250955"/>
    <w:rsid w:val="00251D91"/>
    <w:rsid w:val="002523F2"/>
    <w:rsid w:val="0025267A"/>
    <w:rsid w:val="002535B3"/>
    <w:rsid w:val="0025368A"/>
    <w:rsid w:val="0025398F"/>
    <w:rsid w:val="00253EBE"/>
    <w:rsid w:val="00254218"/>
    <w:rsid w:val="00254AF3"/>
    <w:rsid w:val="00254F81"/>
    <w:rsid w:val="00255ADF"/>
    <w:rsid w:val="00256434"/>
    <w:rsid w:val="002564DA"/>
    <w:rsid w:val="00256CBB"/>
    <w:rsid w:val="00256CC5"/>
    <w:rsid w:val="00256FAD"/>
    <w:rsid w:val="00257000"/>
    <w:rsid w:val="002571AE"/>
    <w:rsid w:val="00257FEC"/>
    <w:rsid w:val="00260205"/>
    <w:rsid w:val="00260601"/>
    <w:rsid w:val="002607CA"/>
    <w:rsid w:val="002608FE"/>
    <w:rsid w:val="00260DB3"/>
    <w:rsid w:val="00260F02"/>
    <w:rsid w:val="00260F89"/>
    <w:rsid w:val="00261222"/>
    <w:rsid w:val="00261F24"/>
    <w:rsid w:val="0026293C"/>
    <w:rsid w:val="00262AB9"/>
    <w:rsid w:val="00262CDE"/>
    <w:rsid w:val="00262F66"/>
    <w:rsid w:val="0026334B"/>
    <w:rsid w:val="002641DF"/>
    <w:rsid w:val="00264421"/>
    <w:rsid w:val="00264524"/>
    <w:rsid w:val="00264906"/>
    <w:rsid w:val="00264AF9"/>
    <w:rsid w:val="00265085"/>
    <w:rsid w:val="0026566B"/>
    <w:rsid w:val="002669FE"/>
    <w:rsid w:val="00266CD2"/>
    <w:rsid w:val="00266CE1"/>
    <w:rsid w:val="00266E64"/>
    <w:rsid w:val="00266EC3"/>
    <w:rsid w:val="00267059"/>
    <w:rsid w:val="00267A7F"/>
    <w:rsid w:val="00267CF7"/>
    <w:rsid w:val="00270132"/>
    <w:rsid w:val="00270196"/>
    <w:rsid w:val="00270705"/>
    <w:rsid w:val="00270906"/>
    <w:rsid w:val="00270A2E"/>
    <w:rsid w:val="00270E66"/>
    <w:rsid w:val="0027113C"/>
    <w:rsid w:val="0027131B"/>
    <w:rsid w:val="002716AE"/>
    <w:rsid w:val="0027186A"/>
    <w:rsid w:val="00271DC6"/>
    <w:rsid w:val="00271FB7"/>
    <w:rsid w:val="00272477"/>
    <w:rsid w:val="002724B3"/>
    <w:rsid w:val="0027269B"/>
    <w:rsid w:val="002728F4"/>
    <w:rsid w:val="00273171"/>
    <w:rsid w:val="00273183"/>
    <w:rsid w:val="0027349F"/>
    <w:rsid w:val="00273E3C"/>
    <w:rsid w:val="0027407B"/>
    <w:rsid w:val="00274123"/>
    <w:rsid w:val="0027424C"/>
    <w:rsid w:val="00274293"/>
    <w:rsid w:val="002745EB"/>
    <w:rsid w:val="00274668"/>
    <w:rsid w:val="00274856"/>
    <w:rsid w:val="00274B3D"/>
    <w:rsid w:val="00274BD5"/>
    <w:rsid w:val="00274C70"/>
    <w:rsid w:val="00275414"/>
    <w:rsid w:val="0027570C"/>
    <w:rsid w:val="00275BDC"/>
    <w:rsid w:val="00275D30"/>
    <w:rsid w:val="00275D9F"/>
    <w:rsid w:val="00276B5A"/>
    <w:rsid w:val="00276EDE"/>
    <w:rsid w:val="00276FB3"/>
    <w:rsid w:val="00277236"/>
    <w:rsid w:val="002774AC"/>
    <w:rsid w:val="00277703"/>
    <w:rsid w:val="00277FD7"/>
    <w:rsid w:val="002806FA"/>
    <w:rsid w:val="00280A46"/>
    <w:rsid w:val="00281066"/>
    <w:rsid w:val="00281129"/>
    <w:rsid w:val="002813F3"/>
    <w:rsid w:val="002814C5"/>
    <w:rsid w:val="00281EDC"/>
    <w:rsid w:val="002827D5"/>
    <w:rsid w:val="00282A0A"/>
    <w:rsid w:val="00282F4C"/>
    <w:rsid w:val="00283AF0"/>
    <w:rsid w:val="00283D77"/>
    <w:rsid w:val="00283D8E"/>
    <w:rsid w:val="00283E13"/>
    <w:rsid w:val="0028414C"/>
    <w:rsid w:val="00284482"/>
    <w:rsid w:val="00284560"/>
    <w:rsid w:val="00284A6D"/>
    <w:rsid w:val="00284ADD"/>
    <w:rsid w:val="00285519"/>
    <w:rsid w:val="002858D0"/>
    <w:rsid w:val="00285A30"/>
    <w:rsid w:val="00285AF8"/>
    <w:rsid w:val="00286AD3"/>
    <w:rsid w:val="00286B41"/>
    <w:rsid w:val="00286D61"/>
    <w:rsid w:val="00286E7D"/>
    <w:rsid w:val="00286FD1"/>
    <w:rsid w:val="0028733D"/>
    <w:rsid w:val="002875F3"/>
    <w:rsid w:val="00287733"/>
    <w:rsid w:val="00287BA6"/>
    <w:rsid w:val="0029001D"/>
    <w:rsid w:val="002902C1"/>
    <w:rsid w:val="002907D8"/>
    <w:rsid w:val="0029150E"/>
    <w:rsid w:val="002915F7"/>
    <w:rsid w:val="0029170B"/>
    <w:rsid w:val="00291D2E"/>
    <w:rsid w:val="00291D7C"/>
    <w:rsid w:val="00291EBC"/>
    <w:rsid w:val="00291ED0"/>
    <w:rsid w:val="00292093"/>
    <w:rsid w:val="00292737"/>
    <w:rsid w:val="00292CDD"/>
    <w:rsid w:val="00292E6C"/>
    <w:rsid w:val="002930EF"/>
    <w:rsid w:val="0029336E"/>
    <w:rsid w:val="002937F2"/>
    <w:rsid w:val="00293B0F"/>
    <w:rsid w:val="00293D1D"/>
    <w:rsid w:val="002940DB"/>
    <w:rsid w:val="002942F2"/>
    <w:rsid w:val="00294B2E"/>
    <w:rsid w:val="002952D6"/>
    <w:rsid w:val="00295397"/>
    <w:rsid w:val="002954EB"/>
    <w:rsid w:val="00295B5C"/>
    <w:rsid w:val="00295DAC"/>
    <w:rsid w:val="00295FC5"/>
    <w:rsid w:val="0029621B"/>
    <w:rsid w:val="00296712"/>
    <w:rsid w:val="00296D30"/>
    <w:rsid w:val="00296DCC"/>
    <w:rsid w:val="00296EC0"/>
    <w:rsid w:val="0029705F"/>
    <w:rsid w:val="002978B0"/>
    <w:rsid w:val="00297A6F"/>
    <w:rsid w:val="00297AF5"/>
    <w:rsid w:val="00297CEB"/>
    <w:rsid w:val="00297E72"/>
    <w:rsid w:val="00297F9A"/>
    <w:rsid w:val="002A0070"/>
    <w:rsid w:val="002A065D"/>
    <w:rsid w:val="002A07A0"/>
    <w:rsid w:val="002A0A7C"/>
    <w:rsid w:val="002A0E89"/>
    <w:rsid w:val="002A1587"/>
    <w:rsid w:val="002A2233"/>
    <w:rsid w:val="002A2914"/>
    <w:rsid w:val="002A29EE"/>
    <w:rsid w:val="002A2DC2"/>
    <w:rsid w:val="002A31B3"/>
    <w:rsid w:val="002A32CD"/>
    <w:rsid w:val="002A3452"/>
    <w:rsid w:val="002A36A0"/>
    <w:rsid w:val="002A3AEC"/>
    <w:rsid w:val="002A3BAB"/>
    <w:rsid w:val="002A3EC1"/>
    <w:rsid w:val="002A3EFD"/>
    <w:rsid w:val="002A40D2"/>
    <w:rsid w:val="002A45E0"/>
    <w:rsid w:val="002A4B46"/>
    <w:rsid w:val="002A5829"/>
    <w:rsid w:val="002A5AAD"/>
    <w:rsid w:val="002A613A"/>
    <w:rsid w:val="002A63DF"/>
    <w:rsid w:val="002A649B"/>
    <w:rsid w:val="002A6C2C"/>
    <w:rsid w:val="002A6C56"/>
    <w:rsid w:val="002A6F40"/>
    <w:rsid w:val="002A7003"/>
    <w:rsid w:val="002A7052"/>
    <w:rsid w:val="002A793B"/>
    <w:rsid w:val="002A7B25"/>
    <w:rsid w:val="002A7C2A"/>
    <w:rsid w:val="002B011D"/>
    <w:rsid w:val="002B0855"/>
    <w:rsid w:val="002B11DF"/>
    <w:rsid w:val="002B1285"/>
    <w:rsid w:val="002B1A02"/>
    <w:rsid w:val="002B1BFF"/>
    <w:rsid w:val="002B1C7F"/>
    <w:rsid w:val="002B287F"/>
    <w:rsid w:val="002B3114"/>
    <w:rsid w:val="002B3217"/>
    <w:rsid w:val="002B364C"/>
    <w:rsid w:val="002B3E57"/>
    <w:rsid w:val="002B4539"/>
    <w:rsid w:val="002B51AE"/>
    <w:rsid w:val="002B55FD"/>
    <w:rsid w:val="002B581D"/>
    <w:rsid w:val="002B5C73"/>
    <w:rsid w:val="002B5E65"/>
    <w:rsid w:val="002B64B8"/>
    <w:rsid w:val="002B68A3"/>
    <w:rsid w:val="002B6BF0"/>
    <w:rsid w:val="002B6DF2"/>
    <w:rsid w:val="002B6F1D"/>
    <w:rsid w:val="002B6FC7"/>
    <w:rsid w:val="002B7060"/>
    <w:rsid w:val="002B7152"/>
    <w:rsid w:val="002B7509"/>
    <w:rsid w:val="002B766D"/>
    <w:rsid w:val="002B798F"/>
    <w:rsid w:val="002C02C9"/>
    <w:rsid w:val="002C05F2"/>
    <w:rsid w:val="002C0839"/>
    <w:rsid w:val="002C0968"/>
    <w:rsid w:val="002C1022"/>
    <w:rsid w:val="002C1D32"/>
    <w:rsid w:val="002C2270"/>
    <w:rsid w:val="002C2283"/>
    <w:rsid w:val="002C25DF"/>
    <w:rsid w:val="002C2BEB"/>
    <w:rsid w:val="002C2C92"/>
    <w:rsid w:val="002C2D7F"/>
    <w:rsid w:val="002C31CF"/>
    <w:rsid w:val="002C3317"/>
    <w:rsid w:val="002C36E1"/>
    <w:rsid w:val="002C3AC5"/>
    <w:rsid w:val="002C4071"/>
    <w:rsid w:val="002C42A1"/>
    <w:rsid w:val="002C44AA"/>
    <w:rsid w:val="002C4503"/>
    <w:rsid w:val="002C4830"/>
    <w:rsid w:val="002C5924"/>
    <w:rsid w:val="002C5C19"/>
    <w:rsid w:val="002C5F7F"/>
    <w:rsid w:val="002C6516"/>
    <w:rsid w:val="002C688D"/>
    <w:rsid w:val="002C6E8D"/>
    <w:rsid w:val="002C740F"/>
    <w:rsid w:val="002C7E72"/>
    <w:rsid w:val="002C7EB7"/>
    <w:rsid w:val="002C7F08"/>
    <w:rsid w:val="002C7F1F"/>
    <w:rsid w:val="002D01D8"/>
    <w:rsid w:val="002D04E4"/>
    <w:rsid w:val="002D098C"/>
    <w:rsid w:val="002D0B74"/>
    <w:rsid w:val="002D0F33"/>
    <w:rsid w:val="002D12FC"/>
    <w:rsid w:val="002D1C8A"/>
    <w:rsid w:val="002D2089"/>
    <w:rsid w:val="002D2B95"/>
    <w:rsid w:val="002D2BAB"/>
    <w:rsid w:val="002D32A1"/>
    <w:rsid w:val="002D35F6"/>
    <w:rsid w:val="002D429A"/>
    <w:rsid w:val="002D4B04"/>
    <w:rsid w:val="002D4DB8"/>
    <w:rsid w:val="002D4DBB"/>
    <w:rsid w:val="002D5805"/>
    <w:rsid w:val="002D5AC6"/>
    <w:rsid w:val="002D5DE8"/>
    <w:rsid w:val="002D6469"/>
    <w:rsid w:val="002D64DE"/>
    <w:rsid w:val="002D67FC"/>
    <w:rsid w:val="002D68E3"/>
    <w:rsid w:val="002D70D6"/>
    <w:rsid w:val="002D74FA"/>
    <w:rsid w:val="002D7A3B"/>
    <w:rsid w:val="002D7DD8"/>
    <w:rsid w:val="002E01A8"/>
    <w:rsid w:val="002E0431"/>
    <w:rsid w:val="002E0CCD"/>
    <w:rsid w:val="002E1B49"/>
    <w:rsid w:val="002E21D1"/>
    <w:rsid w:val="002E2812"/>
    <w:rsid w:val="002E29ED"/>
    <w:rsid w:val="002E2F48"/>
    <w:rsid w:val="002E3453"/>
    <w:rsid w:val="002E3B79"/>
    <w:rsid w:val="002E3CFF"/>
    <w:rsid w:val="002E433B"/>
    <w:rsid w:val="002E43D3"/>
    <w:rsid w:val="002E4B1C"/>
    <w:rsid w:val="002E514F"/>
    <w:rsid w:val="002E54EE"/>
    <w:rsid w:val="002E5C32"/>
    <w:rsid w:val="002E62BC"/>
    <w:rsid w:val="002E78F8"/>
    <w:rsid w:val="002F04A8"/>
    <w:rsid w:val="002F0A26"/>
    <w:rsid w:val="002F0A36"/>
    <w:rsid w:val="002F18D5"/>
    <w:rsid w:val="002F1BEC"/>
    <w:rsid w:val="002F1D0B"/>
    <w:rsid w:val="002F2461"/>
    <w:rsid w:val="002F25A3"/>
    <w:rsid w:val="002F287E"/>
    <w:rsid w:val="002F2AAB"/>
    <w:rsid w:val="002F2CF3"/>
    <w:rsid w:val="002F2DD0"/>
    <w:rsid w:val="002F331E"/>
    <w:rsid w:val="002F3523"/>
    <w:rsid w:val="002F384F"/>
    <w:rsid w:val="002F3ACE"/>
    <w:rsid w:val="002F3C16"/>
    <w:rsid w:val="002F4642"/>
    <w:rsid w:val="002F4F8D"/>
    <w:rsid w:val="002F59D7"/>
    <w:rsid w:val="002F5C84"/>
    <w:rsid w:val="002F5D0E"/>
    <w:rsid w:val="002F6289"/>
    <w:rsid w:val="002F6683"/>
    <w:rsid w:val="002F6B96"/>
    <w:rsid w:val="002F6C0F"/>
    <w:rsid w:val="002F6F15"/>
    <w:rsid w:val="002F708B"/>
    <w:rsid w:val="002F7748"/>
    <w:rsid w:val="002F7E62"/>
    <w:rsid w:val="0030017B"/>
    <w:rsid w:val="003002AA"/>
    <w:rsid w:val="0030093E"/>
    <w:rsid w:val="00300B12"/>
    <w:rsid w:val="00300D2C"/>
    <w:rsid w:val="00300D3E"/>
    <w:rsid w:val="00300F7A"/>
    <w:rsid w:val="00300FF6"/>
    <w:rsid w:val="00301377"/>
    <w:rsid w:val="003013C0"/>
    <w:rsid w:val="003016CD"/>
    <w:rsid w:val="003018FD"/>
    <w:rsid w:val="003020D3"/>
    <w:rsid w:val="0030212E"/>
    <w:rsid w:val="0030223F"/>
    <w:rsid w:val="003027D3"/>
    <w:rsid w:val="00302DE6"/>
    <w:rsid w:val="00303563"/>
    <w:rsid w:val="003035AF"/>
    <w:rsid w:val="00303739"/>
    <w:rsid w:val="0030376F"/>
    <w:rsid w:val="0030392E"/>
    <w:rsid w:val="003039F0"/>
    <w:rsid w:val="00303C6B"/>
    <w:rsid w:val="00303D7C"/>
    <w:rsid w:val="0030411B"/>
    <w:rsid w:val="00304374"/>
    <w:rsid w:val="00304819"/>
    <w:rsid w:val="003048BF"/>
    <w:rsid w:val="00304FE6"/>
    <w:rsid w:val="00305047"/>
    <w:rsid w:val="003055AE"/>
    <w:rsid w:val="00305612"/>
    <w:rsid w:val="0030581F"/>
    <w:rsid w:val="00305AE7"/>
    <w:rsid w:val="00305C2A"/>
    <w:rsid w:val="00305E53"/>
    <w:rsid w:val="00306495"/>
    <w:rsid w:val="003065D3"/>
    <w:rsid w:val="0030698B"/>
    <w:rsid w:val="00306C4A"/>
    <w:rsid w:val="00307C2B"/>
    <w:rsid w:val="0031008F"/>
    <w:rsid w:val="00310193"/>
    <w:rsid w:val="0031019C"/>
    <w:rsid w:val="003103C9"/>
    <w:rsid w:val="003108C5"/>
    <w:rsid w:val="0031090F"/>
    <w:rsid w:val="00310C24"/>
    <w:rsid w:val="00310C98"/>
    <w:rsid w:val="0031119E"/>
    <w:rsid w:val="00311401"/>
    <w:rsid w:val="00311521"/>
    <w:rsid w:val="0031168F"/>
    <w:rsid w:val="00311933"/>
    <w:rsid w:val="00311A73"/>
    <w:rsid w:val="00311AEB"/>
    <w:rsid w:val="003120E8"/>
    <w:rsid w:val="00312465"/>
    <w:rsid w:val="00312B2F"/>
    <w:rsid w:val="00312B34"/>
    <w:rsid w:val="00312CFD"/>
    <w:rsid w:val="00312FEF"/>
    <w:rsid w:val="003139C9"/>
    <w:rsid w:val="00313AAE"/>
    <w:rsid w:val="00313C87"/>
    <w:rsid w:val="00313D44"/>
    <w:rsid w:val="00314123"/>
    <w:rsid w:val="0031420A"/>
    <w:rsid w:val="003142B9"/>
    <w:rsid w:val="00314432"/>
    <w:rsid w:val="00314519"/>
    <w:rsid w:val="00315A4B"/>
    <w:rsid w:val="00315BF1"/>
    <w:rsid w:val="00315EA9"/>
    <w:rsid w:val="00315FAA"/>
    <w:rsid w:val="00316105"/>
    <w:rsid w:val="003161E8"/>
    <w:rsid w:val="00316DAE"/>
    <w:rsid w:val="00317533"/>
    <w:rsid w:val="003175BA"/>
    <w:rsid w:val="00317D56"/>
    <w:rsid w:val="0032006B"/>
    <w:rsid w:val="003203F1"/>
    <w:rsid w:val="00321811"/>
    <w:rsid w:val="00321FB1"/>
    <w:rsid w:val="00321FC1"/>
    <w:rsid w:val="003220DF"/>
    <w:rsid w:val="00322133"/>
    <w:rsid w:val="00322C42"/>
    <w:rsid w:val="00322DAA"/>
    <w:rsid w:val="00322F07"/>
    <w:rsid w:val="0032302A"/>
    <w:rsid w:val="003231AD"/>
    <w:rsid w:val="003238F8"/>
    <w:rsid w:val="00323ABC"/>
    <w:rsid w:val="00324446"/>
    <w:rsid w:val="00324840"/>
    <w:rsid w:val="003251DB"/>
    <w:rsid w:val="003251EE"/>
    <w:rsid w:val="0032526D"/>
    <w:rsid w:val="00326032"/>
    <w:rsid w:val="003261B7"/>
    <w:rsid w:val="00326271"/>
    <w:rsid w:val="00326626"/>
    <w:rsid w:val="00326631"/>
    <w:rsid w:val="003266A5"/>
    <w:rsid w:val="00326E7D"/>
    <w:rsid w:val="003272BD"/>
    <w:rsid w:val="00327623"/>
    <w:rsid w:val="003279C9"/>
    <w:rsid w:val="00327A65"/>
    <w:rsid w:val="00327B1F"/>
    <w:rsid w:val="00327B79"/>
    <w:rsid w:val="00327C8B"/>
    <w:rsid w:val="003304FE"/>
    <w:rsid w:val="003305BE"/>
    <w:rsid w:val="00330621"/>
    <w:rsid w:val="003306DF"/>
    <w:rsid w:val="003309EE"/>
    <w:rsid w:val="00330A95"/>
    <w:rsid w:val="00331670"/>
    <w:rsid w:val="003318C8"/>
    <w:rsid w:val="00332136"/>
    <w:rsid w:val="00332747"/>
    <w:rsid w:val="0033275C"/>
    <w:rsid w:val="003329E8"/>
    <w:rsid w:val="00332CA9"/>
    <w:rsid w:val="00333581"/>
    <w:rsid w:val="00333D8E"/>
    <w:rsid w:val="003341A2"/>
    <w:rsid w:val="003342F8"/>
    <w:rsid w:val="003345E2"/>
    <w:rsid w:val="00334714"/>
    <w:rsid w:val="00334DA6"/>
    <w:rsid w:val="00335457"/>
    <w:rsid w:val="0033569A"/>
    <w:rsid w:val="00335AEF"/>
    <w:rsid w:val="00335BD3"/>
    <w:rsid w:val="00335DC3"/>
    <w:rsid w:val="00336147"/>
    <w:rsid w:val="0033684A"/>
    <w:rsid w:val="00336A27"/>
    <w:rsid w:val="003370DB"/>
    <w:rsid w:val="00337661"/>
    <w:rsid w:val="00337BE0"/>
    <w:rsid w:val="0034019D"/>
    <w:rsid w:val="00340AEE"/>
    <w:rsid w:val="003411E0"/>
    <w:rsid w:val="003419B0"/>
    <w:rsid w:val="00342063"/>
    <w:rsid w:val="00342335"/>
    <w:rsid w:val="003424CF"/>
    <w:rsid w:val="003425BB"/>
    <w:rsid w:val="00342678"/>
    <w:rsid w:val="00342E4E"/>
    <w:rsid w:val="003430B3"/>
    <w:rsid w:val="003442EA"/>
    <w:rsid w:val="00344CA3"/>
    <w:rsid w:val="00345533"/>
    <w:rsid w:val="00345A8B"/>
    <w:rsid w:val="00345DC7"/>
    <w:rsid w:val="00346657"/>
    <w:rsid w:val="00347036"/>
    <w:rsid w:val="00347039"/>
    <w:rsid w:val="00347142"/>
    <w:rsid w:val="0034757D"/>
    <w:rsid w:val="003476DC"/>
    <w:rsid w:val="00350174"/>
    <w:rsid w:val="003501A4"/>
    <w:rsid w:val="00350274"/>
    <w:rsid w:val="003503E9"/>
    <w:rsid w:val="003511B4"/>
    <w:rsid w:val="003516D6"/>
    <w:rsid w:val="00351722"/>
    <w:rsid w:val="00352108"/>
    <w:rsid w:val="00352757"/>
    <w:rsid w:val="00352943"/>
    <w:rsid w:val="00352ADB"/>
    <w:rsid w:val="00352D28"/>
    <w:rsid w:val="00352EDE"/>
    <w:rsid w:val="00353308"/>
    <w:rsid w:val="0035356C"/>
    <w:rsid w:val="00353644"/>
    <w:rsid w:val="00353BE2"/>
    <w:rsid w:val="00354A86"/>
    <w:rsid w:val="00354B7F"/>
    <w:rsid w:val="00355AB8"/>
    <w:rsid w:val="0035601E"/>
    <w:rsid w:val="0035619D"/>
    <w:rsid w:val="003562B1"/>
    <w:rsid w:val="0035653C"/>
    <w:rsid w:val="003565E2"/>
    <w:rsid w:val="00356DB9"/>
    <w:rsid w:val="00356E32"/>
    <w:rsid w:val="0035759A"/>
    <w:rsid w:val="00357688"/>
    <w:rsid w:val="00357769"/>
    <w:rsid w:val="00357DE8"/>
    <w:rsid w:val="003601C5"/>
    <w:rsid w:val="00360309"/>
    <w:rsid w:val="0036031B"/>
    <w:rsid w:val="00360B63"/>
    <w:rsid w:val="003610A7"/>
    <w:rsid w:val="00361414"/>
    <w:rsid w:val="003615A7"/>
    <w:rsid w:val="0036178F"/>
    <w:rsid w:val="00361A5E"/>
    <w:rsid w:val="00362AF4"/>
    <w:rsid w:val="003631B4"/>
    <w:rsid w:val="003631DA"/>
    <w:rsid w:val="00363539"/>
    <w:rsid w:val="0036359F"/>
    <w:rsid w:val="00363664"/>
    <w:rsid w:val="0036368E"/>
    <w:rsid w:val="00363CC8"/>
    <w:rsid w:val="00363E5C"/>
    <w:rsid w:val="00363ED4"/>
    <w:rsid w:val="0036445E"/>
    <w:rsid w:val="0036492F"/>
    <w:rsid w:val="00364B5C"/>
    <w:rsid w:val="00364B5D"/>
    <w:rsid w:val="00365372"/>
    <w:rsid w:val="00365946"/>
    <w:rsid w:val="00365AE9"/>
    <w:rsid w:val="00365B9B"/>
    <w:rsid w:val="00365E01"/>
    <w:rsid w:val="0036651B"/>
    <w:rsid w:val="003672D6"/>
    <w:rsid w:val="003673EC"/>
    <w:rsid w:val="0036750E"/>
    <w:rsid w:val="00367B9B"/>
    <w:rsid w:val="00367C9F"/>
    <w:rsid w:val="003706B5"/>
    <w:rsid w:val="00370A77"/>
    <w:rsid w:val="00371598"/>
    <w:rsid w:val="00371AD0"/>
    <w:rsid w:val="00371F51"/>
    <w:rsid w:val="003721CB"/>
    <w:rsid w:val="003729B1"/>
    <w:rsid w:val="00373387"/>
    <w:rsid w:val="003738F0"/>
    <w:rsid w:val="00374516"/>
    <w:rsid w:val="00374B6B"/>
    <w:rsid w:val="00375085"/>
    <w:rsid w:val="0037561E"/>
    <w:rsid w:val="003756FD"/>
    <w:rsid w:val="0037591A"/>
    <w:rsid w:val="00376D5A"/>
    <w:rsid w:val="003775FF"/>
    <w:rsid w:val="00377BA7"/>
    <w:rsid w:val="00380613"/>
    <w:rsid w:val="0038153B"/>
    <w:rsid w:val="003815C0"/>
    <w:rsid w:val="00381EDE"/>
    <w:rsid w:val="00381F08"/>
    <w:rsid w:val="00382069"/>
    <w:rsid w:val="003825A5"/>
    <w:rsid w:val="003826E3"/>
    <w:rsid w:val="00382854"/>
    <w:rsid w:val="00382AAF"/>
    <w:rsid w:val="00382C4F"/>
    <w:rsid w:val="00382D35"/>
    <w:rsid w:val="003834FA"/>
    <w:rsid w:val="003835A2"/>
    <w:rsid w:val="00383C33"/>
    <w:rsid w:val="00383FCD"/>
    <w:rsid w:val="00384A7B"/>
    <w:rsid w:val="00384B50"/>
    <w:rsid w:val="00385309"/>
    <w:rsid w:val="003854CC"/>
    <w:rsid w:val="00385722"/>
    <w:rsid w:val="00385C8A"/>
    <w:rsid w:val="00385FF7"/>
    <w:rsid w:val="0038627C"/>
    <w:rsid w:val="00386406"/>
    <w:rsid w:val="00386720"/>
    <w:rsid w:val="00386C8A"/>
    <w:rsid w:val="00386DF5"/>
    <w:rsid w:val="00387772"/>
    <w:rsid w:val="00387850"/>
    <w:rsid w:val="003903A2"/>
    <w:rsid w:val="00390890"/>
    <w:rsid w:val="00390DEC"/>
    <w:rsid w:val="00390E27"/>
    <w:rsid w:val="003910BF"/>
    <w:rsid w:val="003910E1"/>
    <w:rsid w:val="00391134"/>
    <w:rsid w:val="00391F8F"/>
    <w:rsid w:val="00392934"/>
    <w:rsid w:val="00392EB9"/>
    <w:rsid w:val="0039361B"/>
    <w:rsid w:val="0039386A"/>
    <w:rsid w:val="00393C07"/>
    <w:rsid w:val="00393F10"/>
    <w:rsid w:val="003944B1"/>
    <w:rsid w:val="0039484D"/>
    <w:rsid w:val="00394A5F"/>
    <w:rsid w:val="00395217"/>
    <w:rsid w:val="00395333"/>
    <w:rsid w:val="0039534C"/>
    <w:rsid w:val="00395A51"/>
    <w:rsid w:val="00395BDA"/>
    <w:rsid w:val="00395FDE"/>
    <w:rsid w:val="003969BE"/>
    <w:rsid w:val="00397699"/>
    <w:rsid w:val="00397D75"/>
    <w:rsid w:val="00397E41"/>
    <w:rsid w:val="003A04FA"/>
    <w:rsid w:val="003A0759"/>
    <w:rsid w:val="003A0773"/>
    <w:rsid w:val="003A07AE"/>
    <w:rsid w:val="003A0937"/>
    <w:rsid w:val="003A0A04"/>
    <w:rsid w:val="003A0DED"/>
    <w:rsid w:val="003A0FAE"/>
    <w:rsid w:val="003A1393"/>
    <w:rsid w:val="003A1975"/>
    <w:rsid w:val="003A1DD1"/>
    <w:rsid w:val="003A2052"/>
    <w:rsid w:val="003A2548"/>
    <w:rsid w:val="003A2751"/>
    <w:rsid w:val="003A2911"/>
    <w:rsid w:val="003A299F"/>
    <w:rsid w:val="003A2A23"/>
    <w:rsid w:val="003A2AD3"/>
    <w:rsid w:val="003A34AD"/>
    <w:rsid w:val="003A3726"/>
    <w:rsid w:val="003A389A"/>
    <w:rsid w:val="003A4184"/>
    <w:rsid w:val="003A4662"/>
    <w:rsid w:val="003A46E0"/>
    <w:rsid w:val="003A47B2"/>
    <w:rsid w:val="003A5085"/>
    <w:rsid w:val="003A5311"/>
    <w:rsid w:val="003A53D4"/>
    <w:rsid w:val="003A57FD"/>
    <w:rsid w:val="003A59B8"/>
    <w:rsid w:val="003A5A63"/>
    <w:rsid w:val="003A60F6"/>
    <w:rsid w:val="003A619F"/>
    <w:rsid w:val="003A68D5"/>
    <w:rsid w:val="003A7BED"/>
    <w:rsid w:val="003B032A"/>
    <w:rsid w:val="003B0444"/>
    <w:rsid w:val="003B049C"/>
    <w:rsid w:val="003B04C0"/>
    <w:rsid w:val="003B0E47"/>
    <w:rsid w:val="003B131D"/>
    <w:rsid w:val="003B15E0"/>
    <w:rsid w:val="003B17F7"/>
    <w:rsid w:val="003B1AEA"/>
    <w:rsid w:val="003B25F6"/>
    <w:rsid w:val="003B2FCA"/>
    <w:rsid w:val="003B3285"/>
    <w:rsid w:val="003B350C"/>
    <w:rsid w:val="003B38B5"/>
    <w:rsid w:val="003B4242"/>
    <w:rsid w:val="003B482D"/>
    <w:rsid w:val="003B48FA"/>
    <w:rsid w:val="003B4CC1"/>
    <w:rsid w:val="003B50DA"/>
    <w:rsid w:val="003B5472"/>
    <w:rsid w:val="003B5A66"/>
    <w:rsid w:val="003B5DE1"/>
    <w:rsid w:val="003B61E2"/>
    <w:rsid w:val="003B65E9"/>
    <w:rsid w:val="003B66E1"/>
    <w:rsid w:val="003B6A9A"/>
    <w:rsid w:val="003B6C46"/>
    <w:rsid w:val="003B6EDC"/>
    <w:rsid w:val="003B6FA9"/>
    <w:rsid w:val="003B77C8"/>
    <w:rsid w:val="003B78B5"/>
    <w:rsid w:val="003C0335"/>
    <w:rsid w:val="003C060E"/>
    <w:rsid w:val="003C083C"/>
    <w:rsid w:val="003C15A9"/>
    <w:rsid w:val="003C1D70"/>
    <w:rsid w:val="003C1FE6"/>
    <w:rsid w:val="003C2238"/>
    <w:rsid w:val="003C2572"/>
    <w:rsid w:val="003C3000"/>
    <w:rsid w:val="003C3169"/>
    <w:rsid w:val="003C3341"/>
    <w:rsid w:val="003C3CBB"/>
    <w:rsid w:val="003C495D"/>
    <w:rsid w:val="003C4A9C"/>
    <w:rsid w:val="003C4C81"/>
    <w:rsid w:val="003C4DE2"/>
    <w:rsid w:val="003C4E46"/>
    <w:rsid w:val="003C51E9"/>
    <w:rsid w:val="003C553E"/>
    <w:rsid w:val="003C56FB"/>
    <w:rsid w:val="003C5A5C"/>
    <w:rsid w:val="003C5CCA"/>
    <w:rsid w:val="003C5CCF"/>
    <w:rsid w:val="003C632F"/>
    <w:rsid w:val="003C66FB"/>
    <w:rsid w:val="003C6CFD"/>
    <w:rsid w:val="003D0205"/>
    <w:rsid w:val="003D0210"/>
    <w:rsid w:val="003D097E"/>
    <w:rsid w:val="003D13DC"/>
    <w:rsid w:val="003D1509"/>
    <w:rsid w:val="003D1733"/>
    <w:rsid w:val="003D1CB9"/>
    <w:rsid w:val="003D1FC9"/>
    <w:rsid w:val="003D26D2"/>
    <w:rsid w:val="003D2E87"/>
    <w:rsid w:val="003D2FCE"/>
    <w:rsid w:val="003D3268"/>
    <w:rsid w:val="003D32CE"/>
    <w:rsid w:val="003D3B06"/>
    <w:rsid w:val="003D3E4B"/>
    <w:rsid w:val="003D4087"/>
    <w:rsid w:val="003D4478"/>
    <w:rsid w:val="003D45F2"/>
    <w:rsid w:val="003D4B69"/>
    <w:rsid w:val="003D53B5"/>
    <w:rsid w:val="003D5BC1"/>
    <w:rsid w:val="003D6095"/>
    <w:rsid w:val="003D62F6"/>
    <w:rsid w:val="003D6522"/>
    <w:rsid w:val="003D68B9"/>
    <w:rsid w:val="003D6DF5"/>
    <w:rsid w:val="003D77C0"/>
    <w:rsid w:val="003D7C09"/>
    <w:rsid w:val="003D7DD0"/>
    <w:rsid w:val="003E0780"/>
    <w:rsid w:val="003E125B"/>
    <w:rsid w:val="003E176F"/>
    <w:rsid w:val="003E17D4"/>
    <w:rsid w:val="003E1B3F"/>
    <w:rsid w:val="003E1FFC"/>
    <w:rsid w:val="003E200D"/>
    <w:rsid w:val="003E27CB"/>
    <w:rsid w:val="003E2B37"/>
    <w:rsid w:val="003E2D3D"/>
    <w:rsid w:val="003E2E14"/>
    <w:rsid w:val="003E364C"/>
    <w:rsid w:val="003E375B"/>
    <w:rsid w:val="003E3B05"/>
    <w:rsid w:val="003E3C20"/>
    <w:rsid w:val="003E41AF"/>
    <w:rsid w:val="003E4391"/>
    <w:rsid w:val="003E455F"/>
    <w:rsid w:val="003E478A"/>
    <w:rsid w:val="003E4C11"/>
    <w:rsid w:val="003E4D3D"/>
    <w:rsid w:val="003E553A"/>
    <w:rsid w:val="003E5A01"/>
    <w:rsid w:val="003E5E34"/>
    <w:rsid w:val="003E61FC"/>
    <w:rsid w:val="003E6320"/>
    <w:rsid w:val="003E665B"/>
    <w:rsid w:val="003E6CF7"/>
    <w:rsid w:val="003E707A"/>
    <w:rsid w:val="003E7A93"/>
    <w:rsid w:val="003F0363"/>
    <w:rsid w:val="003F04DF"/>
    <w:rsid w:val="003F0935"/>
    <w:rsid w:val="003F11DF"/>
    <w:rsid w:val="003F14D1"/>
    <w:rsid w:val="003F1AD5"/>
    <w:rsid w:val="003F20F1"/>
    <w:rsid w:val="003F211A"/>
    <w:rsid w:val="003F252C"/>
    <w:rsid w:val="003F2832"/>
    <w:rsid w:val="003F2D40"/>
    <w:rsid w:val="003F32B9"/>
    <w:rsid w:val="003F3313"/>
    <w:rsid w:val="003F34AA"/>
    <w:rsid w:val="003F356F"/>
    <w:rsid w:val="003F3FEA"/>
    <w:rsid w:val="003F4292"/>
    <w:rsid w:val="003F4625"/>
    <w:rsid w:val="003F4658"/>
    <w:rsid w:val="003F4CFE"/>
    <w:rsid w:val="003F4E12"/>
    <w:rsid w:val="003F51AA"/>
    <w:rsid w:val="003F5383"/>
    <w:rsid w:val="003F56FC"/>
    <w:rsid w:val="003F5713"/>
    <w:rsid w:val="003F5BFC"/>
    <w:rsid w:val="003F5E4F"/>
    <w:rsid w:val="003F6137"/>
    <w:rsid w:val="003F650D"/>
    <w:rsid w:val="003F71B8"/>
    <w:rsid w:val="003F749A"/>
    <w:rsid w:val="0040083B"/>
    <w:rsid w:val="00400954"/>
    <w:rsid w:val="00400B5D"/>
    <w:rsid w:val="00400C85"/>
    <w:rsid w:val="00400F6A"/>
    <w:rsid w:val="00401518"/>
    <w:rsid w:val="00401A30"/>
    <w:rsid w:val="00401C72"/>
    <w:rsid w:val="00401CF4"/>
    <w:rsid w:val="00401D35"/>
    <w:rsid w:val="00401F2B"/>
    <w:rsid w:val="00402185"/>
    <w:rsid w:val="004023A4"/>
    <w:rsid w:val="004024B7"/>
    <w:rsid w:val="00402DCA"/>
    <w:rsid w:val="00403951"/>
    <w:rsid w:val="00403B1F"/>
    <w:rsid w:val="00403B67"/>
    <w:rsid w:val="00403BAB"/>
    <w:rsid w:val="00403DF4"/>
    <w:rsid w:val="00404061"/>
    <w:rsid w:val="0040419B"/>
    <w:rsid w:val="00404732"/>
    <w:rsid w:val="0040479F"/>
    <w:rsid w:val="004053F6"/>
    <w:rsid w:val="00405543"/>
    <w:rsid w:val="00405793"/>
    <w:rsid w:val="00405831"/>
    <w:rsid w:val="00405B36"/>
    <w:rsid w:val="00405B8B"/>
    <w:rsid w:val="00405BE7"/>
    <w:rsid w:val="00406274"/>
    <w:rsid w:val="004066A5"/>
    <w:rsid w:val="00406827"/>
    <w:rsid w:val="004068D9"/>
    <w:rsid w:val="0040699A"/>
    <w:rsid w:val="00406C7B"/>
    <w:rsid w:val="00406E5B"/>
    <w:rsid w:val="0040736E"/>
    <w:rsid w:val="0040762C"/>
    <w:rsid w:val="00407717"/>
    <w:rsid w:val="0040779D"/>
    <w:rsid w:val="0040783A"/>
    <w:rsid w:val="00407E74"/>
    <w:rsid w:val="00410689"/>
    <w:rsid w:val="00410933"/>
    <w:rsid w:val="00410D61"/>
    <w:rsid w:val="0041117D"/>
    <w:rsid w:val="00411188"/>
    <w:rsid w:val="00411380"/>
    <w:rsid w:val="00411404"/>
    <w:rsid w:val="00412320"/>
    <w:rsid w:val="004129AA"/>
    <w:rsid w:val="00412F76"/>
    <w:rsid w:val="0041344C"/>
    <w:rsid w:val="00413836"/>
    <w:rsid w:val="00413EFF"/>
    <w:rsid w:val="00413FF6"/>
    <w:rsid w:val="00414897"/>
    <w:rsid w:val="004150B3"/>
    <w:rsid w:val="00415583"/>
    <w:rsid w:val="00415A27"/>
    <w:rsid w:val="0041668A"/>
    <w:rsid w:val="004175C8"/>
    <w:rsid w:val="004175D3"/>
    <w:rsid w:val="0041770C"/>
    <w:rsid w:val="0041781D"/>
    <w:rsid w:val="00417C08"/>
    <w:rsid w:val="00417CEB"/>
    <w:rsid w:val="00420741"/>
    <w:rsid w:val="00420752"/>
    <w:rsid w:val="00420B22"/>
    <w:rsid w:val="00420E88"/>
    <w:rsid w:val="00421448"/>
    <w:rsid w:val="004217BD"/>
    <w:rsid w:val="00421B4A"/>
    <w:rsid w:val="00421B79"/>
    <w:rsid w:val="00421EC0"/>
    <w:rsid w:val="00421F70"/>
    <w:rsid w:val="004224AE"/>
    <w:rsid w:val="004229BB"/>
    <w:rsid w:val="00422D26"/>
    <w:rsid w:val="00422D89"/>
    <w:rsid w:val="00422FD7"/>
    <w:rsid w:val="00422FED"/>
    <w:rsid w:val="00423263"/>
    <w:rsid w:val="00423277"/>
    <w:rsid w:val="00423A21"/>
    <w:rsid w:val="004243ED"/>
    <w:rsid w:val="004249FA"/>
    <w:rsid w:val="00424E2C"/>
    <w:rsid w:val="004253A7"/>
    <w:rsid w:val="004259CE"/>
    <w:rsid w:val="004259D3"/>
    <w:rsid w:val="00425CF7"/>
    <w:rsid w:val="004266F9"/>
    <w:rsid w:val="0042672D"/>
    <w:rsid w:val="00426963"/>
    <w:rsid w:val="00426CC0"/>
    <w:rsid w:val="004271DF"/>
    <w:rsid w:val="00427832"/>
    <w:rsid w:val="004279C9"/>
    <w:rsid w:val="00427A23"/>
    <w:rsid w:val="00430175"/>
    <w:rsid w:val="004301BC"/>
    <w:rsid w:val="00430301"/>
    <w:rsid w:val="00431F4A"/>
    <w:rsid w:val="00432485"/>
    <w:rsid w:val="00432FDD"/>
    <w:rsid w:val="004337FD"/>
    <w:rsid w:val="00433A9D"/>
    <w:rsid w:val="00433B68"/>
    <w:rsid w:val="00433E9E"/>
    <w:rsid w:val="00434594"/>
    <w:rsid w:val="0043466B"/>
    <w:rsid w:val="004353AF"/>
    <w:rsid w:val="00435463"/>
    <w:rsid w:val="004356B2"/>
    <w:rsid w:val="00435825"/>
    <w:rsid w:val="00435AC2"/>
    <w:rsid w:val="00435CDF"/>
    <w:rsid w:val="0043635E"/>
    <w:rsid w:val="004368E4"/>
    <w:rsid w:val="00436E26"/>
    <w:rsid w:val="00437249"/>
    <w:rsid w:val="00437315"/>
    <w:rsid w:val="0043752D"/>
    <w:rsid w:val="004400C3"/>
    <w:rsid w:val="00440235"/>
    <w:rsid w:val="0044058B"/>
    <w:rsid w:val="00440962"/>
    <w:rsid w:val="00440983"/>
    <w:rsid w:val="00440D59"/>
    <w:rsid w:val="0044149D"/>
    <w:rsid w:val="00441981"/>
    <w:rsid w:val="00441D54"/>
    <w:rsid w:val="00441EA9"/>
    <w:rsid w:val="00442069"/>
    <w:rsid w:val="0044329A"/>
    <w:rsid w:val="004434CC"/>
    <w:rsid w:val="004437D6"/>
    <w:rsid w:val="00443AA3"/>
    <w:rsid w:val="00445104"/>
    <w:rsid w:val="004456A8"/>
    <w:rsid w:val="00445851"/>
    <w:rsid w:val="00445B25"/>
    <w:rsid w:val="004469F3"/>
    <w:rsid w:val="0044705E"/>
    <w:rsid w:val="00450218"/>
    <w:rsid w:val="00450961"/>
    <w:rsid w:val="00450C2B"/>
    <w:rsid w:val="00450DBE"/>
    <w:rsid w:val="004511D5"/>
    <w:rsid w:val="00451630"/>
    <w:rsid w:val="00451F60"/>
    <w:rsid w:val="0045251A"/>
    <w:rsid w:val="00452609"/>
    <w:rsid w:val="00452878"/>
    <w:rsid w:val="00452A98"/>
    <w:rsid w:val="00452C28"/>
    <w:rsid w:val="00452ED6"/>
    <w:rsid w:val="004534A2"/>
    <w:rsid w:val="00454604"/>
    <w:rsid w:val="00454D7C"/>
    <w:rsid w:val="00454F4E"/>
    <w:rsid w:val="0045597D"/>
    <w:rsid w:val="00455A06"/>
    <w:rsid w:val="00455A4F"/>
    <w:rsid w:val="00455AED"/>
    <w:rsid w:val="004561D0"/>
    <w:rsid w:val="00456213"/>
    <w:rsid w:val="00456428"/>
    <w:rsid w:val="00456912"/>
    <w:rsid w:val="00457394"/>
    <w:rsid w:val="00457654"/>
    <w:rsid w:val="004577CB"/>
    <w:rsid w:val="00457B2C"/>
    <w:rsid w:val="00460216"/>
    <w:rsid w:val="004603B8"/>
    <w:rsid w:val="004607B8"/>
    <w:rsid w:val="00460873"/>
    <w:rsid w:val="004608A6"/>
    <w:rsid w:val="00460AC3"/>
    <w:rsid w:val="00460ADF"/>
    <w:rsid w:val="00460EBA"/>
    <w:rsid w:val="00461155"/>
    <w:rsid w:val="004611BB"/>
    <w:rsid w:val="0046137E"/>
    <w:rsid w:val="0046149F"/>
    <w:rsid w:val="0046173E"/>
    <w:rsid w:val="004618A7"/>
    <w:rsid w:val="00461EA9"/>
    <w:rsid w:val="0046283C"/>
    <w:rsid w:val="00462BF0"/>
    <w:rsid w:val="00462D00"/>
    <w:rsid w:val="004634A5"/>
    <w:rsid w:val="00463DA0"/>
    <w:rsid w:val="00464085"/>
    <w:rsid w:val="004640CA"/>
    <w:rsid w:val="004640E2"/>
    <w:rsid w:val="00464215"/>
    <w:rsid w:val="00464454"/>
    <w:rsid w:val="0046451F"/>
    <w:rsid w:val="00464C61"/>
    <w:rsid w:val="00464ECC"/>
    <w:rsid w:val="0046565F"/>
    <w:rsid w:val="00465B1E"/>
    <w:rsid w:val="00465C13"/>
    <w:rsid w:val="00465CD0"/>
    <w:rsid w:val="00465E3E"/>
    <w:rsid w:val="00466AE0"/>
    <w:rsid w:val="00466F47"/>
    <w:rsid w:val="00467F28"/>
    <w:rsid w:val="004703F9"/>
    <w:rsid w:val="004704EE"/>
    <w:rsid w:val="004706A5"/>
    <w:rsid w:val="00470BAF"/>
    <w:rsid w:val="00470CC6"/>
    <w:rsid w:val="00470D5B"/>
    <w:rsid w:val="00470F8F"/>
    <w:rsid w:val="00471016"/>
    <w:rsid w:val="0047111D"/>
    <w:rsid w:val="00471286"/>
    <w:rsid w:val="00471748"/>
    <w:rsid w:val="00471CAC"/>
    <w:rsid w:val="00472235"/>
    <w:rsid w:val="00472A45"/>
    <w:rsid w:val="00472ABD"/>
    <w:rsid w:val="00472C63"/>
    <w:rsid w:val="00472D35"/>
    <w:rsid w:val="004731BD"/>
    <w:rsid w:val="0047337F"/>
    <w:rsid w:val="00473E37"/>
    <w:rsid w:val="00474071"/>
    <w:rsid w:val="004743D1"/>
    <w:rsid w:val="00474478"/>
    <w:rsid w:val="00474A43"/>
    <w:rsid w:val="00474BF6"/>
    <w:rsid w:val="00474C41"/>
    <w:rsid w:val="00474CF2"/>
    <w:rsid w:val="004750AB"/>
    <w:rsid w:val="00475485"/>
    <w:rsid w:val="004755A5"/>
    <w:rsid w:val="00475BD7"/>
    <w:rsid w:val="004765F5"/>
    <w:rsid w:val="00476728"/>
    <w:rsid w:val="00476BEF"/>
    <w:rsid w:val="00476C78"/>
    <w:rsid w:val="0047779E"/>
    <w:rsid w:val="0047791A"/>
    <w:rsid w:val="00477C77"/>
    <w:rsid w:val="004802D4"/>
    <w:rsid w:val="004802E8"/>
    <w:rsid w:val="0048032B"/>
    <w:rsid w:val="004809E6"/>
    <w:rsid w:val="0048116E"/>
    <w:rsid w:val="004814FE"/>
    <w:rsid w:val="00481DD6"/>
    <w:rsid w:val="004826AF"/>
    <w:rsid w:val="00482774"/>
    <w:rsid w:val="0048287C"/>
    <w:rsid w:val="0048318E"/>
    <w:rsid w:val="004836BD"/>
    <w:rsid w:val="004838B9"/>
    <w:rsid w:val="00484503"/>
    <w:rsid w:val="004846D5"/>
    <w:rsid w:val="004846D6"/>
    <w:rsid w:val="00484851"/>
    <w:rsid w:val="00484923"/>
    <w:rsid w:val="00484C5F"/>
    <w:rsid w:val="00484D69"/>
    <w:rsid w:val="00484E23"/>
    <w:rsid w:val="0048513E"/>
    <w:rsid w:val="0048537F"/>
    <w:rsid w:val="00485957"/>
    <w:rsid w:val="0048598C"/>
    <w:rsid w:val="00485C87"/>
    <w:rsid w:val="00486D49"/>
    <w:rsid w:val="0048714C"/>
    <w:rsid w:val="004873CA"/>
    <w:rsid w:val="00487866"/>
    <w:rsid w:val="00487DB8"/>
    <w:rsid w:val="00487F85"/>
    <w:rsid w:val="004900E5"/>
    <w:rsid w:val="0049010D"/>
    <w:rsid w:val="004908E5"/>
    <w:rsid w:val="00490A85"/>
    <w:rsid w:val="00490E44"/>
    <w:rsid w:val="0049114F"/>
    <w:rsid w:val="00491CD7"/>
    <w:rsid w:val="004923B1"/>
    <w:rsid w:val="00492807"/>
    <w:rsid w:val="00492B45"/>
    <w:rsid w:val="00493A2D"/>
    <w:rsid w:val="00493AAB"/>
    <w:rsid w:val="00494157"/>
    <w:rsid w:val="00494544"/>
    <w:rsid w:val="00494983"/>
    <w:rsid w:val="00495BF3"/>
    <w:rsid w:val="0049650B"/>
    <w:rsid w:val="004968D7"/>
    <w:rsid w:val="004969B1"/>
    <w:rsid w:val="004974A4"/>
    <w:rsid w:val="0049761A"/>
    <w:rsid w:val="00497665"/>
    <w:rsid w:val="00497D9D"/>
    <w:rsid w:val="00497EBC"/>
    <w:rsid w:val="004A0450"/>
    <w:rsid w:val="004A0A0A"/>
    <w:rsid w:val="004A0F4F"/>
    <w:rsid w:val="004A1333"/>
    <w:rsid w:val="004A1591"/>
    <w:rsid w:val="004A17A8"/>
    <w:rsid w:val="004A186E"/>
    <w:rsid w:val="004A1E8D"/>
    <w:rsid w:val="004A2900"/>
    <w:rsid w:val="004A2BBC"/>
    <w:rsid w:val="004A2D9D"/>
    <w:rsid w:val="004A3068"/>
    <w:rsid w:val="004A3167"/>
    <w:rsid w:val="004A31D7"/>
    <w:rsid w:val="004A332C"/>
    <w:rsid w:val="004A3471"/>
    <w:rsid w:val="004A37B9"/>
    <w:rsid w:val="004A39B5"/>
    <w:rsid w:val="004A3A10"/>
    <w:rsid w:val="004A3A30"/>
    <w:rsid w:val="004A3AF4"/>
    <w:rsid w:val="004A3FA4"/>
    <w:rsid w:val="004A40A2"/>
    <w:rsid w:val="004A4E90"/>
    <w:rsid w:val="004A4FD9"/>
    <w:rsid w:val="004A50B3"/>
    <w:rsid w:val="004A5226"/>
    <w:rsid w:val="004A60FF"/>
    <w:rsid w:val="004A6893"/>
    <w:rsid w:val="004A6BB5"/>
    <w:rsid w:val="004A6BB6"/>
    <w:rsid w:val="004A6CB6"/>
    <w:rsid w:val="004A6E8E"/>
    <w:rsid w:val="004A7157"/>
    <w:rsid w:val="004A739E"/>
    <w:rsid w:val="004A76F1"/>
    <w:rsid w:val="004A7781"/>
    <w:rsid w:val="004A798C"/>
    <w:rsid w:val="004A7C3B"/>
    <w:rsid w:val="004A7D6E"/>
    <w:rsid w:val="004B016E"/>
    <w:rsid w:val="004B0489"/>
    <w:rsid w:val="004B0AF8"/>
    <w:rsid w:val="004B0C09"/>
    <w:rsid w:val="004B1091"/>
    <w:rsid w:val="004B1212"/>
    <w:rsid w:val="004B12CF"/>
    <w:rsid w:val="004B1C40"/>
    <w:rsid w:val="004B20B9"/>
    <w:rsid w:val="004B20E5"/>
    <w:rsid w:val="004B2279"/>
    <w:rsid w:val="004B259A"/>
    <w:rsid w:val="004B26C9"/>
    <w:rsid w:val="004B2765"/>
    <w:rsid w:val="004B30D9"/>
    <w:rsid w:val="004B32DC"/>
    <w:rsid w:val="004B3358"/>
    <w:rsid w:val="004B369D"/>
    <w:rsid w:val="004B373B"/>
    <w:rsid w:val="004B3799"/>
    <w:rsid w:val="004B3E4C"/>
    <w:rsid w:val="004B491C"/>
    <w:rsid w:val="004B499C"/>
    <w:rsid w:val="004B4E22"/>
    <w:rsid w:val="004B548A"/>
    <w:rsid w:val="004B5ACF"/>
    <w:rsid w:val="004B6468"/>
    <w:rsid w:val="004B6545"/>
    <w:rsid w:val="004B6A70"/>
    <w:rsid w:val="004B6B66"/>
    <w:rsid w:val="004B6CA3"/>
    <w:rsid w:val="004B6E76"/>
    <w:rsid w:val="004B77CE"/>
    <w:rsid w:val="004B78D3"/>
    <w:rsid w:val="004B78E9"/>
    <w:rsid w:val="004B7AEA"/>
    <w:rsid w:val="004C0088"/>
    <w:rsid w:val="004C0137"/>
    <w:rsid w:val="004C0706"/>
    <w:rsid w:val="004C09B4"/>
    <w:rsid w:val="004C0CBA"/>
    <w:rsid w:val="004C0EAC"/>
    <w:rsid w:val="004C0F69"/>
    <w:rsid w:val="004C0FB3"/>
    <w:rsid w:val="004C1303"/>
    <w:rsid w:val="004C19AB"/>
    <w:rsid w:val="004C1AD3"/>
    <w:rsid w:val="004C1B9F"/>
    <w:rsid w:val="004C1CD2"/>
    <w:rsid w:val="004C1DB2"/>
    <w:rsid w:val="004C1EF7"/>
    <w:rsid w:val="004C2136"/>
    <w:rsid w:val="004C27AF"/>
    <w:rsid w:val="004C287F"/>
    <w:rsid w:val="004C30F2"/>
    <w:rsid w:val="004C313B"/>
    <w:rsid w:val="004C3816"/>
    <w:rsid w:val="004C38CC"/>
    <w:rsid w:val="004C3CC9"/>
    <w:rsid w:val="004C3CFD"/>
    <w:rsid w:val="004C4039"/>
    <w:rsid w:val="004C4081"/>
    <w:rsid w:val="004C41DB"/>
    <w:rsid w:val="004C4BCF"/>
    <w:rsid w:val="004C4E10"/>
    <w:rsid w:val="004C525A"/>
    <w:rsid w:val="004C527D"/>
    <w:rsid w:val="004C54CF"/>
    <w:rsid w:val="004C5531"/>
    <w:rsid w:val="004C55D0"/>
    <w:rsid w:val="004C590E"/>
    <w:rsid w:val="004C5B2E"/>
    <w:rsid w:val="004C5BD2"/>
    <w:rsid w:val="004C5BDF"/>
    <w:rsid w:val="004C6273"/>
    <w:rsid w:val="004C6579"/>
    <w:rsid w:val="004C6613"/>
    <w:rsid w:val="004C6A2C"/>
    <w:rsid w:val="004C721B"/>
    <w:rsid w:val="004C7237"/>
    <w:rsid w:val="004C7881"/>
    <w:rsid w:val="004C795F"/>
    <w:rsid w:val="004C7B17"/>
    <w:rsid w:val="004D0202"/>
    <w:rsid w:val="004D0354"/>
    <w:rsid w:val="004D04CC"/>
    <w:rsid w:val="004D0902"/>
    <w:rsid w:val="004D0963"/>
    <w:rsid w:val="004D11D6"/>
    <w:rsid w:val="004D1A65"/>
    <w:rsid w:val="004D26B3"/>
    <w:rsid w:val="004D2D51"/>
    <w:rsid w:val="004D2EFF"/>
    <w:rsid w:val="004D31F3"/>
    <w:rsid w:val="004D33E6"/>
    <w:rsid w:val="004D36DE"/>
    <w:rsid w:val="004D3996"/>
    <w:rsid w:val="004D3C63"/>
    <w:rsid w:val="004D447C"/>
    <w:rsid w:val="004D46DC"/>
    <w:rsid w:val="004D4EAD"/>
    <w:rsid w:val="004D5043"/>
    <w:rsid w:val="004D527E"/>
    <w:rsid w:val="004D571A"/>
    <w:rsid w:val="004D5815"/>
    <w:rsid w:val="004D5A79"/>
    <w:rsid w:val="004D5AE6"/>
    <w:rsid w:val="004D60F9"/>
    <w:rsid w:val="004D6508"/>
    <w:rsid w:val="004D695A"/>
    <w:rsid w:val="004D7168"/>
    <w:rsid w:val="004D7321"/>
    <w:rsid w:val="004D7427"/>
    <w:rsid w:val="004D789F"/>
    <w:rsid w:val="004E0358"/>
    <w:rsid w:val="004E049C"/>
    <w:rsid w:val="004E0623"/>
    <w:rsid w:val="004E064C"/>
    <w:rsid w:val="004E0856"/>
    <w:rsid w:val="004E089D"/>
    <w:rsid w:val="004E0A34"/>
    <w:rsid w:val="004E1449"/>
    <w:rsid w:val="004E159F"/>
    <w:rsid w:val="004E160F"/>
    <w:rsid w:val="004E1ADA"/>
    <w:rsid w:val="004E1CA2"/>
    <w:rsid w:val="004E1FFE"/>
    <w:rsid w:val="004E2467"/>
    <w:rsid w:val="004E2F4F"/>
    <w:rsid w:val="004E3065"/>
    <w:rsid w:val="004E379D"/>
    <w:rsid w:val="004E3E13"/>
    <w:rsid w:val="004E487B"/>
    <w:rsid w:val="004E48CD"/>
    <w:rsid w:val="004E4C4A"/>
    <w:rsid w:val="004E4C81"/>
    <w:rsid w:val="004E5EC4"/>
    <w:rsid w:val="004E673E"/>
    <w:rsid w:val="004E6E30"/>
    <w:rsid w:val="004E741E"/>
    <w:rsid w:val="004E744F"/>
    <w:rsid w:val="004E7853"/>
    <w:rsid w:val="004E79DF"/>
    <w:rsid w:val="004F01FA"/>
    <w:rsid w:val="004F03AD"/>
    <w:rsid w:val="004F0D58"/>
    <w:rsid w:val="004F10B7"/>
    <w:rsid w:val="004F1134"/>
    <w:rsid w:val="004F1911"/>
    <w:rsid w:val="004F1DC6"/>
    <w:rsid w:val="004F2263"/>
    <w:rsid w:val="004F23EE"/>
    <w:rsid w:val="004F2619"/>
    <w:rsid w:val="004F270F"/>
    <w:rsid w:val="004F2B25"/>
    <w:rsid w:val="004F2DDC"/>
    <w:rsid w:val="004F3887"/>
    <w:rsid w:val="004F3CEB"/>
    <w:rsid w:val="004F3D28"/>
    <w:rsid w:val="004F3E53"/>
    <w:rsid w:val="004F44A3"/>
    <w:rsid w:val="004F49A3"/>
    <w:rsid w:val="004F4F19"/>
    <w:rsid w:val="004F5181"/>
    <w:rsid w:val="004F5E37"/>
    <w:rsid w:val="004F6671"/>
    <w:rsid w:val="004F670A"/>
    <w:rsid w:val="004F67D8"/>
    <w:rsid w:val="004F6B9D"/>
    <w:rsid w:val="004F6E00"/>
    <w:rsid w:val="004F6EC4"/>
    <w:rsid w:val="004F709F"/>
    <w:rsid w:val="004F70E4"/>
    <w:rsid w:val="004F70F2"/>
    <w:rsid w:val="004F73E3"/>
    <w:rsid w:val="004F790D"/>
    <w:rsid w:val="004F7EE9"/>
    <w:rsid w:val="005009B8"/>
    <w:rsid w:val="00500D2C"/>
    <w:rsid w:val="00500F40"/>
    <w:rsid w:val="00501088"/>
    <w:rsid w:val="005010A9"/>
    <w:rsid w:val="005015FA"/>
    <w:rsid w:val="0050164D"/>
    <w:rsid w:val="00501967"/>
    <w:rsid w:val="00501DF1"/>
    <w:rsid w:val="00501E1C"/>
    <w:rsid w:val="00501E3D"/>
    <w:rsid w:val="00502684"/>
    <w:rsid w:val="00502720"/>
    <w:rsid w:val="00502E7D"/>
    <w:rsid w:val="00503020"/>
    <w:rsid w:val="00503085"/>
    <w:rsid w:val="0050324F"/>
    <w:rsid w:val="00504DFC"/>
    <w:rsid w:val="00504E26"/>
    <w:rsid w:val="00504EDD"/>
    <w:rsid w:val="005051FB"/>
    <w:rsid w:val="00505318"/>
    <w:rsid w:val="0050610A"/>
    <w:rsid w:val="0050644D"/>
    <w:rsid w:val="00506475"/>
    <w:rsid w:val="00506668"/>
    <w:rsid w:val="00506788"/>
    <w:rsid w:val="005068DA"/>
    <w:rsid w:val="00506B09"/>
    <w:rsid w:val="00506CD3"/>
    <w:rsid w:val="005072E5"/>
    <w:rsid w:val="00507342"/>
    <w:rsid w:val="005075B1"/>
    <w:rsid w:val="00507D66"/>
    <w:rsid w:val="005103D5"/>
    <w:rsid w:val="0051118A"/>
    <w:rsid w:val="005112C7"/>
    <w:rsid w:val="00511376"/>
    <w:rsid w:val="00511DD2"/>
    <w:rsid w:val="00511EEF"/>
    <w:rsid w:val="00511F57"/>
    <w:rsid w:val="00512786"/>
    <w:rsid w:val="0051340D"/>
    <w:rsid w:val="0051389D"/>
    <w:rsid w:val="00513A10"/>
    <w:rsid w:val="00513AF2"/>
    <w:rsid w:val="0051422F"/>
    <w:rsid w:val="00514914"/>
    <w:rsid w:val="00514C90"/>
    <w:rsid w:val="00514F9A"/>
    <w:rsid w:val="00514FED"/>
    <w:rsid w:val="00515115"/>
    <w:rsid w:val="00515156"/>
    <w:rsid w:val="005156B5"/>
    <w:rsid w:val="00515F0F"/>
    <w:rsid w:val="0051658B"/>
    <w:rsid w:val="005165CA"/>
    <w:rsid w:val="005171B7"/>
    <w:rsid w:val="005174E6"/>
    <w:rsid w:val="00517E33"/>
    <w:rsid w:val="00520241"/>
    <w:rsid w:val="0052037C"/>
    <w:rsid w:val="005205BD"/>
    <w:rsid w:val="005207CA"/>
    <w:rsid w:val="00520E8B"/>
    <w:rsid w:val="00520F70"/>
    <w:rsid w:val="005216AE"/>
    <w:rsid w:val="00521CF6"/>
    <w:rsid w:val="00521DE6"/>
    <w:rsid w:val="00522486"/>
    <w:rsid w:val="00522986"/>
    <w:rsid w:val="0052381C"/>
    <w:rsid w:val="0052388A"/>
    <w:rsid w:val="00523D27"/>
    <w:rsid w:val="00523E24"/>
    <w:rsid w:val="00524203"/>
    <w:rsid w:val="005242CE"/>
    <w:rsid w:val="005245BB"/>
    <w:rsid w:val="00524874"/>
    <w:rsid w:val="0052489C"/>
    <w:rsid w:val="00524962"/>
    <w:rsid w:val="00524CBB"/>
    <w:rsid w:val="005253EF"/>
    <w:rsid w:val="005256A0"/>
    <w:rsid w:val="00525733"/>
    <w:rsid w:val="0052583D"/>
    <w:rsid w:val="00525D2C"/>
    <w:rsid w:val="00525EB1"/>
    <w:rsid w:val="00525FB9"/>
    <w:rsid w:val="00526488"/>
    <w:rsid w:val="005266B7"/>
    <w:rsid w:val="00526881"/>
    <w:rsid w:val="00526C5A"/>
    <w:rsid w:val="005271B2"/>
    <w:rsid w:val="005273C4"/>
    <w:rsid w:val="00527405"/>
    <w:rsid w:val="00527A50"/>
    <w:rsid w:val="00530161"/>
    <w:rsid w:val="005302BE"/>
    <w:rsid w:val="00530427"/>
    <w:rsid w:val="00530495"/>
    <w:rsid w:val="005304A1"/>
    <w:rsid w:val="005306B0"/>
    <w:rsid w:val="00530719"/>
    <w:rsid w:val="005314E8"/>
    <w:rsid w:val="00531600"/>
    <w:rsid w:val="005318D8"/>
    <w:rsid w:val="00531AFB"/>
    <w:rsid w:val="005327C5"/>
    <w:rsid w:val="00532BBD"/>
    <w:rsid w:val="00532E86"/>
    <w:rsid w:val="00533447"/>
    <w:rsid w:val="00533BB5"/>
    <w:rsid w:val="00533C00"/>
    <w:rsid w:val="00533DDC"/>
    <w:rsid w:val="00534075"/>
    <w:rsid w:val="005343A9"/>
    <w:rsid w:val="005346A9"/>
    <w:rsid w:val="00534885"/>
    <w:rsid w:val="005348A0"/>
    <w:rsid w:val="00534BA5"/>
    <w:rsid w:val="00534E63"/>
    <w:rsid w:val="00534ED8"/>
    <w:rsid w:val="00534FAD"/>
    <w:rsid w:val="00535275"/>
    <w:rsid w:val="005352B0"/>
    <w:rsid w:val="00535CA1"/>
    <w:rsid w:val="00535D00"/>
    <w:rsid w:val="0053603C"/>
    <w:rsid w:val="005361F4"/>
    <w:rsid w:val="005361F5"/>
    <w:rsid w:val="00536619"/>
    <w:rsid w:val="0053667B"/>
    <w:rsid w:val="0053676D"/>
    <w:rsid w:val="00536D36"/>
    <w:rsid w:val="00537B82"/>
    <w:rsid w:val="00540B49"/>
    <w:rsid w:val="00540C23"/>
    <w:rsid w:val="00541398"/>
    <w:rsid w:val="0054149F"/>
    <w:rsid w:val="00541532"/>
    <w:rsid w:val="0054163D"/>
    <w:rsid w:val="00541959"/>
    <w:rsid w:val="005419B9"/>
    <w:rsid w:val="00541AF1"/>
    <w:rsid w:val="00541B1F"/>
    <w:rsid w:val="00541BEE"/>
    <w:rsid w:val="0054304B"/>
    <w:rsid w:val="005430C3"/>
    <w:rsid w:val="00543258"/>
    <w:rsid w:val="005432CE"/>
    <w:rsid w:val="0054346B"/>
    <w:rsid w:val="0054388F"/>
    <w:rsid w:val="00543ADA"/>
    <w:rsid w:val="00543DC6"/>
    <w:rsid w:val="00543DD3"/>
    <w:rsid w:val="005442CE"/>
    <w:rsid w:val="00544642"/>
    <w:rsid w:val="0054469A"/>
    <w:rsid w:val="00544A6A"/>
    <w:rsid w:val="005452D1"/>
    <w:rsid w:val="005455E0"/>
    <w:rsid w:val="00545E2B"/>
    <w:rsid w:val="0054657A"/>
    <w:rsid w:val="0054668A"/>
    <w:rsid w:val="00546908"/>
    <w:rsid w:val="00546C34"/>
    <w:rsid w:val="00546C84"/>
    <w:rsid w:val="00546F2C"/>
    <w:rsid w:val="00547011"/>
    <w:rsid w:val="00547A15"/>
    <w:rsid w:val="00547A50"/>
    <w:rsid w:val="00547A5C"/>
    <w:rsid w:val="00547B02"/>
    <w:rsid w:val="00547B3F"/>
    <w:rsid w:val="00547DBC"/>
    <w:rsid w:val="00547FD1"/>
    <w:rsid w:val="005503A5"/>
    <w:rsid w:val="005506AF"/>
    <w:rsid w:val="00550FFC"/>
    <w:rsid w:val="00551359"/>
    <w:rsid w:val="00551521"/>
    <w:rsid w:val="0055168C"/>
    <w:rsid w:val="0055175E"/>
    <w:rsid w:val="005519EE"/>
    <w:rsid w:val="00551DBC"/>
    <w:rsid w:val="0055215C"/>
    <w:rsid w:val="0055254C"/>
    <w:rsid w:val="00552D7F"/>
    <w:rsid w:val="00552E8B"/>
    <w:rsid w:val="00552F1E"/>
    <w:rsid w:val="00553698"/>
    <w:rsid w:val="00553733"/>
    <w:rsid w:val="00553855"/>
    <w:rsid w:val="00553E76"/>
    <w:rsid w:val="005542E4"/>
    <w:rsid w:val="0055433A"/>
    <w:rsid w:val="00554360"/>
    <w:rsid w:val="00554C7F"/>
    <w:rsid w:val="00554EC9"/>
    <w:rsid w:val="00554FCB"/>
    <w:rsid w:val="00555057"/>
    <w:rsid w:val="005551A1"/>
    <w:rsid w:val="00555710"/>
    <w:rsid w:val="00555A55"/>
    <w:rsid w:val="00555B4B"/>
    <w:rsid w:val="00555BC7"/>
    <w:rsid w:val="00555DFD"/>
    <w:rsid w:val="00556182"/>
    <w:rsid w:val="00556DD1"/>
    <w:rsid w:val="00556FD0"/>
    <w:rsid w:val="00557906"/>
    <w:rsid w:val="0055790C"/>
    <w:rsid w:val="00557A24"/>
    <w:rsid w:val="00557DA5"/>
    <w:rsid w:val="00557F34"/>
    <w:rsid w:val="00560251"/>
    <w:rsid w:val="005604BC"/>
    <w:rsid w:val="00560557"/>
    <w:rsid w:val="00560618"/>
    <w:rsid w:val="0056066C"/>
    <w:rsid w:val="00560D3F"/>
    <w:rsid w:val="00560D4C"/>
    <w:rsid w:val="005610D3"/>
    <w:rsid w:val="0056126A"/>
    <w:rsid w:val="005613F4"/>
    <w:rsid w:val="00561D79"/>
    <w:rsid w:val="005620C9"/>
    <w:rsid w:val="005624D3"/>
    <w:rsid w:val="00562B8C"/>
    <w:rsid w:val="00562FA1"/>
    <w:rsid w:val="00563176"/>
    <w:rsid w:val="0056328D"/>
    <w:rsid w:val="00563A6E"/>
    <w:rsid w:val="00563C6C"/>
    <w:rsid w:val="00563FE8"/>
    <w:rsid w:val="005643E1"/>
    <w:rsid w:val="00564CD8"/>
    <w:rsid w:val="00564DD2"/>
    <w:rsid w:val="005653A4"/>
    <w:rsid w:val="0056552B"/>
    <w:rsid w:val="00565F59"/>
    <w:rsid w:val="005661ED"/>
    <w:rsid w:val="00566504"/>
    <w:rsid w:val="00566EEF"/>
    <w:rsid w:val="00567255"/>
    <w:rsid w:val="0056776B"/>
    <w:rsid w:val="00567C2C"/>
    <w:rsid w:val="005710DB"/>
    <w:rsid w:val="00571897"/>
    <w:rsid w:val="00571BB5"/>
    <w:rsid w:val="00571BE6"/>
    <w:rsid w:val="00571C13"/>
    <w:rsid w:val="00573536"/>
    <w:rsid w:val="005738F0"/>
    <w:rsid w:val="00573D9A"/>
    <w:rsid w:val="00574076"/>
    <w:rsid w:val="0057449E"/>
    <w:rsid w:val="0057463D"/>
    <w:rsid w:val="00574A66"/>
    <w:rsid w:val="00574AB5"/>
    <w:rsid w:val="00574ACB"/>
    <w:rsid w:val="00574E97"/>
    <w:rsid w:val="00575116"/>
    <w:rsid w:val="00575122"/>
    <w:rsid w:val="0057565A"/>
    <w:rsid w:val="00575A95"/>
    <w:rsid w:val="005760B6"/>
    <w:rsid w:val="0057638B"/>
    <w:rsid w:val="005763F6"/>
    <w:rsid w:val="00576500"/>
    <w:rsid w:val="005765E7"/>
    <w:rsid w:val="00576640"/>
    <w:rsid w:val="005770FF"/>
    <w:rsid w:val="005771C8"/>
    <w:rsid w:val="00577292"/>
    <w:rsid w:val="00577423"/>
    <w:rsid w:val="005774A4"/>
    <w:rsid w:val="005775C4"/>
    <w:rsid w:val="005775F0"/>
    <w:rsid w:val="005776FF"/>
    <w:rsid w:val="00577B35"/>
    <w:rsid w:val="00580763"/>
    <w:rsid w:val="005808A2"/>
    <w:rsid w:val="00580901"/>
    <w:rsid w:val="00580ACA"/>
    <w:rsid w:val="005814E6"/>
    <w:rsid w:val="005818D8"/>
    <w:rsid w:val="00581A3F"/>
    <w:rsid w:val="00581AD6"/>
    <w:rsid w:val="00581B86"/>
    <w:rsid w:val="00582061"/>
    <w:rsid w:val="0058210A"/>
    <w:rsid w:val="00582C19"/>
    <w:rsid w:val="005830C5"/>
    <w:rsid w:val="0058327D"/>
    <w:rsid w:val="00583341"/>
    <w:rsid w:val="005834E2"/>
    <w:rsid w:val="005836B4"/>
    <w:rsid w:val="005839C7"/>
    <w:rsid w:val="00583E64"/>
    <w:rsid w:val="0058461D"/>
    <w:rsid w:val="00584AE7"/>
    <w:rsid w:val="00584C17"/>
    <w:rsid w:val="00584CEC"/>
    <w:rsid w:val="00584E09"/>
    <w:rsid w:val="0058504E"/>
    <w:rsid w:val="005856DC"/>
    <w:rsid w:val="00586313"/>
    <w:rsid w:val="005864F4"/>
    <w:rsid w:val="00586773"/>
    <w:rsid w:val="00586957"/>
    <w:rsid w:val="00586B42"/>
    <w:rsid w:val="005871A9"/>
    <w:rsid w:val="0058744E"/>
    <w:rsid w:val="0058746B"/>
    <w:rsid w:val="005875B0"/>
    <w:rsid w:val="005879B0"/>
    <w:rsid w:val="00587AA8"/>
    <w:rsid w:val="00590388"/>
    <w:rsid w:val="005903B3"/>
    <w:rsid w:val="00590C97"/>
    <w:rsid w:val="00591517"/>
    <w:rsid w:val="00592315"/>
    <w:rsid w:val="005924A0"/>
    <w:rsid w:val="005924C3"/>
    <w:rsid w:val="00592678"/>
    <w:rsid w:val="0059300B"/>
    <w:rsid w:val="0059307F"/>
    <w:rsid w:val="00593A66"/>
    <w:rsid w:val="00594345"/>
    <w:rsid w:val="00594DC9"/>
    <w:rsid w:val="00594DEC"/>
    <w:rsid w:val="00595212"/>
    <w:rsid w:val="005953F9"/>
    <w:rsid w:val="005955A3"/>
    <w:rsid w:val="0059581F"/>
    <w:rsid w:val="00595D41"/>
    <w:rsid w:val="00595F3F"/>
    <w:rsid w:val="0059629A"/>
    <w:rsid w:val="005966DA"/>
    <w:rsid w:val="005967C4"/>
    <w:rsid w:val="00596EE3"/>
    <w:rsid w:val="00596F37"/>
    <w:rsid w:val="00596FC8"/>
    <w:rsid w:val="00597288"/>
    <w:rsid w:val="005973BA"/>
    <w:rsid w:val="00597E16"/>
    <w:rsid w:val="005A03B6"/>
    <w:rsid w:val="005A08F2"/>
    <w:rsid w:val="005A0C49"/>
    <w:rsid w:val="005A0F1F"/>
    <w:rsid w:val="005A1341"/>
    <w:rsid w:val="005A134F"/>
    <w:rsid w:val="005A1604"/>
    <w:rsid w:val="005A19BD"/>
    <w:rsid w:val="005A20F8"/>
    <w:rsid w:val="005A230F"/>
    <w:rsid w:val="005A2411"/>
    <w:rsid w:val="005A2534"/>
    <w:rsid w:val="005A2918"/>
    <w:rsid w:val="005A2AC6"/>
    <w:rsid w:val="005A2B70"/>
    <w:rsid w:val="005A3008"/>
    <w:rsid w:val="005A31AB"/>
    <w:rsid w:val="005A3A3C"/>
    <w:rsid w:val="005A3A3E"/>
    <w:rsid w:val="005A3B6C"/>
    <w:rsid w:val="005A3C8B"/>
    <w:rsid w:val="005A40A2"/>
    <w:rsid w:val="005A4253"/>
    <w:rsid w:val="005A4743"/>
    <w:rsid w:val="005A4AF0"/>
    <w:rsid w:val="005A4EB3"/>
    <w:rsid w:val="005A50A9"/>
    <w:rsid w:val="005A56B7"/>
    <w:rsid w:val="005A57C4"/>
    <w:rsid w:val="005A589F"/>
    <w:rsid w:val="005A612A"/>
    <w:rsid w:val="005A61F5"/>
    <w:rsid w:val="005A6575"/>
    <w:rsid w:val="005A6659"/>
    <w:rsid w:val="005A665F"/>
    <w:rsid w:val="005A677F"/>
    <w:rsid w:val="005A68D6"/>
    <w:rsid w:val="005A6C83"/>
    <w:rsid w:val="005A6CA5"/>
    <w:rsid w:val="005A6E24"/>
    <w:rsid w:val="005A703F"/>
    <w:rsid w:val="005A76C3"/>
    <w:rsid w:val="005A7B16"/>
    <w:rsid w:val="005B0057"/>
    <w:rsid w:val="005B06A5"/>
    <w:rsid w:val="005B091F"/>
    <w:rsid w:val="005B0A65"/>
    <w:rsid w:val="005B0B47"/>
    <w:rsid w:val="005B1090"/>
    <w:rsid w:val="005B12C5"/>
    <w:rsid w:val="005B1943"/>
    <w:rsid w:val="005B19AC"/>
    <w:rsid w:val="005B1CC3"/>
    <w:rsid w:val="005B1FF9"/>
    <w:rsid w:val="005B208E"/>
    <w:rsid w:val="005B2141"/>
    <w:rsid w:val="005B239B"/>
    <w:rsid w:val="005B34B0"/>
    <w:rsid w:val="005B38DC"/>
    <w:rsid w:val="005B3957"/>
    <w:rsid w:val="005B3A8B"/>
    <w:rsid w:val="005B3B3C"/>
    <w:rsid w:val="005B3F47"/>
    <w:rsid w:val="005B539D"/>
    <w:rsid w:val="005B5805"/>
    <w:rsid w:val="005B580D"/>
    <w:rsid w:val="005B5946"/>
    <w:rsid w:val="005B5A64"/>
    <w:rsid w:val="005B5AAF"/>
    <w:rsid w:val="005B5FA8"/>
    <w:rsid w:val="005B6077"/>
    <w:rsid w:val="005B6150"/>
    <w:rsid w:val="005B64A3"/>
    <w:rsid w:val="005B64D4"/>
    <w:rsid w:val="005B6D72"/>
    <w:rsid w:val="005B784F"/>
    <w:rsid w:val="005B7C74"/>
    <w:rsid w:val="005B7DFF"/>
    <w:rsid w:val="005B7F01"/>
    <w:rsid w:val="005C0A52"/>
    <w:rsid w:val="005C1043"/>
    <w:rsid w:val="005C10B7"/>
    <w:rsid w:val="005C196E"/>
    <w:rsid w:val="005C1A7C"/>
    <w:rsid w:val="005C1BBC"/>
    <w:rsid w:val="005C2202"/>
    <w:rsid w:val="005C2280"/>
    <w:rsid w:val="005C248D"/>
    <w:rsid w:val="005C28DB"/>
    <w:rsid w:val="005C2ABB"/>
    <w:rsid w:val="005C2B9D"/>
    <w:rsid w:val="005C2BC7"/>
    <w:rsid w:val="005C2C88"/>
    <w:rsid w:val="005C2FDD"/>
    <w:rsid w:val="005C35B9"/>
    <w:rsid w:val="005C363C"/>
    <w:rsid w:val="005C369F"/>
    <w:rsid w:val="005C3BEE"/>
    <w:rsid w:val="005C4519"/>
    <w:rsid w:val="005C46CA"/>
    <w:rsid w:val="005C48F7"/>
    <w:rsid w:val="005C4D53"/>
    <w:rsid w:val="005C504F"/>
    <w:rsid w:val="005C5757"/>
    <w:rsid w:val="005C5AF3"/>
    <w:rsid w:val="005C5D8A"/>
    <w:rsid w:val="005C5FA5"/>
    <w:rsid w:val="005C61F7"/>
    <w:rsid w:val="005C62F3"/>
    <w:rsid w:val="005C6460"/>
    <w:rsid w:val="005C6765"/>
    <w:rsid w:val="005C68B1"/>
    <w:rsid w:val="005C6DDF"/>
    <w:rsid w:val="005C6F36"/>
    <w:rsid w:val="005C7538"/>
    <w:rsid w:val="005C76DE"/>
    <w:rsid w:val="005C79A1"/>
    <w:rsid w:val="005C7A01"/>
    <w:rsid w:val="005C7A7E"/>
    <w:rsid w:val="005C7ABA"/>
    <w:rsid w:val="005C7B7B"/>
    <w:rsid w:val="005C7D45"/>
    <w:rsid w:val="005C7F97"/>
    <w:rsid w:val="005D023F"/>
    <w:rsid w:val="005D07BE"/>
    <w:rsid w:val="005D07F5"/>
    <w:rsid w:val="005D0C6C"/>
    <w:rsid w:val="005D0CA4"/>
    <w:rsid w:val="005D0D27"/>
    <w:rsid w:val="005D14AE"/>
    <w:rsid w:val="005D1637"/>
    <w:rsid w:val="005D198B"/>
    <w:rsid w:val="005D1DD4"/>
    <w:rsid w:val="005D1EEB"/>
    <w:rsid w:val="005D242B"/>
    <w:rsid w:val="005D24B5"/>
    <w:rsid w:val="005D24E9"/>
    <w:rsid w:val="005D2FD6"/>
    <w:rsid w:val="005D318B"/>
    <w:rsid w:val="005D3406"/>
    <w:rsid w:val="005D3A42"/>
    <w:rsid w:val="005D3C3A"/>
    <w:rsid w:val="005D4891"/>
    <w:rsid w:val="005D4DF6"/>
    <w:rsid w:val="005D55E0"/>
    <w:rsid w:val="005D56DE"/>
    <w:rsid w:val="005D5A79"/>
    <w:rsid w:val="005D5D2E"/>
    <w:rsid w:val="005D61FF"/>
    <w:rsid w:val="005D6A42"/>
    <w:rsid w:val="005D6C0C"/>
    <w:rsid w:val="005D71E5"/>
    <w:rsid w:val="005D71F5"/>
    <w:rsid w:val="005D7EDD"/>
    <w:rsid w:val="005D7FDC"/>
    <w:rsid w:val="005E0675"/>
    <w:rsid w:val="005E1248"/>
    <w:rsid w:val="005E165E"/>
    <w:rsid w:val="005E1BE8"/>
    <w:rsid w:val="005E247E"/>
    <w:rsid w:val="005E25FE"/>
    <w:rsid w:val="005E2ABE"/>
    <w:rsid w:val="005E2BBC"/>
    <w:rsid w:val="005E2DFC"/>
    <w:rsid w:val="005E3322"/>
    <w:rsid w:val="005E39E8"/>
    <w:rsid w:val="005E41B1"/>
    <w:rsid w:val="005E5056"/>
    <w:rsid w:val="005E5564"/>
    <w:rsid w:val="005E60C4"/>
    <w:rsid w:val="005E62A8"/>
    <w:rsid w:val="005E642F"/>
    <w:rsid w:val="005E64AC"/>
    <w:rsid w:val="005E6B03"/>
    <w:rsid w:val="005E6CF8"/>
    <w:rsid w:val="005E7354"/>
    <w:rsid w:val="005E736E"/>
    <w:rsid w:val="005E73F1"/>
    <w:rsid w:val="005E763C"/>
    <w:rsid w:val="005E7ABB"/>
    <w:rsid w:val="005E7D02"/>
    <w:rsid w:val="005E7FBE"/>
    <w:rsid w:val="005E7FE7"/>
    <w:rsid w:val="005F1416"/>
    <w:rsid w:val="005F15B6"/>
    <w:rsid w:val="005F177A"/>
    <w:rsid w:val="005F1973"/>
    <w:rsid w:val="005F1BD1"/>
    <w:rsid w:val="005F21E9"/>
    <w:rsid w:val="005F23E8"/>
    <w:rsid w:val="005F23F3"/>
    <w:rsid w:val="005F291C"/>
    <w:rsid w:val="005F294F"/>
    <w:rsid w:val="005F2C73"/>
    <w:rsid w:val="005F2F29"/>
    <w:rsid w:val="005F312C"/>
    <w:rsid w:val="005F32AC"/>
    <w:rsid w:val="005F3404"/>
    <w:rsid w:val="005F34FF"/>
    <w:rsid w:val="005F35AF"/>
    <w:rsid w:val="005F39F7"/>
    <w:rsid w:val="005F3B19"/>
    <w:rsid w:val="005F3CED"/>
    <w:rsid w:val="005F4715"/>
    <w:rsid w:val="005F5372"/>
    <w:rsid w:val="005F54F2"/>
    <w:rsid w:val="005F57F6"/>
    <w:rsid w:val="005F5921"/>
    <w:rsid w:val="005F5B6B"/>
    <w:rsid w:val="005F5C7E"/>
    <w:rsid w:val="005F5CA7"/>
    <w:rsid w:val="005F6172"/>
    <w:rsid w:val="005F6459"/>
    <w:rsid w:val="005F6509"/>
    <w:rsid w:val="005F6ADD"/>
    <w:rsid w:val="005F6C76"/>
    <w:rsid w:val="005F75B9"/>
    <w:rsid w:val="005F7761"/>
    <w:rsid w:val="00600296"/>
    <w:rsid w:val="00600414"/>
    <w:rsid w:val="00600574"/>
    <w:rsid w:val="0060057C"/>
    <w:rsid w:val="0060089D"/>
    <w:rsid w:val="006008EC"/>
    <w:rsid w:val="00600F9C"/>
    <w:rsid w:val="006011F8"/>
    <w:rsid w:val="00601512"/>
    <w:rsid w:val="006016E3"/>
    <w:rsid w:val="00601FC9"/>
    <w:rsid w:val="00602595"/>
    <w:rsid w:val="00602D9F"/>
    <w:rsid w:val="00603C89"/>
    <w:rsid w:val="00603F65"/>
    <w:rsid w:val="00605062"/>
    <w:rsid w:val="006051F9"/>
    <w:rsid w:val="00605332"/>
    <w:rsid w:val="0060548E"/>
    <w:rsid w:val="00605E3E"/>
    <w:rsid w:val="00605F18"/>
    <w:rsid w:val="00606297"/>
    <w:rsid w:val="006062BB"/>
    <w:rsid w:val="0060669C"/>
    <w:rsid w:val="0060672C"/>
    <w:rsid w:val="00606913"/>
    <w:rsid w:val="00606B20"/>
    <w:rsid w:val="00606C1F"/>
    <w:rsid w:val="00606F99"/>
    <w:rsid w:val="00606FCD"/>
    <w:rsid w:val="00607826"/>
    <w:rsid w:val="00607EEE"/>
    <w:rsid w:val="00610130"/>
    <w:rsid w:val="006103C8"/>
    <w:rsid w:val="006104E2"/>
    <w:rsid w:val="00610781"/>
    <w:rsid w:val="00610785"/>
    <w:rsid w:val="0061090D"/>
    <w:rsid w:val="00611428"/>
    <w:rsid w:val="006115B3"/>
    <w:rsid w:val="006117F3"/>
    <w:rsid w:val="0061185C"/>
    <w:rsid w:val="00611DEA"/>
    <w:rsid w:val="00612250"/>
    <w:rsid w:val="00612685"/>
    <w:rsid w:val="0061276D"/>
    <w:rsid w:val="00612C93"/>
    <w:rsid w:val="0061361A"/>
    <w:rsid w:val="0061367C"/>
    <w:rsid w:val="00613761"/>
    <w:rsid w:val="00613BD7"/>
    <w:rsid w:val="006144DD"/>
    <w:rsid w:val="00614A1B"/>
    <w:rsid w:val="00614AD2"/>
    <w:rsid w:val="00614CF1"/>
    <w:rsid w:val="006150B0"/>
    <w:rsid w:val="006151FA"/>
    <w:rsid w:val="00615295"/>
    <w:rsid w:val="00615730"/>
    <w:rsid w:val="006157BF"/>
    <w:rsid w:val="00615906"/>
    <w:rsid w:val="00615AAF"/>
    <w:rsid w:val="00615DF2"/>
    <w:rsid w:val="00615E51"/>
    <w:rsid w:val="00615EF8"/>
    <w:rsid w:val="00615F49"/>
    <w:rsid w:val="0061623E"/>
    <w:rsid w:val="0061625C"/>
    <w:rsid w:val="006164F3"/>
    <w:rsid w:val="00616551"/>
    <w:rsid w:val="006168BF"/>
    <w:rsid w:val="006168D8"/>
    <w:rsid w:val="00617442"/>
    <w:rsid w:val="00617469"/>
    <w:rsid w:val="00617A16"/>
    <w:rsid w:val="00617CBF"/>
    <w:rsid w:val="006201FD"/>
    <w:rsid w:val="006202FC"/>
    <w:rsid w:val="00620570"/>
    <w:rsid w:val="00620684"/>
    <w:rsid w:val="00620DB4"/>
    <w:rsid w:val="00620EDA"/>
    <w:rsid w:val="00621297"/>
    <w:rsid w:val="006215D6"/>
    <w:rsid w:val="00621690"/>
    <w:rsid w:val="006218CA"/>
    <w:rsid w:val="00621B4F"/>
    <w:rsid w:val="0062249A"/>
    <w:rsid w:val="006224A4"/>
    <w:rsid w:val="00622892"/>
    <w:rsid w:val="006236B6"/>
    <w:rsid w:val="00623AC0"/>
    <w:rsid w:val="00624025"/>
    <w:rsid w:val="00624E4B"/>
    <w:rsid w:val="006256D0"/>
    <w:rsid w:val="00625B5A"/>
    <w:rsid w:val="00625B70"/>
    <w:rsid w:val="00625DAC"/>
    <w:rsid w:val="00626224"/>
    <w:rsid w:val="00626888"/>
    <w:rsid w:val="00626CDB"/>
    <w:rsid w:val="00626E07"/>
    <w:rsid w:val="00627102"/>
    <w:rsid w:val="00627294"/>
    <w:rsid w:val="006272AA"/>
    <w:rsid w:val="00627913"/>
    <w:rsid w:val="00627C27"/>
    <w:rsid w:val="0063023F"/>
    <w:rsid w:val="006303C6"/>
    <w:rsid w:val="006304DB"/>
    <w:rsid w:val="006304DC"/>
    <w:rsid w:val="00630748"/>
    <w:rsid w:val="00630EC8"/>
    <w:rsid w:val="0063160F"/>
    <w:rsid w:val="00631BF8"/>
    <w:rsid w:val="00631D53"/>
    <w:rsid w:val="0063272F"/>
    <w:rsid w:val="00633047"/>
    <w:rsid w:val="006332C3"/>
    <w:rsid w:val="00633821"/>
    <w:rsid w:val="00633954"/>
    <w:rsid w:val="00633B0B"/>
    <w:rsid w:val="00634007"/>
    <w:rsid w:val="0063401E"/>
    <w:rsid w:val="006343D2"/>
    <w:rsid w:val="006344A7"/>
    <w:rsid w:val="00634DB5"/>
    <w:rsid w:val="00634DD6"/>
    <w:rsid w:val="00635BC1"/>
    <w:rsid w:val="00635E45"/>
    <w:rsid w:val="006363AC"/>
    <w:rsid w:val="00636459"/>
    <w:rsid w:val="00636F55"/>
    <w:rsid w:val="00637132"/>
    <w:rsid w:val="006371B2"/>
    <w:rsid w:val="006372C0"/>
    <w:rsid w:val="00637AF8"/>
    <w:rsid w:val="00637E46"/>
    <w:rsid w:val="006402C4"/>
    <w:rsid w:val="0064030D"/>
    <w:rsid w:val="006404D6"/>
    <w:rsid w:val="00640AE7"/>
    <w:rsid w:val="00640D3B"/>
    <w:rsid w:val="00640D93"/>
    <w:rsid w:val="006416EA"/>
    <w:rsid w:val="00641864"/>
    <w:rsid w:val="0064192B"/>
    <w:rsid w:val="0064197D"/>
    <w:rsid w:val="0064249E"/>
    <w:rsid w:val="00642822"/>
    <w:rsid w:val="00642969"/>
    <w:rsid w:val="00642981"/>
    <w:rsid w:val="00642A30"/>
    <w:rsid w:val="00643346"/>
    <w:rsid w:val="00643585"/>
    <w:rsid w:val="00643903"/>
    <w:rsid w:val="006439E3"/>
    <w:rsid w:val="00643ABE"/>
    <w:rsid w:val="00643B3F"/>
    <w:rsid w:val="00643C79"/>
    <w:rsid w:val="006446D6"/>
    <w:rsid w:val="006447CC"/>
    <w:rsid w:val="00644A67"/>
    <w:rsid w:val="00644E00"/>
    <w:rsid w:val="00644FFB"/>
    <w:rsid w:val="00645132"/>
    <w:rsid w:val="00645690"/>
    <w:rsid w:val="00645D90"/>
    <w:rsid w:val="00645E38"/>
    <w:rsid w:val="006464DB"/>
    <w:rsid w:val="00646700"/>
    <w:rsid w:val="006467A1"/>
    <w:rsid w:val="0064749C"/>
    <w:rsid w:val="006475D7"/>
    <w:rsid w:val="00647711"/>
    <w:rsid w:val="0064784B"/>
    <w:rsid w:val="00647E3F"/>
    <w:rsid w:val="0065055D"/>
    <w:rsid w:val="00650DC8"/>
    <w:rsid w:val="00650DFF"/>
    <w:rsid w:val="0065155B"/>
    <w:rsid w:val="00651FB0"/>
    <w:rsid w:val="0065222B"/>
    <w:rsid w:val="00652418"/>
    <w:rsid w:val="00652A8A"/>
    <w:rsid w:val="00652BE5"/>
    <w:rsid w:val="00652D56"/>
    <w:rsid w:val="00653705"/>
    <w:rsid w:val="00653C83"/>
    <w:rsid w:val="00654152"/>
    <w:rsid w:val="006543CE"/>
    <w:rsid w:val="0065480E"/>
    <w:rsid w:val="00655109"/>
    <w:rsid w:val="0065537D"/>
    <w:rsid w:val="00655568"/>
    <w:rsid w:val="006555DD"/>
    <w:rsid w:val="00655862"/>
    <w:rsid w:val="00655CD9"/>
    <w:rsid w:val="00655E79"/>
    <w:rsid w:val="0065601D"/>
    <w:rsid w:val="0065637E"/>
    <w:rsid w:val="00656886"/>
    <w:rsid w:val="00656E16"/>
    <w:rsid w:val="00656EDE"/>
    <w:rsid w:val="006572E9"/>
    <w:rsid w:val="00657363"/>
    <w:rsid w:val="00657873"/>
    <w:rsid w:val="0065789A"/>
    <w:rsid w:val="00657E83"/>
    <w:rsid w:val="00660063"/>
    <w:rsid w:val="006602A3"/>
    <w:rsid w:val="00660533"/>
    <w:rsid w:val="00660B33"/>
    <w:rsid w:val="00660D39"/>
    <w:rsid w:val="006617AD"/>
    <w:rsid w:val="006619B1"/>
    <w:rsid w:val="006619E9"/>
    <w:rsid w:val="006625EC"/>
    <w:rsid w:val="00662ADF"/>
    <w:rsid w:val="00662C66"/>
    <w:rsid w:val="0066308D"/>
    <w:rsid w:val="00663904"/>
    <w:rsid w:val="0066391E"/>
    <w:rsid w:val="00663B9B"/>
    <w:rsid w:val="00663E37"/>
    <w:rsid w:val="00664088"/>
    <w:rsid w:val="006640FA"/>
    <w:rsid w:val="00664794"/>
    <w:rsid w:val="00664816"/>
    <w:rsid w:val="00664D7B"/>
    <w:rsid w:val="00665053"/>
    <w:rsid w:val="00665BFC"/>
    <w:rsid w:val="00666093"/>
    <w:rsid w:val="00666C38"/>
    <w:rsid w:val="00666DE9"/>
    <w:rsid w:val="00666DF0"/>
    <w:rsid w:val="00666E59"/>
    <w:rsid w:val="006671A0"/>
    <w:rsid w:val="00667338"/>
    <w:rsid w:val="006673AC"/>
    <w:rsid w:val="00667840"/>
    <w:rsid w:val="006679F9"/>
    <w:rsid w:val="00667AC8"/>
    <w:rsid w:val="00667CDD"/>
    <w:rsid w:val="00667E86"/>
    <w:rsid w:val="00670782"/>
    <w:rsid w:val="0067126F"/>
    <w:rsid w:val="00671970"/>
    <w:rsid w:val="00671D21"/>
    <w:rsid w:val="00671F77"/>
    <w:rsid w:val="006721A8"/>
    <w:rsid w:val="0067254F"/>
    <w:rsid w:val="006725BE"/>
    <w:rsid w:val="00672647"/>
    <w:rsid w:val="00672BCA"/>
    <w:rsid w:val="006732AF"/>
    <w:rsid w:val="006742B3"/>
    <w:rsid w:val="00674349"/>
    <w:rsid w:val="00674455"/>
    <w:rsid w:val="006747E7"/>
    <w:rsid w:val="0067484F"/>
    <w:rsid w:val="00675056"/>
    <w:rsid w:val="00675484"/>
    <w:rsid w:val="00675628"/>
    <w:rsid w:val="00675838"/>
    <w:rsid w:val="006759B0"/>
    <w:rsid w:val="006761F2"/>
    <w:rsid w:val="00676273"/>
    <w:rsid w:val="006765A2"/>
    <w:rsid w:val="00676BE9"/>
    <w:rsid w:val="00676E35"/>
    <w:rsid w:val="00680067"/>
    <w:rsid w:val="006800E4"/>
    <w:rsid w:val="00680391"/>
    <w:rsid w:val="00680C3A"/>
    <w:rsid w:val="0068111A"/>
    <w:rsid w:val="006813A4"/>
    <w:rsid w:val="006813DE"/>
    <w:rsid w:val="00681870"/>
    <w:rsid w:val="00681F65"/>
    <w:rsid w:val="00682117"/>
    <w:rsid w:val="0068252A"/>
    <w:rsid w:val="00682563"/>
    <w:rsid w:val="00682AB3"/>
    <w:rsid w:val="00682E8C"/>
    <w:rsid w:val="006841C7"/>
    <w:rsid w:val="0068423E"/>
    <w:rsid w:val="006847D0"/>
    <w:rsid w:val="006849F8"/>
    <w:rsid w:val="00684B2E"/>
    <w:rsid w:val="006853B2"/>
    <w:rsid w:val="0068552A"/>
    <w:rsid w:val="00685583"/>
    <w:rsid w:val="006858BE"/>
    <w:rsid w:val="00685AD4"/>
    <w:rsid w:val="00685BFB"/>
    <w:rsid w:val="00685EB9"/>
    <w:rsid w:val="00686106"/>
    <w:rsid w:val="0068659D"/>
    <w:rsid w:val="00686684"/>
    <w:rsid w:val="00686695"/>
    <w:rsid w:val="00686BEC"/>
    <w:rsid w:val="00686CFE"/>
    <w:rsid w:val="00686E61"/>
    <w:rsid w:val="0068772A"/>
    <w:rsid w:val="00687C7D"/>
    <w:rsid w:val="00687CA8"/>
    <w:rsid w:val="00690637"/>
    <w:rsid w:val="0069064D"/>
    <w:rsid w:val="00690CF5"/>
    <w:rsid w:val="00690EA9"/>
    <w:rsid w:val="006913E2"/>
    <w:rsid w:val="006914A4"/>
    <w:rsid w:val="006915DF"/>
    <w:rsid w:val="00691D04"/>
    <w:rsid w:val="00691E48"/>
    <w:rsid w:val="00692222"/>
    <w:rsid w:val="00692664"/>
    <w:rsid w:val="00693A8E"/>
    <w:rsid w:val="006948C9"/>
    <w:rsid w:val="00695014"/>
    <w:rsid w:val="006952CD"/>
    <w:rsid w:val="0069536F"/>
    <w:rsid w:val="00695704"/>
    <w:rsid w:val="0069592F"/>
    <w:rsid w:val="0069676D"/>
    <w:rsid w:val="00696E0A"/>
    <w:rsid w:val="0069747E"/>
    <w:rsid w:val="00697819"/>
    <w:rsid w:val="00697BD9"/>
    <w:rsid w:val="00697F67"/>
    <w:rsid w:val="006A0457"/>
    <w:rsid w:val="006A10F5"/>
    <w:rsid w:val="006A1172"/>
    <w:rsid w:val="006A165A"/>
    <w:rsid w:val="006A1BBB"/>
    <w:rsid w:val="006A1EB7"/>
    <w:rsid w:val="006A215D"/>
    <w:rsid w:val="006A2755"/>
    <w:rsid w:val="006A2A81"/>
    <w:rsid w:val="006A2D6D"/>
    <w:rsid w:val="006A3362"/>
    <w:rsid w:val="006A37E6"/>
    <w:rsid w:val="006A3AB6"/>
    <w:rsid w:val="006A3C95"/>
    <w:rsid w:val="006A3D59"/>
    <w:rsid w:val="006A430C"/>
    <w:rsid w:val="006A48A1"/>
    <w:rsid w:val="006A49A5"/>
    <w:rsid w:val="006A4BD8"/>
    <w:rsid w:val="006A4D48"/>
    <w:rsid w:val="006A4E43"/>
    <w:rsid w:val="006A542F"/>
    <w:rsid w:val="006A5DB6"/>
    <w:rsid w:val="006A6A9B"/>
    <w:rsid w:val="006A6AE6"/>
    <w:rsid w:val="006A74CA"/>
    <w:rsid w:val="006A756A"/>
    <w:rsid w:val="006A79E5"/>
    <w:rsid w:val="006A7AD5"/>
    <w:rsid w:val="006A7C5E"/>
    <w:rsid w:val="006A7D04"/>
    <w:rsid w:val="006A7EB7"/>
    <w:rsid w:val="006B0B5F"/>
    <w:rsid w:val="006B0BDE"/>
    <w:rsid w:val="006B0E2D"/>
    <w:rsid w:val="006B0F24"/>
    <w:rsid w:val="006B10F7"/>
    <w:rsid w:val="006B1450"/>
    <w:rsid w:val="006B195B"/>
    <w:rsid w:val="006B19DE"/>
    <w:rsid w:val="006B1DB6"/>
    <w:rsid w:val="006B23EF"/>
    <w:rsid w:val="006B307A"/>
    <w:rsid w:val="006B3421"/>
    <w:rsid w:val="006B42A2"/>
    <w:rsid w:val="006B448B"/>
    <w:rsid w:val="006B4767"/>
    <w:rsid w:val="006B48E3"/>
    <w:rsid w:val="006B4B57"/>
    <w:rsid w:val="006B4C1C"/>
    <w:rsid w:val="006B4E71"/>
    <w:rsid w:val="006B502D"/>
    <w:rsid w:val="006B5547"/>
    <w:rsid w:val="006B57CB"/>
    <w:rsid w:val="006B59AC"/>
    <w:rsid w:val="006B61A1"/>
    <w:rsid w:val="006B6225"/>
    <w:rsid w:val="006B6536"/>
    <w:rsid w:val="006B697C"/>
    <w:rsid w:val="006B69A7"/>
    <w:rsid w:val="006B6B71"/>
    <w:rsid w:val="006B6D32"/>
    <w:rsid w:val="006B6DBB"/>
    <w:rsid w:val="006B702E"/>
    <w:rsid w:val="006B70A8"/>
    <w:rsid w:val="006B753A"/>
    <w:rsid w:val="006B773C"/>
    <w:rsid w:val="006B7788"/>
    <w:rsid w:val="006B77DD"/>
    <w:rsid w:val="006B7DC1"/>
    <w:rsid w:val="006B7F89"/>
    <w:rsid w:val="006C02DA"/>
    <w:rsid w:val="006C0A1B"/>
    <w:rsid w:val="006C0EEE"/>
    <w:rsid w:val="006C16BE"/>
    <w:rsid w:val="006C19F6"/>
    <w:rsid w:val="006C1AC4"/>
    <w:rsid w:val="006C1D90"/>
    <w:rsid w:val="006C214D"/>
    <w:rsid w:val="006C2565"/>
    <w:rsid w:val="006C26CB"/>
    <w:rsid w:val="006C3119"/>
    <w:rsid w:val="006C3BEE"/>
    <w:rsid w:val="006C4081"/>
    <w:rsid w:val="006C42B5"/>
    <w:rsid w:val="006C4523"/>
    <w:rsid w:val="006C485C"/>
    <w:rsid w:val="006C4B4E"/>
    <w:rsid w:val="006C4B93"/>
    <w:rsid w:val="006C4E70"/>
    <w:rsid w:val="006C544F"/>
    <w:rsid w:val="006C5565"/>
    <w:rsid w:val="006C5651"/>
    <w:rsid w:val="006C566A"/>
    <w:rsid w:val="006C5E96"/>
    <w:rsid w:val="006C6308"/>
    <w:rsid w:val="006C6966"/>
    <w:rsid w:val="006C6AE9"/>
    <w:rsid w:val="006C6D8F"/>
    <w:rsid w:val="006C7227"/>
    <w:rsid w:val="006C7953"/>
    <w:rsid w:val="006C7AAE"/>
    <w:rsid w:val="006C7B89"/>
    <w:rsid w:val="006C7C05"/>
    <w:rsid w:val="006C7E8F"/>
    <w:rsid w:val="006C7EAE"/>
    <w:rsid w:val="006D03C9"/>
    <w:rsid w:val="006D03DA"/>
    <w:rsid w:val="006D073D"/>
    <w:rsid w:val="006D0884"/>
    <w:rsid w:val="006D0A1D"/>
    <w:rsid w:val="006D1018"/>
    <w:rsid w:val="006D12B9"/>
    <w:rsid w:val="006D12F7"/>
    <w:rsid w:val="006D13BA"/>
    <w:rsid w:val="006D1431"/>
    <w:rsid w:val="006D167A"/>
    <w:rsid w:val="006D1970"/>
    <w:rsid w:val="006D1A91"/>
    <w:rsid w:val="006D1DBE"/>
    <w:rsid w:val="006D22CA"/>
    <w:rsid w:val="006D250C"/>
    <w:rsid w:val="006D2591"/>
    <w:rsid w:val="006D27B3"/>
    <w:rsid w:val="006D28FF"/>
    <w:rsid w:val="006D29D9"/>
    <w:rsid w:val="006D3F9E"/>
    <w:rsid w:val="006D3FCA"/>
    <w:rsid w:val="006D40E4"/>
    <w:rsid w:val="006D45B3"/>
    <w:rsid w:val="006D45BC"/>
    <w:rsid w:val="006D4BD3"/>
    <w:rsid w:val="006D4CEA"/>
    <w:rsid w:val="006D5514"/>
    <w:rsid w:val="006D57BE"/>
    <w:rsid w:val="006D5E55"/>
    <w:rsid w:val="006D6C60"/>
    <w:rsid w:val="006D6D2D"/>
    <w:rsid w:val="006E0123"/>
    <w:rsid w:val="006E0214"/>
    <w:rsid w:val="006E0796"/>
    <w:rsid w:val="006E083A"/>
    <w:rsid w:val="006E0AC6"/>
    <w:rsid w:val="006E0DF5"/>
    <w:rsid w:val="006E11D3"/>
    <w:rsid w:val="006E1289"/>
    <w:rsid w:val="006E12AE"/>
    <w:rsid w:val="006E148E"/>
    <w:rsid w:val="006E15AA"/>
    <w:rsid w:val="006E18EE"/>
    <w:rsid w:val="006E1962"/>
    <w:rsid w:val="006E1C1C"/>
    <w:rsid w:val="006E1E4D"/>
    <w:rsid w:val="006E1F59"/>
    <w:rsid w:val="006E2145"/>
    <w:rsid w:val="006E2520"/>
    <w:rsid w:val="006E2EF1"/>
    <w:rsid w:val="006E335F"/>
    <w:rsid w:val="006E3B8B"/>
    <w:rsid w:val="006E42A8"/>
    <w:rsid w:val="006E451B"/>
    <w:rsid w:val="006E46B9"/>
    <w:rsid w:val="006E4D56"/>
    <w:rsid w:val="006E4DAA"/>
    <w:rsid w:val="006E4FD5"/>
    <w:rsid w:val="006E51B8"/>
    <w:rsid w:val="006E5305"/>
    <w:rsid w:val="006E5470"/>
    <w:rsid w:val="006E5CE1"/>
    <w:rsid w:val="006E5CF0"/>
    <w:rsid w:val="006E5E5F"/>
    <w:rsid w:val="006E6008"/>
    <w:rsid w:val="006E62B6"/>
    <w:rsid w:val="006E664F"/>
    <w:rsid w:val="006E67D1"/>
    <w:rsid w:val="006E6975"/>
    <w:rsid w:val="006E6FF9"/>
    <w:rsid w:val="006E7538"/>
    <w:rsid w:val="006E7611"/>
    <w:rsid w:val="006E79CD"/>
    <w:rsid w:val="006E7EEB"/>
    <w:rsid w:val="006F028F"/>
    <w:rsid w:val="006F07E4"/>
    <w:rsid w:val="006F0C6F"/>
    <w:rsid w:val="006F0DFF"/>
    <w:rsid w:val="006F1C1E"/>
    <w:rsid w:val="006F1FAF"/>
    <w:rsid w:val="006F20A6"/>
    <w:rsid w:val="006F242E"/>
    <w:rsid w:val="006F2BBA"/>
    <w:rsid w:val="006F2DC3"/>
    <w:rsid w:val="006F2E1B"/>
    <w:rsid w:val="006F356A"/>
    <w:rsid w:val="006F357A"/>
    <w:rsid w:val="006F379D"/>
    <w:rsid w:val="006F3809"/>
    <w:rsid w:val="006F38CD"/>
    <w:rsid w:val="006F38CE"/>
    <w:rsid w:val="006F3927"/>
    <w:rsid w:val="006F46B2"/>
    <w:rsid w:val="006F4747"/>
    <w:rsid w:val="006F488A"/>
    <w:rsid w:val="006F4A94"/>
    <w:rsid w:val="006F4D33"/>
    <w:rsid w:val="006F51F1"/>
    <w:rsid w:val="006F5411"/>
    <w:rsid w:val="006F546A"/>
    <w:rsid w:val="006F5882"/>
    <w:rsid w:val="006F5AEC"/>
    <w:rsid w:val="006F5B70"/>
    <w:rsid w:val="006F5FD1"/>
    <w:rsid w:val="006F6585"/>
    <w:rsid w:val="006F6CED"/>
    <w:rsid w:val="006F6E3F"/>
    <w:rsid w:val="006F7178"/>
    <w:rsid w:val="006F79EC"/>
    <w:rsid w:val="006F7CD2"/>
    <w:rsid w:val="006F7FE0"/>
    <w:rsid w:val="007006A3"/>
    <w:rsid w:val="00701721"/>
    <w:rsid w:val="00701E45"/>
    <w:rsid w:val="00701FC4"/>
    <w:rsid w:val="007021C8"/>
    <w:rsid w:val="0070221D"/>
    <w:rsid w:val="007022A9"/>
    <w:rsid w:val="00702566"/>
    <w:rsid w:val="00702E94"/>
    <w:rsid w:val="00702F8F"/>
    <w:rsid w:val="00703206"/>
    <w:rsid w:val="00703AD3"/>
    <w:rsid w:val="00703C28"/>
    <w:rsid w:val="00703CBD"/>
    <w:rsid w:val="00703CED"/>
    <w:rsid w:val="00703D1B"/>
    <w:rsid w:val="00704076"/>
    <w:rsid w:val="00704368"/>
    <w:rsid w:val="0070449A"/>
    <w:rsid w:val="007048FE"/>
    <w:rsid w:val="00704DAE"/>
    <w:rsid w:val="00705167"/>
    <w:rsid w:val="00705337"/>
    <w:rsid w:val="0070554C"/>
    <w:rsid w:val="0070574B"/>
    <w:rsid w:val="007058F0"/>
    <w:rsid w:val="00705900"/>
    <w:rsid w:val="00706795"/>
    <w:rsid w:val="00706A0A"/>
    <w:rsid w:val="00706A2D"/>
    <w:rsid w:val="007076E3"/>
    <w:rsid w:val="007078C6"/>
    <w:rsid w:val="00707BE9"/>
    <w:rsid w:val="00707E05"/>
    <w:rsid w:val="00707E33"/>
    <w:rsid w:val="007101BA"/>
    <w:rsid w:val="00710BA9"/>
    <w:rsid w:val="0071110C"/>
    <w:rsid w:val="007112A4"/>
    <w:rsid w:val="007113CC"/>
    <w:rsid w:val="007114B0"/>
    <w:rsid w:val="00711508"/>
    <w:rsid w:val="00711E8F"/>
    <w:rsid w:val="00712042"/>
    <w:rsid w:val="00712353"/>
    <w:rsid w:val="007123DE"/>
    <w:rsid w:val="0071265F"/>
    <w:rsid w:val="00712BA7"/>
    <w:rsid w:val="00712CFE"/>
    <w:rsid w:val="00713320"/>
    <w:rsid w:val="00713409"/>
    <w:rsid w:val="007134CD"/>
    <w:rsid w:val="007135FF"/>
    <w:rsid w:val="007139CB"/>
    <w:rsid w:val="00714320"/>
    <w:rsid w:val="00714B4C"/>
    <w:rsid w:val="007150B9"/>
    <w:rsid w:val="00715340"/>
    <w:rsid w:val="007155D4"/>
    <w:rsid w:val="00715F1F"/>
    <w:rsid w:val="00716135"/>
    <w:rsid w:val="0071629D"/>
    <w:rsid w:val="007169DB"/>
    <w:rsid w:val="007169EE"/>
    <w:rsid w:val="00716B1D"/>
    <w:rsid w:val="00717137"/>
    <w:rsid w:val="007175B5"/>
    <w:rsid w:val="007178DC"/>
    <w:rsid w:val="00717A86"/>
    <w:rsid w:val="00717B8F"/>
    <w:rsid w:val="00720311"/>
    <w:rsid w:val="00720892"/>
    <w:rsid w:val="00720972"/>
    <w:rsid w:val="00720984"/>
    <w:rsid w:val="00720C44"/>
    <w:rsid w:val="00720CD2"/>
    <w:rsid w:val="00720D78"/>
    <w:rsid w:val="00720D9D"/>
    <w:rsid w:val="00720E47"/>
    <w:rsid w:val="0072134B"/>
    <w:rsid w:val="0072161F"/>
    <w:rsid w:val="00721A6B"/>
    <w:rsid w:val="00721C4A"/>
    <w:rsid w:val="00721D52"/>
    <w:rsid w:val="007220F7"/>
    <w:rsid w:val="007222F5"/>
    <w:rsid w:val="007223B8"/>
    <w:rsid w:val="0072244F"/>
    <w:rsid w:val="00722E97"/>
    <w:rsid w:val="00723085"/>
    <w:rsid w:val="007232E1"/>
    <w:rsid w:val="00723501"/>
    <w:rsid w:val="00724027"/>
    <w:rsid w:val="007240F8"/>
    <w:rsid w:val="00724493"/>
    <w:rsid w:val="00724C6A"/>
    <w:rsid w:val="00725017"/>
    <w:rsid w:val="00725083"/>
    <w:rsid w:val="00725532"/>
    <w:rsid w:val="00725C9D"/>
    <w:rsid w:val="0072620E"/>
    <w:rsid w:val="00726304"/>
    <w:rsid w:val="007263EE"/>
    <w:rsid w:val="0072647F"/>
    <w:rsid w:val="00726F6C"/>
    <w:rsid w:val="007276FA"/>
    <w:rsid w:val="00727A5D"/>
    <w:rsid w:val="007300F8"/>
    <w:rsid w:val="00730A1C"/>
    <w:rsid w:val="00731424"/>
    <w:rsid w:val="00731469"/>
    <w:rsid w:val="0073163A"/>
    <w:rsid w:val="007323E8"/>
    <w:rsid w:val="00732A86"/>
    <w:rsid w:val="00732E12"/>
    <w:rsid w:val="00733660"/>
    <w:rsid w:val="007338D8"/>
    <w:rsid w:val="00733A25"/>
    <w:rsid w:val="00733A2A"/>
    <w:rsid w:val="00733C68"/>
    <w:rsid w:val="00733CB7"/>
    <w:rsid w:val="00734010"/>
    <w:rsid w:val="007348F7"/>
    <w:rsid w:val="00734D80"/>
    <w:rsid w:val="007353ED"/>
    <w:rsid w:val="00735943"/>
    <w:rsid w:val="007359C5"/>
    <w:rsid w:val="007359DA"/>
    <w:rsid w:val="00735C74"/>
    <w:rsid w:val="007360BE"/>
    <w:rsid w:val="00736CD0"/>
    <w:rsid w:val="00736EAB"/>
    <w:rsid w:val="00737B5F"/>
    <w:rsid w:val="00740085"/>
    <w:rsid w:val="0074052D"/>
    <w:rsid w:val="00740C56"/>
    <w:rsid w:val="007410C1"/>
    <w:rsid w:val="0074119A"/>
    <w:rsid w:val="007412A8"/>
    <w:rsid w:val="00741483"/>
    <w:rsid w:val="007417B5"/>
    <w:rsid w:val="00741982"/>
    <w:rsid w:val="00741C77"/>
    <w:rsid w:val="00742061"/>
    <w:rsid w:val="0074225D"/>
    <w:rsid w:val="00742311"/>
    <w:rsid w:val="007424E5"/>
    <w:rsid w:val="00742823"/>
    <w:rsid w:val="00742FA3"/>
    <w:rsid w:val="007437E8"/>
    <w:rsid w:val="00743CB1"/>
    <w:rsid w:val="00744852"/>
    <w:rsid w:val="0074493E"/>
    <w:rsid w:val="00744982"/>
    <w:rsid w:val="00744E4A"/>
    <w:rsid w:val="00744F77"/>
    <w:rsid w:val="0074508B"/>
    <w:rsid w:val="00746054"/>
    <w:rsid w:val="0074674D"/>
    <w:rsid w:val="00746E3A"/>
    <w:rsid w:val="00746F07"/>
    <w:rsid w:val="0074772E"/>
    <w:rsid w:val="00747B91"/>
    <w:rsid w:val="0075009C"/>
    <w:rsid w:val="00750486"/>
    <w:rsid w:val="0075058D"/>
    <w:rsid w:val="00750867"/>
    <w:rsid w:val="007508C6"/>
    <w:rsid w:val="007509D9"/>
    <w:rsid w:val="00750A08"/>
    <w:rsid w:val="00750E6F"/>
    <w:rsid w:val="007514EA"/>
    <w:rsid w:val="00751714"/>
    <w:rsid w:val="007517A8"/>
    <w:rsid w:val="0075198D"/>
    <w:rsid w:val="00751D3D"/>
    <w:rsid w:val="00752356"/>
    <w:rsid w:val="0075279B"/>
    <w:rsid w:val="00752805"/>
    <w:rsid w:val="00752817"/>
    <w:rsid w:val="00752BEB"/>
    <w:rsid w:val="00752F87"/>
    <w:rsid w:val="00753103"/>
    <w:rsid w:val="00753759"/>
    <w:rsid w:val="00753B11"/>
    <w:rsid w:val="00753B34"/>
    <w:rsid w:val="00753FEB"/>
    <w:rsid w:val="007544E6"/>
    <w:rsid w:val="00754686"/>
    <w:rsid w:val="00754B8B"/>
    <w:rsid w:val="00755249"/>
    <w:rsid w:val="007553C7"/>
    <w:rsid w:val="00755599"/>
    <w:rsid w:val="00755747"/>
    <w:rsid w:val="00755AA0"/>
    <w:rsid w:val="00755F29"/>
    <w:rsid w:val="00756012"/>
    <w:rsid w:val="00756132"/>
    <w:rsid w:val="00756457"/>
    <w:rsid w:val="0075658A"/>
    <w:rsid w:val="007567B0"/>
    <w:rsid w:val="007569C3"/>
    <w:rsid w:val="00756C2C"/>
    <w:rsid w:val="00757460"/>
    <w:rsid w:val="00757780"/>
    <w:rsid w:val="00760336"/>
    <w:rsid w:val="007605DC"/>
    <w:rsid w:val="00760779"/>
    <w:rsid w:val="00760C52"/>
    <w:rsid w:val="00760F2E"/>
    <w:rsid w:val="00760FE6"/>
    <w:rsid w:val="0076108A"/>
    <w:rsid w:val="007613C5"/>
    <w:rsid w:val="00761641"/>
    <w:rsid w:val="0076172A"/>
    <w:rsid w:val="00761BF1"/>
    <w:rsid w:val="00762247"/>
    <w:rsid w:val="007624D6"/>
    <w:rsid w:val="00762935"/>
    <w:rsid w:val="00762DB4"/>
    <w:rsid w:val="00762EA6"/>
    <w:rsid w:val="0076312D"/>
    <w:rsid w:val="00763C19"/>
    <w:rsid w:val="00763C55"/>
    <w:rsid w:val="0076410C"/>
    <w:rsid w:val="007643E7"/>
    <w:rsid w:val="0076477D"/>
    <w:rsid w:val="0076482B"/>
    <w:rsid w:val="0076483E"/>
    <w:rsid w:val="00764EC4"/>
    <w:rsid w:val="00765113"/>
    <w:rsid w:val="00765BE6"/>
    <w:rsid w:val="00765CB6"/>
    <w:rsid w:val="00765E71"/>
    <w:rsid w:val="00766201"/>
    <w:rsid w:val="0076650E"/>
    <w:rsid w:val="007667DD"/>
    <w:rsid w:val="0076710D"/>
    <w:rsid w:val="00767299"/>
    <w:rsid w:val="0076763A"/>
    <w:rsid w:val="00767A1A"/>
    <w:rsid w:val="00767B16"/>
    <w:rsid w:val="00767BD3"/>
    <w:rsid w:val="00767FD2"/>
    <w:rsid w:val="00770388"/>
    <w:rsid w:val="0077081A"/>
    <w:rsid w:val="00770ABF"/>
    <w:rsid w:val="00770D47"/>
    <w:rsid w:val="00770F52"/>
    <w:rsid w:val="007710D0"/>
    <w:rsid w:val="00771210"/>
    <w:rsid w:val="00771FF6"/>
    <w:rsid w:val="0077287A"/>
    <w:rsid w:val="00772A0B"/>
    <w:rsid w:val="00772CD7"/>
    <w:rsid w:val="00772E1C"/>
    <w:rsid w:val="007735C9"/>
    <w:rsid w:val="00773D22"/>
    <w:rsid w:val="00773EA9"/>
    <w:rsid w:val="007741F0"/>
    <w:rsid w:val="0077484E"/>
    <w:rsid w:val="00774C63"/>
    <w:rsid w:val="007751C9"/>
    <w:rsid w:val="007755B0"/>
    <w:rsid w:val="00775B5B"/>
    <w:rsid w:val="00775E00"/>
    <w:rsid w:val="00776275"/>
    <w:rsid w:val="00776802"/>
    <w:rsid w:val="00777411"/>
    <w:rsid w:val="0077794B"/>
    <w:rsid w:val="007779A3"/>
    <w:rsid w:val="00777A30"/>
    <w:rsid w:val="00777CEB"/>
    <w:rsid w:val="00780136"/>
    <w:rsid w:val="00780206"/>
    <w:rsid w:val="00780259"/>
    <w:rsid w:val="007802B6"/>
    <w:rsid w:val="007802E6"/>
    <w:rsid w:val="00780357"/>
    <w:rsid w:val="00780A78"/>
    <w:rsid w:val="00780CD9"/>
    <w:rsid w:val="00780F0E"/>
    <w:rsid w:val="007815E8"/>
    <w:rsid w:val="007822C6"/>
    <w:rsid w:val="0078283E"/>
    <w:rsid w:val="007828F8"/>
    <w:rsid w:val="00782CBC"/>
    <w:rsid w:val="00783760"/>
    <w:rsid w:val="00783947"/>
    <w:rsid w:val="00783FC5"/>
    <w:rsid w:val="00784197"/>
    <w:rsid w:val="00784406"/>
    <w:rsid w:val="00784524"/>
    <w:rsid w:val="0078483A"/>
    <w:rsid w:val="007849DD"/>
    <w:rsid w:val="00784C1A"/>
    <w:rsid w:val="007853BC"/>
    <w:rsid w:val="007856DB"/>
    <w:rsid w:val="007857D0"/>
    <w:rsid w:val="0078589F"/>
    <w:rsid w:val="00786152"/>
    <w:rsid w:val="00786174"/>
    <w:rsid w:val="00786232"/>
    <w:rsid w:val="007866C6"/>
    <w:rsid w:val="00786A37"/>
    <w:rsid w:val="00786AFC"/>
    <w:rsid w:val="007870AD"/>
    <w:rsid w:val="007870D9"/>
    <w:rsid w:val="00787725"/>
    <w:rsid w:val="00787EFE"/>
    <w:rsid w:val="0079016E"/>
    <w:rsid w:val="00790210"/>
    <w:rsid w:val="007903C9"/>
    <w:rsid w:val="00790491"/>
    <w:rsid w:val="0079050A"/>
    <w:rsid w:val="0079053A"/>
    <w:rsid w:val="00790826"/>
    <w:rsid w:val="007908C5"/>
    <w:rsid w:val="00791082"/>
    <w:rsid w:val="0079109F"/>
    <w:rsid w:val="007917EF"/>
    <w:rsid w:val="00792126"/>
    <w:rsid w:val="007921B4"/>
    <w:rsid w:val="0079325E"/>
    <w:rsid w:val="007938C1"/>
    <w:rsid w:val="007942A2"/>
    <w:rsid w:val="007942E6"/>
    <w:rsid w:val="0079472C"/>
    <w:rsid w:val="007947CF"/>
    <w:rsid w:val="00794AD0"/>
    <w:rsid w:val="00794E16"/>
    <w:rsid w:val="007953A3"/>
    <w:rsid w:val="007958AA"/>
    <w:rsid w:val="00796322"/>
    <w:rsid w:val="00797853"/>
    <w:rsid w:val="007978B4"/>
    <w:rsid w:val="007978E6"/>
    <w:rsid w:val="00797CB0"/>
    <w:rsid w:val="007A07D7"/>
    <w:rsid w:val="007A0B8A"/>
    <w:rsid w:val="007A0D63"/>
    <w:rsid w:val="007A16B9"/>
    <w:rsid w:val="007A16DA"/>
    <w:rsid w:val="007A1AE9"/>
    <w:rsid w:val="007A1B20"/>
    <w:rsid w:val="007A1F62"/>
    <w:rsid w:val="007A2627"/>
    <w:rsid w:val="007A2942"/>
    <w:rsid w:val="007A3238"/>
    <w:rsid w:val="007A3515"/>
    <w:rsid w:val="007A3A06"/>
    <w:rsid w:val="007A3A0D"/>
    <w:rsid w:val="007A4169"/>
    <w:rsid w:val="007A44BA"/>
    <w:rsid w:val="007A4651"/>
    <w:rsid w:val="007A4CD3"/>
    <w:rsid w:val="007A4D3B"/>
    <w:rsid w:val="007A4D60"/>
    <w:rsid w:val="007A4DF0"/>
    <w:rsid w:val="007A4E91"/>
    <w:rsid w:val="007A5285"/>
    <w:rsid w:val="007A54A3"/>
    <w:rsid w:val="007A57CE"/>
    <w:rsid w:val="007A5B7A"/>
    <w:rsid w:val="007A5D28"/>
    <w:rsid w:val="007A660E"/>
    <w:rsid w:val="007A6676"/>
    <w:rsid w:val="007A671B"/>
    <w:rsid w:val="007A677C"/>
    <w:rsid w:val="007A6CC5"/>
    <w:rsid w:val="007A6DF1"/>
    <w:rsid w:val="007A6FF3"/>
    <w:rsid w:val="007A701B"/>
    <w:rsid w:val="007A75D7"/>
    <w:rsid w:val="007B0284"/>
    <w:rsid w:val="007B0713"/>
    <w:rsid w:val="007B0F32"/>
    <w:rsid w:val="007B13C9"/>
    <w:rsid w:val="007B1944"/>
    <w:rsid w:val="007B1CE7"/>
    <w:rsid w:val="007B234C"/>
    <w:rsid w:val="007B26AF"/>
    <w:rsid w:val="007B2E70"/>
    <w:rsid w:val="007B301F"/>
    <w:rsid w:val="007B38D4"/>
    <w:rsid w:val="007B4FF4"/>
    <w:rsid w:val="007B5028"/>
    <w:rsid w:val="007B5333"/>
    <w:rsid w:val="007B5390"/>
    <w:rsid w:val="007B6218"/>
    <w:rsid w:val="007B650F"/>
    <w:rsid w:val="007B6945"/>
    <w:rsid w:val="007B6956"/>
    <w:rsid w:val="007B6E7C"/>
    <w:rsid w:val="007B6F51"/>
    <w:rsid w:val="007B7229"/>
    <w:rsid w:val="007B7253"/>
    <w:rsid w:val="007B77D5"/>
    <w:rsid w:val="007B7A76"/>
    <w:rsid w:val="007B7EDE"/>
    <w:rsid w:val="007C000D"/>
    <w:rsid w:val="007C001D"/>
    <w:rsid w:val="007C05AB"/>
    <w:rsid w:val="007C0863"/>
    <w:rsid w:val="007C0AA2"/>
    <w:rsid w:val="007C0B7F"/>
    <w:rsid w:val="007C0E1D"/>
    <w:rsid w:val="007C0EC7"/>
    <w:rsid w:val="007C1515"/>
    <w:rsid w:val="007C17F2"/>
    <w:rsid w:val="007C19DE"/>
    <w:rsid w:val="007C1C06"/>
    <w:rsid w:val="007C1D33"/>
    <w:rsid w:val="007C262D"/>
    <w:rsid w:val="007C27A3"/>
    <w:rsid w:val="007C4240"/>
    <w:rsid w:val="007C4294"/>
    <w:rsid w:val="007C495D"/>
    <w:rsid w:val="007C49D1"/>
    <w:rsid w:val="007C4BAC"/>
    <w:rsid w:val="007C5029"/>
    <w:rsid w:val="007C5824"/>
    <w:rsid w:val="007C59C8"/>
    <w:rsid w:val="007C5B85"/>
    <w:rsid w:val="007C5CE9"/>
    <w:rsid w:val="007C5FF0"/>
    <w:rsid w:val="007C67CE"/>
    <w:rsid w:val="007C6945"/>
    <w:rsid w:val="007C70A2"/>
    <w:rsid w:val="007C74EB"/>
    <w:rsid w:val="007C798C"/>
    <w:rsid w:val="007C7BED"/>
    <w:rsid w:val="007D0172"/>
    <w:rsid w:val="007D03A7"/>
    <w:rsid w:val="007D06E2"/>
    <w:rsid w:val="007D0D03"/>
    <w:rsid w:val="007D0D84"/>
    <w:rsid w:val="007D1730"/>
    <w:rsid w:val="007D1B5D"/>
    <w:rsid w:val="007D1C4A"/>
    <w:rsid w:val="007D1D82"/>
    <w:rsid w:val="007D2130"/>
    <w:rsid w:val="007D219A"/>
    <w:rsid w:val="007D24AC"/>
    <w:rsid w:val="007D266D"/>
    <w:rsid w:val="007D2D82"/>
    <w:rsid w:val="007D2DCE"/>
    <w:rsid w:val="007D30C7"/>
    <w:rsid w:val="007D312C"/>
    <w:rsid w:val="007D3371"/>
    <w:rsid w:val="007D35A0"/>
    <w:rsid w:val="007D3956"/>
    <w:rsid w:val="007D414F"/>
    <w:rsid w:val="007D424E"/>
    <w:rsid w:val="007D4517"/>
    <w:rsid w:val="007D4B00"/>
    <w:rsid w:val="007D4B1E"/>
    <w:rsid w:val="007D4FF4"/>
    <w:rsid w:val="007D5755"/>
    <w:rsid w:val="007D5E4F"/>
    <w:rsid w:val="007D61CB"/>
    <w:rsid w:val="007D6B3A"/>
    <w:rsid w:val="007D6F6B"/>
    <w:rsid w:val="007D73C7"/>
    <w:rsid w:val="007D7B1A"/>
    <w:rsid w:val="007D7F95"/>
    <w:rsid w:val="007E0CDF"/>
    <w:rsid w:val="007E1144"/>
    <w:rsid w:val="007E1AC9"/>
    <w:rsid w:val="007E2012"/>
    <w:rsid w:val="007E225F"/>
    <w:rsid w:val="007E2358"/>
    <w:rsid w:val="007E2948"/>
    <w:rsid w:val="007E34A8"/>
    <w:rsid w:val="007E3D20"/>
    <w:rsid w:val="007E3DAA"/>
    <w:rsid w:val="007E3EFE"/>
    <w:rsid w:val="007E4C69"/>
    <w:rsid w:val="007E4F33"/>
    <w:rsid w:val="007E51B9"/>
    <w:rsid w:val="007E52C9"/>
    <w:rsid w:val="007E581A"/>
    <w:rsid w:val="007E5C59"/>
    <w:rsid w:val="007E5D70"/>
    <w:rsid w:val="007E614D"/>
    <w:rsid w:val="007E617F"/>
    <w:rsid w:val="007E680C"/>
    <w:rsid w:val="007E7656"/>
    <w:rsid w:val="007E76FA"/>
    <w:rsid w:val="007F052E"/>
    <w:rsid w:val="007F06D7"/>
    <w:rsid w:val="007F0C12"/>
    <w:rsid w:val="007F1370"/>
    <w:rsid w:val="007F1CD0"/>
    <w:rsid w:val="007F1D22"/>
    <w:rsid w:val="007F1D5C"/>
    <w:rsid w:val="007F1F6C"/>
    <w:rsid w:val="007F3440"/>
    <w:rsid w:val="007F4485"/>
    <w:rsid w:val="007F49EE"/>
    <w:rsid w:val="007F4B69"/>
    <w:rsid w:val="007F4FC9"/>
    <w:rsid w:val="007F53B0"/>
    <w:rsid w:val="007F564D"/>
    <w:rsid w:val="007F572F"/>
    <w:rsid w:val="007F5CA8"/>
    <w:rsid w:val="007F5EE7"/>
    <w:rsid w:val="007F6069"/>
    <w:rsid w:val="007F61B0"/>
    <w:rsid w:val="007F6502"/>
    <w:rsid w:val="007F73A5"/>
    <w:rsid w:val="007F73E8"/>
    <w:rsid w:val="00800074"/>
    <w:rsid w:val="0080013B"/>
    <w:rsid w:val="0080047C"/>
    <w:rsid w:val="008005CC"/>
    <w:rsid w:val="00801135"/>
    <w:rsid w:val="008012DD"/>
    <w:rsid w:val="008018F1"/>
    <w:rsid w:val="00801959"/>
    <w:rsid w:val="00802255"/>
    <w:rsid w:val="00802A25"/>
    <w:rsid w:val="00802B81"/>
    <w:rsid w:val="00802CE0"/>
    <w:rsid w:val="00803908"/>
    <w:rsid w:val="0080398B"/>
    <w:rsid w:val="00803B93"/>
    <w:rsid w:val="00803C1F"/>
    <w:rsid w:val="00803D57"/>
    <w:rsid w:val="00803DBD"/>
    <w:rsid w:val="008043EC"/>
    <w:rsid w:val="008046A2"/>
    <w:rsid w:val="008046E2"/>
    <w:rsid w:val="008047DF"/>
    <w:rsid w:val="00804C63"/>
    <w:rsid w:val="00804CB3"/>
    <w:rsid w:val="008057E0"/>
    <w:rsid w:val="008063F0"/>
    <w:rsid w:val="0080666E"/>
    <w:rsid w:val="0080695B"/>
    <w:rsid w:val="008069DF"/>
    <w:rsid w:val="00806C6C"/>
    <w:rsid w:val="00807B09"/>
    <w:rsid w:val="00807CFC"/>
    <w:rsid w:val="00807D6C"/>
    <w:rsid w:val="00810271"/>
    <w:rsid w:val="00810354"/>
    <w:rsid w:val="008104E9"/>
    <w:rsid w:val="0081059D"/>
    <w:rsid w:val="0081095E"/>
    <w:rsid w:val="0081129D"/>
    <w:rsid w:val="008116B9"/>
    <w:rsid w:val="00811F4D"/>
    <w:rsid w:val="00812508"/>
    <w:rsid w:val="00813306"/>
    <w:rsid w:val="00813338"/>
    <w:rsid w:val="0081488E"/>
    <w:rsid w:val="00814D97"/>
    <w:rsid w:val="00814EAA"/>
    <w:rsid w:val="008150E7"/>
    <w:rsid w:val="00815133"/>
    <w:rsid w:val="008157B7"/>
    <w:rsid w:val="008161DA"/>
    <w:rsid w:val="008161DD"/>
    <w:rsid w:val="008167E2"/>
    <w:rsid w:val="00816993"/>
    <w:rsid w:val="008169C1"/>
    <w:rsid w:val="008169FF"/>
    <w:rsid w:val="00816FA6"/>
    <w:rsid w:val="0081725F"/>
    <w:rsid w:val="008175E0"/>
    <w:rsid w:val="008176D9"/>
    <w:rsid w:val="00817E96"/>
    <w:rsid w:val="008209B3"/>
    <w:rsid w:val="00820D0A"/>
    <w:rsid w:val="00820D1B"/>
    <w:rsid w:val="00821520"/>
    <w:rsid w:val="008215AD"/>
    <w:rsid w:val="008216FA"/>
    <w:rsid w:val="00821843"/>
    <w:rsid w:val="00821B0D"/>
    <w:rsid w:val="00822079"/>
    <w:rsid w:val="00822814"/>
    <w:rsid w:val="00823BFB"/>
    <w:rsid w:val="00823C88"/>
    <w:rsid w:val="00823D4D"/>
    <w:rsid w:val="00824355"/>
    <w:rsid w:val="008247F5"/>
    <w:rsid w:val="00824894"/>
    <w:rsid w:val="008249B8"/>
    <w:rsid w:val="00824FEF"/>
    <w:rsid w:val="008250AE"/>
    <w:rsid w:val="0082557B"/>
    <w:rsid w:val="0082576C"/>
    <w:rsid w:val="00825910"/>
    <w:rsid w:val="00825F61"/>
    <w:rsid w:val="00826809"/>
    <w:rsid w:val="00826B16"/>
    <w:rsid w:val="00826D7B"/>
    <w:rsid w:val="00826E8D"/>
    <w:rsid w:val="008273BF"/>
    <w:rsid w:val="008275C6"/>
    <w:rsid w:val="00827CC6"/>
    <w:rsid w:val="00830142"/>
    <w:rsid w:val="00830306"/>
    <w:rsid w:val="00830982"/>
    <w:rsid w:val="00830C78"/>
    <w:rsid w:val="0083100C"/>
    <w:rsid w:val="008316AB"/>
    <w:rsid w:val="00832226"/>
    <w:rsid w:val="008322F7"/>
    <w:rsid w:val="008324A7"/>
    <w:rsid w:val="00832FB5"/>
    <w:rsid w:val="00833035"/>
    <w:rsid w:val="008331D4"/>
    <w:rsid w:val="0083363B"/>
    <w:rsid w:val="00833F1A"/>
    <w:rsid w:val="0083455F"/>
    <w:rsid w:val="008345E1"/>
    <w:rsid w:val="008346F6"/>
    <w:rsid w:val="008349E6"/>
    <w:rsid w:val="00834E7E"/>
    <w:rsid w:val="00834EAF"/>
    <w:rsid w:val="00834FCF"/>
    <w:rsid w:val="00835266"/>
    <w:rsid w:val="00835302"/>
    <w:rsid w:val="00836243"/>
    <w:rsid w:val="0083671E"/>
    <w:rsid w:val="00836A53"/>
    <w:rsid w:val="00836B91"/>
    <w:rsid w:val="00836CEB"/>
    <w:rsid w:val="00837353"/>
    <w:rsid w:val="008401D7"/>
    <w:rsid w:val="0084069A"/>
    <w:rsid w:val="008407EA"/>
    <w:rsid w:val="008411D8"/>
    <w:rsid w:val="00841446"/>
    <w:rsid w:val="00841E50"/>
    <w:rsid w:val="00841F07"/>
    <w:rsid w:val="00841F6B"/>
    <w:rsid w:val="008424AC"/>
    <w:rsid w:val="0084257E"/>
    <w:rsid w:val="008427DD"/>
    <w:rsid w:val="008429FE"/>
    <w:rsid w:val="00842BA6"/>
    <w:rsid w:val="00843437"/>
    <w:rsid w:val="0084408D"/>
    <w:rsid w:val="00844334"/>
    <w:rsid w:val="00844521"/>
    <w:rsid w:val="00845464"/>
    <w:rsid w:val="008459B5"/>
    <w:rsid w:val="00845B97"/>
    <w:rsid w:val="00846458"/>
    <w:rsid w:val="00846591"/>
    <w:rsid w:val="00847150"/>
    <w:rsid w:val="008473CF"/>
    <w:rsid w:val="008473DE"/>
    <w:rsid w:val="00847777"/>
    <w:rsid w:val="0084793F"/>
    <w:rsid w:val="00847BA8"/>
    <w:rsid w:val="00847BFE"/>
    <w:rsid w:val="008502A1"/>
    <w:rsid w:val="008502E3"/>
    <w:rsid w:val="00850B92"/>
    <w:rsid w:val="00850BDB"/>
    <w:rsid w:val="00850C91"/>
    <w:rsid w:val="00850D23"/>
    <w:rsid w:val="00850EAD"/>
    <w:rsid w:val="00850FE6"/>
    <w:rsid w:val="0085101D"/>
    <w:rsid w:val="0085102D"/>
    <w:rsid w:val="00851A74"/>
    <w:rsid w:val="00851C2D"/>
    <w:rsid w:val="00852047"/>
    <w:rsid w:val="008520A9"/>
    <w:rsid w:val="00852435"/>
    <w:rsid w:val="00852694"/>
    <w:rsid w:val="00852793"/>
    <w:rsid w:val="00852ABB"/>
    <w:rsid w:val="00852B1A"/>
    <w:rsid w:val="00852BF3"/>
    <w:rsid w:val="00852CD3"/>
    <w:rsid w:val="00853AC0"/>
    <w:rsid w:val="00854009"/>
    <w:rsid w:val="00854097"/>
    <w:rsid w:val="008550CC"/>
    <w:rsid w:val="008551A7"/>
    <w:rsid w:val="0085523C"/>
    <w:rsid w:val="00855245"/>
    <w:rsid w:val="008552F7"/>
    <w:rsid w:val="00855788"/>
    <w:rsid w:val="00855EAF"/>
    <w:rsid w:val="00856055"/>
    <w:rsid w:val="0085675A"/>
    <w:rsid w:val="00856F44"/>
    <w:rsid w:val="008573CD"/>
    <w:rsid w:val="0085759A"/>
    <w:rsid w:val="00857B61"/>
    <w:rsid w:val="00857DBD"/>
    <w:rsid w:val="00857F1E"/>
    <w:rsid w:val="00860746"/>
    <w:rsid w:val="008607BD"/>
    <w:rsid w:val="008609A7"/>
    <w:rsid w:val="00860A36"/>
    <w:rsid w:val="00860E8F"/>
    <w:rsid w:val="00860EC8"/>
    <w:rsid w:val="00861196"/>
    <w:rsid w:val="0086199B"/>
    <w:rsid w:val="00861A20"/>
    <w:rsid w:val="00861B62"/>
    <w:rsid w:val="00861B9F"/>
    <w:rsid w:val="00861BDC"/>
    <w:rsid w:val="008624C7"/>
    <w:rsid w:val="00862700"/>
    <w:rsid w:val="00862BBD"/>
    <w:rsid w:val="00862C21"/>
    <w:rsid w:val="008631BB"/>
    <w:rsid w:val="0086324F"/>
    <w:rsid w:val="00863BF6"/>
    <w:rsid w:val="00863D04"/>
    <w:rsid w:val="008643F8"/>
    <w:rsid w:val="00864851"/>
    <w:rsid w:val="00864BDB"/>
    <w:rsid w:val="008650A7"/>
    <w:rsid w:val="00865481"/>
    <w:rsid w:val="00865914"/>
    <w:rsid w:val="00866BBF"/>
    <w:rsid w:val="00866C8C"/>
    <w:rsid w:val="00866DA9"/>
    <w:rsid w:val="00867218"/>
    <w:rsid w:val="008677A6"/>
    <w:rsid w:val="008678F0"/>
    <w:rsid w:val="00867AA1"/>
    <w:rsid w:val="00867CC3"/>
    <w:rsid w:val="00870BBB"/>
    <w:rsid w:val="00870C8A"/>
    <w:rsid w:val="00871089"/>
    <w:rsid w:val="0087124B"/>
    <w:rsid w:val="00871545"/>
    <w:rsid w:val="00872217"/>
    <w:rsid w:val="0087259C"/>
    <w:rsid w:val="00872604"/>
    <w:rsid w:val="0087305C"/>
    <w:rsid w:val="00873088"/>
    <w:rsid w:val="00874291"/>
    <w:rsid w:val="0087457B"/>
    <w:rsid w:val="008746F4"/>
    <w:rsid w:val="008750A9"/>
    <w:rsid w:val="008757B5"/>
    <w:rsid w:val="00875E7F"/>
    <w:rsid w:val="00875FC0"/>
    <w:rsid w:val="0087608D"/>
    <w:rsid w:val="00876445"/>
    <w:rsid w:val="00876533"/>
    <w:rsid w:val="00876719"/>
    <w:rsid w:val="0087672B"/>
    <w:rsid w:val="008768B5"/>
    <w:rsid w:val="00877592"/>
    <w:rsid w:val="00877C46"/>
    <w:rsid w:val="00877C62"/>
    <w:rsid w:val="00877DA3"/>
    <w:rsid w:val="00880163"/>
    <w:rsid w:val="008806DE"/>
    <w:rsid w:val="008807FF"/>
    <w:rsid w:val="0088085D"/>
    <w:rsid w:val="00880EB5"/>
    <w:rsid w:val="00881A63"/>
    <w:rsid w:val="00881D25"/>
    <w:rsid w:val="0088202F"/>
    <w:rsid w:val="00882362"/>
    <w:rsid w:val="008828C2"/>
    <w:rsid w:val="00882E42"/>
    <w:rsid w:val="00882EBB"/>
    <w:rsid w:val="00882FA1"/>
    <w:rsid w:val="0088314E"/>
    <w:rsid w:val="00883990"/>
    <w:rsid w:val="00883EB9"/>
    <w:rsid w:val="00883F31"/>
    <w:rsid w:val="00884059"/>
    <w:rsid w:val="00884337"/>
    <w:rsid w:val="0088439C"/>
    <w:rsid w:val="00884BBE"/>
    <w:rsid w:val="00885E0C"/>
    <w:rsid w:val="00886075"/>
    <w:rsid w:val="008863B7"/>
    <w:rsid w:val="00886A70"/>
    <w:rsid w:val="00886BA6"/>
    <w:rsid w:val="00886CBF"/>
    <w:rsid w:val="00886FCF"/>
    <w:rsid w:val="00887215"/>
    <w:rsid w:val="0088725B"/>
    <w:rsid w:val="00887725"/>
    <w:rsid w:val="008879DC"/>
    <w:rsid w:val="00887F39"/>
    <w:rsid w:val="00890062"/>
    <w:rsid w:val="00890193"/>
    <w:rsid w:val="00890677"/>
    <w:rsid w:val="00890713"/>
    <w:rsid w:val="008909B8"/>
    <w:rsid w:val="00890A61"/>
    <w:rsid w:val="00890FC9"/>
    <w:rsid w:val="0089131D"/>
    <w:rsid w:val="00891640"/>
    <w:rsid w:val="00891892"/>
    <w:rsid w:val="008918C2"/>
    <w:rsid w:val="00891D32"/>
    <w:rsid w:val="00892320"/>
    <w:rsid w:val="0089254E"/>
    <w:rsid w:val="00892830"/>
    <w:rsid w:val="00893185"/>
    <w:rsid w:val="0089335E"/>
    <w:rsid w:val="00893401"/>
    <w:rsid w:val="00893A56"/>
    <w:rsid w:val="00893CAB"/>
    <w:rsid w:val="00893ED6"/>
    <w:rsid w:val="0089411C"/>
    <w:rsid w:val="00894A93"/>
    <w:rsid w:val="00894C4A"/>
    <w:rsid w:val="00894FC8"/>
    <w:rsid w:val="00895285"/>
    <w:rsid w:val="008952B8"/>
    <w:rsid w:val="00895340"/>
    <w:rsid w:val="00895418"/>
    <w:rsid w:val="00895AB7"/>
    <w:rsid w:val="00895C47"/>
    <w:rsid w:val="00895D26"/>
    <w:rsid w:val="00895D89"/>
    <w:rsid w:val="00895E56"/>
    <w:rsid w:val="00896435"/>
    <w:rsid w:val="00896449"/>
    <w:rsid w:val="00896C36"/>
    <w:rsid w:val="00897E7F"/>
    <w:rsid w:val="00897EAB"/>
    <w:rsid w:val="008A0166"/>
    <w:rsid w:val="008A0649"/>
    <w:rsid w:val="008A0951"/>
    <w:rsid w:val="008A0DFE"/>
    <w:rsid w:val="008A1173"/>
    <w:rsid w:val="008A15B4"/>
    <w:rsid w:val="008A17AE"/>
    <w:rsid w:val="008A1B58"/>
    <w:rsid w:val="008A1BA8"/>
    <w:rsid w:val="008A1F32"/>
    <w:rsid w:val="008A2666"/>
    <w:rsid w:val="008A2860"/>
    <w:rsid w:val="008A290A"/>
    <w:rsid w:val="008A2DAD"/>
    <w:rsid w:val="008A3447"/>
    <w:rsid w:val="008A3A01"/>
    <w:rsid w:val="008A3A7A"/>
    <w:rsid w:val="008A42C6"/>
    <w:rsid w:val="008A4659"/>
    <w:rsid w:val="008A4C76"/>
    <w:rsid w:val="008A50EF"/>
    <w:rsid w:val="008A52D7"/>
    <w:rsid w:val="008A56BE"/>
    <w:rsid w:val="008A58F0"/>
    <w:rsid w:val="008A5ADE"/>
    <w:rsid w:val="008A6080"/>
    <w:rsid w:val="008A6085"/>
    <w:rsid w:val="008A632A"/>
    <w:rsid w:val="008A6B0F"/>
    <w:rsid w:val="008A6F8E"/>
    <w:rsid w:val="008A74B8"/>
    <w:rsid w:val="008A775F"/>
    <w:rsid w:val="008A7B3A"/>
    <w:rsid w:val="008A7CF8"/>
    <w:rsid w:val="008A7F52"/>
    <w:rsid w:val="008B068B"/>
    <w:rsid w:val="008B074B"/>
    <w:rsid w:val="008B0817"/>
    <w:rsid w:val="008B0B5C"/>
    <w:rsid w:val="008B120D"/>
    <w:rsid w:val="008B14EC"/>
    <w:rsid w:val="008B1728"/>
    <w:rsid w:val="008B1769"/>
    <w:rsid w:val="008B1772"/>
    <w:rsid w:val="008B1CBC"/>
    <w:rsid w:val="008B1D1F"/>
    <w:rsid w:val="008B1D94"/>
    <w:rsid w:val="008B1EEE"/>
    <w:rsid w:val="008B1F26"/>
    <w:rsid w:val="008B211D"/>
    <w:rsid w:val="008B2589"/>
    <w:rsid w:val="008B2DF6"/>
    <w:rsid w:val="008B32BA"/>
    <w:rsid w:val="008B32F0"/>
    <w:rsid w:val="008B331A"/>
    <w:rsid w:val="008B34A1"/>
    <w:rsid w:val="008B39A6"/>
    <w:rsid w:val="008B3E31"/>
    <w:rsid w:val="008B3E74"/>
    <w:rsid w:val="008B4F35"/>
    <w:rsid w:val="008B55DA"/>
    <w:rsid w:val="008B66D2"/>
    <w:rsid w:val="008B72DA"/>
    <w:rsid w:val="008B7C77"/>
    <w:rsid w:val="008C023A"/>
    <w:rsid w:val="008C0E19"/>
    <w:rsid w:val="008C1257"/>
    <w:rsid w:val="008C1527"/>
    <w:rsid w:val="008C16A8"/>
    <w:rsid w:val="008C174C"/>
    <w:rsid w:val="008C1B77"/>
    <w:rsid w:val="008C1BE6"/>
    <w:rsid w:val="008C1F89"/>
    <w:rsid w:val="008C2422"/>
    <w:rsid w:val="008C2584"/>
    <w:rsid w:val="008C2596"/>
    <w:rsid w:val="008C269C"/>
    <w:rsid w:val="008C2B0B"/>
    <w:rsid w:val="008C2D15"/>
    <w:rsid w:val="008C2DF6"/>
    <w:rsid w:val="008C30B0"/>
    <w:rsid w:val="008C3373"/>
    <w:rsid w:val="008C386D"/>
    <w:rsid w:val="008C4024"/>
    <w:rsid w:val="008C43E1"/>
    <w:rsid w:val="008C4F84"/>
    <w:rsid w:val="008C52BE"/>
    <w:rsid w:val="008C56F8"/>
    <w:rsid w:val="008C5DAC"/>
    <w:rsid w:val="008C6338"/>
    <w:rsid w:val="008C68A8"/>
    <w:rsid w:val="008C69AA"/>
    <w:rsid w:val="008C6AFE"/>
    <w:rsid w:val="008C6D17"/>
    <w:rsid w:val="008C7050"/>
    <w:rsid w:val="008C75BC"/>
    <w:rsid w:val="008C7AF9"/>
    <w:rsid w:val="008D037E"/>
    <w:rsid w:val="008D054B"/>
    <w:rsid w:val="008D05A3"/>
    <w:rsid w:val="008D13AD"/>
    <w:rsid w:val="008D23C6"/>
    <w:rsid w:val="008D2546"/>
    <w:rsid w:val="008D281E"/>
    <w:rsid w:val="008D303E"/>
    <w:rsid w:val="008D320C"/>
    <w:rsid w:val="008D33C9"/>
    <w:rsid w:val="008D3696"/>
    <w:rsid w:val="008D3728"/>
    <w:rsid w:val="008D39B3"/>
    <w:rsid w:val="008D3C2C"/>
    <w:rsid w:val="008D3DA1"/>
    <w:rsid w:val="008D3EC5"/>
    <w:rsid w:val="008D3F95"/>
    <w:rsid w:val="008D443D"/>
    <w:rsid w:val="008D481F"/>
    <w:rsid w:val="008D50C1"/>
    <w:rsid w:val="008D5352"/>
    <w:rsid w:val="008D53C0"/>
    <w:rsid w:val="008D5888"/>
    <w:rsid w:val="008D6197"/>
    <w:rsid w:val="008D6309"/>
    <w:rsid w:val="008D6896"/>
    <w:rsid w:val="008D6963"/>
    <w:rsid w:val="008D707A"/>
    <w:rsid w:val="008D73FB"/>
    <w:rsid w:val="008D759F"/>
    <w:rsid w:val="008D7900"/>
    <w:rsid w:val="008D7A25"/>
    <w:rsid w:val="008D7DB4"/>
    <w:rsid w:val="008E05E5"/>
    <w:rsid w:val="008E0662"/>
    <w:rsid w:val="008E073F"/>
    <w:rsid w:val="008E0EAB"/>
    <w:rsid w:val="008E193C"/>
    <w:rsid w:val="008E1C9D"/>
    <w:rsid w:val="008E1EFB"/>
    <w:rsid w:val="008E2069"/>
    <w:rsid w:val="008E2227"/>
    <w:rsid w:val="008E2414"/>
    <w:rsid w:val="008E28BB"/>
    <w:rsid w:val="008E2B0F"/>
    <w:rsid w:val="008E2DF1"/>
    <w:rsid w:val="008E318F"/>
    <w:rsid w:val="008E341A"/>
    <w:rsid w:val="008E3562"/>
    <w:rsid w:val="008E386F"/>
    <w:rsid w:val="008E38CE"/>
    <w:rsid w:val="008E3CC3"/>
    <w:rsid w:val="008E407D"/>
    <w:rsid w:val="008E44C6"/>
    <w:rsid w:val="008E4D9C"/>
    <w:rsid w:val="008E5392"/>
    <w:rsid w:val="008E5730"/>
    <w:rsid w:val="008E57E6"/>
    <w:rsid w:val="008E5C73"/>
    <w:rsid w:val="008E5E13"/>
    <w:rsid w:val="008E63E8"/>
    <w:rsid w:val="008E645A"/>
    <w:rsid w:val="008E64D7"/>
    <w:rsid w:val="008E6BF1"/>
    <w:rsid w:val="008E6FEF"/>
    <w:rsid w:val="008E7779"/>
    <w:rsid w:val="008E7EDC"/>
    <w:rsid w:val="008F0037"/>
    <w:rsid w:val="008F0200"/>
    <w:rsid w:val="008F04BB"/>
    <w:rsid w:val="008F065A"/>
    <w:rsid w:val="008F0789"/>
    <w:rsid w:val="008F09C7"/>
    <w:rsid w:val="008F0A1F"/>
    <w:rsid w:val="008F0C00"/>
    <w:rsid w:val="008F0C14"/>
    <w:rsid w:val="008F0D6B"/>
    <w:rsid w:val="008F0F78"/>
    <w:rsid w:val="008F1128"/>
    <w:rsid w:val="008F14FC"/>
    <w:rsid w:val="008F1B1B"/>
    <w:rsid w:val="008F1D29"/>
    <w:rsid w:val="008F2194"/>
    <w:rsid w:val="008F2711"/>
    <w:rsid w:val="008F2BE8"/>
    <w:rsid w:val="008F33A2"/>
    <w:rsid w:val="008F349B"/>
    <w:rsid w:val="008F34FA"/>
    <w:rsid w:val="008F3B5F"/>
    <w:rsid w:val="008F3E02"/>
    <w:rsid w:val="008F3F5F"/>
    <w:rsid w:val="008F4383"/>
    <w:rsid w:val="008F48A1"/>
    <w:rsid w:val="008F5010"/>
    <w:rsid w:val="008F5030"/>
    <w:rsid w:val="008F518C"/>
    <w:rsid w:val="008F58D6"/>
    <w:rsid w:val="008F5A82"/>
    <w:rsid w:val="008F5C16"/>
    <w:rsid w:val="008F5E46"/>
    <w:rsid w:val="008F641B"/>
    <w:rsid w:val="008F6655"/>
    <w:rsid w:val="008F6B06"/>
    <w:rsid w:val="008F6D58"/>
    <w:rsid w:val="008F6E5E"/>
    <w:rsid w:val="008F722A"/>
    <w:rsid w:val="008F7292"/>
    <w:rsid w:val="008F7429"/>
    <w:rsid w:val="008F7B67"/>
    <w:rsid w:val="008F7BE9"/>
    <w:rsid w:val="008F7F7A"/>
    <w:rsid w:val="00900161"/>
    <w:rsid w:val="009004A6"/>
    <w:rsid w:val="00900677"/>
    <w:rsid w:val="0090116B"/>
    <w:rsid w:val="00901323"/>
    <w:rsid w:val="009018C8"/>
    <w:rsid w:val="0090210A"/>
    <w:rsid w:val="00902272"/>
    <w:rsid w:val="00902382"/>
    <w:rsid w:val="00902665"/>
    <w:rsid w:val="00902768"/>
    <w:rsid w:val="00902B09"/>
    <w:rsid w:val="00902BD1"/>
    <w:rsid w:val="0090382A"/>
    <w:rsid w:val="00903BC8"/>
    <w:rsid w:val="00903C63"/>
    <w:rsid w:val="00903D5E"/>
    <w:rsid w:val="00903DAF"/>
    <w:rsid w:val="0090416B"/>
    <w:rsid w:val="009044B4"/>
    <w:rsid w:val="00904653"/>
    <w:rsid w:val="00904BE6"/>
    <w:rsid w:val="0090541A"/>
    <w:rsid w:val="00906490"/>
    <w:rsid w:val="009064C0"/>
    <w:rsid w:val="0090697E"/>
    <w:rsid w:val="009070E9"/>
    <w:rsid w:val="00907EF2"/>
    <w:rsid w:val="009100D1"/>
    <w:rsid w:val="009105A6"/>
    <w:rsid w:val="009105EF"/>
    <w:rsid w:val="0091080A"/>
    <w:rsid w:val="00910AD1"/>
    <w:rsid w:val="00910D20"/>
    <w:rsid w:val="00911399"/>
    <w:rsid w:val="0091147C"/>
    <w:rsid w:val="0091199A"/>
    <w:rsid w:val="009119D6"/>
    <w:rsid w:val="00911E2F"/>
    <w:rsid w:val="009125D3"/>
    <w:rsid w:val="00912B00"/>
    <w:rsid w:val="00912E08"/>
    <w:rsid w:val="00913044"/>
    <w:rsid w:val="009133B6"/>
    <w:rsid w:val="0091359E"/>
    <w:rsid w:val="009139D8"/>
    <w:rsid w:val="00914299"/>
    <w:rsid w:val="00914A25"/>
    <w:rsid w:val="00914D31"/>
    <w:rsid w:val="00914E8D"/>
    <w:rsid w:val="00914ED4"/>
    <w:rsid w:val="00915770"/>
    <w:rsid w:val="00915839"/>
    <w:rsid w:val="00916180"/>
    <w:rsid w:val="00916F78"/>
    <w:rsid w:val="009170FB"/>
    <w:rsid w:val="009171C7"/>
    <w:rsid w:val="009173A0"/>
    <w:rsid w:val="009173BE"/>
    <w:rsid w:val="009176FF"/>
    <w:rsid w:val="00917E39"/>
    <w:rsid w:val="00920141"/>
    <w:rsid w:val="00920268"/>
    <w:rsid w:val="0092030C"/>
    <w:rsid w:val="0092041C"/>
    <w:rsid w:val="009205DB"/>
    <w:rsid w:val="00920900"/>
    <w:rsid w:val="00920A37"/>
    <w:rsid w:val="00920A6B"/>
    <w:rsid w:val="00920B1E"/>
    <w:rsid w:val="00920D19"/>
    <w:rsid w:val="00920D5A"/>
    <w:rsid w:val="009213C4"/>
    <w:rsid w:val="00921657"/>
    <w:rsid w:val="00921F5C"/>
    <w:rsid w:val="00922234"/>
    <w:rsid w:val="009223FD"/>
    <w:rsid w:val="009229AA"/>
    <w:rsid w:val="00922C97"/>
    <w:rsid w:val="009233E4"/>
    <w:rsid w:val="009233F5"/>
    <w:rsid w:val="00923693"/>
    <w:rsid w:val="00923855"/>
    <w:rsid w:val="009245EC"/>
    <w:rsid w:val="009248BE"/>
    <w:rsid w:val="00925017"/>
    <w:rsid w:val="009253E5"/>
    <w:rsid w:val="009256AC"/>
    <w:rsid w:val="00925785"/>
    <w:rsid w:val="00925A9E"/>
    <w:rsid w:val="00925CBC"/>
    <w:rsid w:val="00925D45"/>
    <w:rsid w:val="00925D47"/>
    <w:rsid w:val="00925E0A"/>
    <w:rsid w:val="009260B5"/>
    <w:rsid w:val="00926790"/>
    <w:rsid w:val="00926A6E"/>
    <w:rsid w:val="009272C5"/>
    <w:rsid w:val="00927787"/>
    <w:rsid w:val="00927A8B"/>
    <w:rsid w:val="0093037E"/>
    <w:rsid w:val="00930455"/>
    <w:rsid w:val="009308A2"/>
    <w:rsid w:val="00930AE5"/>
    <w:rsid w:val="0093103D"/>
    <w:rsid w:val="009310AF"/>
    <w:rsid w:val="00931A6E"/>
    <w:rsid w:val="00931DB0"/>
    <w:rsid w:val="00931E8D"/>
    <w:rsid w:val="009328A3"/>
    <w:rsid w:val="00932954"/>
    <w:rsid w:val="0093311C"/>
    <w:rsid w:val="0093341C"/>
    <w:rsid w:val="009346C8"/>
    <w:rsid w:val="00934D4E"/>
    <w:rsid w:val="0093532A"/>
    <w:rsid w:val="00935334"/>
    <w:rsid w:val="00935C18"/>
    <w:rsid w:val="00935E32"/>
    <w:rsid w:val="0093618F"/>
    <w:rsid w:val="009363D9"/>
    <w:rsid w:val="0093661D"/>
    <w:rsid w:val="00936ADE"/>
    <w:rsid w:val="00936C4C"/>
    <w:rsid w:val="00936C7D"/>
    <w:rsid w:val="00937691"/>
    <w:rsid w:val="0093780A"/>
    <w:rsid w:val="00937A3A"/>
    <w:rsid w:val="00940949"/>
    <w:rsid w:val="00940BA7"/>
    <w:rsid w:val="00940C63"/>
    <w:rsid w:val="00940CDB"/>
    <w:rsid w:val="009417A8"/>
    <w:rsid w:val="00941CCE"/>
    <w:rsid w:val="0094223A"/>
    <w:rsid w:val="0094297E"/>
    <w:rsid w:val="009429D1"/>
    <w:rsid w:val="009430A0"/>
    <w:rsid w:val="0094314B"/>
    <w:rsid w:val="00943AA9"/>
    <w:rsid w:val="00943B4A"/>
    <w:rsid w:val="00943BB4"/>
    <w:rsid w:val="00943EA8"/>
    <w:rsid w:val="009442B8"/>
    <w:rsid w:val="009443F2"/>
    <w:rsid w:val="0094441D"/>
    <w:rsid w:val="009447F7"/>
    <w:rsid w:val="00944E31"/>
    <w:rsid w:val="009451A1"/>
    <w:rsid w:val="0094561E"/>
    <w:rsid w:val="00946138"/>
    <w:rsid w:val="009472C1"/>
    <w:rsid w:val="009474B1"/>
    <w:rsid w:val="00947B1C"/>
    <w:rsid w:val="00947CDA"/>
    <w:rsid w:val="00950312"/>
    <w:rsid w:val="00950EFA"/>
    <w:rsid w:val="00951597"/>
    <w:rsid w:val="00951886"/>
    <w:rsid w:val="00951A3D"/>
    <w:rsid w:val="00951AF7"/>
    <w:rsid w:val="00951EF5"/>
    <w:rsid w:val="00951F18"/>
    <w:rsid w:val="0095233F"/>
    <w:rsid w:val="00952561"/>
    <w:rsid w:val="0095286F"/>
    <w:rsid w:val="00952AD1"/>
    <w:rsid w:val="00953071"/>
    <w:rsid w:val="00953622"/>
    <w:rsid w:val="00953C2F"/>
    <w:rsid w:val="00953DA1"/>
    <w:rsid w:val="00954058"/>
    <w:rsid w:val="009540B2"/>
    <w:rsid w:val="0095478E"/>
    <w:rsid w:val="00954AF8"/>
    <w:rsid w:val="00954B79"/>
    <w:rsid w:val="00954C3B"/>
    <w:rsid w:val="00954FEA"/>
    <w:rsid w:val="00955051"/>
    <w:rsid w:val="0095527F"/>
    <w:rsid w:val="00955387"/>
    <w:rsid w:val="0095589D"/>
    <w:rsid w:val="0095654E"/>
    <w:rsid w:val="009565D0"/>
    <w:rsid w:val="0095680C"/>
    <w:rsid w:val="009569F8"/>
    <w:rsid w:val="00956CDD"/>
    <w:rsid w:val="00956E50"/>
    <w:rsid w:val="009572D8"/>
    <w:rsid w:val="0095739C"/>
    <w:rsid w:val="00957425"/>
    <w:rsid w:val="00957456"/>
    <w:rsid w:val="009578D2"/>
    <w:rsid w:val="0096034B"/>
    <w:rsid w:val="00960787"/>
    <w:rsid w:val="00960A6F"/>
    <w:rsid w:val="00961419"/>
    <w:rsid w:val="00961618"/>
    <w:rsid w:val="0096199A"/>
    <w:rsid w:val="00961EC4"/>
    <w:rsid w:val="00962069"/>
    <w:rsid w:val="00962542"/>
    <w:rsid w:val="009626F0"/>
    <w:rsid w:val="00962927"/>
    <w:rsid w:val="00962BF8"/>
    <w:rsid w:val="00962F80"/>
    <w:rsid w:val="00963157"/>
    <w:rsid w:val="009632EF"/>
    <w:rsid w:val="0096354D"/>
    <w:rsid w:val="00963D7E"/>
    <w:rsid w:val="009646AF"/>
    <w:rsid w:val="00965556"/>
    <w:rsid w:val="00965A9F"/>
    <w:rsid w:val="0096659B"/>
    <w:rsid w:val="00966779"/>
    <w:rsid w:val="0096677A"/>
    <w:rsid w:val="00966B75"/>
    <w:rsid w:val="00966CD8"/>
    <w:rsid w:val="00966E02"/>
    <w:rsid w:val="00967107"/>
    <w:rsid w:val="00967224"/>
    <w:rsid w:val="0096777A"/>
    <w:rsid w:val="009679DA"/>
    <w:rsid w:val="00967CD4"/>
    <w:rsid w:val="00967FE3"/>
    <w:rsid w:val="009701BE"/>
    <w:rsid w:val="00970271"/>
    <w:rsid w:val="00970954"/>
    <w:rsid w:val="009709AD"/>
    <w:rsid w:val="00970A7F"/>
    <w:rsid w:val="00970C08"/>
    <w:rsid w:val="00971104"/>
    <w:rsid w:val="009718BF"/>
    <w:rsid w:val="009718C8"/>
    <w:rsid w:val="00971C08"/>
    <w:rsid w:val="00971D0F"/>
    <w:rsid w:val="009728F8"/>
    <w:rsid w:val="00972A2B"/>
    <w:rsid w:val="00972CA9"/>
    <w:rsid w:val="00973094"/>
    <w:rsid w:val="009735D7"/>
    <w:rsid w:val="00973632"/>
    <w:rsid w:val="009737CA"/>
    <w:rsid w:val="009737E6"/>
    <w:rsid w:val="009738A5"/>
    <w:rsid w:val="00973951"/>
    <w:rsid w:val="00973A72"/>
    <w:rsid w:val="00973C20"/>
    <w:rsid w:val="00973EDC"/>
    <w:rsid w:val="00974084"/>
    <w:rsid w:val="009740B3"/>
    <w:rsid w:val="009743B0"/>
    <w:rsid w:val="00974429"/>
    <w:rsid w:val="00974AB4"/>
    <w:rsid w:val="00974D5F"/>
    <w:rsid w:val="00975351"/>
    <w:rsid w:val="0097599C"/>
    <w:rsid w:val="00975B9B"/>
    <w:rsid w:val="009761C2"/>
    <w:rsid w:val="00976640"/>
    <w:rsid w:val="00976876"/>
    <w:rsid w:val="00976A7C"/>
    <w:rsid w:val="009773A1"/>
    <w:rsid w:val="00977430"/>
    <w:rsid w:val="00977E52"/>
    <w:rsid w:val="00977F8C"/>
    <w:rsid w:val="00980618"/>
    <w:rsid w:val="00980812"/>
    <w:rsid w:val="0098096C"/>
    <w:rsid w:val="00981A1F"/>
    <w:rsid w:val="00981A73"/>
    <w:rsid w:val="00981AF8"/>
    <w:rsid w:val="00981B71"/>
    <w:rsid w:val="00981CB6"/>
    <w:rsid w:val="009825D5"/>
    <w:rsid w:val="00982AAC"/>
    <w:rsid w:val="0098329D"/>
    <w:rsid w:val="00983A68"/>
    <w:rsid w:val="009842E6"/>
    <w:rsid w:val="00984DCD"/>
    <w:rsid w:val="009857F0"/>
    <w:rsid w:val="009860A4"/>
    <w:rsid w:val="00986625"/>
    <w:rsid w:val="00986745"/>
    <w:rsid w:val="00986A46"/>
    <w:rsid w:val="00986B51"/>
    <w:rsid w:val="00986C1C"/>
    <w:rsid w:val="00986DA5"/>
    <w:rsid w:val="00987318"/>
    <w:rsid w:val="00987429"/>
    <w:rsid w:val="009875B4"/>
    <w:rsid w:val="00987AE3"/>
    <w:rsid w:val="00987EE2"/>
    <w:rsid w:val="0099011C"/>
    <w:rsid w:val="009902E8"/>
    <w:rsid w:val="009907C5"/>
    <w:rsid w:val="00990829"/>
    <w:rsid w:val="00990A79"/>
    <w:rsid w:val="00990FC3"/>
    <w:rsid w:val="00990FF4"/>
    <w:rsid w:val="0099119E"/>
    <w:rsid w:val="0099127C"/>
    <w:rsid w:val="00991824"/>
    <w:rsid w:val="00991AA6"/>
    <w:rsid w:val="00991AD6"/>
    <w:rsid w:val="0099215B"/>
    <w:rsid w:val="00992174"/>
    <w:rsid w:val="009922F6"/>
    <w:rsid w:val="009923B6"/>
    <w:rsid w:val="0099251E"/>
    <w:rsid w:val="00992A49"/>
    <w:rsid w:val="00992F65"/>
    <w:rsid w:val="00992FBC"/>
    <w:rsid w:val="0099381A"/>
    <w:rsid w:val="00993A68"/>
    <w:rsid w:val="00993FF5"/>
    <w:rsid w:val="009947ED"/>
    <w:rsid w:val="00994803"/>
    <w:rsid w:val="00994C22"/>
    <w:rsid w:val="00994CFF"/>
    <w:rsid w:val="00995623"/>
    <w:rsid w:val="009956E1"/>
    <w:rsid w:val="0099578F"/>
    <w:rsid w:val="00995E0D"/>
    <w:rsid w:val="009960E8"/>
    <w:rsid w:val="00996580"/>
    <w:rsid w:val="00996674"/>
    <w:rsid w:val="00996859"/>
    <w:rsid w:val="00996C4A"/>
    <w:rsid w:val="009971F7"/>
    <w:rsid w:val="00997231"/>
    <w:rsid w:val="00997C17"/>
    <w:rsid w:val="00997F17"/>
    <w:rsid w:val="00997F48"/>
    <w:rsid w:val="00997FE6"/>
    <w:rsid w:val="009A1646"/>
    <w:rsid w:val="009A17DA"/>
    <w:rsid w:val="009A1AA2"/>
    <w:rsid w:val="009A1B41"/>
    <w:rsid w:val="009A29FF"/>
    <w:rsid w:val="009A2BDB"/>
    <w:rsid w:val="009A30F2"/>
    <w:rsid w:val="009A3BD5"/>
    <w:rsid w:val="009A3FCD"/>
    <w:rsid w:val="009A4064"/>
    <w:rsid w:val="009A46BE"/>
    <w:rsid w:val="009A472A"/>
    <w:rsid w:val="009A5068"/>
    <w:rsid w:val="009A5B50"/>
    <w:rsid w:val="009A6039"/>
    <w:rsid w:val="009A6481"/>
    <w:rsid w:val="009A64D8"/>
    <w:rsid w:val="009A6F88"/>
    <w:rsid w:val="009A70B4"/>
    <w:rsid w:val="009A70DF"/>
    <w:rsid w:val="009A73D7"/>
    <w:rsid w:val="009A793A"/>
    <w:rsid w:val="009A7B92"/>
    <w:rsid w:val="009A7BB5"/>
    <w:rsid w:val="009B111C"/>
    <w:rsid w:val="009B17D3"/>
    <w:rsid w:val="009B1FE1"/>
    <w:rsid w:val="009B2B87"/>
    <w:rsid w:val="009B3086"/>
    <w:rsid w:val="009B3865"/>
    <w:rsid w:val="009B3877"/>
    <w:rsid w:val="009B38DE"/>
    <w:rsid w:val="009B3E69"/>
    <w:rsid w:val="009B4342"/>
    <w:rsid w:val="009B4351"/>
    <w:rsid w:val="009B45DE"/>
    <w:rsid w:val="009B48F8"/>
    <w:rsid w:val="009B4C3B"/>
    <w:rsid w:val="009B4C87"/>
    <w:rsid w:val="009B5346"/>
    <w:rsid w:val="009B547B"/>
    <w:rsid w:val="009B58BE"/>
    <w:rsid w:val="009B5902"/>
    <w:rsid w:val="009B5B7E"/>
    <w:rsid w:val="009B5DD9"/>
    <w:rsid w:val="009B628C"/>
    <w:rsid w:val="009B6B90"/>
    <w:rsid w:val="009B6D91"/>
    <w:rsid w:val="009B7521"/>
    <w:rsid w:val="009B7795"/>
    <w:rsid w:val="009B7A24"/>
    <w:rsid w:val="009B7B13"/>
    <w:rsid w:val="009B7DBF"/>
    <w:rsid w:val="009C1301"/>
    <w:rsid w:val="009C140E"/>
    <w:rsid w:val="009C15DC"/>
    <w:rsid w:val="009C19F8"/>
    <w:rsid w:val="009C1B58"/>
    <w:rsid w:val="009C21D5"/>
    <w:rsid w:val="009C2473"/>
    <w:rsid w:val="009C264F"/>
    <w:rsid w:val="009C2AE1"/>
    <w:rsid w:val="009C2D78"/>
    <w:rsid w:val="009C2E6B"/>
    <w:rsid w:val="009C2F8A"/>
    <w:rsid w:val="009C31CB"/>
    <w:rsid w:val="009C31FC"/>
    <w:rsid w:val="009C3475"/>
    <w:rsid w:val="009C3AE4"/>
    <w:rsid w:val="009C3B0C"/>
    <w:rsid w:val="009C413F"/>
    <w:rsid w:val="009C4807"/>
    <w:rsid w:val="009C4A6F"/>
    <w:rsid w:val="009C4C77"/>
    <w:rsid w:val="009C5DD9"/>
    <w:rsid w:val="009C60C7"/>
    <w:rsid w:val="009C6358"/>
    <w:rsid w:val="009C6AEE"/>
    <w:rsid w:val="009C771B"/>
    <w:rsid w:val="009C7758"/>
    <w:rsid w:val="009C7855"/>
    <w:rsid w:val="009C78AB"/>
    <w:rsid w:val="009C7F21"/>
    <w:rsid w:val="009C7F8A"/>
    <w:rsid w:val="009C7F9E"/>
    <w:rsid w:val="009D04E4"/>
    <w:rsid w:val="009D053E"/>
    <w:rsid w:val="009D0A3D"/>
    <w:rsid w:val="009D0AD1"/>
    <w:rsid w:val="009D0B04"/>
    <w:rsid w:val="009D0B18"/>
    <w:rsid w:val="009D0C46"/>
    <w:rsid w:val="009D0D79"/>
    <w:rsid w:val="009D0EF2"/>
    <w:rsid w:val="009D129D"/>
    <w:rsid w:val="009D1713"/>
    <w:rsid w:val="009D1A52"/>
    <w:rsid w:val="009D1B44"/>
    <w:rsid w:val="009D2148"/>
    <w:rsid w:val="009D2266"/>
    <w:rsid w:val="009D2547"/>
    <w:rsid w:val="009D3383"/>
    <w:rsid w:val="009D38F8"/>
    <w:rsid w:val="009D3A26"/>
    <w:rsid w:val="009D3BF2"/>
    <w:rsid w:val="009D3DAB"/>
    <w:rsid w:val="009D4694"/>
    <w:rsid w:val="009D492D"/>
    <w:rsid w:val="009D4997"/>
    <w:rsid w:val="009D6489"/>
    <w:rsid w:val="009D6AFE"/>
    <w:rsid w:val="009D6C94"/>
    <w:rsid w:val="009D6F09"/>
    <w:rsid w:val="009D6F35"/>
    <w:rsid w:val="009D766E"/>
    <w:rsid w:val="009D7B9D"/>
    <w:rsid w:val="009E0063"/>
    <w:rsid w:val="009E036E"/>
    <w:rsid w:val="009E06E9"/>
    <w:rsid w:val="009E076C"/>
    <w:rsid w:val="009E07DE"/>
    <w:rsid w:val="009E1258"/>
    <w:rsid w:val="009E1889"/>
    <w:rsid w:val="009E1B16"/>
    <w:rsid w:val="009E1FC1"/>
    <w:rsid w:val="009E2012"/>
    <w:rsid w:val="009E24C8"/>
    <w:rsid w:val="009E24E6"/>
    <w:rsid w:val="009E2618"/>
    <w:rsid w:val="009E2932"/>
    <w:rsid w:val="009E2997"/>
    <w:rsid w:val="009E3724"/>
    <w:rsid w:val="009E3737"/>
    <w:rsid w:val="009E3BA6"/>
    <w:rsid w:val="009E4917"/>
    <w:rsid w:val="009E5413"/>
    <w:rsid w:val="009E551F"/>
    <w:rsid w:val="009E570C"/>
    <w:rsid w:val="009E5993"/>
    <w:rsid w:val="009E59F4"/>
    <w:rsid w:val="009E5B5B"/>
    <w:rsid w:val="009E5CF6"/>
    <w:rsid w:val="009E5E08"/>
    <w:rsid w:val="009E6109"/>
    <w:rsid w:val="009E61FC"/>
    <w:rsid w:val="009E623A"/>
    <w:rsid w:val="009E6797"/>
    <w:rsid w:val="009E68A5"/>
    <w:rsid w:val="009E69A6"/>
    <w:rsid w:val="009E7679"/>
    <w:rsid w:val="009E7682"/>
    <w:rsid w:val="009E7711"/>
    <w:rsid w:val="009E7729"/>
    <w:rsid w:val="009E794B"/>
    <w:rsid w:val="009E7A3D"/>
    <w:rsid w:val="009E7B59"/>
    <w:rsid w:val="009F05E3"/>
    <w:rsid w:val="009F07DE"/>
    <w:rsid w:val="009F1387"/>
    <w:rsid w:val="009F1431"/>
    <w:rsid w:val="009F19F3"/>
    <w:rsid w:val="009F2009"/>
    <w:rsid w:val="009F2144"/>
    <w:rsid w:val="009F266F"/>
    <w:rsid w:val="009F2884"/>
    <w:rsid w:val="009F37B0"/>
    <w:rsid w:val="009F3BA9"/>
    <w:rsid w:val="009F3C5F"/>
    <w:rsid w:val="009F3D12"/>
    <w:rsid w:val="009F3EE3"/>
    <w:rsid w:val="009F44D3"/>
    <w:rsid w:val="009F4782"/>
    <w:rsid w:val="009F489F"/>
    <w:rsid w:val="009F4F60"/>
    <w:rsid w:val="009F5373"/>
    <w:rsid w:val="009F53AF"/>
    <w:rsid w:val="009F540D"/>
    <w:rsid w:val="009F6A37"/>
    <w:rsid w:val="009F6DE2"/>
    <w:rsid w:val="009F76E0"/>
    <w:rsid w:val="009F7FDB"/>
    <w:rsid w:val="00A001BB"/>
    <w:rsid w:val="00A0046B"/>
    <w:rsid w:val="00A0056A"/>
    <w:rsid w:val="00A00EA1"/>
    <w:rsid w:val="00A01017"/>
    <w:rsid w:val="00A01624"/>
    <w:rsid w:val="00A01D10"/>
    <w:rsid w:val="00A01D65"/>
    <w:rsid w:val="00A03091"/>
    <w:rsid w:val="00A03328"/>
    <w:rsid w:val="00A03775"/>
    <w:rsid w:val="00A03D56"/>
    <w:rsid w:val="00A03E3F"/>
    <w:rsid w:val="00A04316"/>
    <w:rsid w:val="00A046F4"/>
    <w:rsid w:val="00A04988"/>
    <w:rsid w:val="00A04AF3"/>
    <w:rsid w:val="00A04EC0"/>
    <w:rsid w:val="00A05094"/>
    <w:rsid w:val="00A051B3"/>
    <w:rsid w:val="00A05252"/>
    <w:rsid w:val="00A05A8B"/>
    <w:rsid w:val="00A05E05"/>
    <w:rsid w:val="00A05E64"/>
    <w:rsid w:val="00A06073"/>
    <w:rsid w:val="00A0651F"/>
    <w:rsid w:val="00A06692"/>
    <w:rsid w:val="00A067EB"/>
    <w:rsid w:val="00A06F91"/>
    <w:rsid w:val="00A07F16"/>
    <w:rsid w:val="00A10237"/>
    <w:rsid w:val="00A1040D"/>
    <w:rsid w:val="00A10AA9"/>
    <w:rsid w:val="00A10ECF"/>
    <w:rsid w:val="00A11699"/>
    <w:rsid w:val="00A11FAE"/>
    <w:rsid w:val="00A11FBB"/>
    <w:rsid w:val="00A12103"/>
    <w:rsid w:val="00A126EF"/>
    <w:rsid w:val="00A12AFC"/>
    <w:rsid w:val="00A12B8C"/>
    <w:rsid w:val="00A12E67"/>
    <w:rsid w:val="00A12F7E"/>
    <w:rsid w:val="00A13021"/>
    <w:rsid w:val="00A13144"/>
    <w:rsid w:val="00A13229"/>
    <w:rsid w:val="00A1328D"/>
    <w:rsid w:val="00A134B6"/>
    <w:rsid w:val="00A13750"/>
    <w:rsid w:val="00A13C3A"/>
    <w:rsid w:val="00A13CE5"/>
    <w:rsid w:val="00A13F5C"/>
    <w:rsid w:val="00A13F8A"/>
    <w:rsid w:val="00A1423F"/>
    <w:rsid w:val="00A145DD"/>
    <w:rsid w:val="00A14B50"/>
    <w:rsid w:val="00A14C19"/>
    <w:rsid w:val="00A14ED0"/>
    <w:rsid w:val="00A15851"/>
    <w:rsid w:val="00A1594F"/>
    <w:rsid w:val="00A15E3B"/>
    <w:rsid w:val="00A160BC"/>
    <w:rsid w:val="00A16E46"/>
    <w:rsid w:val="00A16FA5"/>
    <w:rsid w:val="00A170A6"/>
    <w:rsid w:val="00A17B57"/>
    <w:rsid w:val="00A2001B"/>
    <w:rsid w:val="00A20399"/>
    <w:rsid w:val="00A204E6"/>
    <w:rsid w:val="00A20A98"/>
    <w:rsid w:val="00A20BE8"/>
    <w:rsid w:val="00A21147"/>
    <w:rsid w:val="00A212A0"/>
    <w:rsid w:val="00A212B5"/>
    <w:rsid w:val="00A21C5E"/>
    <w:rsid w:val="00A21D4E"/>
    <w:rsid w:val="00A220C5"/>
    <w:rsid w:val="00A2231B"/>
    <w:rsid w:val="00A224A8"/>
    <w:rsid w:val="00A227F1"/>
    <w:rsid w:val="00A230AD"/>
    <w:rsid w:val="00A236A2"/>
    <w:rsid w:val="00A2377A"/>
    <w:rsid w:val="00A23D99"/>
    <w:rsid w:val="00A23E93"/>
    <w:rsid w:val="00A23F7C"/>
    <w:rsid w:val="00A23FAE"/>
    <w:rsid w:val="00A2411B"/>
    <w:rsid w:val="00A248B2"/>
    <w:rsid w:val="00A24B07"/>
    <w:rsid w:val="00A2513F"/>
    <w:rsid w:val="00A25AC3"/>
    <w:rsid w:val="00A268C7"/>
    <w:rsid w:val="00A270AD"/>
    <w:rsid w:val="00A2748B"/>
    <w:rsid w:val="00A27641"/>
    <w:rsid w:val="00A27696"/>
    <w:rsid w:val="00A27769"/>
    <w:rsid w:val="00A2790D"/>
    <w:rsid w:val="00A302DF"/>
    <w:rsid w:val="00A308EA"/>
    <w:rsid w:val="00A30F2F"/>
    <w:rsid w:val="00A31101"/>
    <w:rsid w:val="00A31221"/>
    <w:rsid w:val="00A3128D"/>
    <w:rsid w:val="00A31F92"/>
    <w:rsid w:val="00A322E5"/>
    <w:rsid w:val="00A32869"/>
    <w:rsid w:val="00A32C2A"/>
    <w:rsid w:val="00A3312B"/>
    <w:rsid w:val="00A33369"/>
    <w:rsid w:val="00A33885"/>
    <w:rsid w:val="00A339CC"/>
    <w:rsid w:val="00A33ADF"/>
    <w:rsid w:val="00A33FC2"/>
    <w:rsid w:val="00A340CE"/>
    <w:rsid w:val="00A34465"/>
    <w:rsid w:val="00A350BF"/>
    <w:rsid w:val="00A356C4"/>
    <w:rsid w:val="00A35B06"/>
    <w:rsid w:val="00A367E5"/>
    <w:rsid w:val="00A36865"/>
    <w:rsid w:val="00A36B37"/>
    <w:rsid w:val="00A36C5F"/>
    <w:rsid w:val="00A37343"/>
    <w:rsid w:val="00A37C64"/>
    <w:rsid w:val="00A37C67"/>
    <w:rsid w:val="00A40151"/>
    <w:rsid w:val="00A401B1"/>
    <w:rsid w:val="00A408B3"/>
    <w:rsid w:val="00A4145E"/>
    <w:rsid w:val="00A415E1"/>
    <w:rsid w:val="00A4163B"/>
    <w:rsid w:val="00A41ADE"/>
    <w:rsid w:val="00A41FE8"/>
    <w:rsid w:val="00A4294F"/>
    <w:rsid w:val="00A429A4"/>
    <w:rsid w:val="00A42AD3"/>
    <w:rsid w:val="00A42B27"/>
    <w:rsid w:val="00A42B43"/>
    <w:rsid w:val="00A430F0"/>
    <w:rsid w:val="00A4362B"/>
    <w:rsid w:val="00A43D83"/>
    <w:rsid w:val="00A43F80"/>
    <w:rsid w:val="00A4466A"/>
    <w:rsid w:val="00A44690"/>
    <w:rsid w:val="00A446C8"/>
    <w:rsid w:val="00A44905"/>
    <w:rsid w:val="00A44B07"/>
    <w:rsid w:val="00A44E6B"/>
    <w:rsid w:val="00A44E99"/>
    <w:rsid w:val="00A44EB8"/>
    <w:rsid w:val="00A45133"/>
    <w:rsid w:val="00A454CA"/>
    <w:rsid w:val="00A4588D"/>
    <w:rsid w:val="00A460F9"/>
    <w:rsid w:val="00A4753C"/>
    <w:rsid w:val="00A47642"/>
    <w:rsid w:val="00A4765F"/>
    <w:rsid w:val="00A47B50"/>
    <w:rsid w:val="00A47B7F"/>
    <w:rsid w:val="00A50D89"/>
    <w:rsid w:val="00A50FC6"/>
    <w:rsid w:val="00A511B2"/>
    <w:rsid w:val="00A51433"/>
    <w:rsid w:val="00A519A9"/>
    <w:rsid w:val="00A51C31"/>
    <w:rsid w:val="00A51EE4"/>
    <w:rsid w:val="00A52068"/>
    <w:rsid w:val="00A5219D"/>
    <w:rsid w:val="00A53227"/>
    <w:rsid w:val="00A5332F"/>
    <w:rsid w:val="00A53DC6"/>
    <w:rsid w:val="00A53F42"/>
    <w:rsid w:val="00A54169"/>
    <w:rsid w:val="00A54240"/>
    <w:rsid w:val="00A5452C"/>
    <w:rsid w:val="00A54858"/>
    <w:rsid w:val="00A54AFA"/>
    <w:rsid w:val="00A551BC"/>
    <w:rsid w:val="00A55E91"/>
    <w:rsid w:val="00A55EFA"/>
    <w:rsid w:val="00A55F71"/>
    <w:rsid w:val="00A560B4"/>
    <w:rsid w:val="00A564BB"/>
    <w:rsid w:val="00A56789"/>
    <w:rsid w:val="00A56C26"/>
    <w:rsid w:val="00A56CF3"/>
    <w:rsid w:val="00A57009"/>
    <w:rsid w:val="00A57020"/>
    <w:rsid w:val="00A570B9"/>
    <w:rsid w:val="00A571E7"/>
    <w:rsid w:val="00A57803"/>
    <w:rsid w:val="00A57847"/>
    <w:rsid w:val="00A57911"/>
    <w:rsid w:val="00A5793E"/>
    <w:rsid w:val="00A57A66"/>
    <w:rsid w:val="00A57EE1"/>
    <w:rsid w:val="00A601AE"/>
    <w:rsid w:val="00A602B0"/>
    <w:rsid w:val="00A604B4"/>
    <w:rsid w:val="00A60576"/>
    <w:rsid w:val="00A607FB"/>
    <w:rsid w:val="00A60F91"/>
    <w:rsid w:val="00A61109"/>
    <w:rsid w:val="00A612CC"/>
    <w:rsid w:val="00A6132B"/>
    <w:rsid w:val="00A613B5"/>
    <w:rsid w:val="00A6195C"/>
    <w:rsid w:val="00A6225D"/>
    <w:rsid w:val="00A62635"/>
    <w:rsid w:val="00A633EB"/>
    <w:rsid w:val="00A63725"/>
    <w:rsid w:val="00A640C2"/>
    <w:rsid w:val="00A641E6"/>
    <w:rsid w:val="00A642D5"/>
    <w:rsid w:val="00A64AAA"/>
    <w:rsid w:val="00A64D28"/>
    <w:rsid w:val="00A6522D"/>
    <w:rsid w:val="00A65428"/>
    <w:rsid w:val="00A6549B"/>
    <w:rsid w:val="00A65B75"/>
    <w:rsid w:val="00A65C09"/>
    <w:rsid w:val="00A65D77"/>
    <w:rsid w:val="00A65DDE"/>
    <w:rsid w:val="00A65F46"/>
    <w:rsid w:val="00A65F7A"/>
    <w:rsid w:val="00A662B5"/>
    <w:rsid w:val="00A66536"/>
    <w:rsid w:val="00A6674A"/>
    <w:rsid w:val="00A667F5"/>
    <w:rsid w:val="00A66979"/>
    <w:rsid w:val="00A66DCB"/>
    <w:rsid w:val="00A67505"/>
    <w:rsid w:val="00A675CC"/>
    <w:rsid w:val="00A6779F"/>
    <w:rsid w:val="00A67BE0"/>
    <w:rsid w:val="00A70241"/>
    <w:rsid w:val="00A70C0F"/>
    <w:rsid w:val="00A70F45"/>
    <w:rsid w:val="00A70FA1"/>
    <w:rsid w:val="00A711E0"/>
    <w:rsid w:val="00A7146A"/>
    <w:rsid w:val="00A71ADA"/>
    <w:rsid w:val="00A720BB"/>
    <w:rsid w:val="00A72269"/>
    <w:rsid w:val="00A729FB"/>
    <w:rsid w:val="00A72DC9"/>
    <w:rsid w:val="00A72FF9"/>
    <w:rsid w:val="00A730BF"/>
    <w:rsid w:val="00A7311C"/>
    <w:rsid w:val="00A73732"/>
    <w:rsid w:val="00A73803"/>
    <w:rsid w:val="00A73E03"/>
    <w:rsid w:val="00A73FB3"/>
    <w:rsid w:val="00A75333"/>
    <w:rsid w:val="00A75621"/>
    <w:rsid w:val="00A75C9D"/>
    <w:rsid w:val="00A75D24"/>
    <w:rsid w:val="00A7629B"/>
    <w:rsid w:val="00A76A12"/>
    <w:rsid w:val="00A76AB5"/>
    <w:rsid w:val="00A76EE2"/>
    <w:rsid w:val="00A77085"/>
    <w:rsid w:val="00A77447"/>
    <w:rsid w:val="00A77467"/>
    <w:rsid w:val="00A77C99"/>
    <w:rsid w:val="00A77CC9"/>
    <w:rsid w:val="00A77CD8"/>
    <w:rsid w:val="00A77CEE"/>
    <w:rsid w:val="00A77F5C"/>
    <w:rsid w:val="00A802F7"/>
    <w:rsid w:val="00A808B8"/>
    <w:rsid w:val="00A80939"/>
    <w:rsid w:val="00A81978"/>
    <w:rsid w:val="00A81CAF"/>
    <w:rsid w:val="00A81E01"/>
    <w:rsid w:val="00A823D2"/>
    <w:rsid w:val="00A82B7B"/>
    <w:rsid w:val="00A82B7C"/>
    <w:rsid w:val="00A82CCC"/>
    <w:rsid w:val="00A83025"/>
    <w:rsid w:val="00A83E18"/>
    <w:rsid w:val="00A83E5F"/>
    <w:rsid w:val="00A83FAB"/>
    <w:rsid w:val="00A842AA"/>
    <w:rsid w:val="00A843D8"/>
    <w:rsid w:val="00A8489A"/>
    <w:rsid w:val="00A84B99"/>
    <w:rsid w:val="00A84BC3"/>
    <w:rsid w:val="00A84FA1"/>
    <w:rsid w:val="00A852E6"/>
    <w:rsid w:val="00A85432"/>
    <w:rsid w:val="00A85BFF"/>
    <w:rsid w:val="00A85F30"/>
    <w:rsid w:val="00A861EF"/>
    <w:rsid w:val="00A86548"/>
    <w:rsid w:val="00A86616"/>
    <w:rsid w:val="00A868F7"/>
    <w:rsid w:val="00A86EFB"/>
    <w:rsid w:val="00A87402"/>
    <w:rsid w:val="00A8749E"/>
    <w:rsid w:val="00A875EB"/>
    <w:rsid w:val="00A87800"/>
    <w:rsid w:val="00A87A62"/>
    <w:rsid w:val="00A906A3"/>
    <w:rsid w:val="00A908AE"/>
    <w:rsid w:val="00A90FA5"/>
    <w:rsid w:val="00A9136E"/>
    <w:rsid w:val="00A9138B"/>
    <w:rsid w:val="00A91493"/>
    <w:rsid w:val="00A9229E"/>
    <w:rsid w:val="00A9258C"/>
    <w:rsid w:val="00A92D92"/>
    <w:rsid w:val="00A933AB"/>
    <w:rsid w:val="00A94007"/>
    <w:rsid w:val="00A941ED"/>
    <w:rsid w:val="00A9481B"/>
    <w:rsid w:val="00A94A84"/>
    <w:rsid w:val="00A94B0B"/>
    <w:rsid w:val="00A94DAD"/>
    <w:rsid w:val="00A95084"/>
    <w:rsid w:val="00A95D67"/>
    <w:rsid w:val="00A95EA7"/>
    <w:rsid w:val="00A9636B"/>
    <w:rsid w:val="00A9659E"/>
    <w:rsid w:val="00A967A4"/>
    <w:rsid w:val="00A967E8"/>
    <w:rsid w:val="00A968F6"/>
    <w:rsid w:val="00A96C0C"/>
    <w:rsid w:val="00A96D8C"/>
    <w:rsid w:val="00A9710E"/>
    <w:rsid w:val="00A9761F"/>
    <w:rsid w:val="00A978B2"/>
    <w:rsid w:val="00A978BE"/>
    <w:rsid w:val="00A97CBF"/>
    <w:rsid w:val="00A97D9B"/>
    <w:rsid w:val="00A97DAA"/>
    <w:rsid w:val="00A97ECC"/>
    <w:rsid w:val="00AA09CE"/>
    <w:rsid w:val="00AA0B37"/>
    <w:rsid w:val="00AA0F1A"/>
    <w:rsid w:val="00AA1267"/>
    <w:rsid w:val="00AA134F"/>
    <w:rsid w:val="00AA135B"/>
    <w:rsid w:val="00AA1A62"/>
    <w:rsid w:val="00AA1EEE"/>
    <w:rsid w:val="00AA1FC8"/>
    <w:rsid w:val="00AA20C8"/>
    <w:rsid w:val="00AA2508"/>
    <w:rsid w:val="00AA2513"/>
    <w:rsid w:val="00AA25F7"/>
    <w:rsid w:val="00AA26EA"/>
    <w:rsid w:val="00AA2E1D"/>
    <w:rsid w:val="00AA34D4"/>
    <w:rsid w:val="00AA3B38"/>
    <w:rsid w:val="00AA3DBB"/>
    <w:rsid w:val="00AA43B2"/>
    <w:rsid w:val="00AA43B7"/>
    <w:rsid w:val="00AA4922"/>
    <w:rsid w:val="00AA5097"/>
    <w:rsid w:val="00AA513C"/>
    <w:rsid w:val="00AA5304"/>
    <w:rsid w:val="00AA5635"/>
    <w:rsid w:val="00AA5893"/>
    <w:rsid w:val="00AA5AF2"/>
    <w:rsid w:val="00AA5B15"/>
    <w:rsid w:val="00AA6208"/>
    <w:rsid w:val="00AA6843"/>
    <w:rsid w:val="00AA6A32"/>
    <w:rsid w:val="00AA6B2A"/>
    <w:rsid w:val="00AA6CA7"/>
    <w:rsid w:val="00AA6CC2"/>
    <w:rsid w:val="00AA6DE4"/>
    <w:rsid w:val="00AA6F9D"/>
    <w:rsid w:val="00AA773D"/>
    <w:rsid w:val="00AB0227"/>
    <w:rsid w:val="00AB06BF"/>
    <w:rsid w:val="00AB0CC6"/>
    <w:rsid w:val="00AB1F44"/>
    <w:rsid w:val="00AB2051"/>
    <w:rsid w:val="00AB28C0"/>
    <w:rsid w:val="00AB2CF7"/>
    <w:rsid w:val="00AB31EE"/>
    <w:rsid w:val="00AB38A7"/>
    <w:rsid w:val="00AB3CAD"/>
    <w:rsid w:val="00AB3DD3"/>
    <w:rsid w:val="00AB40E7"/>
    <w:rsid w:val="00AB4E82"/>
    <w:rsid w:val="00AB5828"/>
    <w:rsid w:val="00AB58F0"/>
    <w:rsid w:val="00AB5D31"/>
    <w:rsid w:val="00AB689D"/>
    <w:rsid w:val="00AB6B35"/>
    <w:rsid w:val="00AB6C6C"/>
    <w:rsid w:val="00AB6D27"/>
    <w:rsid w:val="00AB760E"/>
    <w:rsid w:val="00AB7EE6"/>
    <w:rsid w:val="00AC0227"/>
    <w:rsid w:val="00AC101F"/>
    <w:rsid w:val="00AC11E1"/>
    <w:rsid w:val="00AC124C"/>
    <w:rsid w:val="00AC1271"/>
    <w:rsid w:val="00AC22FD"/>
    <w:rsid w:val="00AC2E37"/>
    <w:rsid w:val="00AC3092"/>
    <w:rsid w:val="00AC312B"/>
    <w:rsid w:val="00AC31DC"/>
    <w:rsid w:val="00AC338F"/>
    <w:rsid w:val="00AC359E"/>
    <w:rsid w:val="00AC36EC"/>
    <w:rsid w:val="00AC384A"/>
    <w:rsid w:val="00AC38D7"/>
    <w:rsid w:val="00AC3C28"/>
    <w:rsid w:val="00AC40AF"/>
    <w:rsid w:val="00AC40BE"/>
    <w:rsid w:val="00AC4453"/>
    <w:rsid w:val="00AC450E"/>
    <w:rsid w:val="00AC4691"/>
    <w:rsid w:val="00AC4765"/>
    <w:rsid w:val="00AC47C5"/>
    <w:rsid w:val="00AC4A33"/>
    <w:rsid w:val="00AC50FB"/>
    <w:rsid w:val="00AC515A"/>
    <w:rsid w:val="00AC5323"/>
    <w:rsid w:val="00AC569B"/>
    <w:rsid w:val="00AC5DDE"/>
    <w:rsid w:val="00AC5E96"/>
    <w:rsid w:val="00AC5EAE"/>
    <w:rsid w:val="00AC61E1"/>
    <w:rsid w:val="00AC639D"/>
    <w:rsid w:val="00AC6458"/>
    <w:rsid w:val="00AC6767"/>
    <w:rsid w:val="00AC6CCC"/>
    <w:rsid w:val="00AC6E55"/>
    <w:rsid w:val="00AC6FB5"/>
    <w:rsid w:val="00AC707B"/>
    <w:rsid w:val="00AC769E"/>
    <w:rsid w:val="00AC7781"/>
    <w:rsid w:val="00AC7BD4"/>
    <w:rsid w:val="00AC7E48"/>
    <w:rsid w:val="00AD00E1"/>
    <w:rsid w:val="00AD018B"/>
    <w:rsid w:val="00AD0251"/>
    <w:rsid w:val="00AD0CC0"/>
    <w:rsid w:val="00AD1242"/>
    <w:rsid w:val="00AD12F2"/>
    <w:rsid w:val="00AD13A9"/>
    <w:rsid w:val="00AD1805"/>
    <w:rsid w:val="00AD1DA1"/>
    <w:rsid w:val="00AD21CB"/>
    <w:rsid w:val="00AD27B5"/>
    <w:rsid w:val="00AD281F"/>
    <w:rsid w:val="00AD2E41"/>
    <w:rsid w:val="00AD36CA"/>
    <w:rsid w:val="00AD37F6"/>
    <w:rsid w:val="00AD3DCE"/>
    <w:rsid w:val="00AD40AD"/>
    <w:rsid w:val="00AD4A33"/>
    <w:rsid w:val="00AD4AEF"/>
    <w:rsid w:val="00AD4FC0"/>
    <w:rsid w:val="00AD5286"/>
    <w:rsid w:val="00AD5669"/>
    <w:rsid w:val="00AD5804"/>
    <w:rsid w:val="00AD66DE"/>
    <w:rsid w:val="00AD6972"/>
    <w:rsid w:val="00AD6A01"/>
    <w:rsid w:val="00AD6AFD"/>
    <w:rsid w:val="00AD750A"/>
    <w:rsid w:val="00AD7AD3"/>
    <w:rsid w:val="00AD7B41"/>
    <w:rsid w:val="00AE06D5"/>
    <w:rsid w:val="00AE0A8A"/>
    <w:rsid w:val="00AE0AA9"/>
    <w:rsid w:val="00AE0AB9"/>
    <w:rsid w:val="00AE0BCF"/>
    <w:rsid w:val="00AE0FBC"/>
    <w:rsid w:val="00AE1116"/>
    <w:rsid w:val="00AE133C"/>
    <w:rsid w:val="00AE1654"/>
    <w:rsid w:val="00AE1E20"/>
    <w:rsid w:val="00AE1FD8"/>
    <w:rsid w:val="00AE1FFD"/>
    <w:rsid w:val="00AE2024"/>
    <w:rsid w:val="00AE21CF"/>
    <w:rsid w:val="00AE2590"/>
    <w:rsid w:val="00AE2713"/>
    <w:rsid w:val="00AE2947"/>
    <w:rsid w:val="00AE3630"/>
    <w:rsid w:val="00AE3634"/>
    <w:rsid w:val="00AE3A3A"/>
    <w:rsid w:val="00AE4074"/>
    <w:rsid w:val="00AE4346"/>
    <w:rsid w:val="00AE4625"/>
    <w:rsid w:val="00AE47FB"/>
    <w:rsid w:val="00AE48AC"/>
    <w:rsid w:val="00AE54AD"/>
    <w:rsid w:val="00AE5758"/>
    <w:rsid w:val="00AE5C02"/>
    <w:rsid w:val="00AE67A7"/>
    <w:rsid w:val="00AE6D3F"/>
    <w:rsid w:val="00AE6F8A"/>
    <w:rsid w:val="00AE6FD5"/>
    <w:rsid w:val="00AE735B"/>
    <w:rsid w:val="00AE764B"/>
    <w:rsid w:val="00AE78B9"/>
    <w:rsid w:val="00AF0289"/>
    <w:rsid w:val="00AF0296"/>
    <w:rsid w:val="00AF054F"/>
    <w:rsid w:val="00AF05CD"/>
    <w:rsid w:val="00AF0910"/>
    <w:rsid w:val="00AF0C14"/>
    <w:rsid w:val="00AF0EFC"/>
    <w:rsid w:val="00AF12DE"/>
    <w:rsid w:val="00AF2280"/>
    <w:rsid w:val="00AF2A3B"/>
    <w:rsid w:val="00AF2C97"/>
    <w:rsid w:val="00AF2E82"/>
    <w:rsid w:val="00AF367A"/>
    <w:rsid w:val="00AF3AE1"/>
    <w:rsid w:val="00AF3C30"/>
    <w:rsid w:val="00AF3CF9"/>
    <w:rsid w:val="00AF4490"/>
    <w:rsid w:val="00AF4554"/>
    <w:rsid w:val="00AF4C19"/>
    <w:rsid w:val="00AF4E8B"/>
    <w:rsid w:val="00AF509B"/>
    <w:rsid w:val="00AF61C3"/>
    <w:rsid w:val="00AF628A"/>
    <w:rsid w:val="00AF6A34"/>
    <w:rsid w:val="00AF75A4"/>
    <w:rsid w:val="00AF7AD4"/>
    <w:rsid w:val="00AF7AF1"/>
    <w:rsid w:val="00AF7EC6"/>
    <w:rsid w:val="00AF7F75"/>
    <w:rsid w:val="00B00491"/>
    <w:rsid w:val="00B00A8A"/>
    <w:rsid w:val="00B01B3F"/>
    <w:rsid w:val="00B01EE2"/>
    <w:rsid w:val="00B01F20"/>
    <w:rsid w:val="00B0221F"/>
    <w:rsid w:val="00B02615"/>
    <w:rsid w:val="00B02859"/>
    <w:rsid w:val="00B028B5"/>
    <w:rsid w:val="00B02904"/>
    <w:rsid w:val="00B0291B"/>
    <w:rsid w:val="00B029DC"/>
    <w:rsid w:val="00B02B16"/>
    <w:rsid w:val="00B03791"/>
    <w:rsid w:val="00B03A87"/>
    <w:rsid w:val="00B03B9A"/>
    <w:rsid w:val="00B03C66"/>
    <w:rsid w:val="00B03F85"/>
    <w:rsid w:val="00B052EE"/>
    <w:rsid w:val="00B054C7"/>
    <w:rsid w:val="00B05601"/>
    <w:rsid w:val="00B05653"/>
    <w:rsid w:val="00B059FC"/>
    <w:rsid w:val="00B05B86"/>
    <w:rsid w:val="00B05BD2"/>
    <w:rsid w:val="00B06355"/>
    <w:rsid w:val="00B06420"/>
    <w:rsid w:val="00B065B8"/>
    <w:rsid w:val="00B06BA2"/>
    <w:rsid w:val="00B074F2"/>
    <w:rsid w:val="00B07688"/>
    <w:rsid w:val="00B07EF4"/>
    <w:rsid w:val="00B1096A"/>
    <w:rsid w:val="00B1108C"/>
    <w:rsid w:val="00B119F2"/>
    <w:rsid w:val="00B11ECE"/>
    <w:rsid w:val="00B1227A"/>
    <w:rsid w:val="00B12703"/>
    <w:rsid w:val="00B12BA2"/>
    <w:rsid w:val="00B142D8"/>
    <w:rsid w:val="00B146B1"/>
    <w:rsid w:val="00B1496A"/>
    <w:rsid w:val="00B14C65"/>
    <w:rsid w:val="00B151CA"/>
    <w:rsid w:val="00B1541C"/>
    <w:rsid w:val="00B15EE2"/>
    <w:rsid w:val="00B16190"/>
    <w:rsid w:val="00B16630"/>
    <w:rsid w:val="00B1698A"/>
    <w:rsid w:val="00B16B59"/>
    <w:rsid w:val="00B16CAA"/>
    <w:rsid w:val="00B178A0"/>
    <w:rsid w:val="00B17912"/>
    <w:rsid w:val="00B17915"/>
    <w:rsid w:val="00B17ECA"/>
    <w:rsid w:val="00B200FC"/>
    <w:rsid w:val="00B206FA"/>
    <w:rsid w:val="00B20AE4"/>
    <w:rsid w:val="00B21210"/>
    <w:rsid w:val="00B215CC"/>
    <w:rsid w:val="00B21936"/>
    <w:rsid w:val="00B21F96"/>
    <w:rsid w:val="00B22AE0"/>
    <w:rsid w:val="00B22DA0"/>
    <w:rsid w:val="00B22F20"/>
    <w:rsid w:val="00B23383"/>
    <w:rsid w:val="00B23685"/>
    <w:rsid w:val="00B23941"/>
    <w:rsid w:val="00B23996"/>
    <w:rsid w:val="00B242C5"/>
    <w:rsid w:val="00B242F1"/>
    <w:rsid w:val="00B243FA"/>
    <w:rsid w:val="00B245C1"/>
    <w:rsid w:val="00B246F8"/>
    <w:rsid w:val="00B24A36"/>
    <w:rsid w:val="00B25597"/>
    <w:rsid w:val="00B25D44"/>
    <w:rsid w:val="00B26769"/>
    <w:rsid w:val="00B267C3"/>
    <w:rsid w:val="00B26961"/>
    <w:rsid w:val="00B26C0A"/>
    <w:rsid w:val="00B26CF7"/>
    <w:rsid w:val="00B272F3"/>
    <w:rsid w:val="00B27BA5"/>
    <w:rsid w:val="00B27E65"/>
    <w:rsid w:val="00B30574"/>
    <w:rsid w:val="00B30796"/>
    <w:rsid w:val="00B31639"/>
    <w:rsid w:val="00B3179A"/>
    <w:rsid w:val="00B31948"/>
    <w:rsid w:val="00B31ED9"/>
    <w:rsid w:val="00B31FDD"/>
    <w:rsid w:val="00B325BD"/>
    <w:rsid w:val="00B327D3"/>
    <w:rsid w:val="00B32A34"/>
    <w:rsid w:val="00B32C13"/>
    <w:rsid w:val="00B32EB1"/>
    <w:rsid w:val="00B33502"/>
    <w:rsid w:val="00B33925"/>
    <w:rsid w:val="00B33BD2"/>
    <w:rsid w:val="00B33FDA"/>
    <w:rsid w:val="00B340BF"/>
    <w:rsid w:val="00B3449B"/>
    <w:rsid w:val="00B35010"/>
    <w:rsid w:val="00B3518B"/>
    <w:rsid w:val="00B3576D"/>
    <w:rsid w:val="00B359E3"/>
    <w:rsid w:val="00B36121"/>
    <w:rsid w:val="00B363FE"/>
    <w:rsid w:val="00B36535"/>
    <w:rsid w:val="00B36DD6"/>
    <w:rsid w:val="00B37173"/>
    <w:rsid w:val="00B372A6"/>
    <w:rsid w:val="00B372D9"/>
    <w:rsid w:val="00B3794F"/>
    <w:rsid w:val="00B37D62"/>
    <w:rsid w:val="00B37D69"/>
    <w:rsid w:val="00B40118"/>
    <w:rsid w:val="00B402D9"/>
    <w:rsid w:val="00B40419"/>
    <w:rsid w:val="00B408A3"/>
    <w:rsid w:val="00B40904"/>
    <w:rsid w:val="00B40A04"/>
    <w:rsid w:val="00B40A6C"/>
    <w:rsid w:val="00B40C5D"/>
    <w:rsid w:val="00B40E3C"/>
    <w:rsid w:val="00B40F11"/>
    <w:rsid w:val="00B40FF2"/>
    <w:rsid w:val="00B4103B"/>
    <w:rsid w:val="00B4119F"/>
    <w:rsid w:val="00B41534"/>
    <w:rsid w:val="00B4181B"/>
    <w:rsid w:val="00B41B52"/>
    <w:rsid w:val="00B41F25"/>
    <w:rsid w:val="00B42315"/>
    <w:rsid w:val="00B4255C"/>
    <w:rsid w:val="00B4290A"/>
    <w:rsid w:val="00B42E2A"/>
    <w:rsid w:val="00B4359C"/>
    <w:rsid w:val="00B4375E"/>
    <w:rsid w:val="00B43892"/>
    <w:rsid w:val="00B43AC5"/>
    <w:rsid w:val="00B44688"/>
    <w:rsid w:val="00B44700"/>
    <w:rsid w:val="00B449A7"/>
    <w:rsid w:val="00B44E8B"/>
    <w:rsid w:val="00B4506E"/>
    <w:rsid w:val="00B452CC"/>
    <w:rsid w:val="00B454C2"/>
    <w:rsid w:val="00B45742"/>
    <w:rsid w:val="00B4586A"/>
    <w:rsid w:val="00B46782"/>
    <w:rsid w:val="00B46946"/>
    <w:rsid w:val="00B46E6F"/>
    <w:rsid w:val="00B46F43"/>
    <w:rsid w:val="00B47803"/>
    <w:rsid w:val="00B4794A"/>
    <w:rsid w:val="00B47C39"/>
    <w:rsid w:val="00B47E8B"/>
    <w:rsid w:val="00B47FDA"/>
    <w:rsid w:val="00B50405"/>
    <w:rsid w:val="00B50458"/>
    <w:rsid w:val="00B508C7"/>
    <w:rsid w:val="00B511F4"/>
    <w:rsid w:val="00B51446"/>
    <w:rsid w:val="00B519D7"/>
    <w:rsid w:val="00B51A88"/>
    <w:rsid w:val="00B51BEE"/>
    <w:rsid w:val="00B525E3"/>
    <w:rsid w:val="00B52D62"/>
    <w:rsid w:val="00B533A3"/>
    <w:rsid w:val="00B53A05"/>
    <w:rsid w:val="00B53B92"/>
    <w:rsid w:val="00B54172"/>
    <w:rsid w:val="00B549A6"/>
    <w:rsid w:val="00B54A4B"/>
    <w:rsid w:val="00B54B90"/>
    <w:rsid w:val="00B54E5F"/>
    <w:rsid w:val="00B550D4"/>
    <w:rsid w:val="00B55503"/>
    <w:rsid w:val="00B5571E"/>
    <w:rsid w:val="00B56195"/>
    <w:rsid w:val="00B5631A"/>
    <w:rsid w:val="00B56503"/>
    <w:rsid w:val="00B566F4"/>
    <w:rsid w:val="00B56E1A"/>
    <w:rsid w:val="00B56E32"/>
    <w:rsid w:val="00B571BF"/>
    <w:rsid w:val="00B5779C"/>
    <w:rsid w:val="00B57BD2"/>
    <w:rsid w:val="00B6016A"/>
    <w:rsid w:val="00B6039F"/>
    <w:rsid w:val="00B6095B"/>
    <w:rsid w:val="00B61FFF"/>
    <w:rsid w:val="00B626C5"/>
    <w:rsid w:val="00B62C15"/>
    <w:rsid w:val="00B62DB0"/>
    <w:rsid w:val="00B634A2"/>
    <w:rsid w:val="00B63FFC"/>
    <w:rsid w:val="00B647ED"/>
    <w:rsid w:val="00B6486B"/>
    <w:rsid w:val="00B64E62"/>
    <w:rsid w:val="00B64F59"/>
    <w:rsid w:val="00B6564C"/>
    <w:rsid w:val="00B65FF4"/>
    <w:rsid w:val="00B66337"/>
    <w:rsid w:val="00B66391"/>
    <w:rsid w:val="00B66393"/>
    <w:rsid w:val="00B6670B"/>
    <w:rsid w:val="00B6694B"/>
    <w:rsid w:val="00B67052"/>
    <w:rsid w:val="00B67709"/>
    <w:rsid w:val="00B67725"/>
    <w:rsid w:val="00B6773F"/>
    <w:rsid w:val="00B7019D"/>
    <w:rsid w:val="00B705BE"/>
    <w:rsid w:val="00B707ED"/>
    <w:rsid w:val="00B70A18"/>
    <w:rsid w:val="00B70D3E"/>
    <w:rsid w:val="00B70E99"/>
    <w:rsid w:val="00B711C0"/>
    <w:rsid w:val="00B7173F"/>
    <w:rsid w:val="00B71759"/>
    <w:rsid w:val="00B71B54"/>
    <w:rsid w:val="00B7219D"/>
    <w:rsid w:val="00B7247D"/>
    <w:rsid w:val="00B72A02"/>
    <w:rsid w:val="00B72A35"/>
    <w:rsid w:val="00B73449"/>
    <w:rsid w:val="00B73C4A"/>
    <w:rsid w:val="00B73F82"/>
    <w:rsid w:val="00B7440C"/>
    <w:rsid w:val="00B7447C"/>
    <w:rsid w:val="00B74770"/>
    <w:rsid w:val="00B7478E"/>
    <w:rsid w:val="00B74958"/>
    <w:rsid w:val="00B759B2"/>
    <w:rsid w:val="00B75C56"/>
    <w:rsid w:val="00B76390"/>
    <w:rsid w:val="00B765C6"/>
    <w:rsid w:val="00B7684F"/>
    <w:rsid w:val="00B768B6"/>
    <w:rsid w:val="00B77B52"/>
    <w:rsid w:val="00B77CE9"/>
    <w:rsid w:val="00B8055F"/>
    <w:rsid w:val="00B80984"/>
    <w:rsid w:val="00B81425"/>
    <w:rsid w:val="00B817AE"/>
    <w:rsid w:val="00B81D2F"/>
    <w:rsid w:val="00B81EEE"/>
    <w:rsid w:val="00B82092"/>
    <w:rsid w:val="00B829BF"/>
    <w:rsid w:val="00B82E68"/>
    <w:rsid w:val="00B82F68"/>
    <w:rsid w:val="00B83AF3"/>
    <w:rsid w:val="00B83E48"/>
    <w:rsid w:val="00B83F72"/>
    <w:rsid w:val="00B8430D"/>
    <w:rsid w:val="00B84EF3"/>
    <w:rsid w:val="00B85223"/>
    <w:rsid w:val="00B8555F"/>
    <w:rsid w:val="00B85592"/>
    <w:rsid w:val="00B85CC8"/>
    <w:rsid w:val="00B85FA7"/>
    <w:rsid w:val="00B861B5"/>
    <w:rsid w:val="00B86411"/>
    <w:rsid w:val="00B866A3"/>
    <w:rsid w:val="00B86918"/>
    <w:rsid w:val="00B869A2"/>
    <w:rsid w:val="00B86C81"/>
    <w:rsid w:val="00B87786"/>
    <w:rsid w:val="00B87ECD"/>
    <w:rsid w:val="00B91444"/>
    <w:rsid w:val="00B9153D"/>
    <w:rsid w:val="00B91698"/>
    <w:rsid w:val="00B916D8"/>
    <w:rsid w:val="00B91B80"/>
    <w:rsid w:val="00B91E5E"/>
    <w:rsid w:val="00B92112"/>
    <w:rsid w:val="00B921E6"/>
    <w:rsid w:val="00B9255E"/>
    <w:rsid w:val="00B9376F"/>
    <w:rsid w:val="00B93F1F"/>
    <w:rsid w:val="00B941CB"/>
    <w:rsid w:val="00B94756"/>
    <w:rsid w:val="00B9477E"/>
    <w:rsid w:val="00B948A5"/>
    <w:rsid w:val="00B94C75"/>
    <w:rsid w:val="00B94CC9"/>
    <w:rsid w:val="00B94DCA"/>
    <w:rsid w:val="00B950C9"/>
    <w:rsid w:val="00B957C3"/>
    <w:rsid w:val="00B9605F"/>
    <w:rsid w:val="00B963F9"/>
    <w:rsid w:val="00B966D3"/>
    <w:rsid w:val="00B96A44"/>
    <w:rsid w:val="00B97B33"/>
    <w:rsid w:val="00B97B44"/>
    <w:rsid w:val="00B97FA5"/>
    <w:rsid w:val="00BA03BD"/>
    <w:rsid w:val="00BA055C"/>
    <w:rsid w:val="00BA0C3A"/>
    <w:rsid w:val="00BA10D5"/>
    <w:rsid w:val="00BA1624"/>
    <w:rsid w:val="00BA2388"/>
    <w:rsid w:val="00BA25D9"/>
    <w:rsid w:val="00BA2666"/>
    <w:rsid w:val="00BA296D"/>
    <w:rsid w:val="00BA3693"/>
    <w:rsid w:val="00BA46D5"/>
    <w:rsid w:val="00BA4A13"/>
    <w:rsid w:val="00BA4E3D"/>
    <w:rsid w:val="00BA4E5B"/>
    <w:rsid w:val="00BA4E69"/>
    <w:rsid w:val="00BA4E7C"/>
    <w:rsid w:val="00BA51B8"/>
    <w:rsid w:val="00BA548B"/>
    <w:rsid w:val="00BA5536"/>
    <w:rsid w:val="00BA5E11"/>
    <w:rsid w:val="00BA6041"/>
    <w:rsid w:val="00BA673D"/>
    <w:rsid w:val="00BA6744"/>
    <w:rsid w:val="00BA685A"/>
    <w:rsid w:val="00BA6A33"/>
    <w:rsid w:val="00BA6E13"/>
    <w:rsid w:val="00BA6EB8"/>
    <w:rsid w:val="00BA7ADB"/>
    <w:rsid w:val="00BB019E"/>
    <w:rsid w:val="00BB0658"/>
    <w:rsid w:val="00BB0858"/>
    <w:rsid w:val="00BB134A"/>
    <w:rsid w:val="00BB16F1"/>
    <w:rsid w:val="00BB17AA"/>
    <w:rsid w:val="00BB19CB"/>
    <w:rsid w:val="00BB29E5"/>
    <w:rsid w:val="00BB2A02"/>
    <w:rsid w:val="00BB30B1"/>
    <w:rsid w:val="00BB3273"/>
    <w:rsid w:val="00BB36E5"/>
    <w:rsid w:val="00BB3AB8"/>
    <w:rsid w:val="00BB3BA6"/>
    <w:rsid w:val="00BB3EC6"/>
    <w:rsid w:val="00BB3EE1"/>
    <w:rsid w:val="00BB4276"/>
    <w:rsid w:val="00BB50FA"/>
    <w:rsid w:val="00BB511A"/>
    <w:rsid w:val="00BB5222"/>
    <w:rsid w:val="00BB534E"/>
    <w:rsid w:val="00BB6142"/>
    <w:rsid w:val="00BB6283"/>
    <w:rsid w:val="00BB6337"/>
    <w:rsid w:val="00BB6A1F"/>
    <w:rsid w:val="00BB6A28"/>
    <w:rsid w:val="00BB6A9C"/>
    <w:rsid w:val="00BB6D64"/>
    <w:rsid w:val="00BB716E"/>
    <w:rsid w:val="00BB72B9"/>
    <w:rsid w:val="00BB7DFB"/>
    <w:rsid w:val="00BB7F5E"/>
    <w:rsid w:val="00BB7FB6"/>
    <w:rsid w:val="00BC06BB"/>
    <w:rsid w:val="00BC07B7"/>
    <w:rsid w:val="00BC0FEF"/>
    <w:rsid w:val="00BC1691"/>
    <w:rsid w:val="00BC17A1"/>
    <w:rsid w:val="00BC1A0F"/>
    <w:rsid w:val="00BC1DA3"/>
    <w:rsid w:val="00BC20C5"/>
    <w:rsid w:val="00BC22ED"/>
    <w:rsid w:val="00BC2D7C"/>
    <w:rsid w:val="00BC39F0"/>
    <w:rsid w:val="00BC3E15"/>
    <w:rsid w:val="00BC4725"/>
    <w:rsid w:val="00BC4A4C"/>
    <w:rsid w:val="00BC50A8"/>
    <w:rsid w:val="00BC53AC"/>
    <w:rsid w:val="00BC5B0A"/>
    <w:rsid w:val="00BC5F7A"/>
    <w:rsid w:val="00BC6523"/>
    <w:rsid w:val="00BC652C"/>
    <w:rsid w:val="00BC6C59"/>
    <w:rsid w:val="00BC6F32"/>
    <w:rsid w:val="00BC7700"/>
    <w:rsid w:val="00BC7D71"/>
    <w:rsid w:val="00BD059B"/>
    <w:rsid w:val="00BD0E2A"/>
    <w:rsid w:val="00BD0E6C"/>
    <w:rsid w:val="00BD0F4C"/>
    <w:rsid w:val="00BD2503"/>
    <w:rsid w:val="00BD2655"/>
    <w:rsid w:val="00BD275E"/>
    <w:rsid w:val="00BD27B3"/>
    <w:rsid w:val="00BD2B4A"/>
    <w:rsid w:val="00BD307F"/>
    <w:rsid w:val="00BD3454"/>
    <w:rsid w:val="00BD3524"/>
    <w:rsid w:val="00BD390F"/>
    <w:rsid w:val="00BD3CE9"/>
    <w:rsid w:val="00BD3D64"/>
    <w:rsid w:val="00BD3E16"/>
    <w:rsid w:val="00BD4259"/>
    <w:rsid w:val="00BD4520"/>
    <w:rsid w:val="00BD456C"/>
    <w:rsid w:val="00BD4D35"/>
    <w:rsid w:val="00BD4DBF"/>
    <w:rsid w:val="00BD4E29"/>
    <w:rsid w:val="00BD4F45"/>
    <w:rsid w:val="00BD53FC"/>
    <w:rsid w:val="00BD545E"/>
    <w:rsid w:val="00BD5664"/>
    <w:rsid w:val="00BD58AD"/>
    <w:rsid w:val="00BD5952"/>
    <w:rsid w:val="00BD5D6B"/>
    <w:rsid w:val="00BD6404"/>
    <w:rsid w:val="00BD67DE"/>
    <w:rsid w:val="00BD694F"/>
    <w:rsid w:val="00BD6BEA"/>
    <w:rsid w:val="00BD6E96"/>
    <w:rsid w:val="00BD7184"/>
    <w:rsid w:val="00BD7268"/>
    <w:rsid w:val="00BD73D1"/>
    <w:rsid w:val="00BD78DB"/>
    <w:rsid w:val="00BD7D37"/>
    <w:rsid w:val="00BD7DC2"/>
    <w:rsid w:val="00BD7EBA"/>
    <w:rsid w:val="00BD7FDB"/>
    <w:rsid w:val="00BE0CA7"/>
    <w:rsid w:val="00BE13F1"/>
    <w:rsid w:val="00BE1EA6"/>
    <w:rsid w:val="00BE2620"/>
    <w:rsid w:val="00BE2801"/>
    <w:rsid w:val="00BE28FA"/>
    <w:rsid w:val="00BE2C98"/>
    <w:rsid w:val="00BE3121"/>
    <w:rsid w:val="00BE3193"/>
    <w:rsid w:val="00BE33BA"/>
    <w:rsid w:val="00BE3658"/>
    <w:rsid w:val="00BE38EA"/>
    <w:rsid w:val="00BE44E5"/>
    <w:rsid w:val="00BE454A"/>
    <w:rsid w:val="00BE45FA"/>
    <w:rsid w:val="00BE48A5"/>
    <w:rsid w:val="00BE497B"/>
    <w:rsid w:val="00BE5425"/>
    <w:rsid w:val="00BE5804"/>
    <w:rsid w:val="00BE5808"/>
    <w:rsid w:val="00BE5EE3"/>
    <w:rsid w:val="00BE6031"/>
    <w:rsid w:val="00BE6295"/>
    <w:rsid w:val="00BE65D3"/>
    <w:rsid w:val="00BE6920"/>
    <w:rsid w:val="00BE69F6"/>
    <w:rsid w:val="00BE6A99"/>
    <w:rsid w:val="00BE6C59"/>
    <w:rsid w:val="00BE7271"/>
    <w:rsid w:val="00BE73BF"/>
    <w:rsid w:val="00BE7C79"/>
    <w:rsid w:val="00BE7E7E"/>
    <w:rsid w:val="00BF04C2"/>
    <w:rsid w:val="00BF0C44"/>
    <w:rsid w:val="00BF0FD1"/>
    <w:rsid w:val="00BF1008"/>
    <w:rsid w:val="00BF106C"/>
    <w:rsid w:val="00BF14DF"/>
    <w:rsid w:val="00BF14FF"/>
    <w:rsid w:val="00BF1D88"/>
    <w:rsid w:val="00BF1DBC"/>
    <w:rsid w:val="00BF1DF0"/>
    <w:rsid w:val="00BF2011"/>
    <w:rsid w:val="00BF2869"/>
    <w:rsid w:val="00BF32A3"/>
    <w:rsid w:val="00BF37B3"/>
    <w:rsid w:val="00BF3B9D"/>
    <w:rsid w:val="00BF4C18"/>
    <w:rsid w:val="00BF4CA7"/>
    <w:rsid w:val="00BF59CC"/>
    <w:rsid w:val="00BF5AFE"/>
    <w:rsid w:val="00BF6155"/>
    <w:rsid w:val="00BF64E3"/>
    <w:rsid w:val="00BF6DB1"/>
    <w:rsid w:val="00BF77AF"/>
    <w:rsid w:val="00BF7885"/>
    <w:rsid w:val="00BF7954"/>
    <w:rsid w:val="00BF7967"/>
    <w:rsid w:val="00BF79CD"/>
    <w:rsid w:val="00BF7BDC"/>
    <w:rsid w:val="00BF7FAD"/>
    <w:rsid w:val="00C00219"/>
    <w:rsid w:val="00C0138D"/>
    <w:rsid w:val="00C01687"/>
    <w:rsid w:val="00C01F85"/>
    <w:rsid w:val="00C021FF"/>
    <w:rsid w:val="00C027F3"/>
    <w:rsid w:val="00C03198"/>
    <w:rsid w:val="00C031E6"/>
    <w:rsid w:val="00C03868"/>
    <w:rsid w:val="00C04037"/>
    <w:rsid w:val="00C044BD"/>
    <w:rsid w:val="00C045BC"/>
    <w:rsid w:val="00C0461C"/>
    <w:rsid w:val="00C0499E"/>
    <w:rsid w:val="00C04CA4"/>
    <w:rsid w:val="00C04E0B"/>
    <w:rsid w:val="00C04E86"/>
    <w:rsid w:val="00C04E91"/>
    <w:rsid w:val="00C04F5F"/>
    <w:rsid w:val="00C05657"/>
    <w:rsid w:val="00C06A6C"/>
    <w:rsid w:val="00C0718E"/>
    <w:rsid w:val="00C07AB1"/>
    <w:rsid w:val="00C07CED"/>
    <w:rsid w:val="00C07FE3"/>
    <w:rsid w:val="00C100F7"/>
    <w:rsid w:val="00C10471"/>
    <w:rsid w:val="00C10980"/>
    <w:rsid w:val="00C10A20"/>
    <w:rsid w:val="00C11203"/>
    <w:rsid w:val="00C11B6A"/>
    <w:rsid w:val="00C12498"/>
    <w:rsid w:val="00C130E1"/>
    <w:rsid w:val="00C1330D"/>
    <w:rsid w:val="00C1331E"/>
    <w:rsid w:val="00C13B6A"/>
    <w:rsid w:val="00C13B81"/>
    <w:rsid w:val="00C141F1"/>
    <w:rsid w:val="00C14523"/>
    <w:rsid w:val="00C14688"/>
    <w:rsid w:val="00C15B66"/>
    <w:rsid w:val="00C15CD1"/>
    <w:rsid w:val="00C15D84"/>
    <w:rsid w:val="00C1609B"/>
    <w:rsid w:val="00C161CD"/>
    <w:rsid w:val="00C16323"/>
    <w:rsid w:val="00C1657E"/>
    <w:rsid w:val="00C166A6"/>
    <w:rsid w:val="00C166E0"/>
    <w:rsid w:val="00C174EC"/>
    <w:rsid w:val="00C17B01"/>
    <w:rsid w:val="00C20305"/>
    <w:rsid w:val="00C20570"/>
    <w:rsid w:val="00C20E8C"/>
    <w:rsid w:val="00C21181"/>
    <w:rsid w:val="00C2119B"/>
    <w:rsid w:val="00C211D1"/>
    <w:rsid w:val="00C213DE"/>
    <w:rsid w:val="00C214F0"/>
    <w:rsid w:val="00C21609"/>
    <w:rsid w:val="00C220C3"/>
    <w:rsid w:val="00C220DA"/>
    <w:rsid w:val="00C226F6"/>
    <w:rsid w:val="00C22753"/>
    <w:rsid w:val="00C22B04"/>
    <w:rsid w:val="00C22F25"/>
    <w:rsid w:val="00C2312D"/>
    <w:rsid w:val="00C2314E"/>
    <w:rsid w:val="00C23890"/>
    <w:rsid w:val="00C23A63"/>
    <w:rsid w:val="00C24145"/>
    <w:rsid w:val="00C243C7"/>
    <w:rsid w:val="00C24434"/>
    <w:rsid w:val="00C24E58"/>
    <w:rsid w:val="00C24EC3"/>
    <w:rsid w:val="00C25273"/>
    <w:rsid w:val="00C25B01"/>
    <w:rsid w:val="00C25D5E"/>
    <w:rsid w:val="00C260ED"/>
    <w:rsid w:val="00C26258"/>
    <w:rsid w:val="00C2670E"/>
    <w:rsid w:val="00C27C65"/>
    <w:rsid w:val="00C30010"/>
    <w:rsid w:val="00C303EE"/>
    <w:rsid w:val="00C304F3"/>
    <w:rsid w:val="00C3089B"/>
    <w:rsid w:val="00C309E9"/>
    <w:rsid w:val="00C30DA3"/>
    <w:rsid w:val="00C31980"/>
    <w:rsid w:val="00C31C0F"/>
    <w:rsid w:val="00C31ECC"/>
    <w:rsid w:val="00C3202E"/>
    <w:rsid w:val="00C3211A"/>
    <w:rsid w:val="00C321C9"/>
    <w:rsid w:val="00C3235E"/>
    <w:rsid w:val="00C324EF"/>
    <w:rsid w:val="00C34129"/>
    <w:rsid w:val="00C34447"/>
    <w:rsid w:val="00C34697"/>
    <w:rsid w:val="00C34A8C"/>
    <w:rsid w:val="00C34E00"/>
    <w:rsid w:val="00C351A7"/>
    <w:rsid w:val="00C352F9"/>
    <w:rsid w:val="00C35710"/>
    <w:rsid w:val="00C358F2"/>
    <w:rsid w:val="00C35CE0"/>
    <w:rsid w:val="00C35EC2"/>
    <w:rsid w:val="00C360CE"/>
    <w:rsid w:val="00C361FE"/>
    <w:rsid w:val="00C36277"/>
    <w:rsid w:val="00C36E43"/>
    <w:rsid w:val="00C36F3B"/>
    <w:rsid w:val="00C373D6"/>
    <w:rsid w:val="00C37508"/>
    <w:rsid w:val="00C375FC"/>
    <w:rsid w:val="00C379B8"/>
    <w:rsid w:val="00C37AE4"/>
    <w:rsid w:val="00C37E3F"/>
    <w:rsid w:val="00C40175"/>
    <w:rsid w:val="00C40F69"/>
    <w:rsid w:val="00C4103F"/>
    <w:rsid w:val="00C415DE"/>
    <w:rsid w:val="00C41985"/>
    <w:rsid w:val="00C419A3"/>
    <w:rsid w:val="00C41D89"/>
    <w:rsid w:val="00C4262F"/>
    <w:rsid w:val="00C42B80"/>
    <w:rsid w:val="00C42B8C"/>
    <w:rsid w:val="00C42BCA"/>
    <w:rsid w:val="00C43014"/>
    <w:rsid w:val="00C43177"/>
    <w:rsid w:val="00C4322C"/>
    <w:rsid w:val="00C4379F"/>
    <w:rsid w:val="00C444D0"/>
    <w:rsid w:val="00C447DD"/>
    <w:rsid w:val="00C449EE"/>
    <w:rsid w:val="00C44AE7"/>
    <w:rsid w:val="00C44E50"/>
    <w:rsid w:val="00C450BC"/>
    <w:rsid w:val="00C4532E"/>
    <w:rsid w:val="00C458D7"/>
    <w:rsid w:val="00C4601C"/>
    <w:rsid w:val="00C46D2F"/>
    <w:rsid w:val="00C46E51"/>
    <w:rsid w:val="00C46F4D"/>
    <w:rsid w:val="00C47033"/>
    <w:rsid w:val="00C47128"/>
    <w:rsid w:val="00C4729B"/>
    <w:rsid w:val="00C47333"/>
    <w:rsid w:val="00C4781E"/>
    <w:rsid w:val="00C47DC0"/>
    <w:rsid w:val="00C508B4"/>
    <w:rsid w:val="00C50C05"/>
    <w:rsid w:val="00C51629"/>
    <w:rsid w:val="00C51E75"/>
    <w:rsid w:val="00C51F06"/>
    <w:rsid w:val="00C525F6"/>
    <w:rsid w:val="00C5297E"/>
    <w:rsid w:val="00C531DD"/>
    <w:rsid w:val="00C53222"/>
    <w:rsid w:val="00C5375D"/>
    <w:rsid w:val="00C53CB8"/>
    <w:rsid w:val="00C53D65"/>
    <w:rsid w:val="00C53E14"/>
    <w:rsid w:val="00C5414E"/>
    <w:rsid w:val="00C54279"/>
    <w:rsid w:val="00C54299"/>
    <w:rsid w:val="00C54348"/>
    <w:rsid w:val="00C55054"/>
    <w:rsid w:val="00C55191"/>
    <w:rsid w:val="00C55196"/>
    <w:rsid w:val="00C555E2"/>
    <w:rsid w:val="00C55912"/>
    <w:rsid w:val="00C55AE3"/>
    <w:rsid w:val="00C55CCA"/>
    <w:rsid w:val="00C55F85"/>
    <w:rsid w:val="00C56088"/>
    <w:rsid w:val="00C560DB"/>
    <w:rsid w:val="00C562A5"/>
    <w:rsid w:val="00C56436"/>
    <w:rsid w:val="00C56978"/>
    <w:rsid w:val="00C57E0D"/>
    <w:rsid w:val="00C60689"/>
    <w:rsid w:val="00C60735"/>
    <w:rsid w:val="00C610B4"/>
    <w:rsid w:val="00C612C1"/>
    <w:rsid w:val="00C6267F"/>
    <w:rsid w:val="00C62A86"/>
    <w:rsid w:val="00C6300E"/>
    <w:rsid w:val="00C637EB"/>
    <w:rsid w:val="00C6380C"/>
    <w:rsid w:val="00C639F3"/>
    <w:rsid w:val="00C63B1D"/>
    <w:rsid w:val="00C63F9D"/>
    <w:rsid w:val="00C63FF5"/>
    <w:rsid w:val="00C643EC"/>
    <w:rsid w:val="00C64439"/>
    <w:rsid w:val="00C64CBC"/>
    <w:rsid w:val="00C650C3"/>
    <w:rsid w:val="00C650EA"/>
    <w:rsid w:val="00C65825"/>
    <w:rsid w:val="00C65A8A"/>
    <w:rsid w:val="00C65DD0"/>
    <w:rsid w:val="00C65F9F"/>
    <w:rsid w:val="00C65FE2"/>
    <w:rsid w:val="00C662D9"/>
    <w:rsid w:val="00C66504"/>
    <w:rsid w:val="00C667C8"/>
    <w:rsid w:val="00C6694E"/>
    <w:rsid w:val="00C66E99"/>
    <w:rsid w:val="00C66F60"/>
    <w:rsid w:val="00C67044"/>
    <w:rsid w:val="00C671EB"/>
    <w:rsid w:val="00C672A2"/>
    <w:rsid w:val="00C6747E"/>
    <w:rsid w:val="00C67632"/>
    <w:rsid w:val="00C67B4F"/>
    <w:rsid w:val="00C67DC9"/>
    <w:rsid w:val="00C67DFB"/>
    <w:rsid w:val="00C7097F"/>
    <w:rsid w:val="00C7098B"/>
    <w:rsid w:val="00C710E1"/>
    <w:rsid w:val="00C71128"/>
    <w:rsid w:val="00C712E2"/>
    <w:rsid w:val="00C71A2E"/>
    <w:rsid w:val="00C71AC1"/>
    <w:rsid w:val="00C71D82"/>
    <w:rsid w:val="00C71E34"/>
    <w:rsid w:val="00C71EB9"/>
    <w:rsid w:val="00C721B6"/>
    <w:rsid w:val="00C72C2A"/>
    <w:rsid w:val="00C72D54"/>
    <w:rsid w:val="00C730ED"/>
    <w:rsid w:val="00C731E2"/>
    <w:rsid w:val="00C738BB"/>
    <w:rsid w:val="00C74503"/>
    <w:rsid w:val="00C746F6"/>
    <w:rsid w:val="00C74AF7"/>
    <w:rsid w:val="00C74DA4"/>
    <w:rsid w:val="00C74E92"/>
    <w:rsid w:val="00C757A1"/>
    <w:rsid w:val="00C75CE6"/>
    <w:rsid w:val="00C7663C"/>
    <w:rsid w:val="00C7691A"/>
    <w:rsid w:val="00C76F7D"/>
    <w:rsid w:val="00C775A9"/>
    <w:rsid w:val="00C77C70"/>
    <w:rsid w:val="00C77D66"/>
    <w:rsid w:val="00C8030C"/>
    <w:rsid w:val="00C8037A"/>
    <w:rsid w:val="00C803F3"/>
    <w:rsid w:val="00C8042B"/>
    <w:rsid w:val="00C80630"/>
    <w:rsid w:val="00C807B7"/>
    <w:rsid w:val="00C811B9"/>
    <w:rsid w:val="00C8125E"/>
    <w:rsid w:val="00C816C9"/>
    <w:rsid w:val="00C81DC0"/>
    <w:rsid w:val="00C81EF5"/>
    <w:rsid w:val="00C82570"/>
    <w:rsid w:val="00C827CC"/>
    <w:rsid w:val="00C828F6"/>
    <w:rsid w:val="00C82D67"/>
    <w:rsid w:val="00C82F7D"/>
    <w:rsid w:val="00C83043"/>
    <w:rsid w:val="00C83398"/>
    <w:rsid w:val="00C83431"/>
    <w:rsid w:val="00C83BD3"/>
    <w:rsid w:val="00C83C9C"/>
    <w:rsid w:val="00C840E4"/>
    <w:rsid w:val="00C8429E"/>
    <w:rsid w:val="00C8455C"/>
    <w:rsid w:val="00C84AEA"/>
    <w:rsid w:val="00C8500B"/>
    <w:rsid w:val="00C85109"/>
    <w:rsid w:val="00C85268"/>
    <w:rsid w:val="00C855C0"/>
    <w:rsid w:val="00C85CF4"/>
    <w:rsid w:val="00C85D86"/>
    <w:rsid w:val="00C85F17"/>
    <w:rsid w:val="00C863D3"/>
    <w:rsid w:val="00C86B2F"/>
    <w:rsid w:val="00C86E37"/>
    <w:rsid w:val="00C86E90"/>
    <w:rsid w:val="00C87015"/>
    <w:rsid w:val="00C8703E"/>
    <w:rsid w:val="00C87158"/>
    <w:rsid w:val="00C873C9"/>
    <w:rsid w:val="00C8743B"/>
    <w:rsid w:val="00C87AA0"/>
    <w:rsid w:val="00C87C0C"/>
    <w:rsid w:val="00C9007E"/>
    <w:rsid w:val="00C900B2"/>
    <w:rsid w:val="00C9015F"/>
    <w:rsid w:val="00C9086E"/>
    <w:rsid w:val="00C90BFE"/>
    <w:rsid w:val="00C90FC9"/>
    <w:rsid w:val="00C91AF5"/>
    <w:rsid w:val="00C91AF7"/>
    <w:rsid w:val="00C9216D"/>
    <w:rsid w:val="00C92513"/>
    <w:rsid w:val="00C92702"/>
    <w:rsid w:val="00C9287A"/>
    <w:rsid w:val="00C93588"/>
    <w:rsid w:val="00C93928"/>
    <w:rsid w:val="00C93E98"/>
    <w:rsid w:val="00C94386"/>
    <w:rsid w:val="00C948F7"/>
    <w:rsid w:val="00C94A79"/>
    <w:rsid w:val="00C94BD6"/>
    <w:rsid w:val="00C94BFA"/>
    <w:rsid w:val="00C94D31"/>
    <w:rsid w:val="00C95006"/>
    <w:rsid w:val="00C95259"/>
    <w:rsid w:val="00C9577E"/>
    <w:rsid w:val="00C95A07"/>
    <w:rsid w:val="00C95C0F"/>
    <w:rsid w:val="00C961E7"/>
    <w:rsid w:val="00C96219"/>
    <w:rsid w:val="00C966AA"/>
    <w:rsid w:val="00C968DB"/>
    <w:rsid w:val="00C96E43"/>
    <w:rsid w:val="00C97130"/>
    <w:rsid w:val="00C9720B"/>
    <w:rsid w:val="00C97322"/>
    <w:rsid w:val="00CA001D"/>
    <w:rsid w:val="00CA0364"/>
    <w:rsid w:val="00CA0887"/>
    <w:rsid w:val="00CA1331"/>
    <w:rsid w:val="00CA13C2"/>
    <w:rsid w:val="00CA155C"/>
    <w:rsid w:val="00CA1698"/>
    <w:rsid w:val="00CA1C30"/>
    <w:rsid w:val="00CA22FB"/>
    <w:rsid w:val="00CA2931"/>
    <w:rsid w:val="00CA2C22"/>
    <w:rsid w:val="00CA34BD"/>
    <w:rsid w:val="00CA396C"/>
    <w:rsid w:val="00CA3AF7"/>
    <w:rsid w:val="00CA3B96"/>
    <w:rsid w:val="00CA3F2A"/>
    <w:rsid w:val="00CA3FAD"/>
    <w:rsid w:val="00CA3FB5"/>
    <w:rsid w:val="00CA4416"/>
    <w:rsid w:val="00CA4605"/>
    <w:rsid w:val="00CA4C34"/>
    <w:rsid w:val="00CA4C7F"/>
    <w:rsid w:val="00CA4DC2"/>
    <w:rsid w:val="00CA5498"/>
    <w:rsid w:val="00CA5AF5"/>
    <w:rsid w:val="00CA6338"/>
    <w:rsid w:val="00CA6669"/>
    <w:rsid w:val="00CA68B8"/>
    <w:rsid w:val="00CA73BB"/>
    <w:rsid w:val="00CA744A"/>
    <w:rsid w:val="00CA765F"/>
    <w:rsid w:val="00CA76D4"/>
    <w:rsid w:val="00CA7899"/>
    <w:rsid w:val="00CA78E3"/>
    <w:rsid w:val="00CA79A4"/>
    <w:rsid w:val="00CA7E10"/>
    <w:rsid w:val="00CB0234"/>
    <w:rsid w:val="00CB02C9"/>
    <w:rsid w:val="00CB03CD"/>
    <w:rsid w:val="00CB082D"/>
    <w:rsid w:val="00CB08E2"/>
    <w:rsid w:val="00CB0F3F"/>
    <w:rsid w:val="00CB11E8"/>
    <w:rsid w:val="00CB1D86"/>
    <w:rsid w:val="00CB2729"/>
    <w:rsid w:val="00CB28C5"/>
    <w:rsid w:val="00CB2AE6"/>
    <w:rsid w:val="00CB2B0E"/>
    <w:rsid w:val="00CB2F18"/>
    <w:rsid w:val="00CB32A0"/>
    <w:rsid w:val="00CB33CF"/>
    <w:rsid w:val="00CB34FC"/>
    <w:rsid w:val="00CB37CC"/>
    <w:rsid w:val="00CB3901"/>
    <w:rsid w:val="00CB3915"/>
    <w:rsid w:val="00CB3D68"/>
    <w:rsid w:val="00CB3E40"/>
    <w:rsid w:val="00CB3FC3"/>
    <w:rsid w:val="00CB46F1"/>
    <w:rsid w:val="00CB4A23"/>
    <w:rsid w:val="00CB4DB8"/>
    <w:rsid w:val="00CB55C1"/>
    <w:rsid w:val="00CB571C"/>
    <w:rsid w:val="00CB59A0"/>
    <w:rsid w:val="00CB59B1"/>
    <w:rsid w:val="00CB5A30"/>
    <w:rsid w:val="00CB5B53"/>
    <w:rsid w:val="00CB64D5"/>
    <w:rsid w:val="00CB679F"/>
    <w:rsid w:val="00CB6B5C"/>
    <w:rsid w:val="00CB6D51"/>
    <w:rsid w:val="00CB715F"/>
    <w:rsid w:val="00CB726F"/>
    <w:rsid w:val="00CB72DF"/>
    <w:rsid w:val="00CB75A1"/>
    <w:rsid w:val="00CC0A0D"/>
    <w:rsid w:val="00CC0FCB"/>
    <w:rsid w:val="00CC1326"/>
    <w:rsid w:val="00CC13AA"/>
    <w:rsid w:val="00CC1FD9"/>
    <w:rsid w:val="00CC209A"/>
    <w:rsid w:val="00CC23A4"/>
    <w:rsid w:val="00CC2789"/>
    <w:rsid w:val="00CC2BF6"/>
    <w:rsid w:val="00CC2D36"/>
    <w:rsid w:val="00CC2DBF"/>
    <w:rsid w:val="00CC2E2A"/>
    <w:rsid w:val="00CC3092"/>
    <w:rsid w:val="00CC36B8"/>
    <w:rsid w:val="00CC3763"/>
    <w:rsid w:val="00CC37F4"/>
    <w:rsid w:val="00CC3BAB"/>
    <w:rsid w:val="00CC3C2C"/>
    <w:rsid w:val="00CC3C63"/>
    <w:rsid w:val="00CC3FF5"/>
    <w:rsid w:val="00CC43A3"/>
    <w:rsid w:val="00CC441C"/>
    <w:rsid w:val="00CC4659"/>
    <w:rsid w:val="00CC4CAD"/>
    <w:rsid w:val="00CC4FA8"/>
    <w:rsid w:val="00CC5283"/>
    <w:rsid w:val="00CC5D5D"/>
    <w:rsid w:val="00CC5D7E"/>
    <w:rsid w:val="00CC60EB"/>
    <w:rsid w:val="00CC62EF"/>
    <w:rsid w:val="00CC6A5F"/>
    <w:rsid w:val="00CC6B24"/>
    <w:rsid w:val="00CC74E6"/>
    <w:rsid w:val="00CC7E6C"/>
    <w:rsid w:val="00CD0117"/>
    <w:rsid w:val="00CD046F"/>
    <w:rsid w:val="00CD04C6"/>
    <w:rsid w:val="00CD04F7"/>
    <w:rsid w:val="00CD0ABC"/>
    <w:rsid w:val="00CD0B31"/>
    <w:rsid w:val="00CD0F04"/>
    <w:rsid w:val="00CD11B4"/>
    <w:rsid w:val="00CD1543"/>
    <w:rsid w:val="00CD1AF5"/>
    <w:rsid w:val="00CD1D04"/>
    <w:rsid w:val="00CD252D"/>
    <w:rsid w:val="00CD2694"/>
    <w:rsid w:val="00CD277E"/>
    <w:rsid w:val="00CD2E5B"/>
    <w:rsid w:val="00CD350B"/>
    <w:rsid w:val="00CD35AA"/>
    <w:rsid w:val="00CD3C40"/>
    <w:rsid w:val="00CD4929"/>
    <w:rsid w:val="00CD4988"/>
    <w:rsid w:val="00CD49F9"/>
    <w:rsid w:val="00CD4F8B"/>
    <w:rsid w:val="00CD4FB6"/>
    <w:rsid w:val="00CD50D6"/>
    <w:rsid w:val="00CD560A"/>
    <w:rsid w:val="00CD5ACF"/>
    <w:rsid w:val="00CD5E94"/>
    <w:rsid w:val="00CD5F19"/>
    <w:rsid w:val="00CD6081"/>
    <w:rsid w:val="00CD635B"/>
    <w:rsid w:val="00CD6663"/>
    <w:rsid w:val="00CD6768"/>
    <w:rsid w:val="00CD6BD3"/>
    <w:rsid w:val="00CD6F40"/>
    <w:rsid w:val="00CD708E"/>
    <w:rsid w:val="00CD70ED"/>
    <w:rsid w:val="00CD73FB"/>
    <w:rsid w:val="00CD756A"/>
    <w:rsid w:val="00CD75A8"/>
    <w:rsid w:val="00CD7898"/>
    <w:rsid w:val="00CE0926"/>
    <w:rsid w:val="00CE09EB"/>
    <w:rsid w:val="00CE0DC8"/>
    <w:rsid w:val="00CE0FCC"/>
    <w:rsid w:val="00CE135D"/>
    <w:rsid w:val="00CE1815"/>
    <w:rsid w:val="00CE1A4B"/>
    <w:rsid w:val="00CE208F"/>
    <w:rsid w:val="00CE257F"/>
    <w:rsid w:val="00CE25B1"/>
    <w:rsid w:val="00CE2869"/>
    <w:rsid w:val="00CE2882"/>
    <w:rsid w:val="00CE2889"/>
    <w:rsid w:val="00CE2C25"/>
    <w:rsid w:val="00CE2CBB"/>
    <w:rsid w:val="00CE317D"/>
    <w:rsid w:val="00CE3549"/>
    <w:rsid w:val="00CE387C"/>
    <w:rsid w:val="00CE3A21"/>
    <w:rsid w:val="00CE3C9A"/>
    <w:rsid w:val="00CE414E"/>
    <w:rsid w:val="00CE4419"/>
    <w:rsid w:val="00CE516E"/>
    <w:rsid w:val="00CE52C2"/>
    <w:rsid w:val="00CE5662"/>
    <w:rsid w:val="00CE56E7"/>
    <w:rsid w:val="00CE58B1"/>
    <w:rsid w:val="00CE5A4E"/>
    <w:rsid w:val="00CE5AA0"/>
    <w:rsid w:val="00CE5AC2"/>
    <w:rsid w:val="00CE5D06"/>
    <w:rsid w:val="00CE6330"/>
    <w:rsid w:val="00CE6445"/>
    <w:rsid w:val="00CE66AC"/>
    <w:rsid w:val="00CE6CE6"/>
    <w:rsid w:val="00CE6CE9"/>
    <w:rsid w:val="00CE79FC"/>
    <w:rsid w:val="00CE7A43"/>
    <w:rsid w:val="00CE7DDD"/>
    <w:rsid w:val="00CE7EBB"/>
    <w:rsid w:val="00CE7FD3"/>
    <w:rsid w:val="00CE7FEB"/>
    <w:rsid w:val="00CF025C"/>
    <w:rsid w:val="00CF05E2"/>
    <w:rsid w:val="00CF1036"/>
    <w:rsid w:val="00CF12D6"/>
    <w:rsid w:val="00CF138E"/>
    <w:rsid w:val="00CF1441"/>
    <w:rsid w:val="00CF1A43"/>
    <w:rsid w:val="00CF228E"/>
    <w:rsid w:val="00CF255E"/>
    <w:rsid w:val="00CF3335"/>
    <w:rsid w:val="00CF3C83"/>
    <w:rsid w:val="00CF3C8D"/>
    <w:rsid w:val="00CF3CA8"/>
    <w:rsid w:val="00CF3E14"/>
    <w:rsid w:val="00CF3F6B"/>
    <w:rsid w:val="00CF417D"/>
    <w:rsid w:val="00CF4D74"/>
    <w:rsid w:val="00CF4FEF"/>
    <w:rsid w:val="00CF552E"/>
    <w:rsid w:val="00CF570C"/>
    <w:rsid w:val="00CF5F67"/>
    <w:rsid w:val="00CF6097"/>
    <w:rsid w:val="00CF62D7"/>
    <w:rsid w:val="00CF64D1"/>
    <w:rsid w:val="00CF737A"/>
    <w:rsid w:val="00CF75DD"/>
    <w:rsid w:val="00CF7971"/>
    <w:rsid w:val="00CF79BA"/>
    <w:rsid w:val="00CF7B96"/>
    <w:rsid w:val="00CF7C5A"/>
    <w:rsid w:val="00CF7CF2"/>
    <w:rsid w:val="00CF7F27"/>
    <w:rsid w:val="00D00019"/>
    <w:rsid w:val="00D00411"/>
    <w:rsid w:val="00D00655"/>
    <w:rsid w:val="00D006C2"/>
    <w:rsid w:val="00D00A53"/>
    <w:rsid w:val="00D00E29"/>
    <w:rsid w:val="00D00EB1"/>
    <w:rsid w:val="00D010BA"/>
    <w:rsid w:val="00D011EF"/>
    <w:rsid w:val="00D015A5"/>
    <w:rsid w:val="00D01BE3"/>
    <w:rsid w:val="00D0306F"/>
    <w:rsid w:val="00D03095"/>
    <w:rsid w:val="00D03307"/>
    <w:rsid w:val="00D03AC4"/>
    <w:rsid w:val="00D040B8"/>
    <w:rsid w:val="00D049C0"/>
    <w:rsid w:val="00D04A08"/>
    <w:rsid w:val="00D04B7B"/>
    <w:rsid w:val="00D04CA4"/>
    <w:rsid w:val="00D050AA"/>
    <w:rsid w:val="00D05498"/>
    <w:rsid w:val="00D054C2"/>
    <w:rsid w:val="00D05D80"/>
    <w:rsid w:val="00D061EF"/>
    <w:rsid w:val="00D06649"/>
    <w:rsid w:val="00D066B0"/>
    <w:rsid w:val="00D06B26"/>
    <w:rsid w:val="00D06FB0"/>
    <w:rsid w:val="00D07001"/>
    <w:rsid w:val="00D072CD"/>
    <w:rsid w:val="00D07B02"/>
    <w:rsid w:val="00D1011E"/>
    <w:rsid w:val="00D1049D"/>
    <w:rsid w:val="00D107A5"/>
    <w:rsid w:val="00D1097F"/>
    <w:rsid w:val="00D109A7"/>
    <w:rsid w:val="00D10B21"/>
    <w:rsid w:val="00D10B23"/>
    <w:rsid w:val="00D12260"/>
    <w:rsid w:val="00D12950"/>
    <w:rsid w:val="00D12A6D"/>
    <w:rsid w:val="00D12FED"/>
    <w:rsid w:val="00D1308B"/>
    <w:rsid w:val="00D1330F"/>
    <w:rsid w:val="00D13D1B"/>
    <w:rsid w:val="00D151DF"/>
    <w:rsid w:val="00D15311"/>
    <w:rsid w:val="00D15426"/>
    <w:rsid w:val="00D15594"/>
    <w:rsid w:val="00D15867"/>
    <w:rsid w:val="00D15978"/>
    <w:rsid w:val="00D170EB"/>
    <w:rsid w:val="00D17157"/>
    <w:rsid w:val="00D17213"/>
    <w:rsid w:val="00D1777A"/>
    <w:rsid w:val="00D179D7"/>
    <w:rsid w:val="00D179F0"/>
    <w:rsid w:val="00D17CDD"/>
    <w:rsid w:val="00D20037"/>
    <w:rsid w:val="00D20263"/>
    <w:rsid w:val="00D20798"/>
    <w:rsid w:val="00D214A8"/>
    <w:rsid w:val="00D217EF"/>
    <w:rsid w:val="00D2215C"/>
    <w:rsid w:val="00D225C0"/>
    <w:rsid w:val="00D22D75"/>
    <w:rsid w:val="00D22DCE"/>
    <w:rsid w:val="00D236FA"/>
    <w:rsid w:val="00D23ADB"/>
    <w:rsid w:val="00D23FD6"/>
    <w:rsid w:val="00D240A9"/>
    <w:rsid w:val="00D2423C"/>
    <w:rsid w:val="00D242B1"/>
    <w:rsid w:val="00D24AC4"/>
    <w:rsid w:val="00D24DC8"/>
    <w:rsid w:val="00D24FA0"/>
    <w:rsid w:val="00D24FBB"/>
    <w:rsid w:val="00D25342"/>
    <w:rsid w:val="00D25566"/>
    <w:rsid w:val="00D25CB4"/>
    <w:rsid w:val="00D25FF7"/>
    <w:rsid w:val="00D26DCD"/>
    <w:rsid w:val="00D26E86"/>
    <w:rsid w:val="00D26FDE"/>
    <w:rsid w:val="00D2734C"/>
    <w:rsid w:val="00D2767D"/>
    <w:rsid w:val="00D309E6"/>
    <w:rsid w:val="00D30B71"/>
    <w:rsid w:val="00D30F94"/>
    <w:rsid w:val="00D3127F"/>
    <w:rsid w:val="00D312C8"/>
    <w:rsid w:val="00D31FEF"/>
    <w:rsid w:val="00D324F8"/>
    <w:rsid w:val="00D326E1"/>
    <w:rsid w:val="00D32B54"/>
    <w:rsid w:val="00D32E81"/>
    <w:rsid w:val="00D332A6"/>
    <w:rsid w:val="00D336B5"/>
    <w:rsid w:val="00D33AE3"/>
    <w:rsid w:val="00D33B44"/>
    <w:rsid w:val="00D33F5D"/>
    <w:rsid w:val="00D347FD"/>
    <w:rsid w:val="00D34C30"/>
    <w:rsid w:val="00D34E39"/>
    <w:rsid w:val="00D351AC"/>
    <w:rsid w:val="00D3575D"/>
    <w:rsid w:val="00D3589A"/>
    <w:rsid w:val="00D358A4"/>
    <w:rsid w:val="00D35A32"/>
    <w:rsid w:val="00D3616D"/>
    <w:rsid w:val="00D3629C"/>
    <w:rsid w:val="00D36362"/>
    <w:rsid w:val="00D366CC"/>
    <w:rsid w:val="00D36712"/>
    <w:rsid w:val="00D36994"/>
    <w:rsid w:val="00D369A5"/>
    <w:rsid w:val="00D37116"/>
    <w:rsid w:val="00D3761F"/>
    <w:rsid w:val="00D3765B"/>
    <w:rsid w:val="00D37A3E"/>
    <w:rsid w:val="00D402F9"/>
    <w:rsid w:val="00D40569"/>
    <w:rsid w:val="00D41B91"/>
    <w:rsid w:val="00D41D12"/>
    <w:rsid w:val="00D41EBE"/>
    <w:rsid w:val="00D426F4"/>
    <w:rsid w:val="00D4321C"/>
    <w:rsid w:val="00D4358F"/>
    <w:rsid w:val="00D43661"/>
    <w:rsid w:val="00D43748"/>
    <w:rsid w:val="00D437CA"/>
    <w:rsid w:val="00D4391B"/>
    <w:rsid w:val="00D43AF5"/>
    <w:rsid w:val="00D449BA"/>
    <w:rsid w:val="00D44D42"/>
    <w:rsid w:val="00D457AB"/>
    <w:rsid w:val="00D45988"/>
    <w:rsid w:val="00D45AE9"/>
    <w:rsid w:val="00D45DDB"/>
    <w:rsid w:val="00D45F87"/>
    <w:rsid w:val="00D45FA6"/>
    <w:rsid w:val="00D45FED"/>
    <w:rsid w:val="00D46783"/>
    <w:rsid w:val="00D46D06"/>
    <w:rsid w:val="00D46E4E"/>
    <w:rsid w:val="00D47049"/>
    <w:rsid w:val="00D476AE"/>
    <w:rsid w:val="00D47A23"/>
    <w:rsid w:val="00D47B21"/>
    <w:rsid w:val="00D47EC5"/>
    <w:rsid w:val="00D47F6B"/>
    <w:rsid w:val="00D47FB1"/>
    <w:rsid w:val="00D50608"/>
    <w:rsid w:val="00D50BA2"/>
    <w:rsid w:val="00D5128E"/>
    <w:rsid w:val="00D512F4"/>
    <w:rsid w:val="00D51492"/>
    <w:rsid w:val="00D5168C"/>
    <w:rsid w:val="00D51C79"/>
    <w:rsid w:val="00D52268"/>
    <w:rsid w:val="00D528E2"/>
    <w:rsid w:val="00D529E5"/>
    <w:rsid w:val="00D52B59"/>
    <w:rsid w:val="00D52C0C"/>
    <w:rsid w:val="00D52F54"/>
    <w:rsid w:val="00D5323A"/>
    <w:rsid w:val="00D53CA1"/>
    <w:rsid w:val="00D53D02"/>
    <w:rsid w:val="00D54097"/>
    <w:rsid w:val="00D541AE"/>
    <w:rsid w:val="00D544DA"/>
    <w:rsid w:val="00D5462F"/>
    <w:rsid w:val="00D54D3E"/>
    <w:rsid w:val="00D551F6"/>
    <w:rsid w:val="00D555F2"/>
    <w:rsid w:val="00D55E38"/>
    <w:rsid w:val="00D56379"/>
    <w:rsid w:val="00D56E7F"/>
    <w:rsid w:val="00D57130"/>
    <w:rsid w:val="00D57173"/>
    <w:rsid w:val="00D573A6"/>
    <w:rsid w:val="00D5751E"/>
    <w:rsid w:val="00D576E7"/>
    <w:rsid w:val="00D57AA0"/>
    <w:rsid w:val="00D57B2B"/>
    <w:rsid w:val="00D60022"/>
    <w:rsid w:val="00D60043"/>
    <w:rsid w:val="00D60106"/>
    <w:rsid w:val="00D6032F"/>
    <w:rsid w:val="00D6041F"/>
    <w:rsid w:val="00D605B4"/>
    <w:rsid w:val="00D612E6"/>
    <w:rsid w:val="00D61515"/>
    <w:rsid w:val="00D61D4E"/>
    <w:rsid w:val="00D62046"/>
    <w:rsid w:val="00D62271"/>
    <w:rsid w:val="00D62727"/>
    <w:rsid w:val="00D62C88"/>
    <w:rsid w:val="00D63161"/>
    <w:rsid w:val="00D632C4"/>
    <w:rsid w:val="00D63461"/>
    <w:rsid w:val="00D63513"/>
    <w:rsid w:val="00D63539"/>
    <w:rsid w:val="00D63A21"/>
    <w:rsid w:val="00D63ABF"/>
    <w:rsid w:val="00D642BE"/>
    <w:rsid w:val="00D64583"/>
    <w:rsid w:val="00D646A1"/>
    <w:rsid w:val="00D647AE"/>
    <w:rsid w:val="00D64A45"/>
    <w:rsid w:val="00D64A9D"/>
    <w:rsid w:val="00D652B4"/>
    <w:rsid w:val="00D65349"/>
    <w:rsid w:val="00D6557C"/>
    <w:rsid w:val="00D65B87"/>
    <w:rsid w:val="00D65C96"/>
    <w:rsid w:val="00D65EC5"/>
    <w:rsid w:val="00D66204"/>
    <w:rsid w:val="00D66597"/>
    <w:rsid w:val="00D66A4B"/>
    <w:rsid w:val="00D67AD1"/>
    <w:rsid w:val="00D67B2D"/>
    <w:rsid w:val="00D700E0"/>
    <w:rsid w:val="00D7046F"/>
    <w:rsid w:val="00D7048E"/>
    <w:rsid w:val="00D705D4"/>
    <w:rsid w:val="00D7069F"/>
    <w:rsid w:val="00D713E8"/>
    <w:rsid w:val="00D71578"/>
    <w:rsid w:val="00D71839"/>
    <w:rsid w:val="00D71994"/>
    <w:rsid w:val="00D71AF8"/>
    <w:rsid w:val="00D71F06"/>
    <w:rsid w:val="00D720AB"/>
    <w:rsid w:val="00D729EC"/>
    <w:rsid w:val="00D72CFB"/>
    <w:rsid w:val="00D73A21"/>
    <w:rsid w:val="00D73C26"/>
    <w:rsid w:val="00D7477E"/>
    <w:rsid w:val="00D748B9"/>
    <w:rsid w:val="00D749D6"/>
    <w:rsid w:val="00D74BF2"/>
    <w:rsid w:val="00D74E2D"/>
    <w:rsid w:val="00D750AB"/>
    <w:rsid w:val="00D7526D"/>
    <w:rsid w:val="00D75D72"/>
    <w:rsid w:val="00D75FDD"/>
    <w:rsid w:val="00D760A3"/>
    <w:rsid w:val="00D762A2"/>
    <w:rsid w:val="00D76C53"/>
    <w:rsid w:val="00D770A6"/>
    <w:rsid w:val="00D7737A"/>
    <w:rsid w:val="00D775C1"/>
    <w:rsid w:val="00D77612"/>
    <w:rsid w:val="00D77A98"/>
    <w:rsid w:val="00D80044"/>
    <w:rsid w:val="00D80264"/>
    <w:rsid w:val="00D806FA"/>
    <w:rsid w:val="00D807AB"/>
    <w:rsid w:val="00D80BE9"/>
    <w:rsid w:val="00D80CC7"/>
    <w:rsid w:val="00D80E7C"/>
    <w:rsid w:val="00D80E8B"/>
    <w:rsid w:val="00D813D0"/>
    <w:rsid w:val="00D81997"/>
    <w:rsid w:val="00D81B15"/>
    <w:rsid w:val="00D81D06"/>
    <w:rsid w:val="00D81D1E"/>
    <w:rsid w:val="00D81E4D"/>
    <w:rsid w:val="00D82119"/>
    <w:rsid w:val="00D8225F"/>
    <w:rsid w:val="00D8310D"/>
    <w:rsid w:val="00D83257"/>
    <w:rsid w:val="00D832B8"/>
    <w:rsid w:val="00D833CB"/>
    <w:rsid w:val="00D83E58"/>
    <w:rsid w:val="00D84245"/>
    <w:rsid w:val="00D84699"/>
    <w:rsid w:val="00D84AC0"/>
    <w:rsid w:val="00D84F65"/>
    <w:rsid w:val="00D8614E"/>
    <w:rsid w:val="00D86308"/>
    <w:rsid w:val="00D86AF2"/>
    <w:rsid w:val="00D86B48"/>
    <w:rsid w:val="00D878E3"/>
    <w:rsid w:val="00D87BFD"/>
    <w:rsid w:val="00D87DDF"/>
    <w:rsid w:val="00D87FB1"/>
    <w:rsid w:val="00D900FC"/>
    <w:rsid w:val="00D903D8"/>
    <w:rsid w:val="00D9058A"/>
    <w:rsid w:val="00D9064A"/>
    <w:rsid w:val="00D909DE"/>
    <w:rsid w:val="00D90CEF"/>
    <w:rsid w:val="00D91020"/>
    <w:rsid w:val="00D91631"/>
    <w:rsid w:val="00D91715"/>
    <w:rsid w:val="00D917AA"/>
    <w:rsid w:val="00D91F68"/>
    <w:rsid w:val="00D92290"/>
    <w:rsid w:val="00D92A2E"/>
    <w:rsid w:val="00D92DCB"/>
    <w:rsid w:val="00D930CB"/>
    <w:rsid w:val="00D93864"/>
    <w:rsid w:val="00D939E3"/>
    <w:rsid w:val="00D93A1C"/>
    <w:rsid w:val="00D93BD3"/>
    <w:rsid w:val="00D940C3"/>
    <w:rsid w:val="00D94897"/>
    <w:rsid w:val="00D94B45"/>
    <w:rsid w:val="00D94F2D"/>
    <w:rsid w:val="00D9529C"/>
    <w:rsid w:val="00D95376"/>
    <w:rsid w:val="00D95DC7"/>
    <w:rsid w:val="00D962B2"/>
    <w:rsid w:val="00D964E3"/>
    <w:rsid w:val="00D9657D"/>
    <w:rsid w:val="00D9658C"/>
    <w:rsid w:val="00D966C8"/>
    <w:rsid w:val="00D96C4B"/>
    <w:rsid w:val="00D96D9E"/>
    <w:rsid w:val="00D979CF"/>
    <w:rsid w:val="00D97EA1"/>
    <w:rsid w:val="00DA043A"/>
    <w:rsid w:val="00DA0A10"/>
    <w:rsid w:val="00DA1128"/>
    <w:rsid w:val="00DA1420"/>
    <w:rsid w:val="00DA1875"/>
    <w:rsid w:val="00DA1CBC"/>
    <w:rsid w:val="00DA1E15"/>
    <w:rsid w:val="00DA1E24"/>
    <w:rsid w:val="00DA21D0"/>
    <w:rsid w:val="00DA2384"/>
    <w:rsid w:val="00DA29D9"/>
    <w:rsid w:val="00DA29EB"/>
    <w:rsid w:val="00DA2F43"/>
    <w:rsid w:val="00DA39E8"/>
    <w:rsid w:val="00DA3F3A"/>
    <w:rsid w:val="00DA4084"/>
    <w:rsid w:val="00DA41CD"/>
    <w:rsid w:val="00DA44FF"/>
    <w:rsid w:val="00DA450C"/>
    <w:rsid w:val="00DA4519"/>
    <w:rsid w:val="00DA45B9"/>
    <w:rsid w:val="00DA46B5"/>
    <w:rsid w:val="00DA4975"/>
    <w:rsid w:val="00DA49F9"/>
    <w:rsid w:val="00DA56B5"/>
    <w:rsid w:val="00DA5F1F"/>
    <w:rsid w:val="00DA66A7"/>
    <w:rsid w:val="00DA6F85"/>
    <w:rsid w:val="00DA73C2"/>
    <w:rsid w:val="00DA7E84"/>
    <w:rsid w:val="00DB012C"/>
    <w:rsid w:val="00DB053A"/>
    <w:rsid w:val="00DB056C"/>
    <w:rsid w:val="00DB09F5"/>
    <w:rsid w:val="00DB0CC3"/>
    <w:rsid w:val="00DB0FB5"/>
    <w:rsid w:val="00DB1032"/>
    <w:rsid w:val="00DB1333"/>
    <w:rsid w:val="00DB13E0"/>
    <w:rsid w:val="00DB1AE9"/>
    <w:rsid w:val="00DB1EDE"/>
    <w:rsid w:val="00DB2047"/>
    <w:rsid w:val="00DB28FE"/>
    <w:rsid w:val="00DB3B65"/>
    <w:rsid w:val="00DB3BAF"/>
    <w:rsid w:val="00DB3FC0"/>
    <w:rsid w:val="00DB406D"/>
    <w:rsid w:val="00DB44FB"/>
    <w:rsid w:val="00DB4779"/>
    <w:rsid w:val="00DB49DC"/>
    <w:rsid w:val="00DB4B43"/>
    <w:rsid w:val="00DB4F8D"/>
    <w:rsid w:val="00DB59AB"/>
    <w:rsid w:val="00DB5DCF"/>
    <w:rsid w:val="00DB5EDA"/>
    <w:rsid w:val="00DB6ACE"/>
    <w:rsid w:val="00DB717F"/>
    <w:rsid w:val="00DB718B"/>
    <w:rsid w:val="00DB744E"/>
    <w:rsid w:val="00DB754E"/>
    <w:rsid w:val="00DB778C"/>
    <w:rsid w:val="00DB7797"/>
    <w:rsid w:val="00DB7871"/>
    <w:rsid w:val="00DB7D07"/>
    <w:rsid w:val="00DB7D66"/>
    <w:rsid w:val="00DC0027"/>
    <w:rsid w:val="00DC029A"/>
    <w:rsid w:val="00DC06FC"/>
    <w:rsid w:val="00DC0ADB"/>
    <w:rsid w:val="00DC12DF"/>
    <w:rsid w:val="00DC2319"/>
    <w:rsid w:val="00DC262E"/>
    <w:rsid w:val="00DC263C"/>
    <w:rsid w:val="00DC26E9"/>
    <w:rsid w:val="00DC2DAB"/>
    <w:rsid w:val="00DC35A1"/>
    <w:rsid w:val="00DC37CC"/>
    <w:rsid w:val="00DC3B9F"/>
    <w:rsid w:val="00DC4316"/>
    <w:rsid w:val="00DC4810"/>
    <w:rsid w:val="00DC533D"/>
    <w:rsid w:val="00DC58F4"/>
    <w:rsid w:val="00DC6066"/>
    <w:rsid w:val="00DC689D"/>
    <w:rsid w:val="00DC7070"/>
    <w:rsid w:val="00DC7AB6"/>
    <w:rsid w:val="00DC7BB3"/>
    <w:rsid w:val="00DD026E"/>
    <w:rsid w:val="00DD05ED"/>
    <w:rsid w:val="00DD0652"/>
    <w:rsid w:val="00DD06C3"/>
    <w:rsid w:val="00DD07D1"/>
    <w:rsid w:val="00DD086E"/>
    <w:rsid w:val="00DD0889"/>
    <w:rsid w:val="00DD08B8"/>
    <w:rsid w:val="00DD0911"/>
    <w:rsid w:val="00DD0A6B"/>
    <w:rsid w:val="00DD0B9E"/>
    <w:rsid w:val="00DD1312"/>
    <w:rsid w:val="00DD1836"/>
    <w:rsid w:val="00DD20EC"/>
    <w:rsid w:val="00DD2270"/>
    <w:rsid w:val="00DD25C6"/>
    <w:rsid w:val="00DD26A9"/>
    <w:rsid w:val="00DD2A13"/>
    <w:rsid w:val="00DD2F11"/>
    <w:rsid w:val="00DD3278"/>
    <w:rsid w:val="00DD343D"/>
    <w:rsid w:val="00DD34AF"/>
    <w:rsid w:val="00DD36F9"/>
    <w:rsid w:val="00DD3A06"/>
    <w:rsid w:val="00DD3BC0"/>
    <w:rsid w:val="00DD468B"/>
    <w:rsid w:val="00DD4DB5"/>
    <w:rsid w:val="00DD4FF5"/>
    <w:rsid w:val="00DD59D0"/>
    <w:rsid w:val="00DD5A92"/>
    <w:rsid w:val="00DD5D97"/>
    <w:rsid w:val="00DD62F4"/>
    <w:rsid w:val="00DD66F4"/>
    <w:rsid w:val="00DD6A45"/>
    <w:rsid w:val="00DD6C1E"/>
    <w:rsid w:val="00DD6C86"/>
    <w:rsid w:val="00DD6C9E"/>
    <w:rsid w:val="00DD7461"/>
    <w:rsid w:val="00DD74F4"/>
    <w:rsid w:val="00DD7712"/>
    <w:rsid w:val="00DD7C9E"/>
    <w:rsid w:val="00DD7EA0"/>
    <w:rsid w:val="00DD7F4F"/>
    <w:rsid w:val="00DD7FC7"/>
    <w:rsid w:val="00DE0469"/>
    <w:rsid w:val="00DE0677"/>
    <w:rsid w:val="00DE0986"/>
    <w:rsid w:val="00DE0AC2"/>
    <w:rsid w:val="00DE1633"/>
    <w:rsid w:val="00DE1B92"/>
    <w:rsid w:val="00DE2223"/>
    <w:rsid w:val="00DE22DB"/>
    <w:rsid w:val="00DE23A9"/>
    <w:rsid w:val="00DE28E4"/>
    <w:rsid w:val="00DE2B5B"/>
    <w:rsid w:val="00DE3301"/>
    <w:rsid w:val="00DE3485"/>
    <w:rsid w:val="00DE349D"/>
    <w:rsid w:val="00DE37A5"/>
    <w:rsid w:val="00DE3BBB"/>
    <w:rsid w:val="00DE3D21"/>
    <w:rsid w:val="00DE3E4D"/>
    <w:rsid w:val="00DE4235"/>
    <w:rsid w:val="00DE4334"/>
    <w:rsid w:val="00DE468C"/>
    <w:rsid w:val="00DE4729"/>
    <w:rsid w:val="00DE47DF"/>
    <w:rsid w:val="00DE47E2"/>
    <w:rsid w:val="00DE4A13"/>
    <w:rsid w:val="00DE4ED7"/>
    <w:rsid w:val="00DE4FE8"/>
    <w:rsid w:val="00DE5711"/>
    <w:rsid w:val="00DE6064"/>
    <w:rsid w:val="00DE6528"/>
    <w:rsid w:val="00DE65E3"/>
    <w:rsid w:val="00DE6702"/>
    <w:rsid w:val="00DE6852"/>
    <w:rsid w:val="00DE69C3"/>
    <w:rsid w:val="00DE6CDB"/>
    <w:rsid w:val="00DE7035"/>
    <w:rsid w:val="00DE77F4"/>
    <w:rsid w:val="00DF0334"/>
    <w:rsid w:val="00DF0EF6"/>
    <w:rsid w:val="00DF1077"/>
    <w:rsid w:val="00DF11C6"/>
    <w:rsid w:val="00DF169B"/>
    <w:rsid w:val="00DF170A"/>
    <w:rsid w:val="00DF1F1C"/>
    <w:rsid w:val="00DF240E"/>
    <w:rsid w:val="00DF2750"/>
    <w:rsid w:val="00DF29A1"/>
    <w:rsid w:val="00DF38D5"/>
    <w:rsid w:val="00DF3D2B"/>
    <w:rsid w:val="00DF3F01"/>
    <w:rsid w:val="00DF4264"/>
    <w:rsid w:val="00DF4433"/>
    <w:rsid w:val="00DF485D"/>
    <w:rsid w:val="00DF492E"/>
    <w:rsid w:val="00DF4E4C"/>
    <w:rsid w:val="00DF4EB7"/>
    <w:rsid w:val="00DF53AE"/>
    <w:rsid w:val="00DF53B6"/>
    <w:rsid w:val="00DF55F6"/>
    <w:rsid w:val="00DF564C"/>
    <w:rsid w:val="00DF57B9"/>
    <w:rsid w:val="00DF6865"/>
    <w:rsid w:val="00DF7336"/>
    <w:rsid w:val="00DF76DB"/>
    <w:rsid w:val="00DF7988"/>
    <w:rsid w:val="00DF7EF9"/>
    <w:rsid w:val="00E0038E"/>
    <w:rsid w:val="00E004D6"/>
    <w:rsid w:val="00E00DA4"/>
    <w:rsid w:val="00E01169"/>
    <w:rsid w:val="00E01538"/>
    <w:rsid w:val="00E01C24"/>
    <w:rsid w:val="00E01CBE"/>
    <w:rsid w:val="00E01E69"/>
    <w:rsid w:val="00E021D3"/>
    <w:rsid w:val="00E02409"/>
    <w:rsid w:val="00E024FE"/>
    <w:rsid w:val="00E0260B"/>
    <w:rsid w:val="00E033FF"/>
    <w:rsid w:val="00E03728"/>
    <w:rsid w:val="00E03BFD"/>
    <w:rsid w:val="00E03F7C"/>
    <w:rsid w:val="00E04094"/>
    <w:rsid w:val="00E040F8"/>
    <w:rsid w:val="00E042E3"/>
    <w:rsid w:val="00E0448B"/>
    <w:rsid w:val="00E04D77"/>
    <w:rsid w:val="00E05598"/>
    <w:rsid w:val="00E05A60"/>
    <w:rsid w:val="00E064B0"/>
    <w:rsid w:val="00E066B5"/>
    <w:rsid w:val="00E06A4B"/>
    <w:rsid w:val="00E06AC5"/>
    <w:rsid w:val="00E06D50"/>
    <w:rsid w:val="00E0709C"/>
    <w:rsid w:val="00E07834"/>
    <w:rsid w:val="00E07870"/>
    <w:rsid w:val="00E07BC4"/>
    <w:rsid w:val="00E10330"/>
    <w:rsid w:val="00E10814"/>
    <w:rsid w:val="00E10D97"/>
    <w:rsid w:val="00E115F2"/>
    <w:rsid w:val="00E11AA3"/>
    <w:rsid w:val="00E126FE"/>
    <w:rsid w:val="00E12BAB"/>
    <w:rsid w:val="00E12D14"/>
    <w:rsid w:val="00E12E57"/>
    <w:rsid w:val="00E13061"/>
    <w:rsid w:val="00E13199"/>
    <w:rsid w:val="00E13602"/>
    <w:rsid w:val="00E13AA6"/>
    <w:rsid w:val="00E1411A"/>
    <w:rsid w:val="00E14757"/>
    <w:rsid w:val="00E147DF"/>
    <w:rsid w:val="00E14ABE"/>
    <w:rsid w:val="00E14AC6"/>
    <w:rsid w:val="00E15443"/>
    <w:rsid w:val="00E15623"/>
    <w:rsid w:val="00E1632C"/>
    <w:rsid w:val="00E16404"/>
    <w:rsid w:val="00E16CEC"/>
    <w:rsid w:val="00E16FA3"/>
    <w:rsid w:val="00E170B6"/>
    <w:rsid w:val="00E17F67"/>
    <w:rsid w:val="00E205AE"/>
    <w:rsid w:val="00E20793"/>
    <w:rsid w:val="00E20E54"/>
    <w:rsid w:val="00E20E84"/>
    <w:rsid w:val="00E20EDC"/>
    <w:rsid w:val="00E21409"/>
    <w:rsid w:val="00E21431"/>
    <w:rsid w:val="00E2147F"/>
    <w:rsid w:val="00E2187B"/>
    <w:rsid w:val="00E2190B"/>
    <w:rsid w:val="00E21D66"/>
    <w:rsid w:val="00E227C9"/>
    <w:rsid w:val="00E22F73"/>
    <w:rsid w:val="00E23C08"/>
    <w:rsid w:val="00E23DAD"/>
    <w:rsid w:val="00E2408B"/>
    <w:rsid w:val="00E2454F"/>
    <w:rsid w:val="00E2487C"/>
    <w:rsid w:val="00E24BEC"/>
    <w:rsid w:val="00E258FA"/>
    <w:rsid w:val="00E25DBE"/>
    <w:rsid w:val="00E26024"/>
    <w:rsid w:val="00E265F4"/>
    <w:rsid w:val="00E268CA"/>
    <w:rsid w:val="00E26A44"/>
    <w:rsid w:val="00E276B0"/>
    <w:rsid w:val="00E27CF1"/>
    <w:rsid w:val="00E300BC"/>
    <w:rsid w:val="00E3023D"/>
    <w:rsid w:val="00E3029F"/>
    <w:rsid w:val="00E30368"/>
    <w:rsid w:val="00E30578"/>
    <w:rsid w:val="00E30C99"/>
    <w:rsid w:val="00E30D38"/>
    <w:rsid w:val="00E30DD7"/>
    <w:rsid w:val="00E31DF0"/>
    <w:rsid w:val="00E32259"/>
    <w:rsid w:val="00E32581"/>
    <w:rsid w:val="00E32597"/>
    <w:rsid w:val="00E32784"/>
    <w:rsid w:val="00E32819"/>
    <w:rsid w:val="00E32F59"/>
    <w:rsid w:val="00E3322B"/>
    <w:rsid w:val="00E34242"/>
    <w:rsid w:val="00E342DC"/>
    <w:rsid w:val="00E34B7E"/>
    <w:rsid w:val="00E34B94"/>
    <w:rsid w:val="00E34C3B"/>
    <w:rsid w:val="00E3511E"/>
    <w:rsid w:val="00E3516E"/>
    <w:rsid w:val="00E355BB"/>
    <w:rsid w:val="00E35895"/>
    <w:rsid w:val="00E35940"/>
    <w:rsid w:val="00E359F4"/>
    <w:rsid w:val="00E35AF8"/>
    <w:rsid w:val="00E35FE0"/>
    <w:rsid w:val="00E3612C"/>
    <w:rsid w:val="00E369BF"/>
    <w:rsid w:val="00E36AC7"/>
    <w:rsid w:val="00E36D7D"/>
    <w:rsid w:val="00E37142"/>
    <w:rsid w:val="00E375FB"/>
    <w:rsid w:val="00E37804"/>
    <w:rsid w:val="00E37829"/>
    <w:rsid w:val="00E37A88"/>
    <w:rsid w:val="00E37B29"/>
    <w:rsid w:val="00E40347"/>
    <w:rsid w:val="00E413C3"/>
    <w:rsid w:val="00E415B2"/>
    <w:rsid w:val="00E417F0"/>
    <w:rsid w:val="00E4191B"/>
    <w:rsid w:val="00E4208F"/>
    <w:rsid w:val="00E425A1"/>
    <w:rsid w:val="00E4274C"/>
    <w:rsid w:val="00E42894"/>
    <w:rsid w:val="00E42DDA"/>
    <w:rsid w:val="00E42DF4"/>
    <w:rsid w:val="00E42FB1"/>
    <w:rsid w:val="00E43A28"/>
    <w:rsid w:val="00E43A44"/>
    <w:rsid w:val="00E43C3B"/>
    <w:rsid w:val="00E43CDA"/>
    <w:rsid w:val="00E44026"/>
    <w:rsid w:val="00E440D3"/>
    <w:rsid w:val="00E442EC"/>
    <w:rsid w:val="00E446ED"/>
    <w:rsid w:val="00E44812"/>
    <w:rsid w:val="00E44946"/>
    <w:rsid w:val="00E449AA"/>
    <w:rsid w:val="00E44B94"/>
    <w:rsid w:val="00E45240"/>
    <w:rsid w:val="00E457A9"/>
    <w:rsid w:val="00E45AA3"/>
    <w:rsid w:val="00E45EED"/>
    <w:rsid w:val="00E46087"/>
    <w:rsid w:val="00E46139"/>
    <w:rsid w:val="00E4674C"/>
    <w:rsid w:val="00E46E0E"/>
    <w:rsid w:val="00E47257"/>
    <w:rsid w:val="00E472DC"/>
    <w:rsid w:val="00E47625"/>
    <w:rsid w:val="00E4779A"/>
    <w:rsid w:val="00E477E2"/>
    <w:rsid w:val="00E47A2F"/>
    <w:rsid w:val="00E502AB"/>
    <w:rsid w:val="00E5077A"/>
    <w:rsid w:val="00E5092F"/>
    <w:rsid w:val="00E50AA8"/>
    <w:rsid w:val="00E50C4B"/>
    <w:rsid w:val="00E50E6B"/>
    <w:rsid w:val="00E50EE3"/>
    <w:rsid w:val="00E51589"/>
    <w:rsid w:val="00E516A1"/>
    <w:rsid w:val="00E51845"/>
    <w:rsid w:val="00E51DC9"/>
    <w:rsid w:val="00E524B7"/>
    <w:rsid w:val="00E52CBA"/>
    <w:rsid w:val="00E5313B"/>
    <w:rsid w:val="00E539C9"/>
    <w:rsid w:val="00E53B21"/>
    <w:rsid w:val="00E540DB"/>
    <w:rsid w:val="00E54614"/>
    <w:rsid w:val="00E55486"/>
    <w:rsid w:val="00E55885"/>
    <w:rsid w:val="00E5607A"/>
    <w:rsid w:val="00E562F7"/>
    <w:rsid w:val="00E5648C"/>
    <w:rsid w:val="00E571B4"/>
    <w:rsid w:val="00E57880"/>
    <w:rsid w:val="00E57EB2"/>
    <w:rsid w:val="00E57FF0"/>
    <w:rsid w:val="00E604CB"/>
    <w:rsid w:val="00E607A7"/>
    <w:rsid w:val="00E60C0B"/>
    <w:rsid w:val="00E60C9A"/>
    <w:rsid w:val="00E61087"/>
    <w:rsid w:val="00E612A4"/>
    <w:rsid w:val="00E6187B"/>
    <w:rsid w:val="00E61E13"/>
    <w:rsid w:val="00E62206"/>
    <w:rsid w:val="00E62AF9"/>
    <w:rsid w:val="00E630A2"/>
    <w:rsid w:val="00E635F5"/>
    <w:rsid w:val="00E6381C"/>
    <w:rsid w:val="00E63933"/>
    <w:rsid w:val="00E63986"/>
    <w:rsid w:val="00E64027"/>
    <w:rsid w:val="00E6421C"/>
    <w:rsid w:val="00E64573"/>
    <w:rsid w:val="00E64749"/>
    <w:rsid w:val="00E64BDC"/>
    <w:rsid w:val="00E64BE6"/>
    <w:rsid w:val="00E64FE8"/>
    <w:rsid w:val="00E65258"/>
    <w:rsid w:val="00E652C7"/>
    <w:rsid w:val="00E65625"/>
    <w:rsid w:val="00E6581F"/>
    <w:rsid w:val="00E658C6"/>
    <w:rsid w:val="00E65916"/>
    <w:rsid w:val="00E66142"/>
    <w:rsid w:val="00E664A2"/>
    <w:rsid w:val="00E67AAF"/>
    <w:rsid w:val="00E700DF"/>
    <w:rsid w:val="00E7012C"/>
    <w:rsid w:val="00E70189"/>
    <w:rsid w:val="00E70769"/>
    <w:rsid w:val="00E70858"/>
    <w:rsid w:val="00E70BFD"/>
    <w:rsid w:val="00E71072"/>
    <w:rsid w:val="00E710D5"/>
    <w:rsid w:val="00E71243"/>
    <w:rsid w:val="00E71352"/>
    <w:rsid w:val="00E718C6"/>
    <w:rsid w:val="00E71905"/>
    <w:rsid w:val="00E71925"/>
    <w:rsid w:val="00E71CC1"/>
    <w:rsid w:val="00E71CD0"/>
    <w:rsid w:val="00E723FC"/>
    <w:rsid w:val="00E72864"/>
    <w:rsid w:val="00E7288F"/>
    <w:rsid w:val="00E7296A"/>
    <w:rsid w:val="00E72E78"/>
    <w:rsid w:val="00E72F29"/>
    <w:rsid w:val="00E732A7"/>
    <w:rsid w:val="00E732C1"/>
    <w:rsid w:val="00E73AA9"/>
    <w:rsid w:val="00E73C5B"/>
    <w:rsid w:val="00E73D3E"/>
    <w:rsid w:val="00E73DC5"/>
    <w:rsid w:val="00E74106"/>
    <w:rsid w:val="00E741A7"/>
    <w:rsid w:val="00E742B7"/>
    <w:rsid w:val="00E74638"/>
    <w:rsid w:val="00E74654"/>
    <w:rsid w:val="00E7476E"/>
    <w:rsid w:val="00E74C0C"/>
    <w:rsid w:val="00E74C62"/>
    <w:rsid w:val="00E74F31"/>
    <w:rsid w:val="00E74FDF"/>
    <w:rsid w:val="00E75104"/>
    <w:rsid w:val="00E751E1"/>
    <w:rsid w:val="00E7528F"/>
    <w:rsid w:val="00E7547D"/>
    <w:rsid w:val="00E75B75"/>
    <w:rsid w:val="00E75C50"/>
    <w:rsid w:val="00E75DBC"/>
    <w:rsid w:val="00E76591"/>
    <w:rsid w:val="00E76BF3"/>
    <w:rsid w:val="00E77374"/>
    <w:rsid w:val="00E773C4"/>
    <w:rsid w:val="00E77BAE"/>
    <w:rsid w:val="00E80887"/>
    <w:rsid w:val="00E8128D"/>
    <w:rsid w:val="00E81417"/>
    <w:rsid w:val="00E81690"/>
    <w:rsid w:val="00E8188A"/>
    <w:rsid w:val="00E8194D"/>
    <w:rsid w:val="00E81A4D"/>
    <w:rsid w:val="00E82500"/>
    <w:rsid w:val="00E82705"/>
    <w:rsid w:val="00E827FB"/>
    <w:rsid w:val="00E82853"/>
    <w:rsid w:val="00E82B2B"/>
    <w:rsid w:val="00E832E9"/>
    <w:rsid w:val="00E838A8"/>
    <w:rsid w:val="00E839A6"/>
    <w:rsid w:val="00E83B03"/>
    <w:rsid w:val="00E83BD7"/>
    <w:rsid w:val="00E83C98"/>
    <w:rsid w:val="00E83D18"/>
    <w:rsid w:val="00E83E37"/>
    <w:rsid w:val="00E83EC1"/>
    <w:rsid w:val="00E840A8"/>
    <w:rsid w:val="00E84206"/>
    <w:rsid w:val="00E846F7"/>
    <w:rsid w:val="00E84841"/>
    <w:rsid w:val="00E8497C"/>
    <w:rsid w:val="00E84BEE"/>
    <w:rsid w:val="00E84D36"/>
    <w:rsid w:val="00E85214"/>
    <w:rsid w:val="00E85600"/>
    <w:rsid w:val="00E85739"/>
    <w:rsid w:val="00E85802"/>
    <w:rsid w:val="00E85B18"/>
    <w:rsid w:val="00E85DB6"/>
    <w:rsid w:val="00E86234"/>
    <w:rsid w:val="00E865C8"/>
    <w:rsid w:val="00E8663F"/>
    <w:rsid w:val="00E8682F"/>
    <w:rsid w:val="00E86935"/>
    <w:rsid w:val="00E86A7C"/>
    <w:rsid w:val="00E86C2C"/>
    <w:rsid w:val="00E86D9B"/>
    <w:rsid w:val="00E86E32"/>
    <w:rsid w:val="00E86E7A"/>
    <w:rsid w:val="00E872F5"/>
    <w:rsid w:val="00E9017B"/>
    <w:rsid w:val="00E901E4"/>
    <w:rsid w:val="00E903EA"/>
    <w:rsid w:val="00E90453"/>
    <w:rsid w:val="00E90575"/>
    <w:rsid w:val="00E90B1C"/>
    <w:rsid w:val="00E90C84"/>
    <w:rsid w:val="00E90DF3"/>
    <w:rsid w:val="00E912D1"/>
    <w:rsid w:val="00E9133A"/>
    <w:rsid w:val="00E91382"/>
    <w:rsid w:val="00E9294B"/>
    <w:rsid w:val="00E92B60"/>
    <w:rsid w:val="00E92CA2"/>
    <w:rsid w:val="00E92EC2"/>
    <w:rsid w:val="00E934EA"/>
    <w:rsid w:val="00E936D7"/>
    <w:rsid w:val="00E94062"/>
    <w:rsid w:val="00E94218"/>
    <w:rsid w:val="00E94769"/>
    <w:rsid w:val="00E94A4C"/>
    <w:rsid w:val="00E94B11"/>
    <w:rsid w:val="00E95213"/>
    <w:rsid w:val="00E95224"/>
    <w:rsid w:val="00E9565B"/>
    <w:rsid w:val="00E9569E"/>
    <w:rsid w:val="00E964AC"/>
    <w:rsid w:val="00E9655C"/>
    <w:rsid w:val="00E96969"/>
    <w:rsid w:val="00EA0192"/>
    <w:rsid w:val="00EA04E8"/>
    <w:rsid w:val="00EA1081"/>
    <w:rsid w:val="00EA1763"/>
    <w:rsid w:val="00EA19B4"/>
    <w:rsid w:val="00EA1A0E"/>
    <w:rsid w:val="00EA1FAC"/>
    <w:rsid w:val="00EA2166"/>
    <w:rsid w:val="00EA256C"/>
    <w:rsid w:val="00EA2631"/>
    <w:rsid w:val="00EA31C2"/>
    <w:rsid w:val="00EA35E0"/>
    <w:rsid w:val="00EA3D9E"/>
    <w:rsid w:val="00EA410D"/>
    <w:rsid w:val="00EA44B1"/>
    <w:rsid w:val="00EA4750"/>
    <w:rsid w:val="00EA47E2"/>
    <w:rsid w:val="00EA4882"/>
    <w:rsid w:val="00EA5261"/>
    <w:rsid w:val="00EA53AB"/>
    <w:rsid w:val="00EA574A"/>
    <w:rsid w:val="00EA59AF"/>
    <w:rsid w:val="00EA5AA0"/>
    <w:rsid w:val="00EA5AA9"/>
    <w:rsid w:val="00EA5B81"/>
    <w:rsid w:val="00EA60BA"/>
    <w:rsid w:val="00EA612F"/>
    <w:rsid w:val="00EA639F"/>
    <w:rsid w:val="00EA6438"/>
    <w:rsid w:val="00EA6656"/>
    <w:rsid w:val="00EA6A77"/>
    <w:rsid w:val="00EA6A7E"/>
    <w:rsid w:val="00EA6B45"/>
    <w:rsid w:val="00EA6DF2"/>
    <w:rsid w:val="00EA7021"/>
    <w:rsid w:val="00EA768D"/>
    <w:rsid w:val="00EA7EAF"/>
    <w:rsid w:val="00EB007F"/>
    <w:rsid w:val="00EB02A3"/>
    <w:rsid w:val="00EB0586"/>
    <w:rsid w:val="00EB0637"/>
    <w:rsid w:val="00EB0870"/>
    <w:rsid w:val="00EB0FDB"/>
    <w:rsid w:val="00EB124F"/>
    <w:rsid w:val="00EB1BC0"/>
    <w:rsid w:val="00EB1E40"/>
    <w:rsid w:val="00EB24CE"/>
    <w:rsid w:val="00EB2C5D"/>
    <w:rsid w:val="00EB310F"/>
    <w:rsid w:val="00EB3717"/>
    <w:rsid w:val="00EB374A"/>
    <w:rsid w:val="00EB3B32"/>
    <w:rsid w:val="00EB3E6D"/>
    <w:rsid w:val="00EB4018"/>
    <w:rsid w:val="00EB4195"/>
    <w:rsid w:val="00EB4580"/>
    <w:rsid w:val="00EB47CF"/>
    <w:rsid w:val="00EB49C8"/>
    <w:rsid w:val="00EB4A34"/>
    <w:rsid w:val="00EB4BAB"/>
    <w:rsid w:val="00EB4C48"/>
    <w:rsid w:val="00EB4CCC"/>
    <w:rsid w:val="00EB4D68"/>
    <w:rsid w:val="00EB53D1"/>
    <w:rsid w:val="00EB6071"/>
    <w:rsid w:val="00EB6488"/>
    <w:rsid w:val="00EB6534"/>
    <w:rsid w:val="00EB6CD2"/>
    <w:rsid w:val="00EB6E61"/>
    <w:rsid w:val="00EB6EE1"/>
    <w:rsid w:val="00EB71A6"/>
    <w:rsid w:val="00EB720C"/>
    <w:rsid w:val="00EB776B"/>
    <w:rsid w:val="00EB79C0"/>
    <w:rsid w:val="00EB7AB6"/>
    <w:rsid w:val="00EC0423"/>
    <w:rsid w:val="00EC05F2"/>
    <w:rsid w:val="00EC110D"/>
    <w:rsid w:val="00EC192D"/>
    <w:rsid w:val="00EC2856"/>
    <w:rsid w:val="00EC2EFE"/>
    <w:rsid w:val="00EC3BB2"/>
    <w:rsid w:val="00EC3CEF"/>
    <w:rsid w:val="00EC40B7"/>
    <w:rsid w:val="00EC4285"/>
    <w:rsid w:val="00EC4318"/>
    <w:rsid w:val="00EC4373"/>
    <w:rsid w:val="00EC4A85"/>
    <w:rsid w:val="00EC4EB2"/>
    <w:rsid w:val="00EC51A2"/>
    <w:rsid w:val="00EC5C44"/>
    <w:rsid w:val="00EC5DDB"/>
    <w:rsid w:val="00EC662C"/>
    <w:rsid w:val="00EC699F"/>
    <w:rsid w:val="00EC69F9"/>
    <w:rsid w:val="00EC6AA1"/>
    <w:rsid w:val="00EC6DFE"/>
    <w:rsid w:val="00EC7A2A"/>
    <w:rsid w:val="00EC7F58"/>
    <w:rsid w:val="00ED030E"/>
    <w:rsid w:val="00ED06D6"/>
    <w:rsid w:val="00ED0DF8"/>
    <w:rsid w:val="00ED0E73"/>
    <w:rsid w:val="00ED0F0F"/>
    <w:rsid w:val="00ED107A"/>
    <w:rsid w:val="00ED16F4"/>
    <w:rsid w:val="00ED1912"/>
    <w:rsid w:val="00ED1F02"/>
    <w:rsid w:val="00ED255C"/>
    <w:rsid w:val="00ED273D"/>
    <w:rsid w:val="00ED2E6F"/>
    <w:rsid w:val="00ED317D"/>
    <w:rsid w:val="00ED34A2"/>
    <w:rsid w:val="00ED35FE"/>
    <w:rsid w:val="00ED3AF6"/>
    <w:rsid w:val="00ED3CFE"/>
    <w:rsid w:val="00ED41D5"/>
    <w:rsid w:val="00ED4690"/>
    <w:rsid w:val="00ED4BC6"/>
    <w:rsid w:val="00ED4C1E"/>
    <w:rsid w:val="00ED4E3A"/>
    <w:rsid w:val="00ED4F26"/>
    <w:rsid w:val="00ED56C0"/>
    <w:rsid w:val="00ED5A9D"/>
    <w:rsid w:val="00ED60CB"/>
    <w:rsid w:val="00ED6C3C"/>
    <w:rsid w:val="00ED7016"/>
    <w:rsid w:val="00ED747B"/>
    <w:rsid w:val="00ED7512"/>
    <w:rsid w:val="00ED78B1"/>
    <w:rsid w:val="00ED7B16"/>
    <w:rsid w:val="00ED7D59"/>
    <w:rsid w:val="00EE01E7"/>
    <w:rsid w:val="00EE067C"/>
    <w:rsid w:val="00EE0B23"/>
    <w:rsid w:val="00EE0C4A"/>
    <w:rsid w:val="00EE0CC5"/>
    <w:rsid w:val="00EE167D"/>
    <w:rsid w:val="00EE18D4"/>
    <w:rsid w:val="00EE1985"/>
    <w:rsid w:val="00EE1B8C"/>
    <w:rsid w:val="00EE1D2C"/>
    <w:rsid w:val="00EE211B"/>
    <w:rsid w:val="00EE23A7"/>
    <w:rsid w:val="00EE2600"/>
    <w:rsid w:val="00EE273B"/>
    <w:rsid w:val="00EE2A1D"/>
    <w:rsid w:val="00EE3079"/>
    <w:rsid w:val="00EE35C5"/>
    <w:rsid w:val="00EE3929"/>
    <w:rsid w:val="00EE3C9B"/>
    <w:rsid w:val="00EE4136"/>
    <w:rsid w:val="00EE4168"/>
    <w:rsid w:val="00EE4197"/>
    <w:rsid w:val="00EE43A0"/>
    <w:rsid w:val="00EE47A1"/>
    <w:rsid w:val="00EE50A3"/>
    <w:rsid w:val="00EE599F"/>
    <w:rsid w:val="00EE5B7C"/>
    <w:rsid w:val="00EE5E7D"/>
    <w:rsid w:val="00EE634C"/>
    <w:rsid w:val="00EE6616"/>
    <w:rsid w:val="00EE6D9F"/>
    <w:rsid w:val="00EE727D"/>
    <w:rsid w:val="00EE73CB"/>
    <w:rsid w:val="00EE7757"/>
    <w:rsid w:val="00EE7F3C"/>
    <w:rsid w:val="00EF099D"/>
    <w:rsid w:val="00EF0FA3"/>
    <w:rsid w:val="00EF202D"/>
    <w:rsid w:val="00EF268B"/>
    <w:rsid w:val="00EF272D"/>
    <w:rsid w:val="00EF279E"/>
    <w:rsid w:val="00EF2E18"/>
    <w:rsid w:val="00EF3171"/>
    <w:rsid w:val="00EF38CD"/>
    <w:rsid w:val="00EF3E16"/>
    <w:rsid w:val="00EF3F95"/>
    <w:rsid w:val="00EF4356"/>
    <w:rsid w:val="00EF45DF"/>
    <w:rsid w:val="00EF47CC"/>
    <w:rsid w:val="00EF4BD8"/>
    <w:rsid w:val="00EF4E56"/>
    <w:rsid w:val="00EF501E"/>
    <w:rsid w:val="00EF528F"/>
    <w:rsid w:val="00EF6036"/>
    <w:rsid w:val="00EF6183"/>
    <w:rsid w:val="00EF6B4B"/>
    <w:rsid w:val="00EF6BE4"/>
    <w:rsid w:val="00EF6C4B"/>
    <w:rsid w:val="00EF6D15"/>
    <w:rsid w:val="00EF6D40"/>
    <w:rsid w:val="00EF6E42"/>
    <w:rsid w:val="00EF77BD"/>
    <w:rsid w:val="00EF77DD"/>
    <w:rsid w:val="00F00197"/>
    <w:rsid w:val="00F00660"/>
    <w:rsid w:val="00F01068"/>
    <w:rsid w:val="00F0109D"/>
    <w:rsid w:val="00F010C5"/>
    <w:rsid w:val="00F017A0"/>
    <w:rsid w:val="00F01A95"/>
    <w:rsid w:val="00F01C64"/>
    <w:rsid w:val="00F01D65"/>
    <w:rsid w:val="00F02108"/>
    <w:rsid w:val="00F0238E"/>
    <w:rsid w:val="00F02558"/>
    <w:rsid w:val="00F027B5"/>
    <w:rsid w:val="00F02B81"/>
    <w:rsid w:val="00F02D8C"/>
    <w:rsid w:val="00F03799"/>
    <w:rsid w:val="00F0385B"/>
    <w:rsid w:val="00F03B31"/>
    <w:rsid w:val="00F03D07"/>
    <w:rsid w:val="00F03EDF"/>
    <w:rsid w:val="00F03FCB"/>
    <w:rsid w:val="00F045BF"/>
    <w:rsid w:val="00F046E0"/>
    <w:rsid w:val="00F04FCA"/>
    <w:rsid w:val="00F05296"/>
    <w:rsid w:val="00F056D7"/>
    <w:rsid w:val="00F05816"/>
    <w:rsid w:val="00F05BC8"/>
    <w:rsid w:val="00F05CF6"/>
    <w:rsid w:val="00F06111"/>
    <w:rsid w:val="00F06113"/>
    <w:rsid w:val="00F0662D"/>
    <w:rsid w:val="00F06734"/>
    <w:rsid w:val="00F06875"/>
    <w:rsid w:val="00F06C33"/>
    <w:rsid w:val="00F06C34"/>
    <w:rsid w:val="00F072D0"/>
    <w:rsid w:val="00F07442"/>
    <w:rsid w:val="00F07D6F"/>
    <w:rsid w:val="00F10730"/>
    <w:rsid w:val="00F10A4F"/>
    <w:rsid w:val="00F10B3E"/>
    <w:rsid w:val="00F11030"/>
    <w:rsid w:val="00F1121B"/>
    <w:rsid w:val="00F1134C"/>
    <w:rsid w:val="00F1147E"/>
    <w:rsid w:val="00F1183C"/>
    <w:rsid w:val="00F11AE2"/>
    <w:rsid w:val="00F11B8F"/>
    <w:rsid w:val="00F12120"/>
    <w:rsid w:val="00F125CD"/>
    <w:rsid w:val="00F12772"/>
    <w:rsid w:val="00F12DDF"/>
    <w:rsid w:val="00F12FCB"/>
    <w:rsid w:val="00F136E6"/>
    <w:rsid w:val="00F13702"/>
    <w:rsid w:val="00F13870"/>
    <w:rsid w:val="00F13BD2"/>
    <w:rsid w:val="00F1423F"/>
    <w:rsid w:val="00F14439"/>
    <w:rsid w:val="00F1554C"/>
    <w:rsid w:val="00F162D9"/>
    <w:rsid w:val="00F162FB"/>
    <w:rsid w:val="00F16410"/>
    <w:rsid w:val="00F165A8"/>
    <w:rsid w:val="00F16701"/>
    <w:rsid w:val="00F16752"/>
    <w:rsid w:val="00F1685E"/>
    <w:rsid w:val="00F1693E"/>
    <w:rsid w:val="00F16DCC"/>
    <w:rsid w:val="00F1706F"/>
    <w:rsid w:val="00F17D8F"/>
    <w:rsid w:val="00F17E6C"/>
    <w:rsid w:val="00F20046"/>
    <w:rsid w:val="00F201D2"/>
    <w:rsid w:val="00F20578"/>
    <w:rsid w:val="00F205DE"/>
    <w:rsid w:val="00F207A8"/>
    <w:rsid w:val="00F208E3"/>
    <w:rsid w:val="00F20EFD"/>
    <w:rsid w:val="00F20F3C"/>
    <w:rsid w:val="00F20FB0"/>
    <w:rsid w:val="00F216C3"/>
    <w:rsid w:val="00F219FC"/>
    <w:rsid w:val="00F22015"/>
    <w:rsid w:val="00F221E7"/>
    <w:rsid w:val="00F22266"/>
    <w:rsid w:val="00F227E1"/>
    <w:rsid w:val="00F22CB6"/>
    <w:rsid w:val="00F22D5B"/>
    <w:rsid w:val="00F2342E"/>
    <w:rsid w:val="00F23C4C"/>
    <w:rsid w:val="00F24724"/>
    <w:rsid w:val="00F24C3B"/>
    <w:rsid w:val="00F2515B"/>
    <w:rsid w:val="00F253C4"/>
    <w:rsid w:val="00F25495"/>
    <w:rsid w:val="00F25F57"/>
    <w:rsid w:val="00F26175"/>
    <w:rsid w:val="00F26381"/>
    <w:rsid w:val="00F263F5"/>
    <w:rsid w:val="00F264D8"/>
    <w:rsid w:val="00F26694"/>
    <w:rsid w:val="00F267FB"/>
    <w:rsid w:val="00F2699A"/>
    <w:rsid w:val="00F26E25"/>
    <w:rsid w:val="00F27276"/>
    <w:rsid w:val="00F2767D"/>
    <w:rsid w:val="00F27A90"/>
    <w:rsid w:val="00F27B0E"/>
    <w:rsid w:val="00F27DDD"/>
    <w:rsid w:val="00F27F26"/>
    <w:rsid w:val="00F308F6"/>
    <w:rsid w:val="00F315CD"/>
    <w:rsid w:val="00F31B96"/>
    <w:rsid w:val="00F31D29"/>
    <w:rsid w:val="00F31E65"/>
    <w:rsid w:val="00F32298"/>
    <w:rsid w:val="00F322C8"/>
    <w:rsid w:val="00F32A4C"/>
    <w:rsid w:val="00F3359C"/>
    <w:rsid w:val="00F33944"/>
    <w:rsid w:val="00F339DB"/>
    <w:rsid w:val="00F33B9F"/>
    <w:rsid w:val="00F34573"/>
    <w:rsid w:val="00F34667"/>
    <w:rsid w:val="00F346A4"/>
    <w:rsid w:val="00F34862"/>
    <w:rsid w:val="00F34A2F"/>
    <w:rsid w:val="00F34A73"/>
    <w:rsid w:val="00F34ED9"/>
    <w:rsid w:val="00F3572B"/>
    <w:rsid w:val="00F3635B"/>
    <w:rsid w:val="00F368E7"/>
    <w:rsid w:val="00F369D2"/>
    <w:rsid w:val="00F36AE2"/>
    <w:rsid w:val="00F376F2"/>
    <w:rsid w:val="00F37EE0"/>
    <w:rsid w:val="00F412D2"/>
    <w:rsid w:val="00F416CC"/>
    <w:rsid w:val="00F419AC"/>
    <w:rsid w:val="00F419C7"/>
    <w:rsid w:val="00F41C6B"/>
    <w:rsid w:val="00F42186"/>
    <w:rsid w:val="00F421F1"/>
    <w:rsid w:val="00F425A2"/>
    <w:rsid w:val="00F42631"/>
    <w:rsid w:val="00F427E9"/>
    <w:rsid w:val="00F43206"/>
    <w:rsid w:val="00F438D0"/>
    <w:rsid w:val="00F446BA"/>
    <w:rsid w:val="00F446EB"/>
    <w:rsid w:val="00F44984"/>
    <w:rsid w:val="00F44CE3"/>
    <w:rsid w:val="00F45045"/>
    <w:rsid w:val="00F4529B"/>
    <w:rsid w:val="00F45382"/>
    <w:rsid w:val="00F453DE"/>
    <w:rsid w:val="00F4544A"/>
    <w:rsid w:val="00F454FF"/>
    <w:rsid w:val="00F455ED"/>
    <w:rsid w:val="00F45A29"/>
    <w:rsid w:val="00F45C59"/>
    <w:rsid w:val="00F45CD1"/>
    <w:rsid w:val="00F45CD4"/>
    <w:rsid w:val="00F46080"/>
    <w:rsid w:val="00F46358"/>
    <w:rsid w:val="00F46503"/>
    <w:rsid w:val="00F46977"/>
    <w:rsid w:val="00F46EF2"/>
    <w:rsid w:val="00F46FF4"/>
    <w:rsid w:val="00F478E0"/>
    <w:rsid w:val="00F479D1"/>
    <w:rsid w:val="00F47C22"/>
    <w:rsid w:val="00F502B7"/>
    <w:rsid w:val="00F503C1"/>
    <w:rsid w:val="00F50A0A"/>
    <w:rsid w:val="00F50A8D"/>
    <w:rsid w:val="00F50FF7"/>
    <w:rsid w:val="00F51051"/>
    <w:rsid w:val="00F5122A"/>
    <w:rsid w:val="00F5176C"/>
    <w:rsid w:val="00F519D5"/>
    <w:rsid w:val="00F5200A"/>
    <w:rsid w:val="00F52051"/>
    <w:rsid w:val="00F521C8"/>
    <w:rsid w:val="00F52B0A"/>
    <w:rsid w:val="00F52B13"/>
    <w:rsid w:val="00F532C7"/>
    <w:rsid w:val="00F5384E"/>
    <w:rsid w:val="00F53921"/>
    <w:rsid w:val="00F53F5F"/>
    <w:rsid w:val="00F541BC"/>
    <w:rsid w:val="00F545D6"/>
    <w:rsid w:val="00F54629"/>
    <w:rsid w:val="00F54731"/>
    <w:rsid w:val="00F54896"/>
    <w:rsid w:val="00F551E3"/>
    <w:rsid w:val="00F555AE"/>
    <w:rsid w:val="00F55A3E"/>
    <w:rsid w:val="00F55E26"/>
    <w:rsid w:val="00F55ECD"/>
    <w:rsid w:val="00F56F46"/>
    <w:rsid w:val="00F570B9"/>
    <w:rsid w:val="00F57122"/>
    <w:rsid w:val="00F5755B"/>
    <w:rsid w:val="00F60575"/>
    <w:rsid w:val="00F606AC"/>
    <w:rsid w:val="00F60854"/>
    <w:rsid w:val="00F60E9C"/>
    <w:rsid w:val="00F60F4F"/>
    <w:rsid w:val="00F61412"/>
    <w:rsid w:val="00F615C1"/>
    <w:rsid w:val="00F61726"/>
    <w:rsid w:val="00F61911"/>
    <w:rsid w:val="00F61A0A"/>
    <w:rsid w:val="00F61EDD"/>
    <w:rsid w:val="00F6248E"/>
    <w:rsid w:val="00F62784"/>
    <w:rsid w:val="00F62824"/>
    <w:rsid w:val="00F62C4C"/>
    <w:rsid w:val="00F62F1D"/>
    <w:rsid w:val="00F63647"/>
    <w:rsid w:val="00F6383E"/>
    <w:rsid w:val="00F63B8E"/>
    <w:rsid w:val="00F63DBC"/>
    <w:rsid w:val="00F64751"/>
    <w:rsid w:val="00F648C6"/>
    <w:rsid w:val="00F64903"/>
    <w:rsid w:val="00F6502D"/>
    <w:rsid w:val="00F65134"/>
    <w:rsid w:val="00F65EA4"/>
    <w:rsid w:val="00F663BA"/>
    <w:rsid w:val="00F66D4D"/>
    <w:rsid w:val="00F66ED9"/>
    <w:rsid w:val="00F66FAB"/>
    <w:rsid w:val="00F67072"/>
    <w:rsid w:val="00F67237"/>
    <w:rsid w:val="00F67798"/>
    <w:rsid w:val="00F67FD0"/>
    <w:rsid w:val="00F704EB"/>
    <w:rsid w:val="00F70557"/>
    <w:rsid w:val="00F707BB"/>
    <w:rsid w:val="00F7106B"/>
    <w:rsid w:val="00F716D8"/>
    <w:rsid w:val="00F7236E"/>
    <w:rsid w:val="00F72906"/>
    <w:rsid w:val="00F72AFB"/>
    <w:rsid w:val="00F72D59"/>
    <w:rsid w:val="00F7300E"/>
    <w:rsid w:val="00F73254"/>
    <w:rsid w:val="00F73F79"/>
    <w:rsid w:val="00F745F1"/>
    <w:rsid w:val="00F7480D"/>
    <w:rsid w:val="00F7487F"/>
    <w:rsid w:val="00F74898"/>
    <w:rsid w:val="00F74C50"/>
    <w:rsid w:val="00F74DA7"/>
    <w:rsid w:val="00F74E76"/>
    <w:rsid w:val="00F74F09"/>
    <w:rsid w:val="00F7543E"/>
    <w:rsid w:val="00F75B3E"/>
    <w:rsid w:val="00F761A1"/>
    <w:rsid w:val="00F763E2"/>
    <w:rsid w:val="00F771A5"/>
    <w:rsid w:val="00F77706"/>
    <w:rsid w:val="00F7771E"/>
    <w:rsid w:val="00F77ED4"/>
    <w:rsid w:val="00F80241"/>
    <w:rsid w:val="00F80304"/>
    <w:rsid w:val="00F80607"/>
    <w:rsid w:val="00F80626"/>
    <w:rsid w:val="00F8139F"/>
    <w:rsid w:val="00F8161C"/>
    <w:rsid w:val="00F81623"/>
    <w:rsid w:val="00F81DF6"/>
    <w:rsid w:val="00F82CB3"/>
    <w:rsid w:val="00F82CC4"/>
    <w:rsid w:val="00F83336"/>
    <w:rsid w:val="00F8335A"/>
    <w:rsid w:val="00F8357F"/>
    <w:rsid w:val="00F8361D"/>
    <w:rsid w:val="00F83A70"/>
    <w:rsid w:val="00F83EAC"/>
    <w:rsid w:val="00F84765"/>
    <w:rsid w:val="00F84824"/>
    <w:rsid w:val="00F848D6"/>
    <w:rsid w:val="00F848E8"/>
    <w:rsid w:val="00F84AEC"/>
    <w:rsid w:val="00F851FB"/>
    <w:rsid w:val="00F853BA"/>
    <w:rsid w:val="00F853D4"/>
    <w:rsid w:val="00F86412"/>
    <w:rsid w:val="00F86508"/>
    <w:rsid w:val="00F865E6"/>
    <w:rsid w:val="00F8663F"/>
    <w:rsid w:val="00F86891"/>
    <w:rsid w:val="00F86E07"/>
    <w:rsid w:val="00F871E7"/>
    <w:rsid w:val="00F87733"/>
    <w:rsid w:val="00F87BB3"/>
    <w:rsid w:val="00F87D5B"/>
    <w:rsid w:val="00F900AB"/>
    <w:rsid w:val="00F902C7"/>
    <w:rsid w:val="00F906B5"/>
    <w:rsid w:val="00F910F8"/>
    <w:rsid w:val="00F911A0"/>
    <w:rsid w:val="00F9136D"/>
    <w:rsid w:val="00F91792"/>
    <w:rsid w:val="00F921FD"/>
    <w:rsid w:val="00F92573"/>
    <w:rsid w:val="00F925B6"/>
    <w:rsid w:val="00F92B22"/>
    <w:rsid w:val="00F93113"/>
    <w:rsid w:val="00F942CD"/>
    <w:rsid w:val="00F94481"/>
    <w:rsid w:val="00F94669"/>
    <w:rsid w:val="00F946F7"/>
    <w:rsid w:val="00F94820"/>
    <w:rsid w:val="00F949DF"/>
    <w:rsid w:val="00F94E71"/>
    <w:rsid w:val="00F94FA1"/>
    <w:rsid w:val="00F951C9"/>
    <w:rsid w:val="00F958F9"/>
    <w:rsid w:val="00F9591E"/>
    <w:rsid w:val="00F9617B"/>
    <w:rsid w:val="00F962F0"/>
    <w:rsid w:val="00F96836"/>
    <w:rsid w:val="00F96942"/>
    <w:rsid w:val="00F96A9E"/>
    <w:rsid w:val="00F97851"/>
    <w:rsid w:val="00F97880"/>
    <w:rsid w:val="00F97B08"/>
    <w:rsid w:val="00F97E94"/>
    <w:rsid w:val="00FA00EA"/>
    <w:rsid w:val="00FA02C6"/>
    <w:rsid w:val="00FA0B4B"/>
    <w:rsid w:val="00FA1137"/>
    <w:rsid w:val="00FA117F"/>
    <w:rsid w:val="00FA171D"/>
    <w:rsid w:val="00FA20A6"/>
    <w:rsid w:val="00FA221B"/>
    <w:rsid w:val="00FA241F"/>
    <w:rsid w:val="00FA26FF"/>
    <w:rsid w:val="00FA28C6"/>
    <w:rsid w:val="00FA2B25"/>
    <w:rsid w:val="00FA2C80"/>
    <w:rsid w:val="00FA2E90"/>
    <w:rsid w:val="00FA3440"/>
    <w:rsid w:val="00FA3918"/>
    <w:rsid w:val="00FA4546"/>
    <w:rsid w:val="00FA4E6C"/>
    <w:rsid w:val="00FA5446"/>
    <w:rsid w:val="00FA5A42"/>
    <w:rsid w:val="00FA5B55"/>
    <w:rsid w:val="00FA5D6D"/>
    <w:rsid w:val="00FA5F67"/>
    <w:rsid w:val="00FA60D4"/>
    <w:rsid w:val="00FA660D"/>
    <w:rsid w:val="00FA67BA"/>
    <w:rsid w:val="00FA6D8A"/>
    <w:rsid w:val="00FA6DB9"/>
    <w:rsid w:val="00FA760B"/>
    <w:rsid w:val="00FA7767"/>
    <w:rsid w:val="00FA788D"/>
    <w:rsid w:val="00FA7B36"/>
    <w:rsid w:val="00FA7BD7"/>
    <w:rsid w:val="00FA7F12"/>
    <w:rsid w:val="00FB03F6"/>
    <w:rsid w:val="00FB0C00"/>
    <w:rsid w:val="00FB1036"/>
    <w:rsid w:val="00FB10F5"/>
    <w:rsid w:val="00FB11EB"/>
    <w:rsid w:val="00FB1235"/>
    <w:rsid w:val="00FB17A5"/>
    <w:rsid w:val="00FB1A6F"/>
    <w:rsid w:val="00FB1B25"/>
    <w:rsid w:val="00FB203D"/>
    <w:rsid w:val="00FB287B"/>
    <w:rsid w:val="00FB29E3"/>
    <w:rsid w:val="00FB3248"/>
    <w:rsid w:val="00FB3FE3"/>
    <w:rsid w:val="00FB430B"/>
    <w:rsid w:val="00FB4764"/>
    <w:rsid w:val="00FB4A74"/>
    <w:rsid w:val="00FB4E9C"/>
    <w:rsid w:val="00FB51C0"/>
    <w:rsid w:val="00FB57B8"/>
    <w:rsid w:val="00FB5C3B"/>
    <w:rsid w:val="00FB60BD"/>
    <w:rsid w:val="00FB6177"/>
    <w:rsid w:val="00FB648A"/>
    <w:rsid w:val="00FB65C9"/>
    <w:rsid w:val="00FB6EAE"/>
    <w:rsid w:val="00FB7F45"/>
    <w:rsid w:val="00FC0211"/>
    <w:rsid w:val="00FC10DB"/>
    <w:rsid w:val="00FC13BF"/>
    <w:rsid w:val="00FC1DB4"/>
    <w:rsid w:val="00FC26DF"/>
    <w:rsid w:val="00FC2C6C"/>
    <w:rsid w:val="00FC2E0E"/>
    <w:rsid w:val="00FC2F85"/>
    <w:rsid w:val="00FC35AD"/>
    <w:rsid w:val="00FC3D79"/>
    <w:rsid w:val="00FC3D88"/>
    <w:rsid w:val="00FC4021"/>
    <w:rsid w:val="00FC53A1"/>
    <w:rsid w:val="00FC5969"/>
    <w:rsid w:val="00FC5FC4"/>
    <w:rsid w:val="00FC62C8"/>
    <w:rsid w:val="00FC63E4"/>
    <w:rsid w:val="00FC68FA"/>
    <w:rsid w:val="00FC695C"/>
    <w:rsid w:val="00FC6D11"/>
    <w:rsid w:val="00FC7F6A"/>
    <w:rsid w:val="00FD0136"/>
    <w:rsid w:val="00FD04CC"/>
    <w:rsid w:val="00FD05D9"/>
    <w:rsid w:val="00FD06F5"/>
    <w:rsid w:val="00FD0BF4"/>
    <w:rsid w:val="00FD1188"/>
    <w:rsid w:val="00FD1BAD"/>
    <w:rsid w:val="00FD1E78"/>
    <w:rsid w:val="00FD20E7"/>
    <w:rsid w:val="00FD219E"/>
    <w:rsid w:val="00FD289F"/>
    <w:rsid w:val="00FD2B73"/>
    <w:rsid w:val="00FD3455"/>
    <w:rsid w:val="00FD382F"/>
    <w:rsid w:val="00FD3CCF"/>
    <w:rsid w:val="00FD48C7"/>
    <w:rsid w:val="00FD4CA8"/>
    <w:rsid w:val="00FD4FE3"/>
    <w:rsid w:val="00FD51ED"/>
    <w:rsid w:val="00FD560A"/>
    <w:rsid w:val="00FD59A0"/>
    <w:rsid w:val="00FD6172"/>
    <w:rsid w:val="00FD6252"/>
    <w:rsid w:val="00FD699A"/>
    <w:rsid w:val="00FD6A55"/>
    <w:rsid w:val="00FD6BDC"/>
    <w:rsid w:val="00FD6C36"/>
    <w:rsid w:val="00FD6DC7"/>
    <w:rsid w:val="00FD6DF8"/>
    <w:rsid w:val="00FD6F5B"/>
    <w:rsid w:val="00FD7B8F"/>
    <w:rsid w:val="00FE0023"/>
    <w:rsid w:val="00FE06A3"/>
    <w:rsid w:val="00FE0CB7"/>
    <w:rsid w:val="00FE110D"/>
    <w:rsid w:val="00FE139A"/>
    <w:rsid w:val="00FE18FD"/>
    <w:rsid w:val="00FE1B5B"/>
    <w:rsid w:val="00FE1BFF"/>
    <w:rsid w:val="00FE1FE2"/>
    <w:rsid w:val="00FE2070"/>
    <w:rsid w:val="00FE2323"/>
    <w:rsid w:val="00FE2481"/>
    <w:rsid w:val="00FE256B"/>
    <w:rsid w:val="00FE2F54"/>
    <w:rsid w:val="00FE3499"/>
    <w:rsid w:val="00FE3B19"/>
    <w:rsid w:val="00FE3CDD"/>
    <w:rsid w:val="00FE3D72"/>
    <w:rsid w:val="00FE3E66"/>
    <w:rsid w:val="00FE4B97"/>
    <w:rsid w:val="00FE4FE1"/>
    <w:rsid w:val="00FE518A"/>
    <w:rsid w:val="00FE57CE"/>
    <w:rsid w:val="00FE604B"/>
    <w:rsid w:val="00FE6B44"/>
    <w:rsid w:val="00FE6B73"/>
    <w:rsid w:val="00FE7580"/>
    <w:rsid w:val="00FE79E2"/>
    <w:rsid w:val="00FE7CEE"/>
    <w:rsid w:val="00FE7DCD"/>
    <w:rsid w:val="00FE7E82"/>
    <w:rsid w:val="00FF028F"/>
    <w:rsid w:val="00FF083A"/>
    <w:rsid w:val="00FF0AF1"/>
    <w:rsid w:val="00FF0DE0"/>
    <w:rsid w:val="00FF0F99"/>
    <w:rsid w:val="00FF1A31"/>
    <w:rsid w:val="00FF1D5E"/>
    <w:rsid w:val="00FF24A5"/>
    <w:rsid w:val="00FF2851"/>
    <w:rsid w:val="00FF2ABC"/>
    <w:rsid w:val="00FF2EB6"/>
    <w:rsid w:val="00FF3A42"/>
    <w:rsid w:val="00FF3EF7"/>
    <w:rsid w:val="00FF424D"/>
    <w:rsid w:val="00FF45F6"/>
    <w:rsid w:val="00FF47D1"/>
    <w:rsid w:val="00FF4921"/>
    <w:rsid w:val="00FF5209"/>
    <w:rsid w:val="00FF5226"/>
    <w:rsid w:val="00FF5A26"/>
    <w:rsid w:val="00FF5A97"/>
    <w:rsid w:val="00FF5C51"/>
    <w:rsid w:val="00FF5D9C"/>
    <w:rsid w:val="00FF5EAD"/>
    <w:rsid w:val="00FF60A2"/>
    <w:rsid w:val="00FF6B7A"/>
    <w:rsid w:val="00FF735C"/>
    <w:rsid w:val="00FF73F4"/>
    <w:rsid w:val="00FF743F"/>
    <w:rsid w:val="00FF7757"/>
    <w:rsid w:val="00FF799D"/>
    <w:rsid w:val="00FF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10"/>
    <w:rPr>
      <w:rFonts w:ascii="Arial" w:eastAsia="Times New Roman" w:hAnsi="Arial"/>
    </w:rPr>
  </w:style>
  <w:style w:type="paragraph" w:styleId="Heading1">
    <w:name w:val="heading 1"/>
    <w:basedOn w:val="Normal"/>
    <w:next w:val="Normal"/>
    <w:link w:val="Heading1Char"/>
    <w:uiPriority w:val="99"/>
    <w:qFormat/>
    <w:rsid w:val="00F83EAC"/>
    <w:pPr>
      <w:outlineLvl w:val="0"/>
    </w:pPr>
    <w:rPr>
      <w:rFonts w:cs="Arial"/>
      <w:b/>
      <w:bCs/>
      <w:color w:val="1F497D"/>
      <w:sz w:val="32"/>
    </w:rPr>
  </w:style>
  <w:style w:type="paragraph" w:styleId="Heading2">
    <w:name w:val="heading 2"/>
    <w:basedOn w:val="Normal"/>
    <w:next w:val="Normal"/>
    <w:link w:val="Heading2Char"/>
    <w:uiPriority w:val="99"/>
    <w:qFormat/>
    <w:rsid w:val="00107245"/>
    <w:pPr>
      <w:tabs>
        <w:tab w:val="left" w:pos="900"/>
      </w:tabs>
      <w:spacing w:before="160" w:after="80"/>
      <w:outlineLvl w:val="1"/>
    </w:pPr>
    <w:rPr>
      <w:b/>
      <w:sz w:val="24"/>
      <w:szCs w:val="26"/>
    </w:rPr>
  </w:style>
  <w:style w:type="paragraph" w:styleId="Heading3">
    <w:name w:val="heading 3"/>
    <w:basedOn w:val="Heading2"/>
    <w:next w:val="Normal"/>
    <w:link w:val="Heading3Char"/>
    <w:uiPriority w:val="99"/>
    <w:qFormat/>
    <w:rsid w:val="00DD0652"/>
    <w:pPr>
      <w:tabs>
        <w:tab w:val="clear" w:pos="900"/>
      </w:tabs>
      <w:spacing w:after="0"/>
      <w:outlineLvl w:val="2"/>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3EAC"/>
    <w:rPr>
      <w:rFonts w:ascii="Arial" w:hAnsi="Arial" w:cs="Arial"/>
      <w:b/>
      <w:bCs/>
      <w:color w:val="1F497D"/>
      <w:sz w:val="32"/>
    </w:rPr>
  </w:style>
  <w:style w:type="character" w:customStyle="1" w:styleId="Heading2Char">
    <w:name w:val="Heading 2 Char"/>
    <w:basedOn w:val="DefaultParagraphFont"/>
    <w:link w:val="Heading2"/>
    <w:uiPriority w:val="99"/>
    <w:locked/>
    <w:rsid w:val="00107245"/>
    <w:rPr>
      <w:rFonts w:ascii="Arial" w:hAnsi="Arial" w:cs="Times New Roman"/>
      <w:b/>
      <w:sz w:val="26"/>
      <w:szCs w:val="26"/>
    </w:rPr>
  </w:style>
  <w:style w:type="character" w:customStyle="1" w:styleId="Heading3Char">
    <w:name w:val="Heading 3 Char"/>
    <w:basedOn w:val="DefaultParagraphFont"/>
    <w:link w:val="Heading3"/>
    <w:uiPriority w:val="99"/>
    <w:locked/>
    <w:rsid w:val="00DD0652"/>
    <w:rPr>
      <w:rFonts w:ascii="Arial" w:hAnsi="Arial" w:cs="Times New Roman"/>
      <w:b/>
      <w:sz w:val="24"/>
    </w:rPr>
  </w:style>
  <w:style w:type="table" w:styleId="TableGrid">
    <w:name w:val="Table Grid"/>
    <w:basedOn w:val="TableNormal"/>
    <w:uiPriority w:val="99"/>
    <w:rsid w:val="008316A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alStatement">
    <w:name w:val="Goal Statement"/>
    <w:basedOn w:val="ObjectiveStatement"/>
    <w:uiPriority w:val="99"/>
    <w:rsid w:val="00040F1D"/>
    <w:pPr>
      <w:shd w:val="clear" w:color="auto" w:fill="auto"/>
      <w:ind w:left="0" w:firstLine="0"/>
    </w:pPr>
    <w:rPr>
      <w:szCs w:val="22"/>
    </w:rPr>
  </w:style>
  <w:style w:type="paragraph" w:styleId="ListParagraph">
    <w:name w:val="List Paragraph"/>
    <w:basedOn w:val="Normal"/>
    <w:uiPriority w:val="99"/>
    <w:qFormat/>
    <w:rsid w:val="00110DD1"/>
    <w:pPr>
      <w:numPr>
        <w:numId w:val="3"/>
      </w:numPr>
      <w:ind w:left="1350" w:right="-450" w:hanging="180"/>
      <w:contextualSpacing/>
    </w:pPr>
    <w:rPr>
      <w:rFonts w:eastAsia="Calibri" w:cs="Arial"/>
    </w:rPr>
  </w:style>
  <w:style w:type="paragraph" w:styleId="Header">
    <w:name w:val="header"/>
    <w:basedOn w:val="Normal"/>
    <w:link w:val="HeaderChar"/>
    <w:uiPriority w:val="99"/>
    <w:rsid w:val="008316AB"/>
    <w:pPr>
      <w:tabs>
        <w:tab w:val="center" w:pos="4680"/>
        <w:tab w:val="right" w:pos="9360"/>
      </w:tabs>
    </w:pPr>
  </w:style>
  <w:style w:type="character" w:customStyle="1" w:styleId="HeaderChar">
    <w:name w:val="Header Char"/>
    <w:basedOn w:val="DefaultParagraphFont"/>
    <w:link w:val="Header"/>
    <w:uiPriority w:val="99"/>
    <w:locked/>
    <w:rsid w:val="008316AB"/>
    <w:rPr>
      <w:rFonts w:ascii="Arial" w:hAnsi="Arial" w:cs="Times New Roman"/>
    </w:rPr>
  </w:style>
  <w:style w:type="paragraph" w:styleId="Footer">
    <w:name w:val="footer"/>
    <w:basedOn w:val="Normal"/>
    <w:link w:val="FooterChar"/>
    <w:uiPriority w:val="99"/>
    <w:rsid w:val="008316AB"/>
    <w:pPr>
      <w:tabs>
        <w:tab w:val="center" w:pos="4680"/>
        <w:tab w:val="right" w:pos="9360"/>
      </w:tabs>
    </w:pPr>
  </w:style>
  <w:style w:type="character" w:customStyle="1" w:styleId="FooterChar">
    <w:name w:val="Footer Char"/>
    <w:basedOn w:val="DefaultParagraphFont"/>
    <w:link w:val="Footer"/>
    <w:uiPriority w:val="99"/>
    <w:locked/>
    <w:rsid w:val="008316AB"/>
    <w:rPr>
      <w:rFonts w:ascii="Arial" w:hAnsi="Arial" w:cs="Times New Roman"/>
    </w:rPr>
  </w:style>
  <w:style w:type="paragraph" w:styleId="TOC1">
    <w:name w:val="toc 1"/>
    <w:basedOn w:val="Normal"/>
    <w:next w:val="Normal"/>
    <w:autoRedefine/>
    <w:uiPriority w:val="99"/>
    <w:rsid w:val="00A808B8"/>
    <w:pPr>
      <w:tabs>
        <w:tab w:val="right" w:leader="dot" w:pos="10080"/>
      </w:tabs>
      <w:spacing w:after="60"/>
    </w:pPr>
    <w:rPr>
      <w:rFonts w:cs="Arial"/>
      <w:b/>
      <w:noProof/>
    </w:rPr>
  </w:style>
  <w:style w:type="paragraph" w:styleId="TOC2">
    <w:name w:val="toc 2"/>
    <w:basedOn w:val="Normal"/>
    <w:next w:val="Normal"/>
    <w:autoRedefine/>
    <w:uiPriority w:val="99"/>
    <w:rsid w:val="00A808B8"/>
    <w:pPr>
      <w:tabs>
        <w:tab w:val="right" w:leader="dot" w:pos="10080"/>
      </w:tabs>
      <w:spacing w:before="20" w:after="40"/>
      <w:ind w:left="547"/>
    </w:pPr>
    <w:rPr>
      <w:rFonts w:cs="Arial"/>
      <w:noProof/>
      <w:sz w:val="20"/>
    </w:rPr>
  </w:style>
  <w:style w:type="character" w:styleId="Hyperlink">
    <w:name w:val="Hyperlink"/>
    <w:basedOn w:val="DefaultParagraphFont"/>
    <w:uiPriority w:val="99"/>
    <w:rsid w:val="008316AB"/>
    <w:rPr>
      <w:rFonts w:cs="Times New Roman"/>
      <w:color w:val="0000FF"/>
      <w:u w:val="single"/>
    </w:rPr>
  </w:style>
  <w:style w:type="paragraph" w:customStyle="1" w:styleId="ObjectiveStatement">
    <w:name w:val="Objective Statement"/>
    <w:basedOn w:val="Normal"/>
    <w:next w:val="BodyText"/>
    <w:uiPriority w:val="99"/>
    <w:rsid w:val="00CB2B0E"/>
    <w:pPr>
      <w:keepNext/>
      <w:shd w:val="clear" w:color="auto" w:fill="DBE5F1"/>
      <w:spacing w:before="120" w:after="120"/>
      <w:ind w:left="1800" w:hanging="1800"/>
    </w:pPr>
    <w:rPr>
      <w:rFonts w:cs="Arial"/>
      <w:b/>
      <w:szCs w:val="24"/>
    </w:rPr>
  </w:style>
  <w:style w:type="paragraph" w:styleId="BodyText">
    <w:name w:val="Body Text"/>
    <w:basedOn w:val="Normal"/>
    <w:link w:val="BodyTextChar"/>
    <w:uiPriority w:val="99"/>
    <w:rsid w:val="00107245"/>
    <w:pPr>
      <w:spacing w:before="120"/>
    </w:pPr>
    <w:rPr>
      <w:rFonts w:eastAsia="Calibri" w:cs="Arial"/>
    </w:rPr>
  </w:style>
  <w:style w:type="character" w:customStyle="1" w:styleId="BodyTextChar">
    <w:name w:val="Body Text Char"/>
    <w:basedOn w:val="DefaultParagraphFont"/>
    <w:link w:val="BodyText"/>
    <w:uiPriority w:val="99"/>
    <w:locked/>
    <w:rsid w:val="00107245"/>
    <w:rPr>
      <w:rFonts w:ascii="Arial" w:hAnsi="Arial" w:cs="Arial"/>
    </w:rPr>
  </w:style>
  <w:style w:type="paragraph" w:customStyle="1" w:styleId="Strategies">
    <w:name w:val="Strategies"/>
    <w:basedOn w:val="Normal"/>
    <w:uiPriority w:val="99"/>
    <w:rsid w:val="00E32784"/>
    <w:pPr>
      <w:ind w:left="1620" w:hanging="990"/>
    </w:pPr>
    <w:rPr>
      <w:rFonts w:cs="Arial"/>
      <w:szCs w:val="24"/>
    </w:rPr>
  </w:style>
  <w:style w:type="paragraph" w:customStyle="1" w:styleId="Name">
    <w:name w:val="Name"/>
    <w:basedOn w:val="Normal"/>
    <w:uiPriority w:val="99"/>
    <w:rsid w:val="00136F6B"/>
    <w:pPr>
      <w:spacing w:before="80"/>
    </w:pPr>
  </w:style>
  <w:style w:type="paragraph" w:styleId="FootnoteText">
    <w:name w:val="footnote text"/>
    <w:basedOn w:val="Normal"/>
    <w:link w:val="FootnoteTextChar"/>
    <w:uiPriority w:val="99"/>
    <w:rsid w:val="00925017"/>
    <w:rPr>
      <w:rFonts w:eastAsia="Calibri"/>
      <w:sz w:val="20"/>
      <w:szCs w:val="20"/>
    </w:rPr>
  </w:style>
  <w:style w:type="character" w:customStyle="1" w:styleId="FootnoteTextChar">
    <w:name w:val="Footnote Text Char"/>
    <w:basedOn w:val="DefaultParagraphFont"/>
    <w:link w:val="FootnoteText"/>
    <w:uiPriority w:val="99"/>
    <w:locked/>
    <w:rsid w:val="00925017"/>
    <w:rPr>
      <w:rFonts w:ascii="Arial" w:hAnsi="Arial" w:cs="Times New Roman"/>
      <w:sz w:val="20"/>
      <w:szCs w:val="20"/>
    </w:rPr>
  </w:style>
  <w:style w:type="character" w:styleId="FootnoteReference">
    <w:name w:val="footnote reference"/>
    <w:basedOn w:val="DefaultParagraphFont"/>
    <w:uiPriority w:val="99"/>
    <w:rsid w:val="00D74E2D"/>
    <w:rPr>
      <w:rFonts w:cs="Times New Roman"/>
      <w:vertAlign w:val="superscript"/>
    </w:rPr>
  </w:style>
  <w:style w:type="character" w:styleId="CommentReference">
    <w:name w:val="annotation reference"/>
    <w:basedOn w:val="DefaultParagraphFont"/>
    <w:uiPriority w:val="99"/>
    <w:rsid w:val="00D74E2D"/>
    <w:rPr>
      <w:rFonts w:cs="Times New Roman"/>
      <w:sz w:val="16"/>
      <w:szCs w:val="16"/>
    </w:rPr>
  </w:style>
  <w:style w:type="paragraph" w:styleId="CommentText">
    <w:name w:val="annotation text"/>
    <w:basedOn w:val="Normal"/>
    <w:link w:val="CommentTextChar"/>
    <w:uiPriority w:val="99"/>
    <w:rsid w:val="00D74E2D"/>
    <w:pPr>
      <w:spacing w:after="200"/>
    </w:pPr>
    <w:rPr>
      <w:rFonts w:ascii="Calibri" w:hAnsi="Calibri"/>
      <w:sz w:val="20"/>
      <w:szCs w:val="20"/>
    </w:rPr>
  </w:style>
  <w:style w:type="character" w:customStyle="1" w:styleId="CommentTextChar">
    <w:name w:val="Comment Text Char"/>
    <w:basedOn w:val="DefaultParagraphFont"/>
    <w:link w:val="CommentText"/>
    <w:uiPriority w:val="99"/>
    <w:locked/>
    <w:rsid w:val="00D74E2D"/>
    <w:rPr>
      <w:rFonts w:ascii="Calibri" w:hAnsi="Calibri" w:cs="Times New Roman"/>
      <w:sz w:val="20"/>
      <w:szCs w:val="20"/>
    </w:rPr>
  </w:style>
  <w:style w:type="paragraph" w:styleId="BalloonText">
    <w:name w:val="Balloon Text"/>
    <w:basedOn w:val="Normal"/>
    <w:link w:val="BalloonTextChar"/>
    <w:uiPriority w:val="99"/>
    <w:rsid w:val="00D74E2D"/>
    <w:rPr>
      <w:rFonts w:ascii="Tahoma" w:hAnsi="Tahoma" w:cs="Tahoma"/>
      <w:sz w:val="16"/>
      <w:szCs w:val="16"/>
    </w:rPr>
  </w:style>
  <w:style w:type="character" w:customStyle="1" w:styleId="BalloonTextChar">
    <w:name w:val="Balloon Text Char"/>
    <w:basedOn w:val="DefaultParagraphFont"/>
    <w:link w:val="BalloonText"/>
    <w:uiPriority w:val="99"/>
    <w:locked/>
    <w:rsid w:val="00D74E2D"/>
    <w:rPr>
      <w:rFonts w:ascii="Tahoma" w:hAnsi="Tahoma" w:cs="Tahoma"/>
      <w:sz w:val="16"/>
      <w:szCs w:val="16"/>
    </w:rPr>
  </w:style>
  <w:style w:type="paragraph" w:customStyle="1" w:styleId="Strategiessubbullets">
    <w:name w:val="Strategies subbullets"/>
    <w:basedOn w:val="Strategies"/>
    <w:uiPriority w:val="99"/>
    <w:rsid w:val="007348F7"/>
    <w:pPr>
      <w:numPr>
        <w:numId w:val="2"/>
      </w:numPr>
      <w:ind w:left="3240"/>
    </w:pPr>
    <w:rPr>
      <w:sz w:val="20"/>
    </w:rPr>
  </w:style>
  <w:style w:type="paragraph" w:styleId="TOC3">
    <w:name w:val="toc 3"/>
    <w:basedOn w:val="Normal"/>
    <w:next w:val="Normal"/>
    <w:autoRedefine/>
    <w:uiPriority w:val="99"/>
    <w:rsid w:val="00A808B8"/>
    <w:pPr>
      <w:tabs>
        <w:tab w:val="right" w:leader="dot" w:pos="10080"/>
      </w:tabs>
      <w:ind w:left="806"/>
    </w:pPr>
    <w:rPr>
      <w:noProof/>
      <w:sz w:val="20"/>
    </w:rPr>
  </w:style>
  <w:style w:type="paragraph" w:styleId="CommentSubject">
    <w:name w:val="annotation subject"/>
    <w:basedOn w:val="CommentText"/>
    <w:next w:val="CommentText"/>
    <w:link w:val="CommentSubjectChar"/>
    <w:uiPriority w:val="99"/>
    <w:semiHidden/>
    <w:rsid w:val="008346F6"/>
    <w:pPr>
      <w:spacing w:after="0"/>
    </w:pPr>
    <w:rPr>
      <w:rFonts w:ascii="Arial" w:hAnsi="Arial"/>
      <w:b/>
      <w:bCs/>
    </w:rPr>
  </w:style>
  <w:style w:type="character" w:customStyle="1" w:styleId="CommentSubjectChar">
    <w:name w:val="Comment Subject Char"/>
    <w:basedOn w:val="CommentTextChar"/>
    <w:link w:val="CommentSubject"/>
    <w:uiPriority w:val="99"/>
    <w:semiHidden/>
    <w:locked/>
    <w:rsid w:val="008346F6"/>
    <w:rPr>
      <w:rFonts w:ascii="Arial" w:hAnsi="Arial" w:cs="Times New Roman"/>
      <w:b/>
      <w:bCs/>
      <w:sz w:val="20"/>
      <w:szCs w:val="20"/>
    </w:rPr>
  </w:style>
  <w:style w:type="paragraph" w:styleId="EndnoteText">
    <w:name w:val="endnote text"/>
    <w:basedOn w:val="Normal"/>
    <w:link w:val="EndnoteTextChar"/>
    <w:uiPriority w:val="99"/>
    <w:rsid w:val="00697BD9"/>
    <w:pPr>
      <w:ind w:left="288" w:hanging="288"/>
    </w:pPr>
    <w:rPr>
      <w:rFonts w:eastAsia="Calibri"/>
      <w:sz w:val="20"/>
      <w:szCs w:val="20"/>
    </w:rPr>
  </w:style>
  <w:style w:type="character" w:customStyle="1" w:styleId="EndnoteTextChar">
    <w:name w:val="Endnote Text Char"/>
    <w:basedOn w:val="DefaultParagraphFont"/>
    <w:link w:val="EndnoteText"/>
    <w:uiPriority w:val="99"/>
    <w:locked/>
    <w:rsid w:val="00697BD9"/>
    <w:rPr>
      <w:rFonts w:ascii="Arial" w:hAnsi="Arial" w:cs="Times New Roman"/>
      <w:sz w:val="20"/>
      <w:szCs w:val="20"/>
    </w:rPr>
  </w:style>
  <w:style w:type="paragraph" w:styleId="BodyText2">
    <w:name w:val="Body Text 2"/>
    <w:basedOn w:val="BodyText"/>
    <w:link w:val="BodyText2Char"/>
    <w:uiPriority w:val="99"/>
    <w:rsid w:val="00112CDD"/>
    <w:pPr>
      <w:keepNext/>
      <w:spacing w:before="160"/>
    </w:pPr>
    <w:rPr>
      <w:i/>
    </w:rPr>
  </w:style>
  <w:style w:type="character" w:customStyle="1" w:styleId="BodyText2Char">
    <w:name w:val="Body Text 2 Char"/>
    <w:basedOn w:val="DefaultParagraphFont"/>
    <w:link w:val="BodyText2"/>
    <w:uiPriority w:val="99"/>
    <w:locked/>
    <w:rsid w:val="00112CDD"/>
    <w:rPr>
      <w:rFonts w:ascii="Arial" w:hAnsi="Arial" w:cs="Arial"/>
      <w:i/>
    </w:rPr>
  </w:style>
  <w:style w:type="paragraph" w:customStyle="1" w:styleId="Partners">
    <w:name w:val="Partners"/>
    <w:basedOn w:val="Normal"/>
    <w:uiPriority w:val="99"/>
    <w:rsid w:val="00577B35"/>
    <w:pPr>
      <w:numPr>
        <w:numId w:val="1"/>
      </w:numPr>
      <w:contextualSpacing/>
    </w:pPr>
    <w:rPr>
      <w:rFonts w:cs="Arial"/>
      <w:sz w:val="20"/>
      <w:szCs w:val="20"/>
    </w:rPr>
  </w:style>
  <w:style w:type="character" w:styleId="EndnoteReference">
    <w:name w:val="endnote reference"/>
    <w:basedOn w:val="DefaultParagraphFont"/>
    <w:uiPriority w:val="99"/>
    <w:rsid w:val="008346F6"/>
    <w:rPr>
      <w:rFonts w:cs="Times New Roman"/>
      <w:vertAlign w:val="superscript"/>
    </w:rPr>
  </w:style>
  <w:style w:type="paragraph" w:styleId="BodyTextFirstIndent">
    <w:name w:val="Body Text First Indent"/>
    <w:basedOn w:val="BodyText"/>
    <w:link w:val="BodyTextFirstIndentChar"/>
    <w:uiPriority w:val="99"/>
    <w:semiHidden/>
    <w:rsid w:val="00056DF7"/>
    <w:pPr>
      <w:spacing w:before="0"/>
      <w:ind w:firstLine="360"/>
    </w:pPr>
    <w:rPr>
      <w:rFonts w:eastAsia="Times New Roman" w:cs="Times New Roman"/>
    </w:rPr>
  </w:style>
  <w:style w:type="character" w:customStyle="1" w:styleId="BodyTextFirstIndentChar">
    <w:name w:val="Body Text First Indent Char"/>
    <w:basedOn w:val="BodyTextChar"/>
    <w:link w:val="BodyTextFirstIndent"/>
    <w:uiPriority w:val="99"/>
    <w:semiHidden/>
    <w:locked/>
    <w:rsid w:val="00056DF7"/>
    <w:rPr>
      <w:rFonts w:ascii="Arial" w:hAnsi="Arial" w:cs="Times New Roman"/>
      <w:sz w:val="20"/>
    </w:rPr>
  </w:style>
  <w:style w:type="paragraph" w:styleId="PlainText">
    <w:name w:val="Plain Text"/>
    <w:basedOn w:val="Normal"/>
    <w:link w:val="PlainTextChar"/>
    <w:uiPriority w:val="99"/>
    <w:rsid w:val="00AF7EC6"/>
    <w:rPr>
      <w:rFonts w:ascii="Calibri" w:eastAsia="Calibri" w:hAnsi="Calibri"/>
      <w:szCs w:val="21"/>
    </w:rPr>
  </w:style>
  <w:style w:type="character" w:customStyle="1" w:styleId="PlainTextChar">
    <w:name w:val="Plain Text Char"/>
    <w:basedOn w:val="DefaultParagraphFont"/>
    <w:link w:val="PlainText"/>
    <w:uiPriority w:val="99"/>
    <w:locked/>
    <w:rsid w:val="00AF7EC6"/>
    <w:rPr>
      <w:rFonts w:eastAsia="Times New Roman" w:cs="Times New Roman"/>
      <w:sz w:val="21"/>
      <w:szCs w:val="21"/>
    </w:rPr>
  </w:style>
  <w:style w:type="paragraph" w:customStyle="1" w:styleId="StrategiesCategoryTitles">
    <w:name w:val="Strategies Category Titles"/>
    <w:basedOn w:val="Normal"/>
    <w:next w:val="Strategies"/>
    <w:uiPriority w:val="99"/>
    <w:rsid w:val="006F356A"/>
    <w:pPr>
      <w:keepNext/>
      <w:spacing w:before="80"/>
      <w:ind w:left="1620"/>
    </w:pPr>
    <w:rPr>
      <w:rFonts w:cs="Arial"/>
      <w:szCs w:val="24"/>
    </w:rPr>
  </w:style>
  <w:style w:type="character" w:styleId="Strong">
    <w:name w:val="Strong"/>
    <w:basedOn w:val="DefaultParagraphFont"/>
    <w:uiPriority w:val="99"/>
    <w:qFormat/>
    <w:rsid w:val="00196BC5"/>
    <w:rPr>
      <w:rFonts w:cs="Times New Roman"/>
      <w:b/>
      <w:bCs/>
    </w:rPr>
  </w:style>
  <w:style w:type="paragraph" w:styleId="NormalWeb">
    <w:name w:val="Normal (Web)"/>
    <w:basedOn w:val="Normal"/>
    <w:uiPriority w:val="99"/>
    <w:rsid w:val="00112CDD"/>
    <w:pPr>
      <w:spacing w:before="100" w:beforeAutospacing="1" w:after="100" w:afterAutospacing="1"/>
    </w:pPr>
    <w:rPr>
      <w:rFonts w:ascii="Times New Roman" w:hAnsi="Times New Roman"/>
      <w:sz w:val="24"/>
      <w:szCs w:val="24"/>
    </w:rPr>
  </w:style>
  <w:style w:type="paragraph" w:customStyle="1" w:styleId="TableBaseline2020Target">
    <w:name w:val="Table: Baseline/2020Target"/>
    <w:basedOn w:val="Normal"/>
    <w:uiPriority w:val="99"/>
    <w:rsid w:val="00391134"/>
    <w:pPr>
      <w:ind w:left="-54"/>
      <w:jc w:val="center"/>
    </w:pPr>
    <w:rPr>
      <w:rFonts w:eastAsia="Calibri" w:cs="Arial"/>
      <w:sz w:val="20"/>
    </w:rPr>
  </w:style>
  <w:style w:type="paragraph" w:customStyle="1" w:styleId="TableTitleTargetDataSource">
    <w:name w:val="Table Title: TargetDataSource"/>
    <w:basedOn w:val="TableTitleBaseline2020Target"/>
    <w:uiPriority w:val="99"/>
    <w:rsid w:val="005A703F"/>
    <w:pPr>
      <w:jc w:val="left"/>
    </w:pPr>
  </w:style>
  <w:style w:type="paragraph" w:customStyle="1" w:styleId="TableTitleBaseline2020Target">
    <w:name w:val="Table Title: Baseline/2020 Target"/>
    <w:basedOn w:val="Normal"/>
    <w:uiPriority w:val="99"/>
    <w:rsid w:val="005A703F"/>
    <w:pPr>
      <w:keepNext/>
      <w:spacing w:before="40" w:after="40"/>
      <w:jc w:val="center"/>
    </w:pPr>
    <w:rPr>
      <w:rFonts w:eastAsia="Calibri" w:cs="Arial"/>
      <w:b/>
      <w:sz w:val="20"/>
    </w:rPr>
  </w:style>
  <w:style w:type="paragraph" w:customStyle="1" w:styleId="TableDataSource">
    <w:name w:val="Table: Data Source"/>
    <w:basedOn w:val="TableBaseline2020Target"/>
    <w:uiPriority w:val="99"/>
    <w:rsid w:val="00391134"/>
    <w:pPr>
      <w:keepNext/>
      <w:ind w:left="0"/>
      <w:jc w:val="left"/>
    </w:pPr>
    <w:rPr>
      <w:i/>
    </w:rPr>
  </w:style>
  <w:style w:type="paragraph" w:customStyle="1" w:styleId="TargetNote">
    <w:name w:val="Target Note"/>
    <w:basedOn w:val="ObjectiveStatement"/>
    <w:uiPriority w:val="99"/>
    <w:rsid w:val="00286FD1"/>
    <w:pPr>
      <w:shd w:val="clear" w:color="auto" w:fill="auto"/>
      <w:ind w:left="1710" w:firstLine="0"/>
    </w:pPr>
    <w:rPr>
      <w:b w:val="0"/>
      <w:i/>
      <w:sz w:val="20"/>
    </w:rPr>
  </w:style>
  <w:style w:type="paragraph" w:customStyle="1" w:styleId="StrategiesTitle">
    <w:name w:val="Strategies Title"/>
    <w:basedOn w:val="Normal"/>
    <w:uiPriority w:val="99"/>
    <w:rsid w:val="00CA4605"/>
    <w:pPr>
      <w:keepNext/>
      <w:spacing w:before="120"/>
      <w:ind w:left="900" w:hanging="360"/>
    </w:pPr>
    <w:rPr>
      <w:rFonts w:cs="Arial"/>
      <w:i/>
    </w:rPr>
  </w:style>
  <w:style w:type="paragraph" w:customStyle="1" w:styleId="Organization">
    <w:name w:val="Organization"/>
    <w:basedOn w:val="Normal"/>
    <w:uiPriority w:val="99"/>
    <w:rsid w:val="00136F6B"/>
    <w:rPr>
      <w:i/>
    </w:rPr>
  </w:style>
  <w:style w:type="paragraph" w:customStyle="1" w:styleId="BodyTextFirstIndBULLETS">
    <w:name w:val="Body Text First Ind BULLETS"/>
    <w:basedOn w:val="BodyTextFirstIndent"/>
    <w:uiPriority w:val="99"/>
    <w:rsid w:val="008E318F"/>
    <w:pPr>
      <w:numPr>
        <w:numId w:val="7"/>
      </w:numPr>
      <w:ind w:left="720"/>
    </w:pPr>
    <w:rPr>
      <w:rFonts w:ascii="Calibri" w:eastAsia="Calibri" w:hAnsi="Calibri"/>
    </w:rPr>
  </w:style>
  <w:style w:type="paragraph" w:styleId="Revision">
    <w:name w:val="Revision"/>
    <w:hidden/>
    <w:uiPriority w:val="99"/>
    <w:semiHidden/>
    <w:rsid w:val="009A3FCD"/>
    <w:rPr>
      <w:rFonts w:ascii="Arial" w:eastAsia="Times New Roman" w:hAnsi="Arial"/>
    </w:rPr>
  </w:style>
  <w:style w:type="paragraph" w:customStyle="1" w:styleId="ListNumbered">
    <w:name w:val="List Numbered"/>
    <w:basedOn w:val="BodyText"/>
    <w:uiPriority w:val="99"/>
    <w:rsid w:val="004F2263"/>
    <w:pPr>
      <w:numPr>
        <w:numId w:val="9"/>
      </w:numPr>
    </w:pPr>
  </w:style>
  <w:style w:type="character" w:styleId="FollowedHyperlink">
    <w:name w:val="FollowedHyperlink"/>
    <w:basedOn w:val="DefaultParagraphFont"/>
    <w:uiPriority w:val="99"/>
    <w:semiHidden/>
    <w:rsid w:val="00321811"/>
    <w:rPr>
      <w:rFonts w:cs="Times New Roman"/>
      <w:color w:val="800080"/>
      <w:u w:val="single"/>
    </w:rPr>
  </w:style>
  <w:style w:type="paragraph" w:customStyle="1" w:styleId="intro">
    <w:name w:val="intro"/>
    <w:basedOn w:val="Normal"/>
    <w:uiPriority w:val="99"/>
    <w:rsid w:val="00CD0F04"/>
    <w:pPr>
      <w:spacing w:before="100" w:beforeAutospacing="1" w:after="100" w:afterAutospacing="1"/>
    </w:pPr>
    <w:rPr>
      <w:rFonts w:ascii="Times New Roman" w:eastAsia="Calibri" w:hAnsi="Times New Roman"/>
      <w:sz w:val="24"/>
      <w:szCs w:val="24"/>
    </w:rPr>
  </w:style>
  <w:style w:type="character" w:customStyle="1" w:styleId="citation-abbreviation">
    <w:name w:val="citation-abbreviation"/>
    <w:basedOn w:val="DefaultParagraphFont"/>
    <w:uiPriority w:val="99"/>
    <w:rsid w:val="001F2C03"/>
    <w:rPr>
      <w:rFonts w:cs="Times New Roman"/>
    </w:rPr>
  </w:style>
  <w:style w:type="character" w:customStyle="1" w:styleId="citation-publication-date">
    <w:name w:val="citation-publication-date"/>
    <w:basedOn w:val="DefaultParagraphFont"/>
    <w:uiPriority w:val="99"/>
    <w:rsid w:val="001F2C03"/>
    <w:rPr>
      <w:rFonts w:cs="Times New Roman"/>
    </w:rPr>
  </w:style>
  <w:style w:type="character" w:customStyle="1" w:styleId="citation-volume">
    <w:name w:val="citation-volume"/>
    <w:basedOn w:val="DefaultParagraphFont"/>
    <w:uiPriority w:val="99"/>
    <w:rsid w:val="001F2C03"/>
    <w:rPr>
      <w:rFonts w:cs="Times New Roman"/>
    </w:rPr>
  </w:style>
  <w:style w:type="character" w:customStyle="1" w:styleId="citation-issue">
    <w:name w:val="citation-issue"/>
    <w:basedOn w:val="DefaultParagraphFont"/>
    <w:uiPriority w:val="99"/>
    <w:rsid w:val="001F2C03"/>
    <w:rPr>
      <w:rFonts w:cs="Times New Roman"/>
    </w:rPr>
  </w:style>
  <w:style w:type="character" w:customStyle="1" w:styleId="citation-flpages">
    <w:name w:val="citation-flpages"/>
    <w:basedOn w:val="DefaultParagraphFont"/>
    <w:uiPriority w:val="99"/>
    <w:rsid w:val="001F2C03"/>
    <w:rPr>
      <w:rFonts w:cs="Times New Roman"/>
    </w:rPr>
  </w:style>
  <w:style w:type="character" w:customStyle="1" w:styleId="doi">
    <w:name w:val="doi"/>
    <w:basedOn w:val="DefaultParagraphFont"/>
    <w:uiPriority w:val="99"/>
    <w:rsid w:val="001F2C03"/>
    <w:rPr>
      <w:rFonts w:cs="Times New Roman"/>
    </w:rPr>
  </w:style>
  <w:style w:type="character" w:customStyle="1" w:styleId="fm-citation-ids-label">
    <w:name w:val="fm-citation-ids-label"/>
    <w:basedOn w:val="DefaultParagraphFont"/>
    <w:uiPriority w:val="99"/>
    <w:rsid w:val="001F2C03"/>
    <w:rPr>
      <w:rFonts w:cs="Times New Roman"/>
    </w:rPr>
  </w:style>
  <w:style w:type="paragraph" w:customStyle="1" w:styleId="TableTargetNotes">
    <w:name w:val="Table: Target Notes"/>
    <w:basedOn w:val="StrategiesTitle"/>
    <w:uiPriority w:val="99"/>
    <w:rsid w:val="008D3C2C"/>
    <w:pPr>
      <w:ind w:left="1620" w:firstLine="0"/>
    </w:pPr>
    <w:rPr>
      <w:b/>
      <w:i w:val="0"/>
      <w:sz w:val="20"/>
    </w:rPr>
  </w:style>
  <w:style w:type="paragraph" w:customStyle="1" w:styleId="BodyTextunder3">
    <w:name w:val="Body Text under 3"/>
    <w:basedOn w:val="BodyText"/>
    <w:uiPriority w:val="99"/>
    <w:rsid w:val="00E827FB"/>
    <w:pPr>
      <w:ind w:left="1980" w:hanging="1440"/>
    </w:pPr>
  </w:style>
  <w:style w:type="paragraph" w:customStyle="1" w:styleId="ListBulleted">
    <w:name w:val="List Bulleted"/>
    <w:basedOn w:val="ListParagraph"/>
    <w:uiPriority w:val="99"/>
    <w:rsid w:val="00413836"/>
    <w:pPr>
      <w:spacing w:before="120"/>
      <w:ind w:left="734" w:right="0" w:hanging="187"/>
      <w:contextualSpacing w:val="0"/>
    </w:pPr>
  </w:style>
  <w:style w:type="paragraph" w:customStyle="1" w:styleId="Heading2LARGE">
    <w:name w:val="Heading 2 LARGE"/>
    <w:basedOn w:val="Heading2"/>
    <w:uiPriority w:val="99"/>
    <w:rsid w:val="00AD0251"/>
    <w:rPr>
      <w:sz w:val="32"/>
    </w:rPr>
  </w:style>
  <w:style w:type="paragraph" w:customStyle="1" w:styleId="StrategicPriorities">
    <w:name w:val="Strategic Priorities"/>
    <w:basedOn w:val="ListParagraph"/>
    <w:uiPriority w:val="99"/>
    <w:rsid w:val="009B5346"/>
    <w:rPr>
      <w:sz w:val="20"/>
    </w:rPr>
  </w:style>
  <w:style w:type="paragraph" w:customStyle="1" w:styleId="ListBulletedIndented">
    <w:name w:val="List Bulleted Indented"/>
    <w:basedOn w:val="ListParagraph"/>
    <w:uiPriority w:val="99"/>
    <w:rsid w:val="003E4C11"/>
    <w:pPr>
      <w:spacing w:before="60"/>
      <w:ind w:left="1260" w:right="-446" w:hanging="360"/>
      <w:contextualSpacing w:val="0"/>
    </w:pPr>
    <w:rPr>
      <w:bCs/>
    </w:rPr>
  </w:style>
  <w:style w:type="paragraph" w:customStyle="1" w:styleId="PartnersTitle">
    <w:name w:val="Partners Title"/>
    <w:basedOn w:val="StrategiesTitle"/>
    <w:uiPriority w:val="99"/>
    <w:rsid w:val="00571897"/>
    <w:pPr>
      <w:ind w:left="360"/>
    </w:pPr>
    <w:rPr>
      <w:b/>
      <w:i w:val="0"/>
    </w:rPr>
  </w:style>
  <w:style w:type="paragraph" w:customStyle="1" w:styleId="TableOutcomeMeasure">
    <w:name w:val="Table:  Outcome Measure"/>
    <w:basedOn w:val="Normal"/>
    <w:uiPriority w:val="99"/>
    <w:rsid w:val="00391134"/>
    <w:rPr>
      <w:sz w:val="20"/>
    </w:rPr>
  </w:style>
  <w:style w:type="character" w:styleId="Emphasis">
    <w:name w:val="Emphasis"/>
    <w:basedOn w:val="DefaultParagraphFont"/>
    <w:uiPriority w:val="99"/>
    <w:qFormat/>
    <w:locked/>
    <w:rsid w:val="00784406"/>
    <w:rPr>
      <w:rFonts w:cs="Times New Roman"/>
      <w:i/>
      <w:iCs/>
    </w:rPr>
  </w:style>
  <w:style w:type="paragraph" w:customStyle="1" w:styleId="listbulleted0">
    <w:name w:val="listbulleted"/>
    <w:basedOn w:val="Normal"/>
    <w:uiPriority w:val="99"/>
    <w:rsid w:val="0012601B"/>
    <w:pPr>
      <w:spacing w:before="100" w:beforeAutospacing="1" w:after="100" w:afterAutospacing="1"/>
    </w:pPr>
    <w:rPr>
      <w:rFonts w:ascii="Times New Roman" w:eastAsia="Calibri" w:hAnsi="Times New Roman"/>
      <w:sz w:val="24"/>
      <w:szCs w:val="24"/>
    </w:rPr>
  </w:style>
  <w:style w:type="character" w:customStyle="1" w:styleId="bodytextchar0">
    <w:name w:val="bodytextchar0"/>
    <w:basedOn w:val="DefaultParagraphFont"/>
    <w:uiPriority w:val="99"/>
    <w:rsid w:val="00647E3F"/>
    <w:rPr>
      <w:rFonts w:cs="Times New Roman"/>
    </w:rPr>
  </w:style>
  <w:style w:type="character" w:customStyle="1" w:styleId="st1">
    <w:name w:val="st1"/>
    <w:basedOn w:val="DefaultParagraphFont"/>
    <w:uiPriority w:val="99"/>
    <w:rsid w:val="00100E8A"/>
    <w:rPr>
      <w:rFonts w:cs="Times New Roman"/>
    </w:rPr>
  </w:style>
  <w:style w:type="paragraph" w:customStyle="1" w:styleId="Default">
    <w:name w:val="Default"/>
    <w:uiPriority w:val="99"/>
    <w:rsid w:val="005C7A7E"/>
    <w:pPr>
      <w:autoSpaceDE w:val="0"/>
      <w:autoSpaceDN w:val="0"/>
      <w:adjustRightInd w:val="0"/>
    </w:pPr>
    <w:rPr>
      <w:rFonts w:ascii="GJIBOI+TimesNewRoman" w:hAnsi="GJIBOI+TimesNewRoman" w:cs="GJIBOI+TimesNewRoman"/>
      <w:color w:val="000000"/>
      <w:sz w:val="24"/>
      <w:szCs w:val="24"/>
    </w:rPr>
  </w:style>
  <w:style w:type="paragraph" w:customStyle="1" w:styleId="ListNumberedIndented">
    <w:name w:val="List Numbered Indented"/>
    <w:basedOn w:val="ListNumbered"/>
    <w:uiPriority w:val="99"/>
    <w:rsid w:val="00413836"/>
    <w:pPr>
      <w:numPr>
        <w:ilvl w:val="1"/>
      </w:numPr>
    </w:pPr>
  </w:style>
  <w:style w:type="paragraph" w:customStyle="1" w:styleId="List-paragraphsundernumbered">
    <w:name w:val="List - paragraphs under numbered"/>
    <w:basedOn w:val="ListNumbered"/>
    <w:uiPriority w:val="99"/>
    <w:rsid w:val="00F26381"/>
    <w:pPr>
      <w:numPr>
        <w:numId w:val="0"/>
      </w:numPr>
      <w:ind w:left="720"/>
    </w:pPr>
  </w:style>
  <w:style w:type="paragraph" w:customStyle="1" w:styleId="TableStrategiesunderHealthFunctions">
    <w:name w:val="Table:  Strategies under Health Functions"/>
    <w:basedOn w:val="Strategies"/>
    <w:uiPriority w:val="99"/>
    <w:rsid w:val="00D00411"/>
    <w:pPr>
      <w:ind w:left="2790" w:hanging="810"/>
    </w:pPr>
    <w:rPr>
      <w:sz w:val="20"/>
    </w:rPr>
  </w:style>
  <w:style w:type="paragraph" w:customStyle="1" w:styleId="TableTenEssenHlthFunct">
    <w:name w:val="Table:  Ten Essen Hlth Funct"/>
    <w:basedOn w:val="Normal"/>
    <w:next w:val="TableStrategiesunderHealthFunctions"/>
    <w:uiPriority w:val="99"/>
    <w:rsid w:val="007C27A3"/>
    <w:pPr>
      <w:spacing w:before="60"/>
      <w:ind w:left="1800"/>
    </w:pPr>
    <w:rPr>
      <w:rFonts w:cs="Arial"/>
      <w:b/>
      <w:i/>
      <w:color w:val="000000"/>
      <w:sz w:val="20"/>
      <w:szCs w:val="20"/>
    </w:rPr>
  </w:style>
  <w:style w:type="paragraph" w:customStyle="1" w:styleId="StandardStatement">
    <w:name w:val="Standard Statement"/>
    <w:basedOn w:val="ObjectiveStatement"/>
    <w:next w:val="BodyText"/>
    <w:uiPriority w:val="99"/>
    <w:rsid w:val="00185A56"/>
    <w:rPr>
      <w:sz w:val="24"/>
    </w:rPr>
  </w:style>
  <w:style w:type="paragraph" w:customStyle="1" w:styleId="TableTitleNumeratoretc">
    <w:name w:val="Table Title:  Numerator etc"/>
    <w:basedOn w:val="TableTitleTargetDataSource"/>
    <w:uiPriority w:val="99"/>
    <w:rsid w:val="004C0088"/>
    <w:pPr>
      <w:jc w:val="right"/>
    </w:pPr>
  </w:style>
  <w:style w:type="paragraph" w:customStyle="1" w:styleId="TableObjStmt">
    <w:name w:val="Table:  Obj Stmt"/>
    <w:basedOn w:val="Normal"/>
    <w:uiPriority w:val="99"/>
    <w:rsid w:val="005F7761"/>
    <w:pPr>
      <w:keepNext/>
      <w:spacing w:before="60" w:after="60"/>
      <w:ind w:left="1800" w:hanging="1800"/>
    </w:pPr>
    <w:rPr>
      <w:rFonts w:cs="Arial"/>
      <w:b/>
      <w:szCs w:val="24"/>
    </w:rPr>
  </w:style>
  <w:style w:type="paragraph" w:customStyle="1" w:styleId="ObjectiveStmtsubbullet">
    <w:name w:val="Objective Stmt subbullet"/>
    <w:basedOn w:val="ObjectiveStatement"/>
    <w:uiPriority w:val="99"/>
    <w:rsid w:val="00F62824"/>
  </w:style>
  <w:style w:type="paragraph" w:customStyle="1" w:styleId="Note">
    <w:name w:val="Note:"/>
    <w:basedOn w:val="PlainText"/>
    <w:uiPriority w:val="99"/>
    <w:rsid w:val="00450DBE"/>
    <w:pPr>
      <w:ind w:left="1890"/>
    </w:pPr>
    <w:rPr>
      <w:rFonts w:ascii="Arial" w:hAnsi="Arial" w:cs="Arial"/>
      <w:i/>
      <w:sz w:val="20"/>
    </w:rPr>
  </w:style>
  <w:style w:type="character" w:customStyle="1" w:styleId="apple-converted-space">
    <w:name w:val="apple-converted-space"/>
    <w:basedOn w:val="DefaultParagraphFont"/>
    <w:uiPriority w:val="99"/>
    <w:rsid w:val="00E42894"/>
    <w:rPr>
      <w:rFonts w:cs="Times New Roman"/>
    </w:rPr>
  </w:style>
  <w:style w:type="paragraph" w:customStyle="1" w:styleId="objstmtintable">
    <w:name w:val="obj stmt in table"/>
    <w:basedOn w:val="ObjectiveStatement"/>
    <w:uiPriority w:val="99"/>
    <w:rsid w:val="00007A69"/>
    <w:pPr>
      <w:shd w:val="clear" w:color="auto" w:fill="auto"/>
    </w:pPr>
    <w:rPr>
      <w:b w:val="0"/>
      <w:sz w:val="20"/>
    </w:rPr>
  </w:style>
  <w:style w:type="paragraph" w:customStyle="1" w:styleId="TableOutcomeIndicator">
    <w:name w:val="Table:  Outcome Indicator"/>
    <w:basedOn w:val="Normal"/>
    <w:uiPriority w:val="99"/>
    <w:rsid w:val="00615DF2"/>
    <w:rPr>
      <w:sz w:val="20"/>
    </w:rPr>
  </w:style>
  <w:style w:type="paragraph" w:customStyle="1" w:styleId="BodyTextUnder3nowrapindent">
    <w:name w:val="Body Text Under 3 no wrap indent"/>
    <w:basedOn w:val="BodyTextunder3"/>
    <w:uiPriority w:val="99"/>
    <w:rsid w:val="0012696F"/>
    <w:pPr>
      <w:ind w:left="54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10"/>
    <w:rPr>
      <w:rFonts w:ascii="Arial" w:eastAsia="Times New Roman" w:hAnsi="Arial"/>
    </w:rPr>
  </w:style>
  <w:style w:type="paragraph" w:styleId="Heading1">
    <w:name w:val="heading 1"/>
    <w:basedOn w:val="Normal"/>
    <w:next w:val="Normal"/>
    <w:link w:val="Heading1Char"/>
    <w:uiPriority w:val="99"/>
    <w:qFormat/>
    <w:rsid w:val="00F83EAC"/>
    <w:pPr>
      <w:outlineLvl w:val="0"/>
    </w:pPr>
    <w:rPr>
      <w:rFonts w:cs="Arial"/>
      <w:b/>
      <w:bCs/>
      <w:color w:val="1F497D"/>
      <w:sz w:val="32"/>
    </w:rPr>
  </w:style>
  <w:style w:type="paragraph" w:styleId="Heading2">
    <w:name w:val="heading 2"/>
    <w:basedOn w:val="Normal"/>
    <w:next w:val="Normal"/>
    <w:link w:val="Heading2Char"/>
    <w:uiPriority w:val="99"/>
    <w:qFormat/>
    <w:rsid w:val="00107245"/>
    <w:pPr>
      <w:tabs>
        <w:tab w:val="left" w:pos="900"/>
      </w:tabs>
      <w:spacing w:before="160" w:after="80"/>
      <w:outlineLvl w:val="1"/>
    </w:pPr>
    <w:rPr>
      <w:b/>
      <w:sz w:val="24"/>
      <w:szCs w:val="26"/>
    </w:rPr>
  </w:style>
  <w:style w:type="paragraph" w:styleId="Heading3">
    <w:name w:val="heading 3"/>
    <w:basedOn w:val="Heading2"/>
    <w:next w:val="Normal"/>
    <w:link w:val="Heading3Char"/>
    <w:uiPriority w:val="99"/>
    <w:qFormat/>
    <w:rsid w:val="00DD0652"/>
    <w:pPr>
      <w:tabs>
        <w:tab w:val="clear" w:pos="900"/>
      </w:tabs>
      <w:spacing w:after="0"/>
      <w:outlineLvl w:val="2"/>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3EAC"/>
    <w:rPr>
      <w:rFonts w:ascii="Arial" w:hAnsi="Arial" w:cs="Arial"/>
      <w:b/>
      <w:bCs/>
      <w:color w:val="1F497D"/>
      <w:sz w:val="32"/>
    </w:rPr>
  </w:style>
  <w:style w:type="character" w:customStyle="1" w:styleId="Heading2Char">
    <w:name w:val="Heading 2 Char"/>
    <w:basedOn w:val="DefaultParagraphFont"/>
    <w:link w:val="Heading2"/>
    <w:uiPriority w:val="99"/>
    <w:locked/>
    <w:rsid w:val="00107245"/>
    <w:rPr>
      <w:rFonts w:ascii="Arial" w:hAnsi="Arial" w:cs="Times New Roman"/>
      <w:b/>
      <w:sz w:val="26"/>
      <w:szCs w:val="26"/>
    </w:rPr>
  </w:style>
  <w:style w:type="character" w:customStyle="1" w:styleId="Heading3Char">
    <w:name w:val="Heading 3 Char"/>
    <w:basedOn w:val="DefaultParagraphFont"/>
    <w:link w:val="Heading3"/>
    <w:uiPriority w:val="99"/>
    <w:locked/>
    <w:rsid w:val="00DD0652"/>
    <w:rPr>
      <w:rFonts w:ascii="Arial" w:hAnsi="Arial" w:cs="Times New Roman"/>
      <w:b/>
      <w:sz w:val="24"/>
    </w:rPr>
  </w:style>
  <w:style w:type="table" w:styleId="TableGrid">
    <w:name w:val="Table Grid"/>
    <w:basedOn w:val="TableNormal"/>
    <w:uiPriority w:val="99"/>
    <w:rsid w:val="008316A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alStatement">
    <w:name w:val="Goal Statement"/>
    <w:basedOn w:val="ObjectiveStatement"/>
    <w:uiPriority w:val="99"/>
    <w:rsid w:val="00040F1D"/>
    <w:pPr>
      <w:shd w:val="clear" w:color="auto" w:fill="auto"/>
      <w:ind w:left="0" w:firstLine="0"/>
    </w:pPr>
    <w:rPr>
      <w:szCs w:val="22"/>
    </w:rPr>
  </w:style>
  <w:style w:type="paragraph" w:styleId="ListParagraph">
    <w:name w:val="List Paragraph"/>
    <w:basedOn w:val="Normal"/>
    <w:uiPriority w:val="99"/>
    <w:qFormat/>
    <w:rsid w:val="00110DD1"/>
    <w:pPr>
      <w:numPr>
        <w:numId w:val="3"/>
      </w:numPr>
      <w:ind w:left="1350" w:right="-450" w:hanging="180"/>
      <w:contextualSpacing/>
    </w:pPr>
    <w:rPr>
      <w:rFonts w:eastAsia="Calibri" w:cs="Arial"/>
    </w:rPr>
  </w:style>
  <w:style w:type="paragraph" w:styleId="Header">
    <w:name w:val="header"/>
    <w:basedOn w:val="Normal"/>
    <w:link w:val="HeaderChar"/>
    <w:uiPriority w:val="99"/>
    <w:rsid w:val="008316AB"/>
    <w:pPr>
      <w:tabs>
        <w:tab w:val="center" w:pos="4680"/>
        <w:tab w:val="right" w:pos="9360"/>
      </w:tabs>
    </w:pPr>
  </w:style>
  <w:style w:type="character" w:customStyle="1" w:styleId="HeaderChar">
    <w:name w:val="Header Char"/>
    <w:basedOn w:val="DefaultParagraphFont"/>
    <w:link w:val="Header"/>
    <w:uiPriority w:val="99"/>
    <w:locked/>
    <w:rsid w:val="008316AB"/>
    <w:rPr>
      <w:rFonts w:ascii="Arial" w:hAnsi="Arial" w:cs="Times New Roman"/>
    </w:rPr>
  </w:style>
  <w:style w:type="paragraph" w:styleId="Footer">
    <w:name w:val="footer"/>
    <w:basedOn w:val="Normal"/>
    <w:link w:val="FooterChar"/>
    <w:uiPriority w:val="99"/>
    <w:rsid w:val="008316AB"/>
    <w:pPr>
      <w:tabs>
        <w:tab w:val="center" w:pos="4680"/>
        <w:tab w:val="right" w:pos="9360"/>
      </w:tabs>
    </w:pPr>
  </w:style>
  <w:style w:type="character" w:customStyle="1" w:styleId="FooterChar">
    <w:name w:val="Footer Char"/>
    <w:basedOn w:val="DefaultParagraphFont"/>
    <w:link w:val="Footer"/>
    <w:uiPriority w:val="99"/>
    <w:locked/>
    <w:rsid w:val="008316AB"/>
    <w:rPr>
      <w:rFonts w:ascii="Arial" w:hAnsi="Arial" w:cs="Times New Roman"/>
    </w:rPr>
  </w:style>
  <w:style w:type="paragraph" w:styleId="TOC1">
    <w:name w:val="toc 1"/>
    <w:basedOn w:val="Normal"/>
    <w:next w:val="Normal"/>
    <w:autoRedefine/>
    <w:uiPriority w:val="99"/>
    <w:rsid w:val="00A808B8"/>
    <w:pPr>
      <w:tabs>
        <w:tab w:val="right" w:leader="dot" w:pos="10080"/>
      </w:tabs>
      <w:spacing w:after="60"/>
    </w:pPr>
    <w:rPr>
      <w:rFonts w:cs="Arial"/>
      <w:b/>
      <w:noProof/>
    </w:rPr>
  </w:style>
  <w:style w:type="paragraph" w:styleId="TOC2">
    <w:name w:val="toc 2"/>
    <w:basedOn w:val="Normal"/>
    <w:next w:val="Normal"/>
    <w:autoRedefine/>
    <w:uiPriority w:val="99"/>
    <w:rsid w:val="00A808B8"/>
    <w:pPr>
      <w:tabs>
        <w:tab w:val="right" w:leader="dot" w:pos="10080"/>
      </w:tabs>
      <w:spacing w:before="20" w:after="40"/>
      <w:ind w:left="547"/>
    </w:pPr>
    <w:rPr>
      <w:rFonts w:cs="Arial"/>
      <w:noProof/>
      <w:sz w:val="20"/>
    </w:rPr>
  </w:style>
  <w:style w:type="character" w:styleId="Hyperlink">
    <w:name w:val="Hyperlink"/>
    <w:basedOn w:val="DefaultParagraphFont"/>
    <w:uiPriority w:val="99"/>
    <w:rsid w:val="008316AB"/>
    <w:rPr>
      <w:rFonts w:cs="Times New Roman"/>
      <w:color w:val="0000FF"/>
      <w:u w:val="single"/>
    </w:rPr>
  </w:style>
  <w:style w:type="paragraph" w:customStyle="1" w:styleId="ObjectiveStatement">
    <w:name w:val="Objective Statement"/>
    <w:basedOn w:val="Normal"/>
    <w:next w:val="BodyText"/>
    <w:uiPriority w:val="99"/>
    <w:rsid w:val="00CB2B0E"/>
    <w:pPr>
      <w:keepNext/>
      <w:shd w:val="clear" w:color="auto" w:fill="DBE5F1"/>
      <w:spacing w:before="120" w:after="120"/>
      <w:ind w:left="1800" w:hanging="1800"/>
    </w:pPr>
    <w:rPr>
      <w:rFonts w:cs="Arial"/>
      <w:b/>
      <w:szCs w:val="24"/>
    </w:rPr>
  </w:style>
  <w:style w:type="paragraph" w:styleId="BodyText">
    <w:name w:val="Body Text"/>
    <w:basedOn w:val="Normal"/>
    <w:link w:val="BodyTextChar"/>
    <w:uiPriority w:val="99"/>
    <w:rsid w:val="00107245"/>
    <w:pPr>
      <w:spacing w:before="120"/>
    </w:pPr>
    <w:rPr>
      <w:rFonts w:eastAsia="Calibri" w:cs="Arial"/>
    </w:rPr>
  </w:style>
  <w:style w:type="character" w:customStyle="1" w:styleId="BodyTextChar">
    <w:name w:val="Body Text Char"/>
    <w:basedOn w:val="DefaultParagraphFont"/>
    <w:link w:val="BodyText"/>
    <w:uiPriority w:val="99"/>
    <w:locked/>
    <w:rsid w:val="00107245"/>
    <w:rPr>
      <w:rFonts w:ascii="Arial" w:hAnsi="Arial" w:cs="Arial"/>
    </w:rPr>
  </w:style>
  <w:style w:type="paragraph" w:customStyle="1" w:styleId="Strategies">
    <w:name w:val="Strategies"/>
    <w:basedOn w:val="Normal"/>
    <w:uiPriority w:val="99"/>
    <w:rsid w:val="00E32784"/>
    <w:pPr>
      <w:ind w:left="1620" w:hanging="990"/>
    </w:pPr>
    <w:rPr>
      <w:rFonts w:cs="Arial"/>
      <w:szCs w:val="24"/>
    </w:rPr>
  </w:style>
  <w:style w:type="paragraph" w:customStyle="1" w:styleId="Name">
    <w:name w:val="Name"/>
    <w:basedOn w:val="Normal"/>
    <w:uiPriority w:val="99"/>
    <w:rsid w:val="00136F6B"/>
    <w:pPr>
      <w:spacing w:before="80"/>
    </w:pPr>
  </w:style>
  <w:style w:type="paragraph" w:styleId="FootnoteText">
    <w:name w:val="footnote text"/>
    <w:basedOn w:val="Normal"/>
    <w:link w:val="FootnoteTextChar"/>
    <w:uiPriority w:val="99"/>
    <w:rsid w:val="00925017"/>
    <w:rPr>
      <w:rFonts w:eastAsia="Calibri"/>
      <w:sz w:val="20"/>
      <w:szCs w:val="20"/>
    </w:rPr>
  </w:style>
  <w:style w:type="character" w:customStyle="1" w:styleId="FootnoteTextChar">
    <w:name w:val="Footnote Text Char"/>
    <w:basedOn w:val="DefaultParagraphFont"/>
    <w:link w:val="FootnoteText"/>
    <w:uiPriority w:val="99"/>
    <w:locked/>
    <w:rsid w:val="00925017"/>
    <w:rPr>
      <w:rFonts w:ascii="Arial" w:hAnsi="Arial" w:cs="Times New Roman"/>
      <w:sz w:val="20"/>
      <w:szCs w:val="20"/>
    </w:rPr>
  </w:style>
  <w:style w:type="character" w:styleId="FootnoteReference">
    <w:name w:val="footnote reference"/>
    <w:basedOn w:val="DefaultParagraphFont"/>
    <w:uiPriority w:val="99"/>
    <w:rsid w:val="00D74E2D"/>
    <w:rPr>
      <w:rFonts w:cs="Times New Roman"/>
      <w:vertAlign w:val="superscript"/>
    </w:rPr>
  </w:style>
  <w:style w:type="character" w:styleId="CommentReference">
    <w:name w:val="annotation reference"/>
    <w:basedOn w:val="DefaultParagraphFont"/>
    <w:uiPriority w:val="99"/>
    <w:rsid w:val="00D74E2D"/>
    <w:rPr>
      <w:rFonts w:cs="Times New Roman"/>
      <w:sz w:val="16"/>
      <w:szCs w:val="16"/>
    </w:rPr>
  </w:style>
  <w:style w:type="paragraph" w:styleId="CommentText">
    <w:name w:val="annotation text"/>
    <w:basedOn w:val="Normal"/>
    <w:link w:val="CommentTextChar"/>
    <w:uiPriority w:val="99"/>
    <w:rsid w:val="00D74E2D"/>
    <w:pPr>
      <w:spacing w:after="200"/>
    </w:pPr>
    <w:rPr>
      <w:rFonts w:ascii="Calibri" w:hAnsi="Calibri"/>
      <w:sz w:val="20"/>
      <w:szCs w:val="20"/>
    </w:rPr>
  </w:style>
  <w:style w:type="character" w:customStyle="1" w:styleId="CommentTextChar">
    <w:name w:val="Comment Text Char"/>
    <w:basedOn w:val="DefaultParagraphFont"/>
    <w:link w:val="CommentText"/>
    <w:uiPriority w:val="99"/>
    <w:locked/>
    <w:rsid w:val="00D74E2D"/>
    <w:rPr>
      <w:rFonts w:ascii="Calibri" w:hAnsi="Calibri" w:cs="Times New Roman"/>
      <w:sz w:val="20"/>
      <w:szCs w:val="20"/>
    </w:rPr>
  </w:style>
  <w:style w:type="paragraph" w:styleId="BalloonText">
    <w:name w:val="Balloon Text"/>
    <w:basedOn w:val="Normal"/>
    <w:link w:val="BalloonTextChar"/>
    <w:uiPriority w:val="99"/>
    <w:rsid w:val="00D74E2D"/>
    <w:rPr>
      <w:rFonts w:ascii="Tahoma" w:hAnsi="Tahoma" w:cs="Tahoma"/>
      <w:sz w:val="16"/>
      <w:szCs w:val="16"/>
    </w:rPr>
  </w:style>
  <w:style w:type="character" w:customStyle="1" w:styleId="BalloonTextChar">
    <w:name w:val="Balloon Text Char"/>
    <w:basedOn w:val="DefaultParagraphFont"/>
    <w:link w:val="BalloonText"/>
    <w:uiPriority w:val="99"/>
    <w:locked/>
    <w:rsid w:val="00D74E2D"/>
    <w:rPr>
      <w:rFonts w:ascii="Tahoma" w:hAnsi="Tahoma" w:cs="Tahoma"/>
      <w:sz w:val="16"/>
      <w:szCs w:val="16"/>
    </w:rPr>
  </w:style>
  <w:style w:type="paragraph" w:customStyle="1" w:styleId="Strategiessubbullets">
    <w:name w:val="Strategies subbullets"/>
    <w:basedOn w:val="Strategies"/>
    <w:uiPriority w:val="99"/>
    <w:rsid w:val="007348F7"/>
    <w:pPr>
      <w:numPr>
        <w:numId w:val="2"/>
      </w:numPr>
      <w:ind w:left="3240"/>
    </w:pPr>
    <w:rPr>
      <w:sz w:val="20"/>
    </w:rPr>
  </w:style>
  <w:style w:type="paragraph" w:styleId="TOC3">
    <w:name w:val="toc 3"/>
    <w:basedOn w:val="Normal"/>
    <w:next w:val="Normal"/>
    <w:autoRedefine/>
    <w:uiPriority w:val="99"/>
    <w:rsid w:val="00A808B8"/>
    <w:pPr>
      <w:tabs>
        <w:tab w:val="right" w:leader="dot" w:pos="10080"/>
      </w:tabs>
      <w:ind w:left="806"/>
    </w:pPr>
    <w:rPr>
      <w:noProof/>
      <w:sz w:val="20"/>
    </w:rPr>
  </w:style>
  <w:style w:type="paragraph" w:styleId="CommentSubject">
    <w:name w:val="annotation subject"/>
    <w:basedOn w:val="CommentText"/>
    <w:next w:val="CommentText"/>
    <w:link w:val="CommentSubjectChar"/>
    <w:uiPriority w:val="99"/>
    <w:semiHidden/>
    <w:rsid w:val="008346F6"/>
    <w:pPr>
      <w:spacing w:after="0"/>
    </w:pPr>
    <w:rPr>
      <w:rFonts w:ascii="Arial" w:hAnsi="Arial"/>
      <w:b/>
      <w:bCs/>
    </w:rPr>
  </w:style>
  <w:style w:type="character" w:customStyle="1" w:styleId="CommentSubjectChar">
    <w:name w:val="Comment Subject Char"/>
    <w:basedOn w:val="CommentTextChar"/>
    <w:link w:val="CommentSubject"/>
    <w:uiPriority w:val="99"/>
    <w:semiHidden/>
    <w:locked/>
    <w:rsid w:val="008346F6"/>
    <w:rPr>
      <w:rFonts w:ascii="Arial" w:hAnsi="Arial" w:cs="Times New Roman"/>
      <w:b/>
      <w:bCs/>
      <w:sz w:val="20"/>
      <w:szCs w:val="20"/>
    </w:rPr>
  </w:style>
  <w:style w:type="paragraph" w:styleId="EndnoteText">
    <w:name w:val="endnote text"/>
    <w:basedOn w:val="Normal"/>
    <w:link w:val="EndnoteTextChar"/>
    <w:uiPriority w:val="99"/>
    <w:rsid w:val="00697BD9"/>
    <w:pPr>
      <w:ind w:left="288" w:hanging="288"/>
    </w:pPr>
    <w:rPr>
      <w:rFonts w:eastAsia="Calibri"/>
      <w:sz w:val="20"/>
      <w:szCs w:val="20"/>
    </w:rPr>
  </w:style>
  <w:style w:type="character" w:customStyle="1" w:styleId="EndnoteTextChar">
    <w:name w:val="Endnote Text Char"/>
    <w:basedOn w:val="DefaultParagraphFont"/>
    <w:link w:val="EndnoteText"/>
    <w:uiPriority w:val="99"/>
    <w:locked/>
    <w:rsid w:val="00697BD9"/>
    <w:rPr>
      <w:rFonts w:ascii="Arial" w:hAnsi="Arial" w:cs="Times New Roman"/>
      <w:sz w:val="20"/>
      <w:szCs w:val="20"/>
    </w:rPr>
  </w:style>
  <w:style w:type="paragraph" w:styleId="BodyText2">
    <w:name w:val="Body Text 2"/>
    <w:basedOn w:val="BodyText"/>
    <w:link w:val="BodyText2Char"/>
    <w:uiPriority w:val="99"/>
    <w:rsid w:val="00112CDD"/>
    <w:pPr>
      <w:keepNext/>
      <w:spacing w:before="160"/>
    </w:pPr>
    <w:rPr>
      <w:i/>
    </w:rPr>
  </w:style>
  <w:style w:type="character" w:customStyle="1" w:styleId="BodyText2Char">
    <w:name w:val="Body Text 2 Char"/>
    <w:basedOn w:val="DefaultParagraphFont"/>
    <w:link w:val="BodyText2"/>
    <w:uiPriority w:val="99"/>
    <w:locked/>
    <w:rsid w:val="00112CDD"/>
    <w:rPr>
      <w:rFonts w:ascii="Arial" w:hAnsi="Arial" w:cs="Arial"/>
      <w:i/>
    </w:rPr>
  </w:style>
  <w:style w:type="paragraph" w:customStyle="1" w:styleId="Partners">
    <w:name w:val="Partners"/>
    <w:basedOn w:val="Normal"/>
    <w:uiPriority w:val="99"/>
    <w:rsid w:val="00577B35"/>
    <w:pPr>
      <w:numPr>
        <w:numId w:val="1"/>
      </w:numPr>
      <w:contextualSpacing/>
    </w:pPr>
    <w:rPr>
      <w:rFonts w:cs="Arial"/>
      <w:sz w:val="20"/>
      <w:szCs w:val="20"/>
    </w:rPr>
  </w:style>
  <w:style w:type="character" w:styleId="EndnoteReference">
    <w:name w:val="endnote reference"/>
    <w:basedOn w:val="DefaultParagraphFont"/>
    <w:uiPriority w:val="99"/>
    <w:rsid w:val="008346F6"/>
    <w:rPr>
      <w:rFonts w:cs="Times New Roman"/>
      <w:vertAlign w:val="superscript"/>
    </w:rPr>
  </w:style>
  <w:style w:type="paragraph" w:styleId="BodyTextFirstIndent">
    <w:name w:val="Body Text First Indent"/>
    <w:basedOn w:val="BodyText"/>
    <w:link w:val="BodyTextFirstIndentChar"/>
    <w:uiPriority w:val="99"/>
    <w:semiHidden/>
    <w:rsid w:val="00056DF7"/>
    <w:pPr>
      <w:spacing w:before="0"/>
      <w:ind w:firstLine="360"/>
    </w:pPr>
    <w:rPr>
      <w:rFonts w:eastAsia="Times New Roman" w:cs="Times New Roman"/>
    </w:rPr>
  </w:style>
  <w:style w:type="character" w:customStyle="1" w:styleId="BodyTextFirstIndentChar">
    <w:name w:val="Body Text First Indent Char"/>
    <w:basedOn w:val="BodyTextChar"/>
    <w:link w:val="BodyTextFirstIndent"/>
    <w:uiPriority w:val="99"/>
    <w:semiHidden/>
    <w:locked/>
    <w:rsid w:val="00056DF7"/>
    <w:rPr>
      <w:rFonts w:ascii="Arial" w:hAnsi="Arial" w:cs="Times New Roman"/>
      <w:sz w:val="20"/>
    </w:rPr>
  </w:style>
  <w:style w:type="paragraph" w:styleId="PlainText">
    <w:name w:val="Plain Text"/>
    <w:basedOn w:val="Normal"/>
    <w:link w:val="PlainTextChar"/>
    <w:uiPriority w:val="99"/>
    <w:rsid w:val="00AF7EC6"/>
    <w:rPr>
      <w:rFonts w:ascii="Calibri" w:eastAsia="Calibri" w:hAnsi="Calibri"/>
      <w:szCs w:val="21"/>
    </w:rPr>
  </w:style>
  <w:style w:type="character" w:customStyle="1" w:styleId="PlainTextChar">
    <w:name w:val="Plain Text Char"/>
    <w:basedOn w:val="DefaultParagraphFont"/>
    <w:link w:val="PlainText"/>
    <w:uiPriority w:val="99"/>
    <w:locked/>
    <w:rsid w:val="00AF7EC6"/>
    <w:rPr>
      <w:rFonts w:eastAsia="Times New Roman" w:cs="Times New Roman"/>
      <w:sz w:val="21"/>
      <w:szCs w:val="21"/>
    </w:rPr>
  </w:style>
  <w:style w:type="paragraph" w:customStyle="1" w:styleId="StrategiesCategoryTitles">
    <w:name w:val="Strategies Category Titles"/>
    <w:basedOn w:val="Normal"/>
    <w:next w:val="Strategies"/>
    <w:uiPriority w:val="99"/>
    <w:rsid w:val="006F356A"/>
    <w:pPr>
      <w:keepNext/>
      <w:spacing w:before="80"/>
      <w:ind w:left="1620"/>
    </w:pPr>
    <w:rPr>
      <w:rFonts w:cs="Arial"/>
      <w:szCs w:val="24"/>
    </w:rPr>
  </w:style>
  <w:style w:type="character" w:styleId="Strong">
    <w:name w:val="Strong"/>
    <w:basedOn w:val="DefaultParagraphFont"/>
    <w:uiPriority w:val="99"/>
    <w:qFormat/>
    <w:rsid w:val="00196BC5"/>
    <w:rPr>
      <w:rFonts w:cs="Times New Roman"/>
      <w:b/>
      <w:bCs/>
    </w:rPr>
  </w:style>
  <w:style w:type="paragraph" w:styleId="NormalWeb">
    <w:name w:val="Normal (Web)"/>
    <w:basedOn w:val="Normal"/>
    <w:uiPriority w:val="99"/>
    <w:rsid w:val="00112CDD"/>
    <w:pPr>
      <w:spacing w:before="100" w:beforeAutospacing="1" w:after="100" w:afterAutospacing="1"/>
    </w:pPr>
    <w:rPr>
      <w:rFonts w:ascii="Times New Roman" w:hAnsi="Times New Roman"/>
      <w:sz w:val="24"/>
      <w:szCs w:val="24"/>
    </w:rPr>
  </w:style>
  <w:style w:type="paragraph" w:customStyle="1" w:styleId="TableBaseline2020Target">
    <w:name w:val="Table: Baseline/2020Target"/>
    <w:basedOn w:val="Normal"/>
    <w:uiPriority w:val="99"/>
    <w:rsid w:val="00391134"/>
    <w:pPr>
      <w:ind w:left="-54"/>
      <w:jc w:val="center"/>
    </w:pPr>
    <w:rPr>
      <w:rFonts w:eastAsia="Calibri" w:cs="Arial"/>
      <w:sz w:val="20"/>
    </w:rPr>
  </w:style>
  <w:style w:type="paragraph" w:customStyle="1" w:styleId="TableTitleTargetDataSource">
    <w:name w:val="Table Title: TargetDataSource"/>
    <w:basedOn w:val="TableTitleBaseline2020Target"/>
    <w:uiPriority w:val="99"/>
    <w:rsid w:val="005A703F"/>
    <w:pPr>
      <w:jc w:val="left"/>
    </w:pPr>
  </w:style>
  <w:style w:type="paragraph" w:customStyle="1" w:styleId="TableTitleBaseline2020Target">
    <w:name w:val="Table Title: Baseline/2020 Target"/>
    <w:basedOn w:val="Normal"/>
    <w:uiPriority w:val="99"/>
    <w:rsid w:val="005A703F"/>
    <w:pPr>
      <w:keepNext/>
      <w:spacing w:before="40" w:after="40"/>
      <w:jc w:val="center"/>
    </w:pPr>
    <w:rPr>
      <w:rFonts w:eastAsia="Calibri" w:cs="Arial"/>
      <w:b/>
      <w:sz w:val="20"/>
    </w:rPr>
  </w:style>
  <w:style w:type="paragraph" w:customStyle="1" w:styleId="TableDataSource">
    <w:name w:val="Table: Data Source"/>
    <w:basedOn w:val="TableBaseline2020Target"/>
    <w:uiPriority w:val="99"/>
    <w:rsid w:val="00391134"/>
    <w:pPr>
      <w:keepNext/>
      <w:ind w:left="0"/>
      <w:jc w:val="left"/>
    </w:pPr>
    <w:rPr>
      <w:i/>
    </w:rPr>
  </w:style>
  <w:style w:type="paragraph" w:customStyle="1" w:styleId="TargetNote">
    <w:name w:val="Target Note"/>
    <w:basedOn w:val="ObjectiveStatement"/>
    <w:uiPriority w:val="99"/>
    <w:rsid w:val="00286FD1"/>
    <w:pPr>
      <w:shd w:val="clear" w:color="auto" w:fill="auto"/>
      <w:ind w:left="1710" w:firstLine="0"/>
    </w:pPr>
    <w:rPr>
      <w:b w:val="0"/>
      <w:i/>
      <w:sz w:val="20"/>
    </w:rPr>
  </w:style>
  <w:style w:type="paragraph" w:customStyle="1" w:styleId="StrategiesTitle">
    <w:name w:val="Strategies Title"/>
    <w:basedOn w:val="Normal"/>
    <w:uiPriority w:val="99"/>
    <w:rsid w:val="00CA4605"/>
    <w:pPr>
      <w:keepNext/>
      <w:spacing w:before="120"/>
      <w:ind w:left="900" w:hanging="360"/>
    </w:pPr>
    <w:rPr>
      <w:rFonts w:cs="Arial"/>
      <w:i/>
    </w:rPr>
  </w:style>
  <w:style w:type="paragraph" w:customStyle="1" w:styleId="Organization">
    <w:name w:val="Organization"/>
    <w:basedOn w:val="Normal"/>
    <w:uiPriority w:val="99"/>
    <w:rsid w:val="00136F6B"/>
    <w:rPr>
      <w:i/>
    </w:rPr>
  </w:style>
  <w:style w:type="paragraph" w:customStyle="1" w:styleId="BodyTextFirstIndBULLETS">
    <w:name w:val="Body Text First Ind BULLETS"/>
    <w:basedOn w:val="BodyTextFirstIndent"/>
    <w:uiPriority w:val="99"/>
    <w:rsid w:val="008E318F"/>
    <w:pPr>
      <w:numPr>
        <w:numId w:val="7"/>
      </w:numPr>
      <w:ind w:left="720"/>
    </w:pPr>
    <w:rPr>
      <w:rFonts w:ascii="Calibri" w:eastAsia="Calibri" w:hAnsi="Calibri"/>
    </w:rPr>
  </w:style>
  <w:style w:type="paragraph" w:styleId="Revision">
    <w:name w:val="Revision"/>
    <w:hidden/>
    <w:uiPriority w:val="99"/>
    <w:semiHidden/>
    <w:rsid w:val="009A3FCD"/>
    <w:rPr>
      <w:rFonts w:ascii="Arial" w:eastAsia="Times New Roman" w:hAnsi="Arial"/>
    </w:rPr>
  </w:style>
  <w:style w:type="paragraph" w:customStyle="1" w:styleId="ListNumbered">
    <w:name w:val="List Numbered"/>
    <w:basedOn w:val="BodyText"/>
    <w:uiPriority w:val="99"/>
    <w:rsid w:val="004F2263"/>
    <w:pPr>
      <w:numPr>
        <w:numId w:val="9"/>
      </w:numPr>
    </w:pPr>
  </w:style>
  <w:style w:type="character" w:styleId="FollowedHyperlink">
    <w:name w:val="FollowedHyperlink"/>
    <w:basedOn w:val="DefaultParagraphFont"/>
    <w:uiPriority w:val="99"/>
    <w:semiHidden/>
    <w:rsid w:val="00321811"/>
    <w:rPr>
      <w:rFonts w:cs="Times New Roman"/>
      <w:color w:val="800080"/>
      <w:u w:val="single"/>
    </w:rPr>
  </w:style>
  <w:style w:type="paragraph" w:customStyle="1" w:styleId="intro">
    <w:name w:val="intro"/>
    <w:basedOn w:val="Normal"/>
    <w:uiPriority w:val="99"/>
    <w:rsid w:val="00CD0F04"/>
    <w:pPr>
      <w:spacing w:before="100" w:beforeAutospacing="1" w:after="100" w:afterAutospacing="1"/>
    </w:pPr>
    <w:rPr>
      <w:rFonts w:ascii="Times New Roman" w:eastAsia="Calibri" w:hAnsi="Times New Roman"/>
      <w:sz w:val="24"/>
      <w:szCs w:val="24"/>
    </w:rPr>
  </w:style>
  <w:style w:type="character" w:customStyle="1" w:styleId="citation-abbreviation">
    <w:name w:val="citation-abbreviation"/>
    <w:basedOn w:val="DefaultParagraphFont"/>
    <w:uiPriority w:val="99"/>
    <w:rsid w:val="001F2C03"/>
    <w:rPr>
      <w:rFonts w:cs="Times New Roman"/>
    </w:rPr>
  </w:style>
  <w:style w:type="character" w:customStyle="1" w:styleId="citation-publication-date">
    <w:name w:val="citation-publication-date"/>
    <w:basedOn w:val="DefaultParagraphFont"/>
    <w:uiPriority w:val="99"/>
    <w:rsid w:val="001F2C03"/>
    <w:rPr>
      <w:rFonts w:cs="Times New Roman"/>
    </w:rPr>
  </w:style>
  <w:style w:type="character" w:customStyle="1" w:styleId="citation-volume">
    <w:name w:val="citation-volume"/>
    <w:basedOn w:val="DefaultParagraphFont"/>
    <w:uiPriority w:val="99"/>
    <w:rsid w:val="001F2C03"/>
    <w:rPr>
      <w:rFonts w:cs="Times New Roman"/>
    </w:rPr>
  </w:style>
  <w:style w:type="character" w:customStyle="1" w:styleId="citation-issue">
    <w:name w:val="citation-issue"/>
    <w:basedOn w:val="DefaultParagraphFont"/>
    <w:uiPriority w:val="99"/>
    <w:rsid w:val="001F2C03"/>
    <w:rPr>
      <w:rFonts w:cs="Times New Roman"/>
    </w:rPr>
  </w:style>
  <w:style w:type="character" w:customStyle="1" w:styleId="citation-flpages">
    <w:name w:val="citation-flpages"/>
    <w:basedOn w:val="DefaultParagraphFont"/>
    <w:uiPriority w:val="99"/>
    <w:rsid w:val="001F2C03"/>
    <w:rPr>
      <w:rFonts w:cs="Times New Roman"/>
    </w:rPr>
  </w:style>
  <w:style w:type="character" w:customStyle="1" w:styleId="doi">
    <w:name w:val="doi"/>
    <w:basedOn w:val="DefaultParagraphFont"/>
    <w:uiPriority w:val="99"/>
    <w:rsid w:val="001F2C03"/>
    <w:rPr>
      <w:rFonts w:cs="Times New Roman"/>
    </w:rPr>
  </w:style>
  <w:style w:type="character" w:customStyle="1" w:styleId="fm-citation-ids-label">
    <w:name w:val="fm-citation-ids-label"/>
    <w:basedOn w:val="DefaultParagraphFont"/>
    <w:uiPriority w:val="99"/>
    <w:rsid w:val="001F2C03"/>
    <w:rPr>
      <w:rFonts w:cs="Times New Roman"/>
    </w:rPr>
  </w:style>
  <w:style w:type="paragraph" w:customStyle="1" w:styleId="TableTargetNotes">
    <w:name w:val="Table: Target Notes"/>
    <w:basedOn w:val="StrategiesTitle"/>
    <w:uiPriority w:val="99"/>
    <w:rsid w:val="008D3C2C"/>
    <w:pPr>
      <w:ind w:left="1620" w:firstLine="0"/>
    </w:pPr>
    <w:rPr>
      <w:b/>
      <w:i w:val="0"/>
      <w:sz w:val="20"/>
    </w:rPr>
  </w:style>
  <w:style w:type="paragraph" w:customStyle="1" w:styleId="BodyTextunder3">
    <w:name w:val="Body Text under 3"/>
    <w:basedOn w:val="BodyText"/>
    <w:uiPriority w:val="99"/>
    <w:rsid w:val="00E827FB"/>
    <w:pPr>
      <w:ind w:left="1980" w:hanging="1440"/>
    </w:pPr>
  </w:style>
  <w:style w:type="paragraph" w:customStyle="1" w:styleId="ListBulleted">
    <w:name w:val="List Bulleted"/>
    <w:basedOn w:val="ListParagraph"/>
    <w:uiPriority w:val="99"/>
    <w:rsid w:val="00413836"/>
    <w:pPr>
      <w:spacing w:before="120"/>
      <w:ind w:left="734" w:right="0" w:hanging="187"/>
      <w:contextualSpacing w:val="0"/>
    </w:pPr>
  </w:style>
  <w:style w:type="paragraph" w:customStyle="1" w:styleId="Heading2LARGE">
    <w:name w:val="Heading 2 LARGE"/>
    <w:basedOn w:val="Heading2"/>
    <w:uiPriority w:val="99"/>
    <w:rsid w:val="00AD0251"/>
    <w:rPr>
      <w:sz w:val="32"/>
    </w:rPr>
  </w:style>
  <w:style w:type="paragraph" w:customStyle="1" w:styleId="StrategicPriorities">
    <w:name w:val="Strategic Priorities"/>
    <w:basedOn w:val="ListParagraph"/>
    <w:uiPriority w:val="99"/>
    <w:rsid w:val="009B5346"/>
    <w:rPr>
      <w:sz w:val="20"/>
    </w:rPr>
  </w:style>
  <w:style w:type="paragraph" w:customStyle="1" w:styleId="ListBulletedIndented">
    <w:name w:val="List Bulleted Indented"/>
    <w:basedOn w:val="ListParagraph"/>
    <w:uiPriority w:val="99"/>
    <w:rsid w:val="003E4C11"/>
    <w:pPr>
      <w:spacing w:before="60"/>
      <w:ind w:left="1260" w:right="-446" w:hanging="360"/>
      <w:contextualSpacing w:val="0"/>
    </w:pPr>
    <w:rPr>
      <w:bCs/>
    </w:rPr>
  </w:style>
  <w:style w:type="paragraph" w:customStyle="1" w:styleId="PartnersTitle">
    <w:name w:val="Partners Title"/>
    <w:basedOn w:val="StrategiesTitle"/>
    <w:uiPriority w:val="99"/>
    <w:rsid w:val="00571897"/>
    <w:pPr>
      <w:ind w:left="360"/>
    </w:pPr>
    <w:rPr>
      <w:b/>
      <w:i w:val="0"/>
    </w:rPr>
  </w:style>
  <w:style w:type="paragraph" w:customStyle="1" w:styleId="TableOutcomeMeasure">
    <w:name w:val="Table:  Outcome Measure"/>
    <w:basedOn w:val="Normal"/>
    <w:uiPriority w:val="99"/>
    <w:rsid w:val="00391134"/>
    <w:rPr>
      <w:sz w:val="20"/>
    </w:rPr>
  </w:style>
  <w:style w:type="character" w:styleId="Emphasis">
    <w:name w:val="Emphasis"/>
    <w:basedOn w:val="DefaultParagraphFont"/>
    <w:uiPriority w:val="99"/>
    <w:qFormat/>
    <w:locked/>
    <w:rsid w:val="00784406"/>
    <w:rPr>
      <w:rFonts w:cs="Times New Roman"/>
      <w:i/>
      <w:iCs/>
    </w:rPr>
  </w:style>
  <w:style w:type="paragraph" w:customStyle="1" w:styleId="listbulleted0">
    <w:name w:val="listbulleted"/>
    <w:basedOn w:val="Normal"/>
    <w:uiPriority w:val="99"/>
    <w:rsid w:val="0012601B"/>
    <w:pPr>
      <w:spacing w:before="100" w:beforeAutospacing="1" w:after="100" w:afterAutospacing="1"/>
    </w:pPr>
    <w:rPr>
      <w:rFonts w:ascii="Times New Roman" w:eastAsia="Calibri" w:hAnsi="Times New Roman"/>
      <w:sz w:val="24"/>
      <w:szCs w:val="24"/>
    </w:rPr>
  </w:style>
  <w:style w:type="character" w:customStyle="1" w:styleId="bodytextchar0">
    <w:name w:val="bodytextchar0"/>
    <w:basedOn w:val="DefaultParagraphFont"/>
    <w:uiPriority w:val="99"/>
    <w:rsid w:val="00647E3F"/>
    <w:rPr>
      <w:rFonts w:cs="Times New Roman"/>
    </w:rPr>
  </w:style>
  <w:style w:type="character" w:customStyle="1" w:styleId="st1">
    <w:name w:val="st1"/>
    <w:basedOn w:val="DefaultParagraphFont"/>
    <w:uiPriority w:val="99"/>
    <w:rsid w:val="00100E8A"/>
    <w:rPr>
      <w:rFonts w:cs="Times New Roman"/>
    </w:rPr>
  </w:style>
  <w:style w:type="paragraph" w:customStyle="1" w:styleId="Default">
    <w:name w:val="Default"/>
    <w:uiPriority w:val="99"/>
    <w:rsid w:val="005C7A7E"/>
    <w:pPr>
      <w:autoSpaceDE w:val="0"/>
      <w:autoSpaceDN w:val="0"/>
      <w:adjustRightInd w:val="0"/>
    </w:pPr>
    <w:rPr>
      <w:rFonts w:ascii="GJIBOI+TimesNewRoman" w:hAnsi="GJIBOI+TimesNewRoman" w:cs="GJIBOI+TimesNewRoman"/>
      <w:color w:val="000000"/>
      <w:sz w:val="24"/>
      <w:szCs w:val="24"/>
    </w:rPr>
  </w:style>
  <w:style w:type="paragraph" w:customStyle="1" w:styleId="ListNumberedIndented">
    <w:name w:val="List Numbered Indented"/>
    <w:basedOn w:val="ListNumbered"/>
    <w:uiPriority w:val="99"/>
    <w:rsid w:val="00413836"/>
    <w:pPr>
      <w:numPr>
        <w:ilvl w:val="1"/>
      </w:numPr>
    </w:pPr>
  </w:style>
  <w:style w:type="paragraph" w:customStyle="1" w:styleId="List-paragraphsundernumbered">
    <w:name w:val="List - paragraphs under numbered"/>
    <w:basedOn w:val="ListNumbered"/>
    <w:uiPriority w:val="99"/>
    <w:rsid w:val="00F26381"/>
    <w:pPr>
      <w:numPr>
        <w:numId w:val="0"/>
      </w:numPr>
      <w:ind w:left="720"/>
    </w:pPr>
  </w:style>
  <w:style w:type="paragraph" w:customStyle="1" w:styleId="TableStrategiesunderHealthFunctions">
    <w:name w:val="Table:  Strategies under Health Functions"/>
    <w:basedOn w:val="Strategies"/>
    <w:uiPriority w:val="99"/>
    <w:rsid w:val="00D00411"/>
    <w:pPr>
      <w:ind w:left="2790" w:hanging="810"/>
    </w:pPr>
    <w:rPr>
      <w:sz w:val="20"/>
    </w:rPr>
  </w:style>
  <w:style w:type="paragraph" w:customStyle="1" w:styleId="TableTenEssenHlthFunct">
    <w:name w:val="Table:  Ten Essen Hlth Funct"/>
    <w:basedOn w:val="Normal"/>
    <w:next w:val="TableStrategiesunderHealthFunctions"/>
    <w:uiPriority w:val="99"/>
    <w:rsid w:val="007C27A3"/>
    <w:pPr>
      <w:spacing w:before="60"/>
      <w:ind w:left="1800"/>
    </w:pPr>
    <w:rPr>
      <w:rFonts w:cs="Arial"/>
      <w:b/>
      <w:i/>
      <w:color w:val="000000"/>
      <w:sz w:val="20"/>
      <w:szCs w:val="20"/>
    </w:rPr>
  </w:style>
  <w:style w:type="paragraph" w:customStyle="1" w:styleId="StandardStatement">
    <w:name w:val="Standard Statement"/>
    <w:basedOn w:val="ObjectiveStatement"/>
    <w:next w:val="BodyText"/>
    <w:uiPriority w:val="99"/>
    <w:rsid w:val="00185A56"/>
    <w:rPr>
      <w:sz w:val="24"/>
    </w:rPr>
  </w:style>
  <w:style w:type="paragraph" w:customStyle="1" w:styleId="TableTitleNumeratoretc">
    <w:name w:val="Table Title:  Numerator etc"/>
    <w:basedOn w:val="TableTitleTargetDataSource"/>
    <w:uiPriority w:val="99"/>
    <w:rsid w:val="004C0088"/>
    <w:pPr>
      <w:jc w:val="right"/>
    </w:pPr>
  </w:style>
  <w:style w:type="paragraph" w:customStyle="1" w:styleId="TableObjStmt">
    <w:name w:val="Table:  Obj Stmt"/>
    <w:basedOn w:val="Normal"/>
    <w:uiPriority w:val="99"/>
    <w:rsid w:val="005F7761"/>
    <w:pPr>
      <w:keepNext/>
      <w:spacing w:before="60" w:after="60"/>
      <w:ind w:left="1800" w:hanging="1800"/>
    </w:pPr>
    <w:rPr>
      <w:rFonts w:cs="Arial"/>
      <w:b/>
      <w:szCs w:val="24"/>
    </w:rPr>
  </w:style>
  <w:style w:type="paragraph" w:customStyle="1" w:styleId="ObjectiveStmtsubbullet">
    <w:name w:val="Objective Stmt subbullet"/>
    <w:basedOn w:val="ObjectiveStatement"/>
    <w:uiPriority w:val="99"/>
    <w:rsid w:val="00F62824"/>
  </w:style>
  <w:style w:type="paragraph" w:customStyle="1" w:styleId="Note">
    <w:name w:val="Note:"/>
    <w:basedOn w:val="PlainText"/>
    <w:uiPriority w:val="99"/>
    <w:rsid w:val="00450DBE"/>
    <w:pPr>
      <w:ind w:left="1890"/>
    </w:pPr>
    <w:rPr>
      <w:rFonts w:ascii="Arial" w:hAnsi="Arial" w:cs="Arial"/>
      <w:i/>
      <w:sz w:val="20"/>
    </w:rPr>
  </w:style>
  <w:style w:type="character" w:customStyle="1" w:styleId="apple-converted-space">
    <w:name w:val="apple-converted-space"/>
    <w:basedOn w:val="DefaultParagraphFont"/>
    <w:uiPriority w:val="99"/>
    <w:rsid w:val="00E42894"/>
    <w:rPr>
      <w:rFonts w:cs="Times New Roman"/>
    </w:rPr>
  </w:style>
  <w:style w:type="paragraph" w:customStyle="1" w:styleId="objstmtintable">
    <w:name w:val="obj stmt in table"/>
    <w:basedOn w:val="ObjectiveStatement"/>
    <w:uiPriority w:val="99"/>
    <w:rsid w:val="00007A69"/>
    <w:pPr>
      <w:shd w:val="clear" w:color="auto" w:fill="auto"/>
    </w:pPr>
    <w:rPr>
      <w:b w:val="0"/>
      <w:sz w:val="20"/>
    </w:rPr>
  </w:style>
  <w:style w:type="paragraph" w:customStyle="1" w:styleId="TableOutcomeIndicator">
    <w:name w:val="Table:  Outcome Indicator"/>
    <w:basedOn w:val="Normal"/>
    <w:uiPriority w:val="99"/>
    <w:rsid w:val="00615DF2"/>
    <w:rPr>
      <w:sz w:val="20"/>
    </w:rPr>
  </w:style>
  <w:style w:type="paragraph" w:customStyle="1" w:styleId="BodyTextUnder3nowrapindent">
    <w:name w:val="Body Text Under 3 no wrap indent"/>
    <w:basedOn w:val="BodyTextunder3"/>
    <w:uiPriority w:val="99"/>
    <w:rsid w:val="0012696F"/>
    <w:pPr>
      <w:ind w:left="54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911717">
      <w:bodyDiv w:val="1"/>
      <w:marLeft w:val="0"/>
      <w:marRight w:val="0"/>
      <w:marTop w:val="0"/>
      <w:marBottom w:val="0"/>
      <w:divBdr>
        <w:top w:val="none" w:sz="0" w:space="0" w:color="auto"/>
        <w:left w:val="none" w:sz="0" w:space="0" w:color="auto"/>
        <w:bottom w:val="none" w:sz="0" w:space="0" w:color="auto"/>
        <w:right w:val="none" w:sz="0" w:space="0" w:color="auto"/>
      </w:divBdr>
    </w:div>
    <w:div w:id="2083940123">
      <w:marLeft w:val="0"/>
      <w:marRight w:val="0"/>
      <w:marTop w:val="0"/>
      <w:marBottom w:val="0"/>
      <w:divBdr>
        <w:top w:val="none" w:sz="0" w:space="0" w:color="auto"/>
        <w:left w:val="none" w:sz="0" w:space="0" w:color="auto"/>
        <w:bottom w:val="none" w:sz="0" w:space="0" w:color="auto"/>
        <w:right w:val="none" w:sz="0" w:space="0" w:color="auto"/>
      </w:divBdr>
    </w:div>
    <w:div w:id="2083940124">
      <w:marLeft w:val="0"/>
      <w:marRight w:val="0"/>
      <w:marTop w:val="0"/>
      <w:marBottom w:val="0"/>
      <w:divBdr>
        <w:top w:val="none" w:sz="0" w:space="0" w:color="auto"/>
        <w:left w:val="none" w:sz="0" w:space="0" w:color="auto"/>
        <w:bottom w:val="none" w:sz="0" w:space="0" w:color="auto"/>
        <w:right w:val="none" w:sz="0" w:space="0" w:color="auto"/>
      </w:divBdr>
    </w:div>
    <w:div w:id="2083940125">
      <w:marLeft w:val="0"/>
      <w:marRight w:val="0"/>
      <w:marTop w:val="0"/>
      <w:marBottom w:val="0"/>
      <w:divBdr>
        <w:top w:val="none" w:sz="0" w:space="0" w:color="auto"/>
        <w:left w:val="none" w:sz="0" w:space="0" w:color="auto"/>
        <w:bottom w:val="none" w:sz="0" w:space="0" w:color="auto"/>
        <w:right w:val="none" w:sz="0" w:space="0" w:color="auto"/>
      </w:divBdr>
    </w:div>
    <w:div w:id="2083940126">
      <w:marLeft w:val="0"/>
      <w:marRight w:val="0"/>
      <w:marTop w:val="0"/>
      <w:marBottom w:val="0"/>
      <w:divBdr>
        <w:top w:val="none" w:sz="0" w:space="0" w:color="auto"/>
        <w:left w:val="none" w:sz="0" w:space="0" w:color="auto"/>
        <w:bottom w:val="none" w:sz="0" w:space="0" w:color="auto"/>
        <w:right w:val="none" w:sz="0" w:space="0" w:color="auto"/>
      </w:divBdr>
    </w:div>
    <w:div w:id="2083940127">
      <w:marLeft w:val="0"/>
      <w:marRight w:val="0"/>
      <w:marTop w:val="0"/>
      <w:marBottom w:val="0"/>
      <w:divBdr>
        <w:top w:val="none" w:sz="0" w:space="0" w:color="auto"/>
        <w:left w:val="none" w:sz="0" w:space="0" w:color="auto"/>
        <w:bottom w:val="none" w:sz="0" w:space="0" w:color="auto"/>
        <w:right w:val="none" w:sz="0" w:space="0" w:color="auto"/>
      </w:divBdr>
    </w:div>
    <w:div w:id="2083940128">
      <w:marLeft w:val="0"/>
      <w:marRight w:val="0"/>
      <w:marTop w:val="0"/>
      <w:marBottom w:val="0"/>
      <w:divBdr>
        <w:top w:val="none" w:sz="0" w:space="0" w:color="auto"/>
        <w:left w:val="none" w:sz="0" w:space="0" w:color="auto"/>
        <w:bottom w:val="none" w:sz="0" w:space="0" w:color="auto"/>
        <w:right w:val="none" w:sz="0" w:space="0" w:color="auto"/>
      </w:divBdr>
    </w:div>
    <w:div w:id="2083940129">
      <w:marLeft w:val="0"/>
      <w:marRight w:val="0"/>
      <w:marTop w:val="0"/>
      <w:marBottom w:val="0"/>
      <w:divBdr>
        <w:top w:val="none" w:sz="0" w:space="0" w:color="auto"/>
        <w:left w:val="none" w:sz="0" w:space="0" w:color="auto"/>
        <w:bottom w:val="none" w:sz="0" w:space="0" w:color="auto"/>
        <w:right w:val="none" w:sz="0" w:space="0" w:color="auto"/>
      </w:divBdr>
    </w:div>
    <w:div w:id="2083940130">
      <w:marLeft w:val="0"/>
      <w:marRight w:val="0"/>
      <w:marTop w:val="0"/>
      <w:marBottom w:val="0"/>
      <w:divBdr>
        <w:top w:val="none" w:sz="0" w:space="0" w:color="auto"/>
        <w:left w:val="none" w:sz="0" w:space="0" w:color="auto"/>
        <w:bottom w:val="none" w:sz="0" w:space="0" w:color="auto"/>
        <w:right w:val="none" w:sz="0" w:space="0" w:color="auto"/>
      </w:divBdr>
    </w:div>
    <w:div w:id="2083940131">
      <w:marLeft w:val="0"/>
      <w:marRight w:val="0"/>
      <w:marTop w:val="0"/>
      <w:marBottom w:val="0"/>
      <w:divBdr>
        <w:top w:val="none" w:sz="0" w:space="0" w:color="auto"/>
        <w:left w:val="none" w:sz="0" w:space="0" w:color="auto"/>
        <w:bottom w:val="none" w:sz="0" w:space="0" w:color="auto"/>
        <w:right w:val="none" w:sz="0" w:space="0" w:color="auto"/>
      </w:divBdr>
    </w:div>
    <w:div w:id="2083940132">
      <w:marLeft w:val="0"/>
      <w:marRight w:val="0"/>
      <w:marTop w:val="0"/>
      <w:marBottom w:val="0"/>
      <w:divBdr>
        <w:top w:val="none" w:sz="0" w:space="0" w:color="auto"/>
        <w:left w:val="none" w:sz="0" w:space="0" w:color="auto"/>
        <w:bottom w:val="none" w:sz="0" w:space="0" w:color="auto"/>
        <w:right w:val="none" w:sz="0" w:space="0" w:color="auto"/>
      </w:divBdr>
    </w:div>
    <w:div w:id="2083940133">
      <w:marLeft w:val="0"/>
      <w:marRight w:val="0"/>
      <w:marTop w:val="0"/>
      <w:marBottom w:val="0"/>
      <w:divBdr>
        <w:top w:val="none" w:sz="0" w:space="0" w:color="auto"/>
        <w:left w:val="none" w:sz="0" w:space="0" w:color="auto"/>
        <w:bottom w:val="none" w:sz="0" w:space="0" w:color="auto"/>
        <w:right w:val="none" w:sz="0" w:space="0" w:color="auto"/>
      </w:divBdr>
    </w:div>
    <w:div w:id="2083940134">
      <w:marLeft w:val="0"/>
      <w:marRight w:val="0"/>
      <w:marTop w:val="0"/>
      <w:marBottom w:val="0"/>
      <w:divBdr>
        <w:top w:val="none" w:sz="0" w:space="0" w:color="auto"/>
        <w:left w:val="none" w:sz="0" w:space="0" w:color="auto"/>
        <w:bottom w:val="none" w:sz="0" w:space="0" w:color="auto"/>
        <w:right w:val="none" w:sz="0" w:space="0" w:color="auto"/>
      </w:divBdr>
    </w:div>
    <w:div w:id="2083940135">
      <w:marLeft w:val="0"/>
      <w:marRight w:val="0"/>
      <w:marTop w:val="0"/>
      <w:marBottom w:val="0"/>
      <w:divBdr>
        <w:top w:val="none" w:sz="0" w:space="0" w:color="auto"/>
        <w:left w:val="none" w:sz="0" w:space="0" w:color="auto"/>
        <w:bottom w:val="none" w:sz="0" w:space="0" w:color="auto"/>
        <w:right w:val="none" w:sz="0" w:space="0" w:color="auto"/>
      </w:divBdr>
    </w:div>
    <w:div w:id="2083940136">
      <w:marLeft w:val="0"/>
      <w:marRight w:val="0"/>
      <w:marTop w:val="0"/>
      <w:marBottom w:val="0"/>
      <w:divBdr>
        <w:top w:val="none" w:sz="0" w:space="0" w:color="auto"/>
        <w:left w:val="none" w:sz="0" w:space="0" w:color="auto"/>
        <w:bottom w:val="none" w:sz="0" w:space="0" w:color="auto"/>
        <w:right w:val="none" w:sz="0" w:space="0" w:color="auto"/>
      </w:divBdr>
    </w:div>
    <w:div w:id="2083940137">
      <w:marLeft w:val="0"/>
      <w:marRight w:val="0"/>
      <w:marTop w:val="0"/>
      <w:marBottom w:val="0"/>
      <w:divBdr>
        <w:top w:val="none" w:sz="0" w:space="0" w:color="auto"/>
        <w:left w:val="none" w:sz="0" w:space="0" w:color="auto"/>
        <w:bottom w:val="none" w:sz="0" w:space="0" w:color="auto"/>
        <w:right w:val="none" w:sz="0" w:space="0" w:color="auto"/>
      </w:divBdr>
    </w:div>
    <w:div w:id="2083940138">
      <w:marLeft w:val="0"/>
      <w:marRight w:val="0"/>
      <w:marTop w:val="0"/>
      <w:marBottom w:val="0"/>
      <w:divBdr>
        <w:top w:val="none" w:sz="0" w:space="0" w:color="auto"/>
        <w:left w:val="none" w:sz="0" w:space="0" w:color="auto"/>
        <w:bottom w:val="none" w:sz="0" w:space="0" w:color="auto"/>
        <w:right w:val="none" w:sz="0" w:space="0" w:color="auto"/>
      </w:divBdr>
    </w:div>
    <w:div w:id="2083940139">
      <w:marLeft w:val="0"/>
      <w:marRight w:val="0"/>
      <w:marTop w:val="0"/>
      <w:marBottom w:val="0"/>
      <w:divBdr>
        <w:top w:val="none" w:sz="0" w:space="0" w:color="auto"/>
        <w:left w:val="none" w:sz="0" w:space="0" w:color="auto"/>
        <w:bottom w:val="none" w:sz="0" w:space="0" w:color="auto"/>
        <w:right w:val="none" w:sz="0" w:space="0" w:color="auto"/>
      </w:divBdr>
    </w:div>
    <w:div w:id="2083940140">
      <w:marLeft w:val="0"/>
      <w:marRight w:val="0"/>
      <w:marTop w:val="0"/>
      <w:marBottom w:val="0"/>
      <w:divBdr>
        <w:top w:val="none" w:sz="0" w:space="0" w:color="auto"/>
        <w:left w:val="none" w:sz="0" w:space="0" w:color="auto"/>
        <w:bottom w:val="none" w:sz="0" w:space="0" w:color="auto"/>
        <w:right w:val="none" w:sz="0" w:space="0" w:color="auto"/>
      </w:divBdr>
    </w:div>
    <w:div w:id="2083940141">
      <w:marLeft w:val="0"/>
      <w:marRight w:val="0"/>
      <w:marTop w:val="0"/>
      <w:marBottom w:val="0"/>
      <w:divBdr>
        <w:top w:val="none" w:sz="0" w:space="0" w:color="auto"/>
        <w:left w:val="none" w:sz="0" w:space="0" w:color="auto"/>
        <w:bottom w:val="none" w:sz="0" w:space="0" w:color="auto"/>
        <w:right w:val="none" w:sz="0" w:space="0" w:color="auto"/>
      </w:divBdr>
    </w:div>
    <w:div w:id="2083940142">
      <w:marLeft w:val="0"/>
      <w:marRight w:val="0"/>
      <w:marTop w:val="0"/>
      <w:marBottom w:val="0"/>
      <w:divBdr>
        <w:top w:val="none" w:sz="0" w:space="0" w:color="auto"/>
        <w:left w:val="none" w:sz="0" w:space="0" w:color="auto"/>
        <w:bottom w:val="none" w:sz="0" w:space="0" w:color="auto"/>
        <w:right w:val="none" w:sz="0" w:space="0" w:color="auto"/>
      </w:divBdr>
    </w:div>
    <w:div w:id="2083940143">
      <w:marLeft w:val="0"/>
      <w:marRight w:val="0"/>
      <w:marTop w:val="0"/>
      <w:marBottom w:val="0"/>
      <w:divBdr>
        <w:top w:val="none" w:sz="0" w:space="0" w:color="auto"/>
        <w:left w:val="none" w:sz="0" w:space="0" w:color="auto"/>
        <w:bottom w:val="none" w:sz="0" w:space="0" w:color="auto"/>
        <w:right w:val="none" w:sz="0" w:space="0" w:color="auto"/>
      </w:divBdr>
    </w:div>
    <w:div w:id="2083940153">
      <w:marLeft w:val="0"/>
      <w:marRight w:val="0"/>
      <w:marTop w:val="0"/>
      <w:marBottom w:val="0"/>
      <w:divBdr>
        <w:top w:val="none" w:sz="0" w:space="0" w:color="auto"/>
        <w:left w:val="none" w:sz="0" w:space="0" w:color="auto"/>
        <w:bottom w:val="none" w:sz="0" w:space="0" w:color="auto"/>
        <w:right w:val="none" w:sz="0" w:space="0" w:color="auto"/>
      </w:divBdr>
    </w:div>
    <w:div w:id="2083940154">
      <w:marLeft w:val="0"/>
      <w:marRight w:val="0"/>
      <w:marTop w:val="0"/>
      <w:marBottom w:val="0"/>
      <w:divBdr>
        <w:top w:val="none" w:sz="0" w:space="0" w:color="auto"/>
        <w:left w:val="none" w:sz="0" w:space="0" w:color="auto"/>
        <w:bottom w:val="none" w:sz="0" w:space="0" w:color="auto"/>
        <w:right w:val="none" w:sz="0" w:space="0" w:color="auto"/>
      </w:divBdr>
    </w:div>
    <w:div w:id="2083940159">
      <w:marLeft w:val="0"/>
      <w:marRight w:val="0"/>
      <w:marTop w:val="0"/>
      <w:marBottom w:val="0"/>
      <w:divBdr>
        <w:top w:val="none" w:sz="0" w:space="0" w:color="auto"/>
        <w:left w:val="none" w:sz="0" w:space="0" w:color="auto"/>
        <w:bottom w:val="none" w:sz="0" w:space="0" w:color="auto"/>
        <w:right w:val="none" w:sz="0" w:space="0" w:color="auto"/>
      </w:divBdr>
    </w:div>
    <w:div w:id="2083940161">
      <w:marLeft w:val="0"/>
      <w:marRight w:val="0"/>
      <w:marTop w:val="0"/>
      <w:marBottom w:val="0"/>
      <w:divBdr>
        <w:top w:val="none" w:sz="0" w:space="0" w:color="auto"/>
        <w:left w:val="none" w:sz="0" w:space="0" w:color="auto"/>
        <w:bottom w:val="none" w:sz="0" w:space="0" w:color="auto"/>
        <w:right w:val="none" w:sz="0" w:space="0" w:color="auto"/>
      </w:divBdr>
      <w:divsChild>
        <w:div w:id="2083940224">
          <w:marLeft w:val="1166"/>
          <w:marRight w:val="0"/>
          <w:marTop w:val="40"/>
          <w:marBottom w:val="0"/>
          <w:divBdr>
            <w:top w:val="none" w:sz="0" w:space="0" w:color="auto"/>
            <w:left w:val="none" w:sz="0" w:space="0" w:color="auto"/>
            <w:bottom w:val="none" w:sz="0" w:space="0" w:color="auto"/>
            <w:right w:val="none" w:sz="0" w:space="0" w:color="auto"/>
          </w:divBdr>
        </w:div>
        <w:div w:id="2083940241">
          <w:marLeft w:val="547"/>
          <w:marRight w:val="0"/>
          <w:marTop w:val="120"/>
          <w:marBottom w:val="0"/>
          <w:divBdr>
            <w:top w:val="none" w:sz="0" w:space="0" w:color="auto"/>
            <w:left w:val="none" w:sz="0" w:space="0" w:color="auto"/>
            <w:bottom w:val="none" w:sz="0" w:space="0" w:color="auto"/>
            <w:right w:val="none" w:sz="0" w:space="0" w:color="auto"/>
          </w:divBdr>
        </w:div>
      </w:divsChild>
    </w:div>
    <w:div w:id="2083940162">
      <w:marLeft w:val="0"/>
      <w:marRight w:val="0"/>
      <w:marTop w:val="0"/>
      <w:marBottom w:val="0"/>
      <w:divBdr>
        <w:top w:val="none" w:sz="0" w:space="0" w:color="auto"/>
        <w:left w:val="none" w:sz="0" w:space="0" w:color="auto"/>
        <w:bottom w:val="none" w:sz="0" w:space="0" w:color="auto"/>
        <w:right w:val="none" w:sz="0" w:space="0" w:color="auto"/>
      </w:divBdr>
    </w:div>
    <w:div w:id="2083940163">
      <w:marLeft w:val="0"/>
      <w:marRight w:val="0"/>
      <w:marTop w:val="0"/>
      <w:marBottom w:val="0"/>
      <w:divBdr>
        <w:top w:val="none" w:sz="0" w:space="0" w:color="auto"/>
        <w:left w:val="none" w:sz="0" w:space="0" w:color="auto"/>
        <w:bottom w:val="none" w:sz="0" w:space="0" w:color="auto"/>
        <w:right w:val="none" w:sz="0" w:space="0" w:color="auto"/>
      </w:divBdr>
      <w:divsChild>
        <w:div w:id="2083940155">
          <w:marLeft w:val="806"/>
          <w:marRight w:val="0"/>
          <w:marTop w:val="120"/>
          <w:marBottom w:val="0"/>
          <w:divBdr>
            <w:top w:val="none" w:sz="0" w:space="0" w:color="auto"/>
            <w:left w:val="none" w:sz="0" w:space="0" w:color="auto"/>
            <w:bottom w:val="none" w:sz="0" w:space="0" w:color="auto"/>
            <w:right w:val="none" w:sz="0" w:space="0" w:color="auto"/>
          </w:divBdr>
        </w:div>
        <w:div w:id="2083940170">
          <w:marLeft w:val="806"/>
          <w:marRight w:val="0"/>
          <w:marTop w:val="120"/>
          <w:marBottom w:val="0"/>
          <w:divBdr>
            <w:top w:val="none" w:sz="0" w:space="0" w:color="auto"/>
            <w:left w:val="none" w:sz="0" w:space="0" w:color="auto"/>
            <w:bottom w:val="none" w:sz="0" w:space="0" w:color="auto"/>
            <w:right w:val="none" w:sz="0" w:space="0" w:color="auto"/>
          </w:divBdr>
        </w:div>
        <w:div w:id="2083940180">
          <w:marLeft w:val="806"/>
          <w:marRight w:val="0"/>
          <w:marTop w:val="120"/>
          <w:marBottom w:val="0"/>
          <w:divBdr>
            <w:top w:val="none" w:sz="0" w:space="0" w:color="auto"/>
            <w:left w:val="none" w:sz="0" w:space="0" w:color="auto"/>
            <w:bottom w:val="none" w:sz="0" w:space="0" w:color="auto"/>
            <w:right w:val="none" w:sz="0" w:space="0" w:color="auto"/>
          </w:divBdr>
        </w:div>
        <w:div w:id="2083940192">
          <w:marLeft w:val="806"/>
          <w:marRight w:val="0"/>
          <w:marTop w:val="120"/>
          <w:marBottom w:val="0"/>
          <w:divBdr>
            <w:top w:val="none" w:sz="0" w:space="0" w:color="auto"/>
            <w:left w:val="none" w:sz="0" w:space="0" w:color="auto"/>
            <w:bottom w:val="none" w:sz="0" w:space="0" w:color="auto"/>
            <w:right w:val="none" w:sz="0" w:space="0" w:color="auto"/>
          </w:divBdr>
        </w:div>
        <w:div w:id="2083940197">
          <w:marLeft w:val="806"/>
          <w:marRight w:val="0"/>
          <w:marTop w:val="120"/>
          <w:marBottom w:val="0"/>
          <w:divBdr>
            <w:top w:val="none" w:sz="0" w:space="0" w:color="auto"/>
            <w:left w:val="none" w:sz="0" w:space="0" w:color="auto"/>
            <w:bottom w:val="none" w:sz="0" w:space="0" w:color="auto"/>
            <w:right w:val="none" w:sz="0" w:space="0" w:color="auto"/>
          </w:divBdr>
        </w:div>
        <w:div w:id="2083940201">
          <w:marLeft w:val="806"/>
          <w:marRight w:val="0"/>
          <w:marTop w:val="120"/>
          <w:marBottom w:val="0"/>
          <w:divBdr>
            <w:top w:val="none" w:sz="0" w:space="0" w:color="auto"/>
            <w:left w:val="none" w:sz="0" w:space="0" w:color="auto"/>
            <w:bottom w:val="none" w:sz="0" w:space="0" w:color="auto"/>
            <w:right w:val="none" w:sz="0" w:space="0" w:color="auto"/>
          </w:divBdr>
        </w:div>
        <w:div w:id="2083940202">
          <w:marLeft w:val="806"/>
          <w:marRight w:val="0"/>
          <w:marTop w:val="120"/>
          <w:marBottom w:val="0"/>
          <w:divBdr>
            <w:top w:val="none" w:sz="0" w:space="0" w:color="auto"/>
            <w:left w:val="none" w:sz="0" w:space="0" w:color="auto"/>
            <w:bottom w:val="none" w:sz="0" w:space="0" w:color="auto"/>
            <w:right w:val="none" w:sz="0" w:space="0" w:color="auto"/>
          </w:divBdr>
        </w:div>
        <w:div w:id="2083940212">
          <w:marLeft w:val="806"/>
          <w:marRight w:val="0"/>
          <w:marTop w:val="120"/>
          <w:marBottom w:val="0"/>
          <w:divBdr>
            <w:top w:val="none" w:sz="0" w:space="0" w:color="auto"/>
            <w:left w:val="none" w:sz="0" w:space="0" w:color="auto"/>
            <w:bottom w:val="none" w:sz="0" w:space="0" w:color="auto"/>
            <w:right w:val="none" w:sz="0" w:space="0" w:color="auto"/>
          </w:divBdr>
        </w:div>
        <w:div w:id="2083940214">
          <w:marLeft w:val="806"/>
          <w:marRight w:val="0"/>
          <w:marTop w:val="120"/>
          <w:marBottom w:val="0"/>
          <w:divBdr>
            <w:top w:val="none" w:sz="0" w:space="0" w:color="auto"/>
            <w:left w:val="none" w:sz="0" w:space="0" w:color="auto"/>
            <w:bottom w:val="none" w:sz="0" w:space="0" w:color="auto"/>
            <w:right w:val="none" w:sz="0" w:space="0" w:color="auto"/>
          </w:divBdr>
        </w:div>
      </w:divsChild>
    </w:div>
    <w:div w:id="2083940165">
      <w:marLeft w:val="0"/>
      <w:marRight w:val="0"/>
      <w:marTop w:val="0"/>
      <w:marBottom w:val="0"/>
      <w:divBdr>
        <w:top w:val="none" w:sz="0" w:space="0" w:color="auto"/>
        <w:left w:val="none" w:sz="0" w:space="0" w:color="auto"/>
        <w:bottom w:val="none" w:sz="0" w:space="0" w:color="auto"/>
        <w:right w:val="none" w:sz="0" w:space="0" w:color="auto"/>
      </w:divBdr>
      <w:divsChild>
        <w:div w:id="2083940164">
          <w:marLeft w:val="120"/>
          <w:marRight w:val="0"/>
          <w:marTop w:val="120"/>
          <w:marBottom w:val="0"/>
          <w:divBdr>
            <w:top w:val="none" w:sz="0" w:space="0" w:color="auto"/>
            <w:left w:val="none" w:sz="0" w:space="0" w:color="auto"/>
            <w:bottom w:val="none" w:sz="0" w:space="0" w:color="auto"/>
            <w:right w:val="none" w:sz="0" w:space="0" w:color="auto"/>
          </w:divBdr>
          <w:divsChild>
            <w:div w:id="2083940195">
              <w:marLeft w:val="0"/>
              <w:marRight w:val="0"/>
              <w:marTop w:val="0"/>
              <w:marBottom w:val="0"/>
              <w:divBdr>
                <w:top w:val="none" w:sz="0" w:space="0" w:color="auto"/>
                <w:left w:val="none" w:sz="0" w:space="0" w:color="auto"/>
                <w:bottom w:val="none" w:sz="0" w:space="0" w:color="auto"/>
                <w:right w:val="none" w:sz="0" w:space="0" w:color="auto"/>
              </w:divBdr>
              <w:divsChild>
                <w:div w:id="2083940156">
                  <w:marLeft w:val="0"/>
                  <w:marRight w:val="0"/>
                  <w:marTop w:val="0"/>
                  <w:marBottom w:val="0"/>
                  <w:divBdr>
                    <w:top w:val="none" w:sz="0" w:space="0" w:color="auto"/>
                    <w:left w:val="none" w:sz="0" w:space="0" w:color="auto"/>
                    <w:bottom w:val="none" w:sz="0" w:space="0" w:color="auto"/>
                    <w:right w:val="none" w:sz="0" w:space="0" w:color="auto"/>
                  </w:divBdr>
                  <w:divsChild>
                    <w:div w:id="2083940145">
                      <w:marLeft w:val="0"/>
                      <w:marRight w:val="0"/>
                      <w:marTop w:val="0"/>
                      <w:marBottom w:val="0"/>
                      <w:divBdr>
                        <w:top w:val="none" w:sz="0" w:space="0" w:color="auto"/>
                        <w:left w:val="none" w:sz="0" w:space="0" w:color="auto"/>
                        <w:bottom w:val="none" w:sz="0" w:space="0" w:color="auto"/>
                        <w:right w:val="none" w:sz="0" w:space="0" w:color="auto"/>
                      </w:divBdr>
                    </w:div>
                    <w:div w:id="2083940146">
                      <w:marLeft w:val="0"/>
                      <w:marRight w:val="0"/>
                      <w:marTop w:val="0"/>
                      <w:marBottom w:val="0"/>
                      <w:divBdr>
                        <w:top w:val="none" w:sz="0" w:space="0" w:color="auto"/>
                        <w:left w:val="none" w:sz="0" w:space="0" w:color="auto"/>
                        <w:bottom w:val="none" w:sz="0" w:space="0" w:color="auto"/>
                        <w:right w:val="none" w:sz="0" w:space="0" w:color="auto"/>
                      </w:divBdr>
                    </w:div>
                    <w:div w:id="2083940158">
                      <w:marLeft w:val="0"/>
                      <w:marRight w:val="0"/>
                      <w:marTop w:val="0"/>
                      <w:marBottom w:val="0"/>
                      <w:divBdr>
                        <w:top w:val="none" w:sz="0" w:space="0" w:color="auto"/>
                        <w:left w:val="none" w:sz="0" w:space="0" w:color="auto"/>
                        <w:bottom w:val="none" w:sz="0" w:space="0" w:color="auto"/>
                        <w:right w:val="none" w:sz="0" w:space="0" w:color="auto"/>
                      </w:divBdr>
                    </w:div>
                    <w:div w:id="2083940185">
                      <w:marLeft w:val="0"/>
                      <w:marRight w:val="0"/>
                      <w:marTop w:val="0"/>
                      <w:marBottom w:val="0"/>
                      <w:divBdr>
                        <w:top w:val="none" w:sz="0" w:space="0" w:color="auto"/>
                        <w:left w:val="none" w:sz="0" w:space="0" w:color="auto"/>
                        <w:bottom w:val="none" w:sz="0" w:space="0" w:color="auto"/>
                        <w:right w:val="none" w:sz="0" w:space="0" w:color="auto"/>
                      </w:divBdr>
                    </w:div>
                    <w:div w:id="2083940191">
                      <w:marLeft w:val="0"/>
                      <w:marRight w:val="0"/>
                      <w:marTop w:val="0"/>
                      <w:marBottom w:val="0"/>
                      <w:divBdr>
                        <w:top w:val="none" w:sz="0" w:space="0" w:color="auto"/>
                        <w:left w:val="none" w:sz="0" w:space="0" w:color="auto"/>
                        <w:bottom w:val="none" w:sz="0" w:space="0" w:color="auto"/>
                        <w:right w:val="none" w:sz="0" w:space="0" w:color="auto"/>
                      </w:divBdr>
                    </w:div>
                    <w:div w:id="2083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0166">
      <w:marLeft w:val="0"/>
      <w:marRight w:val="0"/>
      <w:marTop w:val="0"/>
      <w:marBottom w:val="0"/>
      <w:divBdr>
        <w:top w:val="none" w:sz="0" w:space="0" w:color="auto"/>
        <w:left w:val="none" w:sz="0" w:space="0" w:color="auto"/>
        <w:bottom w:val="none" w:sz="0" w:space="0" w:color="auto"/>
        <w:right w:val="none" w:sz="0" w:space="0" w:color="auto"/>
      </w:divBdr>
    </w:div>
    <w:div w:id="2083940167">
      <w:marLeft w:val="0"/>
      <w:marRight w:val="0"/>
      <w:marTop w:val="0"/>
      <w:marBottom w:val="0"/>
      <w:divBdr>
        <w:top w:val="none" w:sz="0" w:space="0" w:color="auto"/>
        <w:left w:val="none" w:sz="0" w:space="0" w:color="auto"/>
        <w:bottom w:val="none" w:sz="0" w:space="0" w:color="auto"/>
        <w:right w:val="none" w:sz="0" w:space="0" w:color="auto"/>
      </w:divBdr>
    </w:div>
    <w:div w:id="2083940169">
      <w:marLeft w:val="0"/>
      <w:marRight w:val="0"/>
      <w:marTop w:val="0"/>
      <w:marBottom w:val="0"/>
      <w:divBdr>
        <w:top w:val="none" w:sz="0" w:space="0" w:color="auto"/>
        <w:left w:val="none" w:sz="0" w:space="0" w:color="auto"/>
        <w:bottom w:val="none" w:sz="0" w:space="0" w:color="auto"/>
        <w:right w:val="none" w:sz="0" w:space="0" w:color="auto"/>
      </w:divBdr>
    </w:div>
    <w:div w:id="2083940171">
      <w:marLeft w:val="0"/>
      <w:marRight w:val="0"/>
      <w:marTop w:val="0"/>
      <w:marBottom w:val="0"/>
      <w:divBdr>
        <w:top w:val="none" w:sz="0" w:space="0" w:color="auto"/>
        <w:left w:val="none" w:sz="0" w:space="0" w:color="auto"/>
        <w:bottom w:val="none" w:sz="0" w:space="0" w:color="auto"/>
        <w:right w:val="none" w:sz="0" w:space="0" w:color="auto"/>
      </w:divBdr>
      <w:divsChild>
        <w:div w:id="2083940147">
          <w:marLeft w:val="806"/>
          <w:marRight w:val="0"/>
          <w:marTop w:val="120"/>
          <w:marBottom w:val="0"/>
          <w:divBdr>
            <w:top w:val="none" w:sz="0" w:space="0" w:color="auto"/>
            <w:left w:val="none" w:sz="0" w:space="0" w:color="auto"/>
            <w:bottom w:val="none" w:sz="0" w:space="0" w:color="auto"/>
            <w:right w:val="none" w:sz="0" w:space="0" w:color="auto"/>
          </w:divBdr>
        </w:div>
        <w:div w:id="2083940149">
          <w:marLeft w:val="806"/>
          <w:marRight w:val="0"/>
          <w:marTop w:val="120"/>
          <w:marBottom w:val="0"/>
          <w:divBdr>
            <w:top w:val="none" w:sz="0" w:space="0" w:color="auto"/>
            <w:left w:val="none" w:sz="0" w:space="0" w:color="auto"/>
            <w:bottom w:val="none" w:sz="0" w:space="0" w:color="auto"/>
            <w:right w:val="none" w:sz="0" w:space="0" w:color="auto"/>
          </w:divBdr>
        </w:div>
        <w:div w:id="2083940152">
          <w:marLeft w:val="806"/>
          <w:marRight w:val="0"/>
          <w:marTop w:val="120"/>
          <w:marBottom w:val="0"/>
          <w:divBdr>
            <w:top w:val="none" w:sz="0" w:space="0" w:color="auto"/>
            <w:left w:val="none" w:sz="0" w:space="0" w:color="auto"/>
            <w:bottom w:val="none" w:sz="0" w:space="0" w:color="auto"/>
            <w:right w:val="none" w:sz="0" w:space="0" w:color="auto"/>
          </w:divBdr>
        </w:div>
        <w:div w:id="2083940168">
          <w:marLeft w:val="806"/>
          <w:marRight w:val="0"/>
          <w:marTop w:val="120"/>
          <w:marBottom w:val="0"/>
          <w:divBdr>
            <w:top w:val="none" w:sz="0" w:space="0" w:color="auto"/>
            <w:left w:val="none" w:sz="0" w:space="0" w:color="auto"/>
            <w:bottom w:val="none" w:sz="0" w:space="0" w:color="auto"/>
            <w:right w:val="none" w:sz="0" w:space="0" w:color="auto"/>
          </w:divBdr>
        </w:div>
        <w:div w:id="2083940173">
          <w:marLeft w:val="806"/>
          <w:marRight w:val="0"/>
          <w:marTop w:val="120"/>
          <w:marBottom w:val="0"/>
          <w:divBdr>
            <w:top w:val="none" w:sz="0" w:space="0" w:color="auto"/>
            <w:left w:val="none" w:sz="0" w:space="0" w:color="auto"/>
            <w:bottom w:val="none" w:sz="0" w:space="0" w:color="auto"/>
            <w:right w:val="none" w:sz="0" w:space="0" w:color="auto"/>
          </w:divBdr>
        </w:div>
        <w:div w:id="2083940178">
          <w:marLeft w:val="806"/>
          <w:marRight w:val="0"/>
          <w:marTop w:val="120"/>
          <w:marBottom w:val="0"/>
          <w:divBdr>
            <w:top w:val="none" w:sz="0" w:space="0" w:color="auto"/>
            <w:left w:val="none" w:sz="0" w:space="0" w:color="auto"/>
            <w:bottom w:val="none" w:sz="0" w:space="0" w:color="auto"/>
            <w:right w:val="none" w:sz="0" w:space="0" w:color="auto"/>
          </w:divBdr>
        </w:div>
        <w:div w:id="2083940205">
          <w:marLeft w:val="806"/>
          <w:marRight w:val="0"/>
          <w:marTop w:val="120"/>
          <w:marBottom w:val="0"/>
          <w:divBdr>
            <w:top w:val="none" w:sz="0" w:space="0" w:color="auto"/>
            <w:left w:val="none" w:sz="0" w:space="0" w:color="auto"/>
            <w:bottom w:val="none" w:sz="0" w:space="0" w:color="auto"/>
            <w:right w:val="none" w:sz="0" w:space="0" w:color="auto"/>
          </w:divBdr>
        </w:div>
        <w:div w:id="2083940211">
          <w:marLeft w:val="806"/>
          <w:marRight w:val="0"/>
          <w:marTop w:val="120"/>
          <w:marBottom w:val="0"/>
          <w:divBdr>
            <w:top w:val="none" w:sz="0" w:space="0" w:color="auto"/>
            <w:left w:val="none" w:sz="0" w:space="0" w:color="auto"/>
            <w:bottom w:val="none" w:sz="0" w:space="0" w:color="auto"/>
            <w:right w:val="none" w:sz="0" w:space="0" w:color="auto"/>
          </w:divBdr>
        </w:div>
        <w:div w:id="2083940242">
          <w:marLeft w:val="806"/>
          <w:marRight w:val="0"/>
          <w:marTop w:val="120"/>
          <w:marBottom w:val="0"/>
          <w:divBdr>
            <w:top w:val="none" w:sz="0" w:space="0" w:color="auto"/>
            <w:left w:val="none" w:sz="0" w:space="0" w:color="auto"/>
            <w:bottom w:val="none" w:sz="0" w:space="0" w:color="auto"/>
            <w:right w:val="none" w:sz="0" w:space="0" w:color="auto"/>
          </w:divBdr>
        </w:div>
      </w:divsChild>
    </w:div>
    <w:div w:id="2083940174">
      <w:marLeft w:val="0"/>
      <w:marRight w:val="0"/>
      <w:marTop w:val="0"/>
      <w:marBottom w:val="0"/>
      <w:divBdr>
        <w:top w:val="none" w:sz="0" w:space="0" w:color="auto"/>
        <w:left w:val="none" w:sz="0" w:space="0" w:color="auto"/>
        <w:bottom w:val="none" w:sz="0" w:space="0" w:color="auto"/>
        <w:right w:val="none" w:sz="0" w:space="0" w:color="auto"/>
      </w:divBdr>
    </w:div>
    <w:div w:id="2083940177">
      <w:marLeft w:val="0"/>
      <w:marRight w:val="0"/>
      <w:marTop w:val="0"/>
      <w:marBottom w:val="0"/>
      <w:divBdr>
        <w:top w:val="none" w:sz="0" w:space="0" w:color="auto"/>
        <w:left w:val="none" w:sz="0" w:space="0" w:color="auto"/>
        <w:bottom w:val="none" w:sz="0" w:space="0" w:color="auto"/>
        <w:right w:val="none" w:sz="0" w:space="0" w:color="auto"/>
      </w:divBdr>
    </w:div>
    <w:div w:id="2083940179">
      <w:marLeft w:val="0"/>
      <w:marRight w:val="0"/>
      <w:marTop w:val="0"/>
      <w:marBottom w:val="0"/>
      <w:divBdr>
        <w:top w:val="none" w:sz="0" w:space="0" w:color="auto"/>
        <w:left w:val="none" w:sz="0" w:space="0" w:color="auto"/>
        <w:bottom w:val="none" w:sz="0" w:space="0" w:color="auto"/>
        <w:right w:val="none" w:sz="0" w:space="0" w:color="auto"/>
      </w:divBdr>
    </w:div>
    <w:div w:id="2083940181">
      <w:marLeft w:val="0"/>
      <w:marRight w:val="0"/>
      <w:marTop w:val="0"/>
      <w:marBottom w:val="0"/>
      <w:divBdr>
        <w:top w:val="none" w:sz="0" w:space="0" w:color="auto"/>
        <w:left w:val="none" w:sz="0" w:space="0" w:color="auto"/>
        <w:bottom w:val="none" w:sz="0" w:space="0" w:color="auto"/>
        <w:right w:val="none" w:sz="0" w:space="0" w:color="auto"/>
      </w:divBdr>
    </w:div>
    <w:div w:id="2083940182">
      <w:marLeft w:val="0"/>
      <w:marRight w:val="0"/>
      <w:marTop w:val="0"/>
      <w:marBottom w:val="0"/>
      <w:divBdr>
        <w:top w:val="none" w:sz="0" w:space="0" w:color="auto"/>
        <w:left w:val="none" w:sz="0" w:space="0" w:color="auto"/>
        <w:bottom w:val="none" w:sz="0" w:space="0" w:color="auto"/>
        <w:right w:val="none" w:sz="0" w:space="0" w:color="auto"/>
      </w:divBdr>
    </w:div>
    <w:div w:id="2083940184">
      <w:marLeft w:val="0"/>
      <w:marRight w:val="0"/>
      <w:marTop w:val="0"/>
      <w:marBottom w:val="0"/>
      <w:divBdr>
        <w:top w:val="none" w:sz="0" w:space="0" w:color="auto"/>
        <w:left w:val="none" w:sz="0" w:space="0" w:color="auto"/>
        <w:bottom w:val="none" w:sz="0" w:space="0" w:color="auto"/>
        <w:right w:val="none" w:sz="0" w:space="0" w:color="auto"/>
      </w:divBdr>
      <w:divsChild>
        <w:div w:id="2083940232">
          <w:marLeft w:val="547"/>
          <w:marRight w:val="0"/>
          <w:marTop w:val="120"/>
          <w:marBottom w:val="0"/>
          <w:divBdr>
            <w:top w:val="none" w:sz="0" w:space="0" w:color="auto"/>
            <w:left w:val="none" w:sz="0" w:space="0" w:color="auto"/>
            <w:bottom w:val="none" w:sz="0" w:space="0" w:color="auto"/>
            <w:right w:val="none" w:sz="0" w:space="0" w:color="auto"/>
          </w:divBdr>
        </w:div>
      </w:divsChild>
    </w:div>
    <w:div w:id="2083940186">
      <w:marLeft w:val="0"/>
      <w:marRight w:val="0"/>
      <w:marTop w:val="0"/>
      <w:marBottom w:val="0"/>
      <w:divBdr>
        <w:top w:val="none" w:sz="0" w:space="0" w:color="auto"/>
        <w:left w:val="none" w:sz="0" w:space="0" w:color="auto"/>
        <w:bottom w:val="none" w:sz="0" w:space="0" w:color="auto"/>
        <w:right w:val="none" w:sz="0" w:space="0" w:color="auto"/>
      </w:divBdr>
    </w:div>
    <w:div w:id="2083940187">
      <w:marLeft w:val="0"/>
      <w:marRight w:val="0"/>
      <w:marTop w:val="0"/>
      <w:marBottom w:val="0"/>
      <w:divBdr>
        <w:top w:val="none" w:sz="0" w:space="0" w:color="auto"/>
        <w:left w:val="none" w:sz="0" w:space="0" w:color="auto"/>
        <w:bottom w:val="none" w:sz="0" w:space="0" w:color="auto"/>
        <w:right w:val="none" w:sz="0" w:space="0" w:color="auto"/>
      </w:divBdr>
    </w:div>
    <w:div w:id="2083940188">
      <w:marLeft w:val="0"/>
      <w:marRight w:val="0"/>
      <w:marTop w:val="0"/>
      <w:marBottom w:val="0"/>
      <w:divBdr>
        <w:top w:val="none" w:sz="0" w:space="0" w:color="auto"/>
        <w:left w:val="none" w:sz="0" w:space="0" w:color="auto"/>
        <w:bottom w:val="none" w:sz="0" w:space="0" w:color="auto"/>
        <w:right w:val="none" w:sz="0" w:space="0" w:color="auto"/>
      </w:divBdr>
      <w:divsChild>
        <w:div w:id="2083940148">
          <w:marLeft w:val="1166"/>
          <w:marRight w:val="0"/>
          <w:marTop w:val="40"/>
          <w:marBottom w:val="0"/>
          <w:divBdr>
            <w:top w:val="none" w:sz="0" w:space="0" w:color="auto"/>
            <w:left w:val="none" w:sz="0" w:space="0" w:color="auto"/>
            <w:bottom w:val="none" w:sz="0" w:space="0" w:color="auto"/>
            <w:right w:val="none" w:sz="0" w:space="0" w:color="auto"/>
          </w:divBdr>
        </w:div>
        <w:div w:id="2083940160">
          <w:marLeft w:val="547"/>
          <w:marRight w:val="0"/>
          <w:marTop w:val="120"/>
          <w:marBottom w:val="0"/>
          <w:divBdr>
            <w:top w:val="none" w:sz="0" w:space="0" w:color="auto"/>
            <w:left w:val="none" w:sz="0" w:space="0" w:color="auto"/>
            <w:bottom w:val="none" w:sz="0" w:space="0" w:color="auto"/>
            <w:right w:val="none" w:sz="0" w:space="0" w:color="auto"/>
          </w:divBdr>
        </w:div>
        <w:div w:id="2083940200">
          <w:marLeft w:val="1166"/>
          <w:marRight w:val="0"/>
          <w:marTop w:val="40"/>
          <w:marBottom w:val="0"/>
          <w:divBdr>
            <w:top w:val="none" w:sz="0" w:space="0" w:color="auto"/>
            <w:left w:val="none" w:sz="0" w:space="0" w:color="auto"/>
            <w:bottom w:val="none" w:sz="0" w:space="0" w:color="auto"/>
            <w:right w:val="none" w:sz="0" w:space="0" w:color="auto"/>
          </w:divBdr>
        </w:div>
        <w:div w:id="2083940204">
          <w:marLeft w:val="547"/>
          <w:marRight w:val="0"/>
          <w:marTop w:val="120"/>
          <w:marBottom w:val="0"/>
          <w:divBdr>
            <w:top w:val="none" w:sz="0" w:space="0" w:color="auto"/>
            <w:left w:val="none" w:sz="0" w:space="0" w:color="auto"/>
            <w:bottom w:val="none" w:sz="0" w:space="0" w:color="auto"/>
            <w:right w:val="none" w:sz="0" w:space="0" w:color="auto"/>
          </w:divBdr>
        </w:div>
        <w:div w:id="2083940213">
          <w:marLeft w:val="1166"/>
          <w:marRight w:val="0"/>
          <w:marTop w:val="40"/>
          <w:marBottom w:val="0"/>
          <w:divBdr>
            <w:top w:val="none" w:sz="0" w:space="0" w:color="auto"/>
            <w:left w:val="none" w:sz="0" w:space="0" w:color="auto"/>
            <w:bottom w:val="none" w:sz="0" w:space="0" w:color="auto"/>
            <w:right w:val="none" w:sz="0" w:space="0" w:color="auto"/>
          </w:divBdr>
        </w:div>
        <w:div w:id="2083940221">
          <w:marLeft w:val="1166"/>
          <w:marRight w:val="0"/>
          <w:marTop w:val="40"/>
          <w:marBottom w:val="0"/>
          <w:divBdr>
            <w:top w:val="none" w:sz="0" w:space="0" w:color="auto"/>
            <w:left w:val="none" w:sz="0" w:space="0" w:color="auto"/>
            <w:bottom w:val="none" w:sz="0" w:space="0" w:color="auto"/>
            <w:right w:val="none" w:sz="0" w:space="0" w:color="auto"/>
          </w:divBdr>
        </w:div>
        <w:div w:id="2083940222">
          <w:marLeft w:val="1166"/>
          <w:marRight w:val="0"/>
          <w:marTop w:val="40"/>
          <w:marBottom w:val="0"/>
          <w:divBdr>
            <w:top w:val="none" w:sz="0" w:space="0" w:color="auto"/>
            <w:left w:val="none" w:sz="0" w:space="0" w:color="auto"/>
            <w:bottom w:val="none" w:sz="0" w:space="0" w:color="auto"/>
            <w:right w:val="none" w:sz="0" w:space="0" w:color="auto"/>
          </w:divBdr>
        </w:div>
        <w:div w:id="2083940234">
          <w:marLeft w:val="547"/>
          <w:marRight w:val="0"/>
          <w:marTop w:val="120"/>
          <w:marBottom w:val="0"/>
          <w:divBdr>
            <w:top w:val="none" w:sz="0" w:space="0" w:color="auto"/>
            <w:left w:val="none" w:sz="0" w:space="0" w:color="auto"/>
            <w:bottom w:val="none" w:sz="0" w:space="0" w:color="auto"/>
            <w:right w:val="none" w:sz="0" w:space="0" w:color="auto"/>
          </w:divBdr>
        </w:div>
      </w:divsChild>
    </w:div>
    <w:div w:id="2083940193">
      <w:marLeft w:val="0"/>
      <w:marRight w:val="0"/>
      <w:marTop w:val="0"/>
      <w:marBottom w:val="0"/>
      <w:divBdr>
        <w:top w:val="none" w:sz="0" w:space="0" w:color="auto"/>
        <w:left w:val="none" w:sz="0" w:space="0" w:color="auto"/>
        <w:bottom w:val="none" w:sz="0" w:space="0" w:color="auto"/>
        <w:right w:val="none" w:sz="0" w:space="0" w:color="auto"/>
      </w:divBdr>
    </w:div>
    <w:div w:id="2083940199">
      <w:marLeft w:val="0"/>
      <w:marRight w:val="0"/>
      <w:marTop w:val="0"/>
      <w:marBottom w:val="0"/>
      <w:divBdr>
        <w:top w:val="none" w:sz="0" w:space="0" w:color="auto"/>
        <w:left w:val="none" w:sz="0" w:space="0" w:color="auto"/>
        <w:bottom w:val="none" w:sz="0" w:space="0" w:color="auto"/>
        <w:right w:val="none" w:sz="0" w:space="0" w:color="auto"/>
      </w:divBdr>
      <w:divsChild>
        <w:div w:id="2083940172">
          <w:marLeft w:val="547"/>
          <w:marRight w:val="0"/>
          <w:marTop w:val="120"/>
          <w:marBottom w:val="0"/>
          <w:divBdr>
            <w:top w:val="none" w:sz="0" w:space="0" w:color="auto"/>
            <w:left w:val="none" w:sz="0" w:space="0" w:color="auto"/>
            <w:bottom w:val="none" w:sz="0" w:space="0" w:color="auto"/>
            <w:right w:val="none" w:sz="0" w:space="0" w:color="auto"/>
          </w:divBdr>
        </w:div>
        <w:div w:id="2083940183">
          <w:marLeft w:val="1166"/>
          <w:marRight w:val="0"/>
          <w:marTop w:val="40"/>
          <w:marBottom w:val="0"/>
          <w:divBdr>
            <w:top w:val="none" w:sz="0" w:space="0" w:color="auto"/>
            <w:left w:val="none" w:sz="0" w:space="0" w:color="auto"/>
            <w:bottom w:val="none" w:sz="0" w:space="0" w:color="auto"/>
            <w:right w:val="none" w:sz="0" w:space="0" w:color="auto"/>
          </w:divBdr>
        </w:div>
        <w:div w:id="2083940189">
          <w:marLeft w:val="1166"/>
          <w:marRight w:val="0"/>
          <w:marTop w:val="40"/>
          <w:marBottom w:val="0"/>
          <w:divBdr>
            <w:top w:val="none" w:sz="0" w:space="0" w:color="auto"/>
            <w:left w:val="none" w:sz="0" w:space="0" w:color="auto"/>
            <w:bottom w:val="none" w:sz="0" w:space="0" w:color="auto"/>
            <w:right w:val="none" w:sz="0" w:space="0" w:color="auto"/>
          </w:divBdr>
        </w:div>
        <w:div w:id="2083940190">
          <w:marLeft w:val="547"/>
          <w:marRight w:val="0"/>
          <w:marTop w:val="120"/>
          <w:marBottom w:val="0"/>
          <w:divBdr>
            <w:top w:val="none" w:sz="0" w:space="0" w:color="auto"/>
            <w:left w:val="none" w:sz="0" w:space="0" w:color="auto"/>
            <w:bottom w:val="none" w:sz="0" w:space="0" w:color="auto"/>
            <w:right w:val="none" w:sz="0" w:space="0" w:color="auto"/>
          </w:divBdr>
        </w:div>
        <w:div w:id="2083940207">
          <w:marLeft w:val="1166"/>
          <w:marRight w:val="0"/>
          <w:marTop w:val="40"/>
          <w:marBottom w:val="0"/>
          <w:divBdr>
            <w:top w:val="none" w:sz="0" w:space="0" w:color="auto"/>
            <w:left w:val="none" w:sz="0" w:space="0" w:color="auto"/>
            <w:bottom w:val="none" w:sz="0" w:space="0" w:color="auto"/>
            <w:right w:val="none" w:sz="0" w:space="0" w:color="auto"/>
          </w:divBdr>
        </w:div>
        <w:div w:id="2083940220">
          <w:marLeft w:val="547"/>
          <w:marRight w:val="0"/>
          <w:marTop w:val="120"/>
          <w:marBottom w:val="0"/>
          <w:divBdr>
            <w:top w:val="none" w:sz="0" w:space="0" w:color="auto"/>
            <w:left w:val="none" w:sz="0" w:space="0" w:color="auto"/>
            <w:bottom w:val="none" w:sz="0" w:space="0" w:color="auto"/>
            <w:right w:val="none" w:sz="0" w:space="0" w:color="auto"/>
          </w:divBdr>
        </w:div>
        <w:div w:id="2083940237">
          <w:marLeft w:val="1166"/>
          <w:marRight w:val="0"/>
          <w:marTop w:val="40"/>
          <w:marBottom w:val="0"/>
          <w:divBdr>
            <w:top w:val="none" w:sz="0" w:space="0" w:color="auto"/>
            <w:left w:val="none" w:sz="0" w:space="0" w:color="auto"/>
            <w:bottom w:val="none" w:sz="0" w:space="0" w:color="auto"/>
            <w:right w:val="none" w:sz="0" w:space="0" w:color="auto"/>
          </w:divBdr>
        </w:div>
      </w:divsChild>
    </w:div>
    <w:div w:id="2083940203">
      <w:marLeft w:val="0"/>
      <w:marRight w:val="0"/>
      <w:marTop w:val="0"/>
      <w:marBottom w:val="0"/>
      <w:divBdr>
        <w:top w:val="none" w:sz="0" w:space="0" w:color="auto"/>
        <w:left w:val="none" w:sz="0" w:space="0" w:color="auto"/>
        <w:bottom w:val="none" w:sz="0" w:space="0" w:color="auto"/>
        <w:right w:val="none" w:sz="0" w:space="0" w:color="auto"/>
      </w:divBdr>
    </w:div>
    <w:div w:id="2083940206">
      <w:marLeft w:val="0"/>
      <w:marRight w:val="0"/>
      <w:marTop w:val="0"/>
      <w:marBottom w:val="0"/>
      <w:divBdr>
        <w:top w:val="none" w:sz="0" w:space="0" w:color="auto"/>
        <w:left w:val="none" w:sz="0" w:space="0" w:color="auto"/>
        <w:bottom w:val="none" w:sz="0" w:space="0" w:color="auto"/>
        <w:right w:val="none" w:sz="0" w:space="0" w:color="auto"/>
      </w:divBdr>
      <w:divsChild>
        <w:div w:id="2083940231">
          <w:marLeft w:val="1166"/>
          <w:marRight w:val="0"/>
          <w:marTop w:val="91"/>
          <w:marBottom w:val="0"/>
          <w:divBdr>
            <w:top w:val="none" w:sz="0" w:space="0" w:color="auto"/>
            <w:left w:val="none" w:sz="0" w:space="0" w:color="auto"/>
            <w:bottom w:val="none" w:sz="0" w:space="0" w:color="auto"/>
            <w:right w:val="none" w:sz="0" w:space="0" w:color="auto"/>
          </w:divBdr>
        </w:div>
      </w:divsChild>
    </w:div>
    <w:div w:id="2083940208">
      <w:marLeft w:val="0"/>
      <w:marRight w:val="0"/>
      <w:marTop w:val="0"/>
      <w:marBottom w:val="0"/>
      <w:divBdr>
        <w:top w:val="none" w:sz="0" w:space="0" w:color="auto"/>
        <w:left w:val="none" w:sz="0" w:space="0" w:color="auto"/>
        <w:bottom w:val="none" w:sz="0" w:space="0" w:color="auto"/>
        <w:right w:val="none" w:sz="0" w:space="0" w:color="auto"/>
      </w:divBdr>
      <w:divsChild>
        <w:div w:id="2083940244">
          <w:marLeft w:val="547"/>
          <w:marRight w:val="0"/>
          <w:marTop w:val="120"/>
          <w:marBottom w:val="0"/>
          <w:divBdr>
            <w:top w:val="none" w:sz="0" w:space="0" w:color="auto"/>
            <w:left w:val="none" w:sz="0" w:space="0" w:color="auto"/>
            <w:bottom w:val="none" w:sz="0" w:space="0" w:color="auto"/>
            <w:right w:val="none" w:sz="0" w:space="0" w:color="auto"/>
          </w:divBdr>
        </w:div>
      </w:divsChild>
    </w:div>
    <w:div w:id="2083940209">
      <w:marLeft w:val="0"/>
      <w:marRight w:val="0"/>
      <w:marTop w:val="0"/>
      <w:marBottom w:val="0"/>
      <w:divBdr>
        <w:top w:val="none" w:sz="0" w:space="0" w:color="auto"/>
        <w:left w:val="none" w:sz="0" w:space="0" w:color="auto"/>
        <w:bottom w:val="none" w:sz="0" w:space="0" w:color="auto"/>
        <w:right w:val="none" w:sz="0" w:space="0" w:color="auto"/>
      </w:divBdr>
      <w:divsChild>
        <w:div w:id="2083940175">
          <w:marLeft w:val="1166"/>
          <w:marRight w:val="0"/>
          <w:marTop w:val="40"/>
          <w:marBottom w:val="0"/>
          <w:divBdr>
            <w:top w:val="none" w:sz="0" w:space="0" w:color="auto"/>
            <w:left w:val="none" w:sz="0" w:space="0" w:color="auto"/>
            <w:bottom w:val="none" w:sz="0" w:space="0" w:color="auto"/>
            <w:right w:val="none" w:sz="0" w:space="0" w:color="auto"/>
          </w:divBdr>
        </w:div>
        <w:div w:id="2083940176">
          <w:marLeft w:val="1166"/>
          <w:marRight w:val="0"/>
          <w:marTop w:val="40"/>
          <w:marBottom w:val="0"/>
          <w:divBdr>
            <w:top w:val="none" w:sz="0" w:space="0" w:color="auto"/>
            <w:left w:val="none" w:sz="0" w:space="0" w:color="auto"/>
            <w:bottom w:val="none" w:sz="0" w:space="0" w:color="auto"/>
            <w:right w:val="none" w:sz="0" w:space="0" w:color="auto"/>
          </w:divBdr>
        </w:div>
        <w:div w:id="2083940194">
          <w:marLeft w:val="1166"/>
          <w:marRight w:val="0"/>
          <w:marTop w:val="40"/>
          <w:marBottom w:val="0"/>
          <w:divBdr>
            <w:top w:val="none" w:sz="0" w:space="0" w:color="auto"/>
            <w:left w:val="none" w:sz="0" w:space="0" w:color="auto"/>
            <w:bottom w:val="none" w:sz="0" w:space="0" w:color="auto"/>
            <w:right w:val="none" w:sz="0" w:space="0" w:color="auto"/>
          </w:divBdr>
        </w:div>
        <w:div w:id="2083940196">
          <w:marLeft w:val="1166"/>
          <w:marRight w:val="0"/>
          <w:marTop w:val="40"/>
          <w:marBottom w:val="0"/>
          <w:divBdr>
            <w:top w:val="none" w:sz="0" w:space="0" w:color="auto"/>
            <w:left w:val="none" w:sz="0" w:space="0" w:color="auto"/>
            <w:bottom w:val="none" w:sz="0" w:space="0" w:color="auto"/>
            <w:right w:val="none" w:sz="0" w:space="0" w:color="auto"/>
          </w:divBdr>
        </w:div>
        <w:div w:id="2083940210">
          <w:marLeft w:val="547"/>
          <w:marRight w:val="0"/>
          <w:marTop w:val="120"/>
          <w:marBottom w:val="0"/>
          <w:divBdr>
            <w:top w:val="none" w:sz="0" w:space="0" w:color="auto"/>
            <w:left w:val="none" w:sz="0" w:space="0" w:color="auto"/>
            <w:bottom w:val="none" w:sz="0" w:space="0" w:color="auto"/>
            <w:right w:val="none" w:sz="0" w:space="0" w:color="auto"/>
          </w:divBdr>
        </w:div>
        <w:div w:id="2083940226">
          <w:marLeft w:val="1166"/>
          <w:marRight w:val="0"/>
          <w:marTop w:val="40"/>
          <w:marBottom w:val="0"/>
          <w:divBdr>
            <w:top w:val="none" w:sz="0" w:space="0" w:color="auto"/>
            <w:left w:val="none" w:sz="0" w:space="0" w:color="auto"/>
            <w:bottom w:val="none" w:sz="0" w:space="0" w:color="auto"/>
            <w:right w:val="none" w:sz="0" w:space="0" w:color="auto"/>
          </w:divBdr>
        </w:div>
        <w:div w:id="2083940245">
          <w:marLeft w:val="547"/>
          <w:marRight w:val="0"/>
          <w:marTop w:val="120"/>
          <w:marBottom w:val="0"/>
          <w:divBdr>
            <w:top w:val="none" w:sz="0" w:space="0" w:color="auto"/>
            <w:left w:val="none" w:sz="0" w:space="0" w:color="auto"/>
            <w:bottom w:val="none" w:sz="0" w:space="0" w:color="auto"/>
            <w:right w:val="none" w:sz="0" w:space="0" w:color="auto"/>
          </w:divBdr>
        </w:div>
      </w:divsChild>
    </w:div>
    <w:div w:id="2083940215">
      <w:marLeft w:val="0"/>
      <w:marRight w:val="0"/>
      <w:marTop w:val="0"/>
      <w:marBottom w:val="0"/>
      <w:divBdr>
        <w:top w:val="none" w:sz="0" w:space="0" w:color="auto"/>
        <w:left w:val="none" w:sz="0" w:space="0" w:color="auto"/>
        <w:bottom w:val="none" w:sz="0" w:space="0" w:color="auto"/>
        <w:right w:val="none" w:sz="0" w:space="0" w:color="auto"/>
      </w:divBdr>
    </w:div>
    <w:div w:id="2083940216">
      <w:marLeft w:val="0"/>
      <w:marRight w:val="0"/>
      <w:marTop w:val="0"/>
      <w:marBottom w:val="0"/>
      <w:divBdr>
        <w:top w:val="none" w:sz="0" w:space="0" w:color="auto"/>
        <w:left w:val="none" w:sz="0" w:space="0" w:color="auto"/>
        <w:bottom w:val="none" w:sz="0" w:space="0" w:color="auto"/>
        <w:right w:val="none" w:sz="0" w:space="0" w:color="auto"/>
      </w:divBdr>
    </w:div>
    <w:div w:id="2083940217">
      <w:marLeft w:val="0"/>
      <w:marRight w:val="0"/>
      <w:marTop w:val="0"/>
      <w:marBottom w:val="0"/>
      <w:divBdr>
        <w:top w:val="none" w:sz="0" w:space="0" w:color="auto"/>
        <w:left w:val="none" w:sz="0" w:space="0" w:color="auto"/>
        <w:bottom w:val="none" w:sz="0" w:space="0" w:color="auto"/>
        <w:right w:val="none" w:sz="0" w:space="0" w:color="auto"/>
      </w:divBdr>
    </w:div>
    <w:div w:id="2083940218">
      <w:marLeft w:val="0"/>
      <w:marRight w:val="0"/>
      <w:marTop w:val="0"/>
      <w:marBottom w:val="0"/>
      <w:divBdr>
        <w:top w:val="none" w:sz="0" w:space="0" w:color="auto"/>
        <w:left w:val="none" w:sz="0" w:space="0" w:color="auto"/>
        <w:bottom w:val="none" w:sz="0" w:space="0" w:color="auto"/>
        <w:right w:val="none" w:sz="0" w:space="0" w:color="auto"/>
      </w:divBdr>
    </w:div>
    <w:div w:id="2083940219">
      <w:marLeft w:val="0"/>
      <w:marRight w:val="0"/>
      <w:marTop w:val="0"/>
      <w:marBottom w:val="0"/>
      <w:divBdr>
        <w:top w:val="none" w:sz="0" w:space="0" w:color="auto"/>
        <w:left w:val="none" w:sz="0" w:space="0" w:color="auto"/>
        <w:bottom w:val="none" w:sz="0" w:space="0" w:color="auto"/>
        <w:right w:val="none" w:sz="0" w:space="0" w:color="auto"/>
      </w:divBdr>
    </w:div>
    <w:div w:id="2083940223">
      <w:marLeft w:val="0"/>
      <w:marRight w:val="0"/>
      <w:marTop w:val="0"/>
      <w:marBottom w:val="0"/>
      <w:divBdr>
        <w:top w:val="none" w:sz="0" w:space="0" w:color="auto"/>
        <w:left w:val="none" w:sz="0" w:space="0" w:color="auto"/>
        <w:bottom w:val="none" w:sz="0" w:space="0" w:color="auto"/>
        <w:right w:val="none" w:sz="0" w:space="0" w:color="auto"/>
      </w:divBdr>
    </w:div>
    <w:div w:id="2083940225">
      <w:marLeft w:val="0"/>
      <w:marRight w:val="0"/>
      <w:marTop w:val="0"/>
      <w:marBottom w:val="0"/>
      <w:divBdr>
        <w:top w:val="none" w:sz="0" w:space="0" w:color="auto"/>
        <w:left w:val="none" w:sz="0" w:space="0" w:color="auto"/>
        <w:bottom w:val="none" w:sz="0" w:space="0" w:color="auto"/>
        <w:right w:val="none" w:sz="0" w:space="0" w:color="auto"/>
      </w:divBdr>
      <w:divsChild>
        <w:div w:id="2083940150">
          <w:marLeft w:val="288"/>
          <w:marRight w:val="0"/>
          <w:marTop w:val="0"/>
          <w:marBottom w:val="100"/>
          <w:divBdr>
            <w:top w:val="none" w:sz="0" w:space="0" w:color="auto"/>
            <w:left w:val="none" w:sz="0" w:space="0" w:color="auto"/>
            <w:bottom w:val="none" w:sz="0" w:space="0" w:color="auto"/>
            <w:right w:val="none" w:sz="0" w:space="0" w:color="auto"/>
          </w:divBdr>
        </w:div>
        <w:div w:id="2083940229">
          <w:marLeft w:val="288"/>
          <w:marRight w:val="0"/>
          <w:marTop w:val="0"/>
          <w:marBottom w:val="100"/>
          <w:divBdr>
            <w:top w:val="none" w:sz="0" w:space="0" w:color="auto"/>
            <w:left w:val="none" w:sz="0" w:space="0" w:color="auto"/>
            <w:bottom w:val="none" w:sz="0" w:space="0" w:color="auto"/>
            <w:right w:val="none" w:sz="0" w:space="0" w:color="auto"/>
          </w:divBdr>
        </w:div>
        <w:div w:id="2083940240">
          <w:marLeft w:val="288"/>
          <w:marRight w:val="0"/>
          <w:marTop w:val="0"/>
          <w:marBottom w:val="100"/>
          <w:divBdr>
            <w:top w:val="none" w:sz="0" w:space="0" w:color="auto"/>
            <w:left w:val="none" w:sz="0" w:space="0" w:color="auto"/>
            <w:bottom w:val="none" w:sz="0" w:space="0" w:color="auto"/>
            <w:right w:val="none" w:sz="0" w:space="0" w:color="auto"/>
          </w:divBdr>
        </w:div>
      </w:divsChild>
    </w:div>
    <w:div w:id="2083940227">
      <w:marLeft w:val="0"/>
      <w:marRight w:val="0"/>
      <w:marTop w:val="0"/>
      <w:marBottom w:val="0"/>
      <w:divBdr>
        <w:top w:val="none" w:sz="0" w:space="0" w:color="auto"/>
        <w:left w:val="none" w:sz="0" w:space="0" w:color="auto"/>
        <w:bottom w:val="none" w:sz="0" w:space="0" w:color="auto"/>
        <w:right w:val="none" w:sz="0" w:space="0" w:color="auto"/>
      </w:divBdr>
    </w:div>
    <w:div w:id="2083940228">
      <w:marLeft w:val="0"/>
      <w:marRight w:val="0"/>
      <w:marTop w:val="0"/>
      <w:marBottom w:val="0"/>
      <w:divBdr>
        <w:top w:val="none" w:sz="0" w:space="0" w:color="auto"/>
        <w:left w:val="none" w:sz="0" w:space="0" w:color="auto"/>
        <w:bottom w:val="none" w:sz="0" w:space="0" w:color="auto"/>
        <w:right w:val="none" w:sz="0" w:space="0" w:color="auto"/>
      </w:divBdr>
    </w:div>
    <w:div w:id="2083940233">
      <w:marLeft w:val="0"/>
      <w:marRight w:val="0"/>
      <w:marTop w:val="0"/>
      <w:marBottom w:val="0"/>
      <w:divBdr>
        <w:top w:val="none" w:sz="0" w:space="0" w:color="auto"/>
        <w:left w:val="none" w:sz="0" w:space="0" w:color="auto"/>
        <w:bottom w:val="none" w:sz="0" w:space="0" w:color="auto"/>
        <w:right w:val="none" w:sz="0" w:space="0" w:color="auto"/>
      </w:divBdr>
    </w:div>
    <w:div w:id="2083940238">
      <w:marLeft w:val="0"/>
      <w:marRight w:val="0"/>
      <w:marTop w:val="0"/>
      <w:marBottom w:val="0"/>
      <w:divBdr>
        <w:top w:val="none" w:sz="0" w:space="0" w:color="auto"/>
        <w:left w:val="none" w:sz="0" w:space="0" w:color="auto"/>
        <w:bottom w:val="none" w:sz="0" w:space="0" w:color="auto"/>
        <w:right w:val="none" w:sz="0" w:space="0" w:color="auto"/>
      </w:divBdr>
      <w:divsChild>
        <w:div w:id="2083940144">
          <w:marLeft w:val="547"/>
          <w:marRight w:val="0"/>
          <w:marTop w:val="120"/>
          <w:marBottom w:val="0"/>
          <w:divBdr>
            <w:top w:val="none" w:sz="0" w:space="0" w:color="auto"/>
            <w:left w:val="none" w:sz="0" w:space="0" w:color="auto"/>
            <w:bottom w:val="none" w:sz="0" w:space="0" w:color="auto"/>
            <w:right w:val="none" w:sz="0" w:space="0" w:color="auto"/>
          </w:divBdr>
        </w:div>
        <w:div w:id="2083940151">
          <w:marLeft w:val="1166"/>
          <w:marRight w:val="0"/>
          <w:marTop w:val="40"/>
          <w:marBottom w:val="0"/>
          <w:divBdr>
            <w:top w:val="none" w:sz="0" w:space="0" w:color="auto"/>
            <w:left w:val="none" w:sz="0" w:space="0" w:color="auto"/>
            <w:bottom w:val="none" w:sz="0" w:space="0" w:color="auto"/>
            <w:right w:val="none" w:sz="0" w:space="0" w:color="auto"/>
          </w:divBdr>
        </w:div>
        <w:div w:id="2083940157">
          <w:marLeft w:val="547"/>
          <w:marRight w:val="0"/>
          <w:marTop w:val="120"/>
          <w:marBottom w:val="0"/>
          <w:divBdr>
            <w:top w:val="none" w:sz="0" w:space="0" w:color="auto"/>
            <w:left w:val="none" w:sz="0" w:space="0" w:color="auto"/>
            <w:bottom w:val="none" w:sz="0" w:space="0" w:color="auto"/>
            <w:right w:val="none" w:sz="0" w:space="0" w:color="auto"/>
          </w:divBdr>
        </w:div>
        <w:div w:id="2083940198">
          <w:marLeft w:val="1166"/>
          <w:marRight w:val="0"/>
          <w:marTop w:val="40"/>
          <w:marBottom w:val="0"/>
          <w:divBdr>
            <w:top w:val="none" w:sz="0" w:space="0" w:color="auto"/>
            <w:left w:val="none" w:sz="0" w:space="0" w:color="auto"/>
            <w:bottom w:val="none" w:sz="0" w:space="0" w:color="auto"/>
            <w:right w:val="none" w:sz="0" w:space="0" w:color="auto"/>
          </w:divBdr>
        </w:div>
        <w:div w:id="2083940230">
          <w:marLeft w:val="1166"/>
          <w:marRight w:val="0"/>
          <w:marTop w:val="40"/>
          <w:marBottom w:val="0"/>
          <w:divBdr>
            <w:top w:val="none" w:sz="0" w:space="0" w:color="auto"/>
            <w:left w:val="none" w:sz="0" w:space="0" w:color="auto"/>
            <w:bottom w:val="none" w:sz="0" w:space="0" w:color="auto"/>
            <w:right w:val="none" w:sz="0" w:space="0" w:color="auto"/>
          </w:divBdr>
        </w:div>
        <w:div w:id="2083940235">
          <w:marLeft w:val="1166"/>
          <w:marRight w:val="0"/>
          <w:marTop w:val="40"/>
          <w:marBottom w:val="0"/>
          <w:divBdr>
            <w:top w:val="none" w:sz="0" w:space="0" w:color="auto"/>
            <w:left w:val="none" w:sz="0" w:space="0" w:color="auto"/>
            <w:bottom w:val="none" w:sz="0" w:space="0" w:color="auto"/>
            <w:right w:val="none" w:sz="0" w:space="0" w:color="auto"/>
          </w:divBdr>
        </w:div>
        <w:div w:id="2083940236">
          <w:marLeft w:val="547"/>
          <w:marRight w:val="0"/>
          <w:marTop w:val="120"/>
          <w:marBottom w:val="0"/>
          <w:divBdr>
            <w:top w:val="none" w:sz="0" w:space="0" w:color="auto"/>
            <w:left w:val="none" w:sz="0" w:space="0" w:color="auto"/>
            <w:bottom w:val="none" w:sz="0" w:space="0" w:color="auto"/>
            <w:right w:val="none" w:sz="0" w:space="0" w:color="auto"/>
          </w:divBdr>
        </w:div>
      </w:divsChild>
    </w:div>
    <w:div w:id="2083940239">
      <w:marLeft w:val="0"/>
      <w:marRight w:val="0"/>
      <w:marTop w:val="0"/>
      <w:marBottom w:val="0"/>
      <w:divBdr>
        <w:top w:val="none" w:sz="0" w:space="0" w:color="auto"/>
        <w:left w:val="none" w:sz="0" w:space="0" w:color="auto"/>
        <w:bottom w:val="none" w:sz="0" w:space="0" w:color="auto"/>
        <w:right w:val="none" w:sz="0" w:space="0" w:color="auto"/>
      </w:divBdr>
    </w:div>
    <w:div w:id="2083940246">
      <w:marLeft w:val="0"/>
      <w:marRight w:val="0"/>
      <w:marTop w:val="0"/>
      <w:marBottom w:val="0"/>
      <w:divBdr>
        <w:top w:val="none" w:sz="0" w:space="0" w:color="auto"/>
        <w:left w:val="none" w:sz="0" w:space="0" w:color="auto"/>
        <w:bottom w:val="none" w:sz="0" w:space="0" w:color="auto"/>
        <w:right w:val="none" w:sz="0" w:space="0" w:color="auto"/>
      </w:divBdr>
    </w:div>
    <w:div w:id="2083940247">
      <w:marLeft w:val="0"/>
      <w:marRight w:val="0"/>
      <w:marTop w:val="0"/>
      <w:marBottom w:val="0"/>
      <w:divBdr>
        <w:top w:val="none" w:sz="0" w:space="0" w:color="auto"/>
        <w:left w:val="none" w:sz="0" w:space="0" w:color="auto"/>
        <w:bottom w:val="none" w:sz="0" w:space="0" w:color="auto"/>
        <w:right w:val="none" w:sz="0" w:space="0" w:color="auto"/>
      </w:divBdr>
    </w:div>
    <w:div w:id="2083940248">
      <w:marLeft w:val="0"/>
      <w:marRight w:val="0"/>
      <w:marTop w:val="0"/>
      <w:marBottom w:val="0"/>
      <w:divBdr>
        <w:top w:val="none" w:sz="0" w:space="0" w:color="auto"/>
        <w:left w:val="none" w:sz="0" w:space="0" w:color="auto"/>
        <w:bottom w:val="none" w:sz="0" w:space="0" w:color="auto"/>
        <w:right w:val="none" w:sz="0" w:space="0" w:color="auto"/>
      </w:divBdr>
    </w:div>
    <w:div w:id="2083940249">
      <w:marLeft w:val="0"/>
      <w:marRight w:val="0"/>
      <w:marTop w:val="0"/>
      <w:marBottom w:val="0"/>
      <w:divBdr>
        <w:top w:val="none" w:sz="0" w:space="0" w:color="auto"/>
        <w:left w:val="none" w:sz="0" w:space="0" w:color="auto"/>
        <w:bottom w:val="none" w:sz="0" w:space="0" w:color="auto"/>
        <w:right w:val="none" w:sz="0" w:space="0" w:color="auto"/>
      </w:divBdr>
    </w:div>
    <w:div w:id="2083940250">
      <w:marLeft w:val="0"/>
      <w:marRight w:val="0"/>
      <w:marTop w:val="0"/>
      <w:marBottom w:val="0"/>
      <w:divBdr>
        <w:top w:val="none" w:sz="0" w:space="0" w:color="auto"/>
        <w:left w:val="none" w:sz="0" w:space="0" w:color="auto"/>
        <w:bottom w:val="none" w:sz="0" w:space="0" w:color="auto"/>
        <w:right w:val="none" w:sz="0" w:space="0" w:color="auto"/>
      </w:divBdr>
    </w:div>
    <w:div w:id="2083940251">
      <w:marLeft w:val="0"/>
      <w:marRight w:val="0"/>
      <w:marTop w:val="0"/>
      <w:marBottom w:val="0"/>
      <w:divBdr>
        <w:top w:val="none" w:sz="0" w:space="0" w:color="auto"/>
        <w:left w:val="none" w:sz="0" w:space="0" w:color="auto"/>
        <w:bottom w:val="none" w:sz="0" w:space="0" w:color="auto"/>
        <w:right w:val="none" w:sz="0" w:space="0" w:color="auto"/>
      </w:divBdr>
    </w:div>
    <w:div w:id="2083940252">
      <w:marLeft w:val="0"/>
      <w:marRight w:val="0"/>
      <w:marTop w:val="0"/>
      <w:marBottom w:val="0"/>
      <w:divBdr>
        <w:top w:val="none" w:sz="0" w:space="0" w:color="auto"/>
        <w:left w:val="none" w:sz="0" w:space="0" w:color="auto"/>
        <w:bottom w:val="none" w:sz="0" w:space="0" w:color="auto"/>
        <w:right w:val="none" w:sz="0" w:space="0" w:color="auto"/>
      </w:divBdr>
    </w:div>
    <w:div w:id="2083940253">
      <w:marLeft w:val="0"/>
      <w:marRight w:val="0"/>
      <w:marTop w:val="0"/>
      <w:marBottom w:val="0"/>
      <w:divBdr>
        <w:top w:val="none" w:sz="0" w:space="0" w:color="auto"/>
        <w:left w:val="none" w:sz="0" w:space="0" w:color="auto"/>
        <w:bottom w:val="none" w:sz="0" w:space="0" w:color="auto"/>
        <w:right w:val="none" w:sz="0" w:space="0" w:color="auto"/>
      </w:divBdr>
    </w:div>
    <w:div w:id="2083940254">
      <w:marLeft w:val="0"/>
      <w:marRight w:val="0"/>
      <w:marTop w:val="0"/>
      <w:marBottom w:val="0"/>
      <w:divBdr>
        <w:top w:val="none" w:sz="0" w:space="0" w:color="auto"/>
        <w:left w:val="none" w:sz="0" w:space="0" w:color="auto"/>
        <w:bottom w:val="none" w:sz="0" w:space="0" w:color="auto"/>
        <w:right w:val="none" w:sz="0" w:space="0" w:color="auto"/>
      </w:divBdr>
    </w:div>
    <w:div w:id="2083940255">
      <w:marLeft w:val="0"/>
      <w:marRight w:val="0"/>
      <w:marTop w:val="0"/>
      <w:marBottom w:val="0"/>
      <w:divBdr>
        <w:top w:val="none" w:sz="0" w:space="0" w:color="auto"/>
        <w:left w:val="none" w:sz="0" w:space="0" w:color="auto"/>
        <w:bottom w:val="none" w:sz="0" w:space="0" w:color="auto"/>
        <w:right w:val="none" w:sz="0" w:space="0" w:color="auto"/>
      </w:divBdr>
    </w:div>
    <w:div w:id="2083940256">
      <w:marLeft w:val="0"/>
      <w:marRight w:val="0"/>
      <w:marTop w:val="0"/>
      <w:marBottom w:val="0"/>
      <w:divBdr>
        <w:top w:val="none" w:sz="0" w:space="0" w:color="auto"/>
        <w:left w:val="none" w:sz="0" w:space="0" w:color="auto"/>
        <w:bottom w:val="none" w:sz="0" w:space="0" w:color="auto"/>
        <w:right w:val="none" w:sz="0" w:space="0" w:color="auto"/>
      </w:divBdr>
    </w:div>
    <w:div w:id="2083940257">
      <w:marLeft w:val="0"/>
      <w:marRight w:val="0"/>
      <w:marTop w:val="0"/>
      <w:marBottom w:val="0"/>
      <w:divBdr>
        <w:top w:val="none" w:sz="0" w:space="0" w:color="auto"/>
        <w:left w:val="none" w:sz="0" w:space="0" w:color="auto"/>
        <w:bottom w:val="none" w:sz="0" w:space="0" w:color="auto"/>
        <w:right w:val="none" w:sz="0" w:space="0" w:color="auto"/>
      </w:divBdr>
    </w:div>
    <w:div w:id="2083940258">
      <w:marLeft w:val="0"/>
      <w:marRight w:val="0"/>
      <w:marTop w:val="0"/>
      <w:marBottom w:val="0"/>
      <w:divBdr>
        <w:top w:val="none" w:sz="0" w:space="0" w:color="auto"/>
        <w:left w:val="none" w:sz="0" w:space="0" w:color="auto"/>
        <w:bottom w:val="none" w:sz="0" w:space="0" w:color="auto"/>
        <w:right w:val="none" w:sz="0" w:space="0" w:color="auto"/>
      </w:divBdr>
    </w:div>
    <w:div w:id="2083940259">
      <w:marLeft w:val="0"/>
      <w:marRight w:val="0"/>
      <w:marTop w:val="0"/>
      <w:marBottom w:val="0"/>
      <w:divBdr>
        <w:top w:val="none" w:sz="0" w:space="0" w:color="auto"/>
        <w:left w:val="none" w:sz="0" w:space="0" w:color="auto"/>
        <w:bottom w:val="none" w:sz="0" w:space="0" w:color="auto"/>
        <w:right w:val="none" w:sz="0" w:space="0" w:color="auto"/>
      </w:divBdr>
    </w:div>
    <w:div w:id="2083940260">
      <w:marLeft w:val="0"/>
      <w:marRight w:val="0"/>
      <w:marTop w:val="0"/>
      <w:marBottom w:val="0"/>
      <w:divBdr>
        <w:top w:val="none" w:sz="0" w:space="0" w:color="auto"/>
        <w:left w:val="none" w:sz="0" w:space="0" w:color="auto"/>
        <w:bottom w:val="none" w:sz="0" w:space="0" w:color="auto"/>
        <w:right w:val="none" w:sz="0" w:space="0" w:color="auto"/>
      </w:divBdr>
    </w:div>
    <w:div w:id="2083940261">
      <w:marLeft w:val="0"/>
      <w:marRight w:val="0"/>
      <w:marTop w:val="0"/>
      <w:marBottom w:val="0"/>
      <w:divBdr>
        <w:top w:val="none" w:sz="0" w:space="0" w:color="auto"/>
        <w:left w:val="none" w:sz="0" w:space="0" w:color="auto"/>
        <w:bottom w:val="none" w:sz="0" w:space="0" w:color="auto"/>
        <w:right w:val="none" w:sz="0" w:space="0" w:color="auto"/>
      </w:divBdr>
    </w:div>
    <w:div w:id="2083940262">
      <w:marLeft w:val="0"/>
      <w:marRight w:val="0"/>
      <w:marTop w:val="0"/>
      <w:marBottom w:val="0"/>
      <w:divBdr>
        <w:top w:val="none" w:sz="0" w:space="0" w:color="auto"/>
        <w:left w:val="none" w:sz="0" w:space="0" w:color="auto"/>
        <w:bottom w:val="none" w:sz="0" w:space="0" w:color="auto"/>
        <w:right w:val="none" w:sz="0" w:space="0" w:color="auto"/>
      </w:divBdr>
    </w:div>
    <w:div w:id="2083940263">
      <w:marLeft w:val="0"/>
      <w:marRight w:val="0"/>
      <w:marTop w:val="0"/>
      <w:marBottom w:val="0"/>
      <w:divBdr>
        <w:top w:val="none" w:sz="0" w:space="0" w:color="auto"/>
        <w:left w:val="none" w:sz="0" w:space="0" w:color="auto"/>
        <w:bottom w:val="none" w:sz="0" w:space="0" w:color="auto"/>
        <w:right w:val="none" w:sz="0" w:space="0" w:color="auto"/>
      </w:divBdr>
    </w:div>
    <w:div w:id="2083940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5.xml"/><Relationship Id="rId21" Type="http://schemas.openxmlformats.org/officeDocument/2006/relationships/header" Target="header9.xml"/><Relationship Id="rId34" Type="http://schemas.openxmlformats.org/officeDocument/2006/relationships/hyperlink" Target="http://www.power2u.org" TargetMode="Externa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header" Target="header34.xml"/><Relationship Id="rId55" Type="http://schemas.openxmlformats.org/officeDocument/2006/relationships/header" Target="header37.xml"/><Relationship Id="rId63" Type="http://schemas.openxmlformats.org/officeDocument/2006/relationships/header" Target="header41.xml"/><Relationship Id="rId68" Type="http://schemas.openxmlformats.org/officeDocument/2006/relationships/header" Target="header44.xml"/><Relationship Id="rId7" Type="http://schemas.openxmlformats.org/officeDocument/2006/relationships/footnotes" Target="footnotes.xml"/><Relationship Id="rId71"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7.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3.xml"/><Relationship Id="rId40" Type="http://schemas.openxmlformats.org/officeDocument/2006/relationships/footer" Target="footer2.xml"/><Relationship Id="rId45" Type="http://schemas.openxmlformats.org/officeDocument/2006/relationships/header" Target="header30.xml"/><Relationship Id="rId53" Type="http://schemas.openxmlformats.org/officeDocument/2006/relationships/header" Target="header35.xml"/><Relationship Id="rId58" Type="http://schemas.openxmlformats.org/officeDocument/2006/relationships/header" Target="header38.xml"/><Relationship Id="rId66" Type="http://schemas.openxmlformats.org/officeDocument/2006/relationships/header" Target="header43.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2.xml"/><Relationship Id="rId49" Type="http://schemas.openxmlformats.org/officeDocument/2006/relationships/header" Target="header33.xml"/><Relationship Id="rId57" Type="http://schemas.openxmlformats.org/officeDocument/2006/relationships/footer" Target="footer6.xml"/><Relationship Id="rId61" Type="http://schemas.openxmlformats.org/officeDocument/2006/relationships/header" Target="header40.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9.xml"/><Relationship Id="rId44" Type="http://schemas.openxmlformats.org/officeDocument/2006/relationships/header" Target="header29.xml"/><Relationship Id="rId52" Type="http://schemas.openxmlformats.org/officeDocument/2006/relationships/footer" Target="footer4.xml"/><Relationship Id="rId60" Type="http://schemas.openxmlformats.org/officeDocument/2006/relationships/header" Target="header39.xml"/><Relationship Id="rId65" Type="http://schemas.openxmlformats.org/officeDocument/2006/relationships/header" Target="header42.xm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1.xml"/><Relationship Id="rId43" Type="http://schemas.openxmlformats.org/officeDocument/2006/relationships/header" Target="header28.xml"/><Relationship Id="rId48" Type="http://schemas.openxmlformats.org/officeDocument/2006/relationships/image" Target="media/image4.png"/><Relationship Id="rId56" Type="http://schemas.openxmlformats.org/officeDocument/2006/relationships/footer" Target="footer5.xml"/><Relationship Id="rId64" Type="http://schemas.openxmlformats.org/officeDocument/2006/relationships/image" Target="media/image6.emf"/><Relationship Id="rId69" Type="http://schemas.openxmlformats.org/officeDocument/2006/relationships/header" Target="header45.xml"/><Relationship Id="rId8" Type="http://schemas.openxmlformats.org/officeDocument/2006/relationships/endnotes" Target="endnotes.xml"/><Relationship Id="rId51" Type="http://schemas.openxmlformats.org/officeDocument/2006/relationships/footer" Target="footer3.xml"/><Relationship Id="rId72" Type="http://schemas.openxmlformats.org/officeDocument/2006/relationships/header" Target="header4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yperlink" Target="http://www.cqi-mass.org" TargetMode="External"/><Relationship Id="rId38" Type="http://schemas.openxmlformats.org/officeDocument/2006/relationships/header" Target="header24.xml"/><Relationship Id="rId46" Type="http://schemas.openxmlformats.org/officeDocument/2006/relationships/header" Target="header31.xml"/><Relationship Id="rId59" Type="http://schemas.openxmlformats.org/officeDocument/2006/relationships/image" Target="media/image5.emf"/><Relationship Id="rId67" Type="http://schemas.openxmlformats.org/officeDocument/2006/relationships/footer" Target="footer8.xml"/><Relationship Id="rId20" Type="http://schemas.openxmlformats.org/officeDocument/2006/relationships/header" Target="header8.xml"/><Relationship Id="rId41" Type="http://schemas.openxmlformats.org/officeDocument/2006/relationships/header" Target="header26.xml"/><Relationship Id="rId54" Type="http://schemas.openxmlformats.org/officeDocument/2006/relationships/header" Target="header36.xml"/><Relationship Id="rId62" Type="http://schemas.openxmlformats.org/officeDocument/2006/relationships/footer" Target="footer7.xml"/><Relationship Id="rId70"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webSettings" Target="webSettings.xml"/></Relationships>
</file>

<file path=word/_rels/endnotes.xml.rels><?xml version="1.0" encoding="UTF-8" standalone="yes"?>
<Relationships xmlns="http://schemas.openxmlformats.org/package/2006/relationships"><Relationship Id="rId8" Type="http://schemas.openxmlformats.org/officeDocument/2006/relationships/hyperlink" Target="http://www.fbi.gov/about-us/cjis/ucr/crime-in-the-u.s/2011/crime-in-the-u.s.-2011/tables/table-5" TargetMode="External"/><Relationship Id="rId3" Type="http://schemas.openxmlformats.org/officeDocument/2006/relationships/hyperlink" Target="http://www.ssireview.org/articles/entry/collective_impact" TargetMode="External"/><Relationship Id="rId7" Type="http://schemas.openxmlformats.org/officeDocument/2006/relationships/hyperlink" Target="http://www.ncbi.nlm.nih.gov/pmc/articles/PMC4012799/pdf/13-1037.pdf" TargetMode="External"/><Relationship Id="rId2" Type="http://schemas.openxmlformats.org/officeDocument/2006/relationships/hyperlink" Target="http://www.mass.gov/dph/healthofmassachusetts" TargetMode="External"/><Relationship Id="rId1" Type="http://schemas.openxmlformats.org/officeDocument/2006/relationships/hyperlink" Target="http://www.improvingpopulationhealth.org/blog/what-is-population-health.html" TargetMode="External"/><Relationship Id="rId6" Type="http://schemas.openxmlformats.org/officeDocument/2006/relationships/hyperlink" Target="http://nccd.cdc.gov/youthonline/App/Default.aspx" TargetMode="External"/><Relationship Id="rId11" Type="http://schemas.openxmlformats.org/officeDocument/2006/relationships/hyperlink" Target="http://documents.worldbank.org/curated/en/2013/11/18486239/intimate-partner-violence-economic-costs-implications-growth-development.%20Cites%20U.S" TargetMode="External"/><Relationship Id="rId5" Type="http://schemas.openxmlformats.org/officeDocument/2006/relationships/hyperlink" Target="http://www.cdc.gov/reproductivehealth/MaternalInfantHealth/PretermBirth.htm" TargetMode="External"/><Relationship Id="rId10" Type="http://schemas.openxmlformats.org/officeDocument/2006/relationships/hyperlink" Target="http://www.childrenssafetynetwork.org/publications/cost-firearm-violence" TargetMode="External"/><Relationship Id="rId4" Type="http://schemas.openxmlformats.org/officeDocument/2006/relationships/hyperlink" Target="http://www.ssireview.org/issue/winter_2011" TargetMode="External"/><Relationship Id="rId9" Type="http://schemas.openxmlformats.org/officeDocument/2006/relationships/hyperlink" Target="http://www.fbi.gov/about-us/cjis/ucr/crime-in-the-u.s/2011/crime-in-the-u.s.-2011/tables/table-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346A1-573B-43EA-8F2A-84DDB9C7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49307</Words>
  <Characters>281056</Characters>
  <Application>Microsoft Office Word</Application>
  <DocSecurity>0</DocSecurity>
  <Lines>2342</Lines>
  <Paragraphs>659</Paragraphs>
  <ScaleCrop>false</ScaleCrop>
  <HeadingPairs>
    <vt:vector size="2" baseType="variant">
      <vt:variant>
        <vt:lpstr>Title</vt:lpstr>
      </vt:variant>
      <vt:variant>
        <vt:i4>1</vt:i4>
      </vt:variant>
    </vt:vector>
  </HeadingPairs>
  <TitlesOfParts>
    <vt:vector size="1" baseType="lpstr">
      <vt:lpstr>Massachusetts</vt:lpstr>
    </vt:vector>
  </TitlesOfParts>
  <Company>HP</Company>
  <LinksUpToDate>false</LinksUpToDate>
  <CharactersWithSpaces>329704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dc:title>
  <dc:creator>dburke</dc:creator>
  <cp:lastModifiedBy> </cp:lastModifiedBy>
  <cp:revision>2</cp:revision>
  <cp:lastPrinted>2014-10-23T21:02:00Z</cp:lastPrinted>
  <dcterms:created xsi:type="dcterms:W3CDTF">2017-08-16T15:00:00Z</dcterms:created>
  <dcterms:modified xsi:type="dcterms:W3CDTF">2017-08-16T15:00:00Z</dcterms:modified>
</cp:coreProperties>
</file>