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C5" w:rsidRPr="006F3224" w:rsidRDefault="00EB54C9" w:rsidP="009C444B">
      <w:pPr>
        <w:tabs>
          <w:tab w:val="left" w:pos="1590"/>
          <w:tab w:val="center" w:pos="4766"/>
        </w:tabs>
        <w:spacing w:after="0" w:line="240" w:lineRule="auto"/>
        <w:jc w:val="center"/>
        <w:rPr>
          <w:rFonts w:cstheme="minorHAnsi"/>
          <w:sz w:val="20"/>
          <w:szCs w:val="32"/>
        </w:rPr>
      </w:pPr>
      <w:bookmarkStart w:id="0" w:name="_GoBack"/>
      <w:bookmarkEnd w:id="0"/>
      <w:r w:rsidRPr="009C444B">
        <w:rPr>
          <w:rFonts w:cstheme="minorHAnsi"/>
          <w:sz w:val="32"/>
          <w:szCs w:val="32"/>
        </w:rPr>
        <w:t xml:space="preserve">Massachusetts </w:t>
      </w:r>
      <w:r w:rsidRPr="009C444B">
        <w:rPr>
          <w:rFonts w:cstheme="minorHAnsi"/>
          <w:sz w:val="32"/>
          <w:szCs w:val="32"/>
        </w:rPr>
        <w:tab/>
      </w:r>
      <w:r w:rsidR="00EC3B95">
        <w:rPr>
          <w:rFonts w:cstheme="minorHAnsi"/>
          <w:sz w:val="32"/>
          <w:szCs w:val="32"/>
          <w:u w:val="single"/>
        </w:rPr>
        <w:t>State-</w:t>
      </w:r>
      <w:r w:rsidRPr="009C444B">
        <w:rPr>
          <w:rFonts w:cstheme="minorHAnsi"/>
          <w:sz w:val="32"/>
          <w:szCs w:val="32"/>
          <w:u w:val="single"/>
        </w:rPr>
        <w:t>Supplied</w:t>
      </w:r>
      <w:r w:rsidR="00D356E2" w:rsidRPr="009C444B">
        <w:rPr>
          <w:rFonts w:cstheme="minorHAnsi"/>
          <w:sz w:val="32"/>
          <w:szCs w:val="32"/>
        </w:rPr>
        <w:t xml:space="preserve"> Influenza </w:t>
      </w:r>
      <w:r w:rsidR="003E4F1A" w:rsidRPr="009C444B">
        <w:rPr>
          <w:rFonts w:cstheme="minorHAnsi"/>
          <w:sz w:val="32"/>
          <w:szCs w:val="32"/>
        </w:rPr>
        <w:t xml:space="preserve">Vaccine </w:t>
      </w:r>
      <w:r w:rsidR="00D356E2" w:rsidRPr="009C444B">
        <w:rPr>
          <w:rFonts w:cstheme="minorHAnsi"/>
          <w:sz w:val="32"/>
          <w:szCs w:val="32"/>
        </w:rPr>
        <w:t>Formulations</w:t>
      </w:r>
      <w:r w:rsidR="009C444B" w:rsidRPr="009C444B">
        <w:rPr>
          <w:rFonts w:cstheme="minorHAnsi"/>
          <w:sz w:val="32"/>
          <w:szCs w:val="32"/>
        </w:rPr>
        <w:t xml:space="preserve"> </w:t>
      </w:r>
      <w:r w:rsidR="009C444B" w:rsidRPr="009C444B">
        <w:rPr>
          <w:rFonts w:cstheme="minorHAnsi"/>
          <w:sz w:val="32"/>
          <w:szCs w:val="32"/>
        </w:rPr>
        <w:br/>
      </w:r>
      <w:r w:rsidR="001E1002" w:rsidRPr="009C444B">
        <w:rPr>
          <w:rFonts w:cstheme="minorHAnsi"/>
          <w:sz w:val="32"/>
          <w:szCs w:val="32"/>
        </w:rPr>
        <w:t>for the 201</w:t>
      </w:r>
      <w:r w:rsidR="00264BB5" w:rsidRPr="009C444B">
        <w:rPr>
          <w:rFonts w:cstheme="minorHAnsi"/>
          <w:sz w:val="32"/>
          <w:szCs w:val="32"/>
        </w:rPr>
        <w:t>9-2020</w:t>
      </w:r>
      <w:r w:rsidR="00D356E2" w:rsidRPr="009C444B">
        <w:rPr>
          <w:rFonts w:cstheme="minorHAnsi"/>
          <w:sz w:val="32"/>
          <w:szCs w:val="32"/>
        </w:rPr>
        <w:t xml:space="preserve"> Influenza Season</w:t>
      </w:r>
      <w:r w:rsidR="006F3224">
        <w:rPr>
          <w:rFonts w:cstheme="minorHAnsi"/>
          <w:sz w:val="32"/>
          <w:szCs w:val="32"/>
        </w:rPr>
        <w:br/>
      </w: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10890"/>
      </w:tblGrid>
      <w:tr w:rsidR="00413AA6" w:rsidRPr="009C444B" w:rsidTr="008509C3">
        <w:tc>
          <w:tcPr>
            <w:tcW w:w="10890" w:type="dxa"/>
          </w:tcPr>
          <w:p w:rsidR="00121965" w:rsidRPr="009C444B" w:rsidRDefault="00533345" w:rsidP="00A31B16">
            <w:pPr>
              <w:spacing w:before="80" w:after="80"/>
              <w:jc w:val="center"/>
              <w:rPr>
                <w:rFonts w:cstheme="minorHAnsi"/>
                <w:b/>
                <w:bCs/>
              </w:rPr>
            </w:pPr>
            <w:r w:rsidRPr="009C444B">
              <w:rPr>
                <w:rFonts w:cstheme="minorHAnsi"/>
                <w:b/>
                <w:bCs/>
              </w:rPr>
              <w:t>Important R</w:t>
            </w:r>
            <w:r w:rsidR="00C730D0" w:rsidRPr="009C444B">
              <w:rPr>
                <w:rFonts w:cstheme="minorHAnsi"/>
                <w:b/>
                <w:bCs/>
              </w:rPr>
              <w:t>eminder</w:t>
            </w:r>
            <w:r w:rsidR="004D3D24" w:rsidRPr="009C444B">
              <w:rPr>
                <w:rFonts w:cstheme="minorHAnsi"/>
                <w:b/>
                <w:bCs/>
              </w:rPr>
              <w:t xml:space="preserve"> </w:t>
            </w:r>
            <w:r w:rsidR="007E5AF2" w:rsidRPr="009C444B">
              <w:rPr>
                <w:rFonts w:cstheme="minorHAnsi"/>
                <w:b/>
                <w:bCs/>
              </w:rPr>
              <w:t>for State-S</w:t>
            </w:r>
            <w:r w:rsidR="00846494" w:rsidRPr="009C444B">
              <w:rPr>
                <w:rFonts w:cstheme="minorHAnsi"/>
                <w:b/>
                <w:bCs/>
              </w:rPr>
              <w:t>upplied</w:t>
            </w:r>
            <w:r w:rsidR="00517D54" w:rsidRPr="009C444B">
              <w:rPr>
                <w:rFonts w:cstheme="minorHAnsi"/>
                <w:b/>
                <w:bCs/>
              </w:rPr>
              <w:t xml:space="preserve"> Inactivated Influenza Vaccine</w:t>
            </w:r>
            <w:r w:rsidR="002F7FA7" w:rsidRPr="009C444B">
              <w:rPr>
                <w:rFonts w:cstheme="minorHAnsi"/>
                <w:b/>
                <w:bCs/>
              </w:rPr>
              <w:t xml:space="preserve"> </w:t>
            </w:r>
            <w:r w:rsidR="00517D54" w:rsidRPr="009C444B">
              <w:rPr>
                <w:rFonts w:cstheme="minorHAnsi"/>
                <w:b/>
                <w:bCs/>
              </w:rPr>
              <w:t>(IIV)</w:t>
            </w:r>
            <w:r w:rsidR="004D3D24" w:rsidRPr="009C444B">
              <w:rPr>
                <w:rFonts w:cstheme="minorHAnsi"/>
                <w:b/>
                <w:bCs/>
              </w:rPr>
              <w:t xml:space="preserve"> Pediatric Dosing:</w:t>
            </w:r>
            <w:r w:rsidR="00846494" w:rsidRPr="009C444B">
              <w:rPr>
                <w:rFonts w:cstheme="minorHAnsi"/>
                <w:b/>
                <w:bCs/>
              </w:rPr>
              <w:t xml:space="preserve"> </w:t>
            </w:r>
          </w:p>
          <w:p w:rsidR="005877E9" w:rsidRPr="009C444B" w:rsidRDefault="007B5A7B" w:rsidP="00F26A5B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rFonts w:cstheme="minorHAnsi"/>
                <w:bCs/>
              </w:rPr>
            </w:pPr>
            <w:r w:rsidRPr="009C444B">
              <w:rPr>
                <w:rFonts w:cstheme="minorHAnsi"/>
                <w:bCs/>
              </w:rPr>
              <w:t xml:space="preserve">Children </w:t>
            </w:r>
            <w:r w:rsidR="00F26A5B" w:rsidRPr="009C444B">
              <w:rPr>
                <w:rFonts w:cstheme="minorHAnsi"/>
                <w:bCs/>
              </w:rPr>
              <w:t xml:space="preserve">aged </w:t>
            </w:r>
            <w:r w:rsidRPr="009C444B">
              <w:rPr>
                <w:rFonts w:cstheme="minorHAnsi"/>
                <w:bCs/>
              </w:rPr>
              <w:t>6 through 35 months may receive</w:t>
            </w:r>
            <w:r w:rsidR="008B411B" w:rsidRPr="009C444B">
              <w:rPr>
                <w:rFonts w:cstheme="minorHAnsi"/>
                <w:bCs/>
              </w:rPr>
              <w:t xml:space="preserve"> intramuscularly (IM)</w:t>
            </w:r>
            <w:r w:rsidRPr="009C444B">
              <w:rPr>
                <w:rFonts w:cstheme="minorHAnsi"/>
                <w:bCs/>
              </w:rPr>
              <w:t>:</w:t>
            </w:r>
          </w:p>
          <w:p w:rsidR="00203A0E" w:rsidRPr="009C444B" w:rsidRDefault="005877E9" w:rsidP="00203A0E">
            <w:pPr>
              <w:pStyle w:val="ListParagraph"/>
              <w:numPr>
                <w:ilvl w:val="0"/>
                <w:numId w:val="9"/>
              </w:numPr>
              <w:tabs>
                <w:tab w:val="left" w:pos="375"/>
              </w:tabs>
              <w:ind w:left="792"/>
              <w:rPr>
                <w:rFonts w:cstheme="minorHAnsi"/>
                <w:bCs/>
              </w:rPr>
            </w:pPr>
            <w:r w:rsidRPr="009C444B">
              <w:rPr>
                <w:rFonts w:cstheme="minorHAnsi"/>
                <w:bCs/>
              </w:rPr>
              <w:t xml:space="preserve">0.5 mL of FluLaval Quadrivalent; </w:t>
            </w:r>
            <w:r w:rsidR="002C6AB7" w:rsidRPr="009C444B">
              <w:rPr>
                <w:rFonts w:cstheme="minorHAnsi"/>
                <w:b/>
                <w:bCs/>
                <w:u w:val="single"/>
              </w:rPr>
              <w:t>OR</w:t>
            </w:r>
          </w:p>
          <w:p w:rsidR="005877E9" w:rsidRPr="009C444B" w:rsidRDefault="005877E9" w:rsidP="00203A0E">
            <w:pPr>
              <w:pStyle w:val="ListParagraph"/>
              <w:numPr>
                <w:ilvl w:val="0"/>
                <w:numId w:val="9"/>
              </w:numPr>
              <w:tabs>
                <w:tab w:val="left" w:pos="375"/>
              </w:tabs>
              <w:ind w:left="792"/>
              <w:rPr>
                <w:rFonts w:cstheme="minorHAnsi"/>
                <w:bCs/>
              </w:rPr>
            </w:pPr>
            <w:r w:rsidRPr="009C444B">
              <w:rPr>
                <w:rFonts w:cstheme="minorHAnsi"/>
                <w:bCs/>
              </w:rPr>
              <w:t>Either</w:t>
            </w:r>
            <w:r w:rsidRPr="009C444B">
              <w:rPr>
                <w:rFonts w:cstheme="minorHAnsi"/>
                <w:b/>
                <w:bCs/>
              </w:rPr>
              <w:t xml:space="preserve"> </w:t>
            </w:r>
            <w:r w:rsidRPr="009C444B">
              <w:rPr>
                <w:rFonts w:cstheme="minorHAnsi"/>
                <w:bCs/>
              </w:rPr>
              <w:t>0</w:t>
            </w:r>
            <w:r w:rsidR="00FE731B" w:rsidRPr="009C444B">
              <w:rPr>
                <w:rFonts w:cstheme="minorHAnsi"/>
                <w:bCs/>
              </w:rPr>
              <w:t>.25 m</w:t>
            </w:r>
            <w:r w:rsidR="00F63247" w:rsidRPr="009C444B">
              <w:rPr>
                <w:rFonts w:cstheme="minorHAnsi"/>
                <w:bCs/>
              </w:rPr>
              <w:t xml:space="preserve">L or 0.5 mL </w:t>
            </w:r>
            <w:r w:rsidR="002F7FA7" w:rsidRPr="009C444B">
              <w:rPr>
                <w:rFonts w:cstheme="minorHAnsi"/>
                <w:bCs/>
              </w:rPr>
              <w:t>of Fluzone Quadrivalent</w:t>
            </w:r>
            <w:r w:rsidR="00203A0E" w:rsidRPr="009C444B">
              <w:rPr>
                <w:rFonts w:cstheme="minorHAnsi"/>
                <w:bCs/>
              </w:rPr>
              <w:t>.</w:t>
            </w:r>
            <w:r w:rsidR="006103EB" w:rsidRPr="009C444B">
              <w:rPr>
                <w:rFonts w:cstheme="minorHAnsi"/>
                <w:bCs/>
              </w:rPr>
              <w:t xml:space="preserve"> </w:t>
            </w:r>
          </w:p>
          <w:p w:rsidR="00F26A5B" w:rsidRPr="009C444B" w:rsidRDefault="00F26A5B" w:rsidP="00063392">
            <w:pPr>
              <w:tabs>
                <w:tab w:val="left" w:pos="375"/>
              </w:tabs>
              <w:ind w:left="346"/>
              <w:rPr>
                <w:rFonts w:cstheme="minorHAnsi"/>
                <w:bCs/>
              </w:rPr>
            </w:pPr>
            <w:r w:rsidRPr="009C444B">
              <w:rPr>
                <w:rFonts w:cstheme="minorHAnsi"/>
                <w:bCs/>
              </w:rPr>
              <w:t xml:space="preserve">Care should be taken to </w:t>
            </w:r>
            <w:r w:rsidR="00846494" w:rsidRPr="009C444B">
              <w:rPr>
                <w:rFonts w:cstheme="minorHAnsi"/>
                <w:bCs/>
              </w:rPr>
              <w:t xml:space="preserve">administer the correct volume for each </w:t>
            </w:r>
            <w:r w:rsidR="009A261F" w:rsidRPr="009C444B">
              <w:rPr>
                <w:rFonts w:cstheme="minorHAnsi"/>
                <w:bCs/>
              </w:rPr>
              <w:t>formulation</w:t>
            </w:r>
            <w:r w:rsidR="006F3224">
              <w:rPr>
                <w:rFonts w:cstheme="minorHAnsi"/>
                <w:bCs/>
              </w:rPr>
              <w:t xml:space="preserve"> as outlined below</w:t>
            </w:r>
            <w:r w:rsidR="00F63247" w:rsidRPr="009C444B">
              <w:rPr>
                <w:rFonts w:cstheme="minorHAnsi"/>
                <w:bCs/>
              </w:rPr>
              <w:t>.</w:t>
            </w:r>
            <w:r w:rsidR="009C444B" w:rsidRPr="009C444B">
              <w:rPr>
                <w:rFonts w:cstheme="minorHAnsi"/>
                <w:bCs/>
              </w:rPr>
              <w:t xml:space="preserve"> Single dose vials and </w:t>
            </w:r>
            <w:r w:rsidR="006F3224">
              <w:rPr>
                <w:rFonts w:cstheme="minorHAnsi"/>
                <w:bCs/>
              </w:rPr>
              <w:t xml:space="preserve">pre-filled </w:t>
            </w:r>
            <w:r w:rsidR="009C444B" w:rsidRPr="009C444B">
              <w:rPr>
                <w:rFonts w:cstheme="minorHAnsi"/>
                <w:bCs/>
              </w:rPr>
              <w:t>syringes should have the complete dose volume administered.</w:t>
            </w:r>
          </w:p>
          <w:p w:rsidR="00F26A5B" w:rsidRPr="009C444B" w:rsidRDefault="00F26A5B" w:rsidP="00C54859">
            <w:pPr>
              <w:pStyle w:val="ListParagraph"/>
              <w:numPr>
                <w:ilvl w:val="0"/>
                <w:numId w:val="9"/>
              </w:numPr>
              <w:spacing w:before="120"/>
              <w:ind w:left="346" w:hanging="274"/>
              <w:rPr>
                <w:rFonts w:cstheme="minorHAnsi"/>
                <w:bCs/>
              </w:rPr>
            </w:pPr>
            <w:r w:rsidRPr="009C444B">
              <w:rPr>
                <w:rFonts w:cstheme="minorHAnsi"/>
                <w:bCs/>
              </w:rPr>
              <w:t>Chi</w:t>
            </w:r>
            <w:r w:rsidR="00C87617" w:rsidRPr="009C444B">
              <w:rPr>
                <w:rFonts w:cstheme="minorHAnsi"/>
                <w:bCs/>
              </w:rPr>
              <w:t>ldren aged 3 through 17 years should</w:t>
            </w:r>
            <w:r w:rsidR="005877E9" w:rsidRPr="009C444B">
              <w:rPr>
                <w:rFonts w:cstheme="minorHAnsi"/>
                <w:bCs/>
              </w:rPr>
              <w:t xml:space="preserve"> receive 0.5 mL IM</w:t>
            </w:r>
            <w:r w:rsidRPr="009C444B">
              <w:rPr>
                <w:rFonts w:cstheme="minorHAnsi"/>
                <w:bCs/>
              </w:rPr>
              <w:t xml:space="preserve"> of an age-appropriate IIV formulation.</w:t>
            </w:r>
          </w:p>
          <w:p w:rsidR="00FD6A46" w:rsidRPr="009C444B" w:rsidRDefault="00E62AAF" w:rsidP="00846494">
            <w:pPr>
              <w:spacing w:before="120" w:after="80"/>
              <w:rPr>
                <w:rFonts w:cstheme="minorHAnsi"/>
              </w:rPr>
            </w:pPr>
            <w:r w:rsidRPr="009C444B">
              <w:rPr>
                <w:rFonts w:cstheme="minorHAnsi"/>
                <w:b/>
              </w:rPr>
              <w:t>Please Note:</w:t>
            </w:r>
            <w:r w:rsidRPr="009C444B">
              <w:rPr>
                <w:rFonts w:cstheme="minorHAnsi"/>
              </w:rPr>
              <w:t xml:space="preserve"> </w:t>
            </w:r>
            <w:r w:rsidR="00F26A5B" w:rsidRPr="009C444B">
              <w:rPr>
                <w:rFonts w:cstheme="minorHAnsi"/>
              </w:rPr>
              <w:t xml:space="preserve">Children 6 months through </w:t>
            </w:r>
            <w:r w:rsidR="00F26A5B" w:rsidRPr="009C444B">
              <w:rPr>
                <w:rFonts w:cstheme="minorHAnsi"/>
                <w:u w:val="single"/>
              </w:rPr>
              <w:t>8 years</w:t>
            </w:r>
            <w:r w:rsidR="00F26A5B" w:rsidRPr="009C444B">
              <w:rPr>
                <w:rFonts w:cstheme="minorHAnsi"/>
              </w:rPr>
              <w:t xml:space="preserve"> who are receiving influenza vaccine for the 1</w:t>
            </w:r>
            <w:r w:rsidR="00F26A5B" w:rsidRPr="009C444B">
              <w:rPr>
                <w:rFonts w:cstheme="minorHAnsi"/>
                <w:vertAlign w:val="superscript"/>
              </w:rPr>
              <w:t>st</w:t>
            </w:r>
            <w:r w:rsidR="00F26A5B" w:rsidRPr="009C444B">
              <w:rPr>
                <w:rFonts w:cstheme="minorHAnsi"/>
              </w:rPr>
              <w:t xml:space="preserve"> time or who have had a total of only 1 dose of influenza vaccin</w:t>
            </w:r>
            <w:r w:rsidR="00EF64CF" w:rsidRPr="009C444B">
              <w:rPr>
                <w:rFonts w:cstheme="minorHAnsi"/>
              </w:rPr>
              <w:t>e in any previous season</w:t>
            </w:r>
            <w:r w:rsidR="00F26A5B" w:rsidRPr="009C444B">
              <w:rPr>
                <w:rFonts w:cstheme="minorHAnsi"/>
              </w:rPr>
              <w:t xml:space="preserve"> will need 2 doses (of the appropriate dose volume for age and formulation) separated by </w:t>
            </w:r>
            <w:r w:rsidR="00F26A5B" w:rsidRPr="009C444B">
              <w:rPr>
                <w:rFonts w:cstheme="minorHAnsi"/>
                <w:u w:val="single"/>
              </w:rPr>
              <w:t>&gt;</w:t>
            </w:r>
            <w:r w:rsidR="007367E8" w:rsidRPr="009C444B">
              <w:rPr>
                <w:rFonts w:cstheme="minorHAnsi"/>
              </w:rPr>
              <w:t>4 weeks</w:t>
            </w:r>
            <w:r w:rsidR="00282533" w:rsidRPr="009C444B">
              <w:rPr>
                <w:rFonts w:cstheme="minorHAnsi"/>
              </w:rPr>
              <w:t xml:space="preserve">.  The two doses do not need to be the same </w:t>
            </w:r>
            <w:r w:rsidR="00697868" w:rsidRPr="009C444B">
              <w:rPr>
                <w:rFonts w:cstheme="minorHAnsi"/>
              </w:rPr>
              <w:t xml:space="preserve">influenza vaccine </w:t>
            </w:r>
            <w:r w:rsidR="00282533" w:rsidRPr="009C444B">
              <w:rPr>
                <w:rFonts w:cstheme="minorHAnsi"/>
              </w:rPr>
              <w:t>product.</w:t>
            </w:r>
          </w:p>
        </w:tc>
      </w:tr>
    </w:tbl>
    <w:p w:rsidR="00A11FC5" w:rsidRPr="009C444B" w:rsidRDefault="00A11FC5" w:rsidP="00EC3B95">
      <w:pPr>
        <w:spacing w:before="60" w:after="0"/>
        <w:ind w:left="360"/>
        <w:rPr>
          <w:rFonts w:cstheme="minorHAnsi"/>
          <w:i/>
          <w:sz w:val="16"/>
          <w:szCs w:val="16"/>
        </w:rPr>
      </w:pPr>
    </w:p>
    <w:tbl>
      <w:tblPr>
        <w:tblStyle w:val="TableGrid"/>
        <w:tblW w:w="10857" w:type="dxa"/>
        <w:jc w:val="center"/>
        <w:tblInd w:w="65" w:type="dxa"/>
        <w:tblLook w:val="04A0" w:firstRow="1" w:lastRow="0" w:firstColumn="1" w:lastColumn="0" w:noHBand="0" w:noVBand="1"/>
      </w:tblPr>
      <w:tblGrid>
        <w:gridCol w:w="1431"/>
        <w:gridCol w:w="1841"/>
        <w:gridCol w:w="1939"/>
        <w:gridCol w:w="1980"/>
        <w:gridCol w:w="1980"/>
        <w:gridCol w:w="1686"/>
      </w:tblGrid>
      <w:tr w:rsidR="00EC3B95" w:rsidRPr="009C444B" w:rsidTr="00EC3B95">
        <w:trPr>
          <w:trHeight w:hRule="exact" w:val="1164"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900FD" w:rsidRPr="009C444B" w:rsidRDefault="00F900FD" w:rsidP="00D356E2">
            <w:pPr>
              <w:spacing w:before="60"/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>Vaccine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900FD" w:rsidRPr="009C444B" w:rsidRDefault="00F900FD" w:rsidP="00D356E2">
            <w:pPr>
              <w:spacing w:before="60"/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>Manufacturer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900FD" w:rsidRPr="009C444B" w:rsidRDefault="008624C5" w:rsidP="00D356E2">
            <w:pPr>
              <w:spacing w:before="60"/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>Packaging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900FD" w:rsidRPr="009C444B" w:rsidRDefault="00F900FD" w:rsidP="00D356E2">
            <w:pPr>
              <w:spacing w:before="60"/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>Age Group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900FD" w:rsidRPr="009C444B" w:rsidRDefault="00F900FD" w:rsidP="00D356E2">
            <w:pPr>
              <w:spacing w:before="60"/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>Dose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900FD" w:rsidRPr="009C444B" w:rsidRDefault="00F900FD" w:rsidP="00EC3B95">
            <w:pPr>
              <w:jc w:val="center"/>
              <w:rPr>
                <w:rFonts w:cstheme="minorHAnsi"/>
                <w:b/>
              </w:rPr>
            </w:pPr>
            <w:r w:rsidRPr="009C444B">
              <w:rPr>
                <w:rFonts w:cstheme="minorHAnsi"/>
                <w:b/>
              </w:rPr>
              <w:t xml:space="preserve">Mercury Content from Thimerosal     </w:t>
            </w:r>
            <w:r w:rsidR="00EC3B95" w:rsidRPr="00EC3B95">
              <w:rPr>
                <w:b/>
                <w:sz w:val="20"/>
                <w:szCs w:val="20"/>
              </w:rPr>
              <w:t>(µg Hg/0.5mL)</w:t>
            </w:r>
          </w:p>
        </w:tc>
      </w:tr>
      <w:tr w:rsidR="002F7FA7" w:rsidRPr="009C444B" w:rsidTr="00EC3B95">
        <w:trPr>
          <w:trHeight w:val="50"/>
          <w:jc w:val="center"/>
        </w:trPr>
        <w:tc>
          <w:tcPr>
            <w:tcW w:w="1431" w:type="dxa"/>
            <w:vMerge w:val="restart"/>
            <w:tcBorders>
              <w:left w:val="single" w:sz="12" w:space="0" w:color="auto"/>
            </w:tcBorders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  <w:proofErr w:type="spellStart"/>
            <w:r w:rsidRPr="009C444B">
              <w:rPr>
                <w:rFonts w:cstheme="minorHAnsi"/>
              </w:rPr>
              <w:t>FluLaval</w:t>
            </w:r>
            <w:proofErr w:type="spellEnd"/>
            <w:r w:rsidRPr="009C444B">
              <w:rPr>
                <w:rFonts w:cstheme="minorHAnsi"/>
              </w:rPr>
              <w:t xml:space="preserve"> </w:t>
            </w:r>
            <w:proofErr w:type="spellStart"/>
            <w:r w:rsidRPr="009C444B">
              <w:rPr>
                <w:rFonts w:cstheme="minorHAnsi"/>
              </w:rPr>
              <w:t>Quadrivalent</w:t>
            </w:r>
            <w:proofErr w:type="spellEnd"/>
          </w:p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(IIV4)</w:t>
            </w:r>
          </w:p>
        </w:tc>
        <w:tc>
          <w:tcPr>
            <w:tcW w:w="1841" w:type="dxa"/>
            <w:vMerge w:val="restart"/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 xml:space="preserve">ID Biomedical </w:t>
            </w:r>
          </w:p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  <w:sz w:val="20"/>
                <w:szCs w:val="20"/>
              </w:rPr>
              <w:t>(distributed by GSK)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Pre-filled syringe</w:t>
            </w:r>
          </w:p>
        </w:tc>
        <w:tc>
          <w:tcPr>
            <w:tcW w:w="1980" w:type="dxa"/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6 months &amp; older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50CC0">
            <w:pPr>
              <w:spacing w:before="12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</w:t>
            </w:r>
          </w:p>
        </w:tc>
      </w:tr>
      <w:tr w:rsidR="002F7FA7" w:rsidRPr="009C444B" w:rsidTr="00EC3B95">
        <w:trPr>
          <w:trHeight w:val="69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Merge/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BC50A7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5.0 mL multi-dose vial</w:t>
            </w:r>
            <w:r w:rsidR="00764721" w:rsidRPr="009C444B">
              <w:rPr>
                <w:rFonts w:cstheme="minorHAnsi"/>
              </w:rPr>
              <w:t>*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6 months &amp; older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&lt;25</w:t>
            </w:r>
          </w:p>
        </w:tc>
      </w:tr>
      <w:tr w:rsidR="002F7FA7" w:rsidRPr="009C444B" w:rsidTr="00EC3B95">
        <w:trPr>
          <w:trHeight w:val="366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Fluzone Quadrivalent (IIV4)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Sanofi Pasteur</w:t>
            </w:r>
          </w:p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Pre-filled syringe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6 months &amp; older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A85754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900FD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</w:t>
            </w:r>
          </w:p>
        </w:tc>
      </w:tr>
      <w:tr w:rsidR="002F7FA7" w:rsidRPr="009C444B" w:rsidTr="00EC3B95">
        <w:trPr>
          <w:trHeight w:val="539"/>
          <w:jc w:val="center"/>
        </w:trPr>
        <w:tc>
          <w:tcPr>
            <w:tcW w:w="143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tcBorders>
              <w:top w:val="single" w:sz="8" w:space="0" w:color="auto"/>
            </w:tcBorders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Single-dose vial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2F7FA7" w:rsidRPr="009C444B" w:rsidRDefault="002F7FA7" w:rsidP="00EC3B95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6 months &amp; older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134856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EC3B95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</w:t>
            </w:r>
          </w:p>
        </w:tc>
      </w:tr>
      <w:tr w:rsidR="002F7FA7" w:rsidRPr="009C444B" w:rsidTr="00EC3B95">
        <w:trPr>
          <w:trHeight w:val="576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Merge/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5.0 mL multi-dose vial</w:t>
            </w:r>
            <w:r w:rsidR="009C444B" w:rsidRPr="009C444B">
              <w:rPr>
                <w:rFonts w:cstheme="minorHAnsi"/>
              </w:rPr>
              <w:t>**</w:t>
            </w:r>
          </w:p>
        </w:tc>
        <w:tc>
          <w:tcPr>
            <w:tcW w:w="1980" w:type="dxa"/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6-35 months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0.25 mL</w:t>
            </w:r>
            <w:r w:rsidR="006103EB" w:rsidRPr="009C444B">
              <w:rPr>
                <w:rFonts w:cstheme="minorHAnsi"/>
              </w:rPr>
              <w:t xml:space="preserve"> </w:t>
            </w:r>
            <w:r w:rsidR="006103EB" w:rsidRPr="009C444B">
              <w:rPr>
                <w:rFonts w:cstheme="minorHAnsi"/>
                <w:u w:val="single"/>
              </w:rPr>
              <w:t>or</w:t>
            </w:r>
            <w:r w:rsidR="006103EB" w:rsidRPr="009C444B">
              <w:rPr>
                <w:rFonts w:cstheme="minorHAnsi"/>
              </w:rPr>
              <w:t xml:space="preserve"> 0.5 mL</w:t>
            </w:r>
            <w:r w:rsidR="00206D03" w:rsidRPr="009C444B">
              <w:rPr>
                <w:rFonts w:cstheme="minorHAnsi"/>
                <w:bCs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168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900FD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25</w:t>
            </w:r>
          </w:p>
        </w:tc>
      </w:tr>
      <w:tr w:rsidR="002F7FA7" w:rsidRPr="009C444B" w:rsidTr="00EC3B95">
        <w:trPr>
          <w:trHeight w:val="530"/>
          <w:jc w:val="center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F7FA7" w:rsidRPr="009C444B" w:rsidRDefault="006103EB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3 years</w:t>
            </w:r>
            <w:r w:rsidR="002F7FA7" w:rsidRPr="009C444B">
              <w:rPr>
                <w:rFonts w:cstheme="minorHAnsi"/>
              </w:rPr>
              <w:t xml:space="preserve"> &amp; older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D356E2">
            <w:pPr>
              <w:spacing w:before="6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900FD">
            <w:pPr>
              <w:jc w:val="center"/>
              <w:rPr>
                <w:rFonts w:cstheme="minorHAnsi"/>
              </w:rPr>
            </w:pPr>
          </w:p>
        </w:tc>
      </w:tr>
      <w:tr w:rsidR="002F7FA7" w:rsidRPr="009C444B" w:rsidTr="00EC3B95">
        <w:trPr>
          <w:trHeight w:val="960"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Flucelvax Quadrivalent</w:t>
            </w:r>
          </w:p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(ccIIV4)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F23B91">
            <w:pPr>
              <w:spacing w:before="120"/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Seqirus</w:t>
            </w:r>
          </w:p>
          <w:p w:rsidR="002F7FA7" w:rsidRPr="009C444B" w:rsidRDefault="002F7FA7" w:rsidP="00EF64CF">
            <w:pPr>
              <w:jc w:val="center"/>
              <w:rPr>
                <w:rFonts w:cstheme="minorHAnsi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Pre-filled syringe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  <w:u w:val="single"/>
              </w:rPr>
              <w:t>4 years</w:t>
            </w:r>
            <w:r w:rsidRPr="009C444B">
              <w:rPr>
                <w:rFonts w:cstheme="minorHAnsi"/>
              </w:rPr>
              <w:t xml:space="preserve"> &amp; older</w:t>
            </w:r>
          </w:p>
          <w:p w:rsidR="002F7FA7" w:rsidRPr="00EC3B95" w:rsidRDefault="002F7FA7" w:rsidP="00D356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3B95">
              <w:rPr>
                <w:rFonts w:cstheme="minorHAnsi"/>
                <w:sz w:val="16"/>
                <w:szCs w:val="16"/>
              </w:rPr>
              <w:t>(please note different age range than other vaccines)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0.5 mL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900FD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</w:t>
            </w:r>
          </w:p>
        </w:tc>
      </w:tr>
      <w:tr w:rsidR="002F7FA7" w:rsidRPr="009C444B" w:rsidTr="00EC3B95">
        <w:trPr>
          <w:trHeight w:val="762"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FluMist</w:t>
            </w:r>
          </w:p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(LAIV4)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EE3D48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AstraZeneca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Intranasal Spray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2 years &amp; older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7" w:rsidRPr="009C444B" w:rsidRDefault="002F7FA7" w:rsidP="00D356E2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0.2mL</w:t>
            </w:r>
          </w:p>
          <w:p w:rsidR="002F7FA7" w:rsidRPr="00EC3B95" w:rsidRDefault="002F7FA7" w:rsidP="00714F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3B95">
              <w:rPr>
                <w:rFonts w:cstheme="minorHAnsi"/>
                <w:sz w:val="16"/>
                <w:szCs w:val="16"/>
              </w:rPr>
              <w:t>(Administer 0.1mL per nostril)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7" w:rsidRPr="009C444B" w:rsidRDefault="002F7FA7" w:rsidP="00F900FD">
            <w:pPr>
              <w:jc w:val="center"/>
              <w:rPr>
                <w:rFonts w:cstheme="minorHAnsi"/>
              </w:rPr>
            </w:pPr>
            <w:r w:rsidRPr="009C444B">
              <w:rPr>
                <w:rFonts w:cstheme="minorHAnsi"/>
              </w:rPr>
              <w:t>0</w:t>
            </w:r>
          </w:p>
        </w:tc>
      </w:tr>
    </w:tbl>
    <w:p w:rsidR="006A43C4" w:rsidRPr="009C444B" w:rsidRDefault="007716B4" w:rsidP="006F3224">
      <w:pPr>
        <w:pStyle w:val="NoSpacing"/>
        <w:ind w:left="-270"/>
      </w:pPr>
      <w:r w:rsidRPr="009C444B">
        <w:t>*</w:t>
      </w:r>
      <w:r w:rsidR="0057318D" w:rsidRPr="009C444B">
        <w:t xml:space="preserve"> </w:t>
      </w:r>
      <w:r w:rsidRPr="009C444B">
        <w:t>O</w:t>
      </w:r>
      <w:r w:rsidR="001E18A1" w:rsidRPr="009C444B">
        <w:t xml:space="preserve">nce entered, a multi-dose vial </w:t>
      </w:r>
      <w:r w:rsidR="009C444B" w:rsidRPr="009C444B">
        <w:t xml:space="preserve">of </w:t>
      </w:r>
      <w:proofErr w:type="spellStart"/>
      <w:r w:rsidR="009C444B" w:rsidRPr="009C444B">
        <w:t>FluLaval</w:t>
      </w:r>
      <w:proofErr w:type="spellEnd"/>
      <w:r w:rsidR="009C444B" w:rsidRPr="009C444B">
        <w:t xml:space="preserve"> </w:t>
      </w:r>
      <w:r w:rsidRPr="009C444B">
        <w:t>should be discarded after 28 days</w:t>
      </w:r>
      <w:r w:rsidR="008959F1" w:rsidRPr="009C444B">
        <w:t xml:space="preserve">. </w:t>
      </w:r>
    </w:p>
    <w:p w:rsidR="00EC3B95" w:rsidRDefault="00EC3B95" w:rsidP="006F3224">
      <w:pPr>
        <w:pStyle w:val="NoSpacing"/>
        <w:ind w:left="-270"/>
      </w:pPr>
      <w:r>
        <w:t>**</w:t>
      </w:r>
      <w:r w:rsidRPr="00EC3B95">
        <w:t xml:space="preserve"> </w:t>
      </w:r>
      <w:r w:rsidRPr="009C444B">
        <w:t xml:space="preserve">Only 10 doses can be </w:t>
      </w:r>
      <w:r w:rsidRPr="009C444B">
        <w:rPr>
          <w:rFonts w:eastAsia="Times New Roman"/>
        </w:rPr>
        <w:t>withdrawn from the multi-dose vial of Fluzone. After the maximum number of doses has been withdrawn, the vial should be discarded, even if there is residual vaccine in the vial or t</w:t>
      </w:r>
      <w:r>
        <w:rPr>
          <w:rFonts w:eastAsia="Times New Roman"/>
        </w:rPr>
        <w:t xml:space="preserve">he expiration date has not been </w:t>
      </w:r>
      <w:r w:rsidRPr="009C444B">
        <w:rPr>
          <w:rFonts w:eastAsia="Times New Roman"/>
        </w:rPr>
        <w:t>reached.</w:t>
      </w:r>
    </w:p>
    <w:p w:rsidR="00E36CE3" w:rsidRDefault="00206D03" w:rsidP="006F3224">
      <w:pPr>
        <w:pStyle w:val="NoSpacing"/>
        <w:ind w:left="-270"/>
        <w:rPr>
          <w:bCs/>
        </w:rPr>
      </w:pPr>
      <w:r w:rsidRPr="009C444B">
        <w:rPr>
          <w:bCs/>
          <w:vertAlign w:val="superscript"/>
        </w:rPr>
        <w:t>§</w:t>
      </w:r>
      <w:r w:rsidRPr="009C444B">
        <w:rPr>
          <w:bCs/>
        </w:rPr>
        <w:t xml:space="preserve"> </w:t>
      </w:r>
      <w:r w:rsidR="00D812E3" w:rsidRPr="009C444B">
        <w:rPr>
          <w:bCs/>
        </w:rPr>
        <w:t>No preference is expressed for either dose volume</w:t>
      </w:r>
      <w:r w:rsidR="009C79F6" w:rsidRPr="009C444B">
        <w:rPr>
          <w:bCs/>
        </w:rPr>
        <w:t xml:space="preserve"> f</w:t>
      </w:r>
      <w:r w:rsidR="009C444B" w:rsidRPr="009C444B">
        <w:rPr>
          <w:bCs/>
        </w:rPr>
        <w:t xml:space="preserve">or Fluzone </w:t>
      </w:r>
      <w:proofErr w:type="spellStart"/>
      <w:r w:rsidR="009C444B" w:rsidRPr="009C444B">
        <w:rPr>
          <w:bCs/>
        </w:rPr>
        <w:t>Quadrivalent</w:t>
      </w:r>
      <w:proofErr w:type="spellEnd"/>
      <w:r w:rsidR="009C444B" w:rsidRPr="009C444B">
        <w:rPr>
          <w:bCs/>
        </w:rPr>
        <w:t xml:space="preserve"> for the</w:t>
      </w:r>
      <w:r w:rsidR="009C79F6" w:rsidRPr="009C444B">
        <w:rPr>
          <w:bCs/>
        </w:rPr>
        <w:t xml:space="preserve"> 6-35 month age group</w:t>
      </w:r>
      <w:r w:rsidR="00D812E3" w:rsidRPr="009C444B">
        <w:rPr>
          <w:bCs/>
        </w:rPr>
        <w:t>.</w:t>
      </w:r>
    </w:p>
    <w:p w:rsidR="00EC3B95" w:rsidRPr="009C444B" w:rsidRDefault="00EC3B95" w:rsidP="00EC3B95">
      <w:pPr>
        <w:tabs>
          <w:tab w:val="left" w:pos="2700"/>
        </w:tabs>
        <w:spacing w:after="0" w:line="240" w:lineRule="auto"/>
        <w:rPr>
          <w:rFonts w:cstheme="minorHAnsi"/>
          <w:sz w:val="20"/>
          <w:szCs w:val="20"/>
        </w:rPr>
      </w:pPr>
    </w:p>
    <w:p w:rsidR="008B411B" w:rsidRPr="009C444B" w:rsidRDefault="00BE3856" w:rsidP="008509C3">
      <w:pPr>
        <w:spacing w:after="0" w:line="240" w:lineRule="auto"/>
        <w:ind w:left="-450"/>
        <w:rPr>
          <w:rFonts w:cstheme="minorHAnsi"/>
        </w:rPr>
      </w:pPr>
      <w:r w:rsidRPr="009C444B">
        <w:rPr>
          <w:rFonts w:cstheme="minorHAnsi"/>
        </w:rPr>
        <w:t>The</w:t>
      </w:r>
      <w:r w:rsidR="00CA3345" w:rsidRPr="009C444B">
        <w:rPr>
          <w:rFonts w:cstheme="minorHAnsi"/>
        </w:rPr>
        <w:t xml:space="preserve"> above table summarizes </w:t>
      </w:r>
      <w:r w:rsidR="00CA3345" w:rsidRPr="009C444B">
        <w:rPr>
          <w:rFonts w:cstheme="minorHAnsi"/>
          <w:u w:val="single"/>
        </w:rPr>
        <w:t>only</w:t>
      </w:r>
      <w:r w:rsidR="00CA3345" w:rsidRPr="009C444B">
        <w:rPr>
          <w:rFonts w:cstheme="minorHAnsi"/>
        </w:rPr>
        <w:t xml:space="preserve"> the MDPH-supplied influenza vaccine formulations.</w:t>
      </w:r>
      <w:r w:rsidR="00603EB1" w:rsidRPr="009C444B">
        <w:rPr>
          <w:rFonts w:cstheme="minorHAnsi"/>
        </w:rPr>
        <w:t xml:space="preserve"> </w:t>
      </w:r>
      <w:r w:rsidR="00CA3345" w:rsidRPr="009C444B">
        <w:rPr>
          <w:rFonts w:cstheme="minorHAnsi"/>
        </w:rPr>
        <w:t xml:space="preserve"> An expanded version of all the influen</w:t>
      </w:r>
      <w:r w:rsidR="00074BF4" w:rsidRPr="009C444B">
        <w:rPr>
          <w:rFonts w:cstheme="minorHAnsi"/>
        </w:rPr>
        <w:t>za vaccine products for the 201</w:t>
      </w:r>
      <w:r w:rsidR="00471B67" w:rsidRPr="009C444B">
        <w:rPr>
          <w:rFonts w:cstheme="minorHAnsi"/>
        </w:rPr>
        <w:t>9-2020</w:t>
      </w:r>
      <w:r w:rsidR="00C76CB0" w:rsidRPr="009C444B">
        <w:rPr>
          <w:rFonts w:cstheme="minorHAnsi"/>
        </w:rPr>
        <w:t xml:space="preserve"> </w:t>
      </w:r>
      <w:proofErr w:type="gramStart"/>
      <w:r w:rsidR="00BC50A7" w:rsidRPr="009C444B">
        <w:rPr>
          <w:rFonts w:cstheme="minorHAnsi"/>
        </w:rPr>
        <w:t>season</w:t>
      </w:r>
      <w:proofErr w:type="gramEnd"/>
      <w:r w:rsidR="00BC50A7" w:rsidRPr="009C444B">
        <w:rPr>
          <w:rFonts w:cstheme="minorHAnsi"/>
        </w:rPr>
        <w:t xml:space="preserve"> can be found on the CDC </w:t>
      </w:r>
      <w:hyperlink r:id="rId9" w:history="1">
        <w:r w:rsidR="00BC50A7" w:rsidRPr="009C444B">
          <w:rPr>
            <w:rStyle w:val="Hyperlink"/>
            <w:rFonts w:cstheme="minorHAnsi"/>
          </w:rPr>
          <w:t>website</w:t>
        </w:r>
      </w:hyperlink>
      <w:r w:rsidR="003264DF" w:rsidRPr="009C444B">
        <w:rPr>
          <w:rFonts w:cstheme="minorHAnsi"/>
        </w:rPr>
        <w:t>.</w:t>
      </w:r>
      <w:r w:rsidR="0058785E" w:rsidRPr="009C444B">
        <w:rPr>
          <w:rFonts w:cstheme="minorHAnsi"/>
        </w:rPr>
        <w:t xml:space="preserve"> </w:t>
      </w:r>
    </w:p>
    <w:p w:rsidR="00BC50A7" w:rsidRPr="008138E2" w:rsidRDefault="00BC50A7" w:rsidP="008509C3">
      <w:pPr>
        <w:spacing w:after="0" w:line="240" w:lineRule="auto"/>
        <w:ind w:left="-450"/>
        <w:rPr>
          <w:rFonts w:cstheme="minorHAnsi"/>
          <w:sz w:val="20"/>
          <w:szCs w:val="16"/>
        </w:rPr>
      </w:pPr>
    </w:p>
    <w:p w:rsidR="00254C60" w:rsidRDefault="00F870AB" w:rsidP="008509C3">
      <w:pPr>
        <w:spacing w:after="0" w:line="240" w:lineRule="auto"/>
        <w:ind w:left="-450"/>
        <w:rPr>
          <w:rFonts w:cstheme="minorHAnsi"/>
        </w:rPr>
      </w:pPr>
      <w:r>
        <w:rPr>
          <w:rFonts w:cstheme="minorHAnsi"/>
        </w:rPr>
        <w:t>T</w:t>
      </w:r>
      <w:r w:rsidR="00837CC1">
        <w:rPr>
          <w:rFonts w:cstheme="minorHAnsi"/>
        </w:rPr>
        <w:t xml:space="preserve">he </w:t>
      </w:r>
      <w:r w:rsidR="00317C7F" w:rsidRPr="009C444B">
        <w:rPr>
          <w:rFonts w:cstheme="minorHAnsi"/>
        </w:rPr>
        <w:t>Advisory Committee on Immunization Practices</w:t>
      </w:r>
      <w:r w:rsidR="00876671" w:rsidRPr="009C444B">
        <w:rPr>
          <w:rFonts w:cstheme="minorHAnsi"/>
        </w:rPr>
        <w:t>’</w:t>
      </w:r>
      <w:r w:rsidR="00317C7F" w:rsidRPr="009C444B">
        <w:rPr>
          <w:rFonts w:cstheme="minorHAnsi"/>
        </w:rPr>
        <w:t xml:space="preserve"> (</w:t>
      </w:r>
      <w:r w:rsidR="00083874" w:rsidRPr="009C444B">
        <w:rPr>
          <w:rFonts w:cstheme="minorHAnsi"/>
        </w:rPr>
        <w:t>ACIP</w:t>
      </w:r>
      <w:r w:rsidR="00317C7F" w:rsidRPr="009C444B">
        <w:rPr>
          <w:rFonts w:cstheme="minorHAnsi"/>
        </w:rPr>
        <w:t>)</w:t>
      </w:r>
      <w:r w:rsidR="00083874" w:rsidRPr="009C444B">
        <w:rPr>
          <w:rFonts w:cstheme="minorHAnsi"/>
        </w:rPr>
        <w:t xml:space="preserve"> 4</w:t>
      </w:r>
      <w:r w:rsidR="00BC50A7" w:rsidRPr="009C444B">
        <w:rPr>
          <w:rFonts w:cstheme="minorHAnsi"/>
        </w:rPr>
        <w:t xml:space="preserve">-page </w:t>
      </w:r>
      <w:hyperlink r:id="rId10" w:history="1">
        <w:r w:rsidR="00837CC1">
          <w:rPr>
            <w:rStyle w:val="Hyperlink"/>
            <w:rFonts w:cstheme="minorHAnsi"/>
          </w:rPr>
          <w:t>Summary of the 2019-2020 Recommendations for Influenza Vaccine</w:t>
        </w:r>
      </w:hyperlink>
      <w:r w:rsidR="00083874" w:rsidRPr="009C444B">
        <w:rPr>
          <w:rFonts w:cstheme="minorHAnsi"/>
        </w:rPr>
        <w:t xml:space="preserve"> </w:t>
      </w:r>
      <w:r w:rsidR="00774345" w:rsidRPr="009C444B">
        <w:rPr>
          <w:rFonts w:cstheme="minorHAnsi"/>
        </w:rPr>
        <w:t>for</w:t>
      </w:r>
      <w:r>
        <w:rPr>
          <w:rFonts w:cstheme="minorHAnsi"/>
        </w:rPr>
        <w:t xml:space="preserve"> contains additional </w:t>
      </w:r>
      <w:r w:rsidR="002E5E72" w:rsidRPr="009C444B">
        <w:rPr>
          <w:rFonts w:cstheme="minorHAnsi"/>
        </w:rPr>
        <w:t xml:space="preserve">guidance </w:t>
      </w:r>
      <w:r>
        <w:rPr>
          <w:rFonts w:cstheme="minorHAnsi"/>
        </w:rPr>
        <w:t xml:space="preserve">influenza vaccine administration. </w:t>
      </w:r>
      <w:r w:rsidR="00254C60" w:rsidRPr="009C444B">
        <w:rPr>
          <w:rFonts w:cstheme="minorHAnsi"/>
        </w:rPr>
        <w:t xml:space="preserve"> </w:t>
      </w:r>
    </w:p>
    <w:p w:rsidR="008138E2" w:rsidRPr="008138E2" w:rsidRDefault="008138E2" w:rsidP="008509C3">
      <w:pPr>
        <w:spacing w:after="0" w:line="240" w:lineRule="auto"/>
        <w:ind w:left="-450"/>
        <w:rPr>
          <w:rFonts w:cstheme="minorHAnsi"/>
          <w:sz w:val="20"/>
        </w:rPr>
      </w:pPr>
    </w:p>
    <w:p w:rsidR="00AD1471" w:rsidRPr="009C444B" w:rsidRDefault="009C444B" w:rsidP="008138E2">
      <w:pPr>
        <w:spacing w:after="0" w:line="240" w:lineRule="auto"/>
        <w:ind w:left="-446"/>
        <w:rPr>
          <w:rFonts w:cstheme="minorHAnsi"/>
        </w:rPr>
      </w:pPr>
      <w:r>
        <w:rPr>
          <w:rFonts w:cstheme="minorHAnsi"/>
        </w:rPr>
        <w:t xml:space="preserve">For </w:t>
      </w:r>
      <w:r w:rsidR="004D071F" w:rsidRPr="009C444B">
        <w:rPr>
          <w:rFonts w:cstheme="minorHAnsi"/>
        </w:rPr>
        <w:t xml:space="preserve">questions about the influenza vaccine </w:t>
      </w:r>
      <w:r>
        <w:rPr>
          <w:rFonts w:cstheme="minorHAnsi"/>
        </w:rPr>
        <w:t>administration</w:t>
      </w:r>
      <w:r w:rsidR="004D071F" w:rsidRPr="009C444B">
        <w:rPr>
          <w:rFonts w:cstheme="minorHAnsi"/>
        </w:rPr>
        <w:t xml:space="preserve">, please call the Immunization </w:t>
      </w:r>
      <w:r>
        <w:rPr>
          <w:rFonts w:cstheme="minorHAnsi"/>
        </w:rPr>
        <w:t xml:space="preserve">Division </w:t>
      </w:r>
      <w:r w:rsidR="004D071F" w:rsidRPr="009C444B">
        <w:rPr>
          <w:rFonts w:cstheme="minorHAnsi"/>
        </w:rPr>
        <w:t xml:space="preserve">at 617-983-6800 and ask to speak to an immunization epidemiologist or nurse.  For questions about </w:t>
      </w:r>
      <w:r>
        <w:rPr>
          <w:rFonts w:cstheme="minorHAnsi"/>
        </w:rPr>
        <w:t xml:space="preserve">state-supplied </w:t>
      </w:r>
      <w:r w:rsidR="004D071F" w:rsidRPr="009C444B">
        <w:rPr>
          <w:rFonts w:cstheme="minorHAnsi"/>
        </w:rPr>
        <w:t>vaccine availability and ordering, please contact the Vaccine Management Unit at 617-983-6828.</w:t>
      </w:r>
    </w:p>
    <w:sectPr w:rsidR="00AD1471" w:rsidRPr="009C444B" w:rsidSect="00EC3B95">
      <w:footerReference w:type="default" r:id="rId11"/>
      <w:pgSz w:w="12240" w:h="15840" w:code="1"/>
      <w:pgMar w:top="504" w:right="1080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95" w:rsidRDefault="00EC3B95" w:rsidP="00D356E2">
      <w:pPr>
        <w:spacing w:after="0" w:line="240" w:lineRule="auto"/>
      </w:pPr>
      <w:r>
        <w:separator/>
      </w:r>
    </w:p>
  </w:endnote>
  <w:endnote w:type="continuationSeparator" w:id="0">
    <w:p w:rsidR="00EC3B95" w:rsidRDefault="00EC3B95" w:rsidP="00D3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95" w:rsidRPr="00EC3B95" w:rsidRDefault="00EC3B95" w:rsidP="00E3539F">
    <w:pPr>
      <w:pStyle w:val="Footer"/>
      <w:ind w:hanging="1080"/>
      <w:rPr>
        <w:sz w:val="18"/>
      </w:rPr>
    </w:pPr>
    <w:r>
      <w:rPr>
        <w:sz w:val="18"/>
      </w:rPr>
      <w:t xml:space="preserve">           </w:t>
    </w:r>
    <w:r w:rsidRPr="00EC3B95">
      <w:rPr>
        <w:sz w:val="18"/>
      </w:rPr>
      <w:t xml:space="preserve">MA State-Supplied Influenza Formulations for the 2019-2020 Season         MDPH                   </w:t>
    </w:r>
    <w:r w:rsidRPr="00EC3B95">
      <w:rPr>
        <w:sz w:val="18"/>
      </w:rPr>
      <w:tab/>
    </w:r>
    <w:r>
      <w:rPr>
        <w:sz w:val="18"/>
      </w:rPr>
      <w:t xml:space="preserve">             </w:t>
    </w:r>
    <w:r w:rsidRPr="00EC3B95">
      <w:rPr>
        <w:sz w:val="18"/>
      </w:rPr>
      <w:t>August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95" w:rsidRDefault="00EC3B95" w:rsidP="00D356E2">
      <w:pPr>
        <w:spacing w:after="0" w:line="240" w:lineRule="auto"/>
      </w:pPr>
      <w:r>
        <w:separator/>
      </w:r>
    </w:p>
  </w:footnote>
  <w:footnote w:type="continuationSeparator" w:id="0">
    <w:p w:rsidR="00EC3B95" w:rsidRDefault="00EC3B95" w:rsidP="00D3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6E2"/>
    <w:multiLevelType w:val="hybridMultilevel"/>
    <w:tmpl w:val="EDE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35D4"/>
    <w:multiLevelType w:val="hybridMultilevel"/>
    <w:tmpl w:val="6FA8E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81043"/>
    <w:multiLevelType w:val="hybridMultilevel"/>
    <w:tmpl w:val="07D8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50F6"/>
    <w:multiLevelType w:val="hybridMultilevel"/>
    <w:tmpl w:val="BC42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35C6C"/>
    <w:multiLevelType w:val="hybridMultilevel"/>
    <w:tmpl w:val="B93A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02D4"/>
    <w:multiLevelType w:val="hybridMultilevel"/>
    <w:tmpl w:val="76589FE2"/>
    <w:lvl w:ilvl="0" w:tplc="D390F0C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F0F14"/>
    <w:multiLevelType w:val="hybridMultilevel"/>
    <w:tmpl w:val="72B86B80"/>
    <w:lvl w:ilvl="0" w:tplc="9B88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B31EE"/>
    <w:multiLevelType w:val="hybridMultilevel"/>
    <w:tmpl w:val="73AC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E2"/>
    <w:rsid w:val="00003041"/>
    <w:rsid w:val="0001418E"/>
    <w:rsid w:val="0002538B"/>
    <w:rsid w:val="0002583A"/>
    <w:rsid w:val="0003195C"/>
    <w:rsid w:val="000408C8"/>
    <w:rsid w:val="00063392"/>
    <w:rsid w:val="00074BF4"/>
    <w:rsid w:val="00081A03"/>
    <w:rsid w:val="00083874"/>
    <w:rsid w:val="000A774C"/>
    <w:rsid w:val="000C234E"/>
    <w:rsid w:val="000D0F30"/>
    <w:rsid w:val="000D6381"/>
    <w:rsid w:val="000E3FCC"/>
    <w:rsid w:val="000E6564"/>
    <w:rsid w:val="000E6626"/>
    <w:rsid w:val="000E7245"/>
    <w:rsid w:val="000E77C6"/>
    <w:rsid w:val="000F03ED"/>
    <w:rsid w:val="00101A52"/>
    <w:rsid w:val="00101C9F"/>
    <w:rsid w:val="0010445A"/>
    <w:rsid w:val="00104829"/>
    <w:rsid w:val="00121965"/>
    <w:rsid w:val="001226E0"/>
    <w:rsid w:val="00134856"/>
    <w:rsid w:val="00140F65"/>
    <w:rsid w:val="00141D88"/>
    <w:rsid w:val="0014345F"/>
    <w:rsid w:val="0014522E"/>
    <w:rsid w:val="00171E61"/>
    <w:rsid w:val="00180342"/>
    <w:rsid w:val="00181E88"/>
    <w:rsid w:val="001868C4"/>
    <w:rsid w:val="001A1448"/>
    <w:rsid w:val="001A2292"/>
    <w:rsid w:val="001A376C"/>
    <w:rsid w:val="001B3622"/>
    <w:rsid w:val="001B7DC8"/>
    <w:rsid w:val="001C7C3D"/>
    <w:rsid w:val="001D4E70"/>
    <w:rsid w:val="001E1002"/>
    <w:rsid w:val="001E18A1"/>
    <w:rsid w:val="001F2B06"/>
    <w:rsid w:val="00203A0E"/>
    <w:rsid w:val="0020694A"/>
    <w:rsid w:val="00206D03"/>
    <w:rsid w:val="002074BA"/>
    <w:rsid w:val="00214EBA"/>
    <w:rsid w:val="0023431D"/>
    <w:rsid w:val="00241765"/>
    <w:rsid w:val="00243C63"/>
    <w:rsid w:val="0025299E"/>
    <w:rsid w:val="00254C60"/>
    <w:rsid w:val="00264BB5"/>
    <w:rsid w:val="002669A6"/>
    <w:rsid w:val="00274BAE"/>
    <w:rsid w:val="00277D93"/>
    <w:rsid w:val="00282533"/>
    <w:rsid w:val="00294829"/>
    <w:rsid w:val="002C5291"/>
    <w:rsid w:val="002C6AB7"/>
    <w:rsid w:val="002D476C"/>
    <w:rsid w:val="002E5E72"/>
    <w:rsid w:val="002F0E7E"/>
    <w:rsid w:val="002F7FA7"/>
    <w:rsid w:val="003070A2"/>
    <w:rsid w:val="00317C7F"/>
    <w:rsid w:val="0032574F"/>
    <w:rsid w:val="003264DF"/>
    <w:rsid w:val="00331976"/>
    <w:rsid w:val="003346DE"/>
    <w:rsid w:val="003354F1"/>
    <w:rsid w:val="00354DA2"/>
    <w:rsid w:val="00355404"/>
    <w:rsid w:val="00355454"/>
    <w:rsid w:val="00382540"/>
    <w:rsid w:val="00386B2B"/>
    <w:rsid w:val="003A304D"/>
    <w:rsid w:val="003B0F49"/>
    <w:rsid w:val="003C3C46"/>
    <w:rsid w:val="003D19DD"/>
    <w:rsid w:val="003D5436"/>
    <w:rsid w:val="003E13C7"/>
    <w:rsid w:val="003E1AFE"/>
    <w:rsid w:val="003E391F"/>
    <w:rsid w:val="003E4F1A"/>
    <w:rsid w:val="003F1BC9"/>
    <w:rsid w:val="003F6E18"/>
    <w:rsid w:val="00404FC6"/>
    <w:rsid w:val="00405778"/>
    <w:rsid w:val="00413AA6"/>
    <w:rsid w:val="00414A3B"/>
    <w:rsid w:val="0041770C"/>
    <w:rsid w:val="004179BB"/>
    <w:rsid w:val="00423095"/>
    <w:rsid w:val="0042364F"/>
    <w:rsid w:val="004314B5"/>
    <w:rsid w:val="00440347"/>
    <w:rsid w:val="00445294"/>
    <w:rsid w:val="00450CB7"/>
    <w:rsid w:val="00453E94"/>
    <w:rsid w:val="004645F3"/>
    <w:rsid w:val="00471B67"/>
    <w:rsid w:val="00472414"/>
    <w:rsid w:val="0047736B"/>
    <w:rsid w:val="00487050"/>
    <w:rsid w:val="00493BCF"/>
    <w:rsid w:val="004D071F"/>
    <w:rsid w:val="004D3D24"/>
    <w:rsid w:val="004D6389"/>
    <w:rsid w:val="004E13F1"/>
    <w:rsid w:val="004F2B25"/>
    <w:rsid w:val="004F5AED"/>
    <w:rsid w:val="005048A4"/>
    <w:rsid w:val="00517D54"/>
    <w:rsid w:val="00523CFE"/>
    <w:rsid w:val="00523E74"/>
    <w:rsid w:val="00530767"/>
    <w:rsid w:val="00533345"/>
    <w:rsid w:val="00533CCE"/>
    <w:rsid w:val="00536B6E"/>
    <w:rsid w:val="0054291A"/>
    <w:rsid w:val="00546B52"/>
    <w:rsid w:val="00564C18"/>
    <w:rsid w:val="0056662C"/>
    <w:rsid w:val="0057318D"/>
    <w:rsid w:val="00581A05"/>
    <w:rsid w:val="00584DF5"/>
    <w:rsid w:val="005877E9"/>
    <w:rsid w:val="0058785E"/>
    <w:rsid w:val="005B3D1E"/>
    <w:rsid w:val="005B657A"/>
    <w:rsid w:val="005E10B4"/>
    <w:rsid w:val="005F2A91"/>
    <w:rsid w:val="00603EB1"/>
    <w:rsid w:val="006103EB"/>
    <w:rsid w:val="00610E95"/>
    <w:rsid w:val="006114B5"/>
    <w:rsid w:val="00612F8D"/>
    <w:rsid w:val="006266F1"/>
    <w:rsid w:val="0063332E"/>
    <w:rsid w:val="006367DA"/>
    <w:rsid w:val="00636DA5"/>
    <w:rsid w:val="0064771E"/>
    <w:rsid w:val="00660CF2"/>
    <w:rsid w:val="0066445D"/>
    <w:rsid w:val="00671BF5"/>
    <w:rsid w:val="006749D7"/>
    <w:rsid w:val="00677C11"/>
    <w:rsid w:val="006801B7"/>
    <w:rsid w:val="00690A86"/>
    <w:rsid w:val="00697868"/>
    <w:rsid w:val="006A43C4"/>
    <w:rsid w:val="006C5B12"/>
    <w:rsid w:val="006C7C76"/>
    <w:rsid w:val="006D38CC"/>
    <w:rsid w:val="006F3224"/>
    <w:rsid w:val="006F3A7C"/>
    <w:rsid w:val="00713296"/>
    <w:rsid w:val="00714E41"/>
    <w:rsid w:val="00714FE8"/>
    <w:rsid w:val="00722AE0"/>
    <w:rsid w:val="0073612D"/>
    <w:rsid w:val="007367E8"/>
    <w:rsid w:val="00740102"/>
    <w:rsid w:val="007448A7"/>
    <w:rsid w:val="00745DCB"/>
    <w:rsid w:val="00764721"/>
    <w:rsid w:val="007672AA"/>
    <w:rsid w:val="007716B4"/>
    <w:rsid w:val="00774345"/>
    <w:rsid w:val="007813E3"/>
    <w:rsid w:val="00793F1A"/>
    <w:rsid w:val="007A1994"/>
    <w:rsid w:val="007A2641"/>
    <w:rsid w:val="007A4FFA"/>
    <w:rsid w:val="007A777F"/>
    <w:rsid w:val="007B3C44"/>
    <w:rsid w:val="007B5A7B"/>
    <w:rsid w:val="007E5AF2"/>
    <w:rsid w:val="007F13D3"/>
    <w:rsid w:val="007F55EA"/>
    <w:rsid w:val="00801B4C"/>
    <w:rsid w:val="00805436"/>
    <w:rsid w:val="008110DF"/>
    <w:rsid w:val="008138E2"/>
    <w:rsid w:val="00825408"/>
    <w:rsid w:val="00837CC1"/>
    <w:rsid w:val="00846494"/>
    <w:rsid w:val="008509C3"/>
    <w:rsid w:val="008571CB"/>
    <w:rsid w:val="00861C9A"/>
    <w:rsid w:val="008624C5"/>
    <w:rsid w:val="00865FC9"/>
    <w:rsid w:val="00876671"/>
    <w:rsid w:val="0088014B"/>
    <w:rsid w:val="008959F1"/>
    <w:rsid w:val="008A0137"/>
    <w:rsid w:val="008A287D"/>
    <w:rsid w:val="008B23B0"/>
    <w:rsid w:val="008B411B"/>
    <w:rsid w:val="008C0092"/>
    <w:rsid w:val="008C220B"/>
    <w:rsid w:val="008D2ED4"/>
    <w:rsid w:val="008E26B7"/>
    <w:rsid w:val="008E4502"/>
    <w:rsid w:val="008F0E2F"/>
    <w:rsid w:val="008F229A"/>
    <w:rsid w:val="00900A8D"/>
    <w:rsid w:val="0090157C"/>
    <w:rsid w:val="0090473E"/>
    <w:rsid w:val="00905873"/>
    <w:rsid w:val="00920B1B"/>
    <w:rsid w:val="009324C1"/>
    <w:rsid w:val="00932F43"/>
    <w:rsid w:val="00951685"/>
    <w:rsid w:val="009772AA"/>
    <w:rsid w:val="0098758C"/>
    <w:rsid w:val="009A261F"/>
    <w:rsid w:val="009B2D6E"/>
    <w:rsid w:val="009B3223"/>
    <w:rsid w:val="009C444B"/>
    <w:rsid w:val="009C760D"/>
    <w:rsid w:val="009C79F6"/>
    <w:rsid w:val="009D37B5"/>
    <w:rsid w:val="009E0007"/>
    <w:rsid w:val="00A0243E"/>
    <w:rsid w:val="00A11FC5"/>
    <w:rsid w:val="00A26111"/>
    <w:rsid w:val="00A31B16"/>
    <w:rsid w:val="00A42ADE"/>
    <w:rsid w:val="00A574D7"/>
    <w:rsid w:val="00A57D9B"/>
    <w:rsid w:val="00A7307A"/>
    <w:rsid w:val="00A83C1E"/>
    <w:rsid w:val="00A85754"/>
    <w:rsid w:val="00A91427"/>
    <w:rsid w:val="00A9154B"/>
    <w:rsid w:val="00AA14FE"/>
    <w:rsid w:val="00AA1CF0"/>
    <w:rsid w:val="00AB7C37"/>
    <w:rsid w:val="00AC7830"/>
    <w:rsid w:val="00AD1471"/>
    <w:rsid w:val="00B03E7D"/>
    <w:rsid w:val="00B17EF3"/>
    <w:rsid w:val="00B60E5B"/>
    <w:rsid w:val="00B71BAA"/>
    <w:rsid w:val="00B95763"/>
    <w:rsid w:val="00BC50A7"/>
    <w:rsid w:val="00BE3856"/>
    <w:rsid w:val="00BF09E7"/>
    <w:rsid w:val="00C013B5"/>
    <w:rsid w:val="00C2180B"/>
    <w:rsid w:val="00C23AEB"/>
    <w:rsid w:val="00C32A63"/>
    <w:rsid w:val="00C4005E"/>
    <w:rsid w:val="00C5012C"/>
    <w:rsid w:val="00C508E0"/>
    <w:rsid w:val="00C54859"/>
    <w:rsid w:val="00C7028B"/>
    <w:rsid w:val="00C730D0"/>
    <w:rsid w:val="00C74962"/>
    <w:rsid w:val="00C7497C"/>
    <w:rsid w:val="00C76CB0"/>
    <w:rsid w:val="00C87617"/>
    <w:rsid w:val="00C90197"/>
    <w:rsid w:val="00C959DC"/>
    <w:rsid w:val="00C96CF1"/>
    <w:rsid w:val="00C97D95"/>
    <w:rsid w:val="00CA0034"/>
    <w:rsid w:val="00CA236F"/>
    <w:rsid w:val="00CA3345"/>
    <w:rsid w:val="00CA502D"/>
    <w:rsid w:val="00CB4E8F"/>
    <w:rsid w:val="00CB69F8"/>
    <w:rsid w:val="00CC5A64"/>
    <w:rsid w:val="00CE3EC5"/>
    <w:rsid w:val="00CE4856"/>
    <w:rsid w:val="00CE5576"/>
    <w:rsid w:val="00CF7BCC"/>
    <w:rsid w:val="00D052AF"/>
    <w:rsid w:val="00D06F12"/>
    <w:rsid w:val="00D13120"/>
    <w:rsid w:val="00D2141F"/>
    <w:rsid w:val="00D31DBD"/>
    <w:rsid w:val="00D356E2"/>
    <w:rsid w:val="00D57275"/>
    <w:rsid w:val="00D74C01"/>
    <w:rsid w:val="00D7553A"/>
    <w:rsid w:val="00D76D5A"/>
    <w:rsid w:val="00D812E3"/>
    <w:rsid w:val="00D83A67"/>
    <w:rsid w:val="00D86FD5"/>
    <w:rsid w:val="00D97C75"/>
    <w:rsid w:val="00DA02F9"/>
    <w:rsid w:val="00DA407A"/>
    <w:rsid w:val="00DA6AC8"/>
    <w:rsid w:val="00DB192A"/>
    <w:rsid w:val="00DC36BF"/>
    <w:rsid w:val="00DE0B85"/>
    <w:rsid w:val="00DE138C"/>
    <w:rsid w:val="00DE7439"/>
    <w:rsid w:val="00E05638"/>
    <w:rsid w:val="00E07DCB"/>
    <w:rsid w:val="00E12442"/>
    <w:rsid w:val="00E225BE"/>
    <w:rsid w:val="00E24499"/>
    <w:rsid w:val="00E3104C"/>
    <w:rsid w:val="00E3539F"/>
    <w:rsid w:val="00E36CE3"/>
    <w:rsid w:val="00E506AC"/>
    <w:rsid w:val="00E61C71"/>
    <w:rsid w:val="00E6248F"/>
    <w:rsid w:val="00E62AAF"/>
    <w:rsid w:val="00E634A3"/>
    <w:rsid w:val="00E67C45"/>
    <w:rsid w:val="00E97757"/>
    <w:rsid w:val="00EA0714"/>
    <w:rsid w:val="00EB54C9"/>
    <w:rsid w:val="00EC3B95"/>
    <w:rsid w:val="00EC691F"/>
    <w:rsid w:val="00EC7E6B"/>
    <w:rsid w:val="00ED1E57"/>
    <w:rsid w:val="00EE3D48"/>
    <w:rsid w:val="00EF64CF"/>
    <w:rsid w:val="00F0678D"/>
    <w:rsid w:val="00F214BA"/>
    <w:rsid w:val="00F23B91"/>
    <w:rsid w:val="00F26A5B"/>
    <w:rsid w:val="00F50CC0"/>
    <w:rsid w:val="00F5585C"/>
    <w:rsid w:val="00F6296B"/>
    <w:rsid w:val="00F63247"/>
    <w:rsid w:val="00F6373B"/>
    <w:rsid w:val="00F64107"/>
    <w:rsid w:val="00F6458A"/>
    <w:rsid w:val="00F67DC5"/>
    <w:rsid w:val="00F729FD"/>
    <w:rsid w:val="00F82C18"/>
    <w:rsid w:val="00F870AB"/>
    <w:rsid w:val="00F900FD"/>
    <w:rsid w:val="00F914CF"/>
    <w:rsid w:val="00FB485E"/>
    <w:rsid w:val="00FC433A"/>
    <w:rsid w:val="00FD6A46"/>
    <w:rsid w:val="00FE3443"/>
    <w:rsid w:val="00FE731B"/>
    <w:rsid w:val="00FF03A3"/>
    <w:rsid w:val="00FF095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2"/>
  </w:style>
  <w:style w:type="paragraph" w:styleId="Heading1">
    <w:name w:val="heading 1"/>
    <w:basedOn w:val="Normal"/>
    <w:link w:val="Heading1Char"/>
    <w:uiPriority w:val="9"/>
    <w:qFormat/>
    <w:rsid w:val="00FE3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E2"/>
    <w:pPr>
      <w:ind w:left="720"/>
      <w:contextualSpacing/>
    </w:pPr>
  </w:style>
  <w:style w:type="table" w:styleId="TableGrid">
    <w:name w:val="Table Grid"/>
    <w:basedOn w:val="TableNormal"/>
    <w:uiPriority w:val="59"/>
    <w:rsid w:val="00D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56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6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33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81"/>
  </w:style>
  <w:style w:type="paragraph" w:styleId="Footer">
    <w:name w:val="footer"/>
    <w:basedOn w:val="Normal"/>
    <w:link w:val="FooterChar"/>
    <w:uiPriority w:val="99"/>
    <w:unhideWhenUsed/>
    <w:rsid w:val="000D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81"/>
  </w:style>
  <w:style w:type="paragraph" w:styleId="BalloonText">
    <w:name w:val="Balloon Text"/>
    <w:basedOn w:val="Normal"/>
    <w:link w:val="BalloonTextChar"/>
    <w:uiPriority w:val="99"/>
    <w:semiHidden/>
    <w:unhideWhenUsed/>
    <w:rsid w:val="000D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4B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34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D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3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471"/>
    <w:pPr>
      <w:spacing w:after="0" w:line="240" w:lineRule="auto"/>
    </w:pPr>
  </w:style>
  <w:style w:type="paragraph" w:styleId="NoSpacing">
    <w:name w:val="No Spacing"/>
    <w:uiPriority w:val="1"/>
    <w:qFormat/>
    <w:rsid w:val="00EC3B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2"/>
  </w:style>
  <w:style w:type="paragraph" w:styleId="Heading1">
    <w:name w:val="heading 1"/>
    <w:basedOn w:val="Normal"/>
    <w:link w:val="Heading1Char"/>
    <w:uiPriority w:val="9"/>
    <w:qFormat/>
    <w:rsid w:val="00FE3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E2"/>
    <w:pPr>
      <w:ind w:left="720"/>
      <w:contextualSpacing/>
    </w:pPr>
  </w:style>
  <w:style w:type="table" w:styleId="TableGrid">
    <w:name w:val="Table Grid"/>
    <w:basedOn w:val="TableNormal"/>
    <w:uiPriority w:val="59"/>
    <w:rsid w:val="00D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56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6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33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81"/>
  </w:style>
  <w:style w:type="paragraph" w:styleId="Footer">
    <w:name w:val="footer"/>
    <w:basedOn w:val="Normal"/>
    <w:link w:val="FooterChar"/>
    <w:uiPriority w:val="99"/>
    <w:unhideWhenUsed/>
    <w:rsid w:val="000D6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81"/>
  </w:style>
  <w:style w:type="paragraph" w:styleId="BalloonText">
    <w:name w:val="Balloon Text"/>
    <w:basedOn w:val="Normal"/>
    <w:link w:val="BalloonTextChar"/>
    <w:uiPriority w:val="99"/>
    <w:semiHidden/>
    <w:unhideWhenUsed/>
    <w:rsid w:val="000D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4B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34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D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3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471"/>
    <w:pPr>
      <w:spacing w:after="0" w:line="240" w:lineRule="auto"/>
    </w:pPr>
  </w:style>
  <w:style w:type="paragraph" w:styleId="NoSpacing">
    <w:name w:val="No Spacing"/>
    <w:uiPriority w:val="1"/>
    <w:qFormat/>
    <w:rsid w:val="00EC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dc.gov/flu/pdf/professionals/acip/acip-2019-20-summary-of-recommendation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dc.gov/flu/professionals/vaccines.htm?CDC_AA_refVal=https%3A%2F%2Fwww.cdc.gov%2Fflu%2Fprotect%2Fvaccine%2Fvaccin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D425-B7A8-4297-B1E6-89776E99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Talebian, Pejman (DPH)</dc:creator>
  <cp:lastModifiedBy>Romero, Ashley (DPH)</cp:lastModifiedBy>
  <cp:revision>2</cp:revision>
  <cp:lastPrinted>2019-09-02T03:12:00Z</cp:lastPrinted>
  <dcterms:created xsi:type="dcterms:W3CDTF">2019-09-03T19:29:00Z</dcterms:created>
  <dcterms:modified xsi:type="dcterms:W3CDTF">2019-09-03T19:29:00Z</dcterms:modified>
</cp:coreProperties>
</file>