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39DD" w14:textId="77777777" w:rsidR="00A16ECA" w:rsidRPr="00E96529" w:rsidRDefault="00A16ECA" w:rsidP="00A16ECA">
      <w:pPr>
        <w:jc w:val="center"/>
      </w:pPr>
      <w:smartTag w:uri="urn:schemas-microsoft-com:office:smarttags" w:element="place">
        <w:smartTag w:uri="urn:schemas-microsoft-com:office:smarttags" w:element="PlaceType">
          <w:r w:rsidRPr="00E96529">
            <w:t>COMMONWEALTH</w:t>
          </w:r>
        </w:smartTag>
        <w:r w:rsidRPr="00E96529">
          <w:t xml:space="preserve"> OF </w:t>
        </w:r>
        <w:smartTag w:uri="urn:schemas-microsoft-com:office:smarttags" w:element="PlaceName">
          <w:r w:rsidRPr="00E96529">
            <w:t>MASSACHUSETTS</w:t>
          </w:r>
        </w:smartTag>
      </w:smartTag>
    </w:p>
    <w:p w14:paraId="2297B9B7" w14:textId="77777777" w:rsidR="00A16ECA" w:rsidRPr="00E96529" w:rsidRDefault="00A16ECA" w:rsidP="00A16ECA"/>
    <w:p w14:paraId="31BC60A5" w14:textId="77777777" w:rsidR="00A16ECA" w:rsidRDefault="00A16ECA" w:rsidP="00A16ECA">
      <w:pPr>
        <w:spacing w:line="480" w:lineRule="auto"/>
      </w:pPr>
      <w:r>
        <w:t>Middlesex, ss.</w:t>
      </w:r>
      <w:r>
        <w:tab/>
      </w:r>
      <w:r>
        <w:tab/>
      </w:r>
      <w:r>
        <w:tab/>
      </w:r>
      <w:r>
        <w:tab/>
      </w:r>
      <w:r>
        <w:tab/>
      </w:r>
      <w:r>
        <w:tab/>
      </w:r>
      <w:r>
        <w:tab/>
      </w:r>
      <w:r>
        <w:tab/>
        <w:t>Board of Registration in Medicine</w:t>
      </w:r>
    </w:p>
    <w:p w14:paraId="22D47881" w14:textId="6C3DD3EE" w:rsidR="00A16ECA" w:rsidRDefault="00A16ECA" w:rsidP="00A16ECA">
      <w:r>
        <w:tab/>
      </w:r>
      <w:r>
        <w:tab/>
      </w:r>
      <w:r>
        <w:tab/>
      </w:r>
      <w:r>
        <w:tab/>
      </w:r>
      <w:r>
        <w:tab/>
      </w:r>
      <w:r>
        <w:tab/>
      </w:r>
      <w:r>
        <w:tab/>
      </w:r>
      <w:r>
        <w:tab/>
      </w:r>
      <w:r>
        <w:tab/>
      </w:r>
      <w:bookmarkStart w:id="0" w:name="_Hlk87265033"/>
      <w:r>
        <w:t>Adjudicatory Case No.</w:t>
      </w:r>
      <w:bookmarkEnd w:id="0"/>
      <w:r w:rsidR="00432E87">
        <w:t xml:space="preserve"> 2023-009</w:t>
      </w:r>
    </w:p>
    <w:p w14:paraId="4C1FA92E" w14:textId="77777777" w:rsidR="00A16ECA" w:rsidRPr="00E96529" w:rsidRDefault="00A16ECA" w:rsidP="00A16ECA">
      <w:pPr>
        <w:rPr>
          <w:u w:val="single"/>
        </w:rPr>
      </w:pPr>
    </w:p>
    <w:p w14:paraId="34DD7AFD" w14:textId="77777777" w:rsidR="00187F4D" w:rsidRPr="00E96529" w:rsidRDefault="00187F4D" w:rsidP="00187F4D">
      <w:r w:rsidRPr="00E96529">
        <w:rPr>
          <w:u w:val="single"/>
        </w:rPr>
        <w:tab/>
      </w:r>
      <w:r w:rsidRPr="00E96529">
        <w:rPr>
          <w:u w:val="single"/>
        </w:rPr>
        <w:tab/>
      </w:r>
      <w:r w:rsidRPr="00E96529">
        <w:rPr>
          <w:u w:val="single"/>
        </w:rPr>
        <w:tab/>
      </w:r>
      <w:r w:rsidRPr="00E96529">
        <w:rPr>
          <w:u w:val="single"/>
        </w:rPr>
        <w:tab/>
      </w:r>
      <w:r w:rsidRPr="00E96529">
        <w:rPr>
          <w:u w:val="single"/>
        </w:rPr>
        <w:tab/>
      </w:r>
    </w:p>
    <w:p w14:paraId="2FC3FCE0" w14:textId="77777777" w:rsidR="00187F4D" w:rsidRPr="00E96529" w:rsidRDefault="00187F4D" w:rsidP="00187F4D">
      <w:r w:rsidRPr="00E96529">
        <w:tab/>
      </w:r>
      <w:r w:rsidRPr="00E96529">
        <w:tab/>
      </w:r>
      <w:r w:rsidRPr="00E96529">
        <w:tab/>
      </w:r>
      <w:r w:rsidRPr="00E96529">
        <w:tab/>
      </w:r>
      <w:r w:rsidRPr="00E96529">
        <w:tab/>
        <w:t>)</w:t>
      </w:r>
    </w:p>
    <w:p w14:paraId="0CC8E35D" w14:textId="77777777" w:rsidR="00187F4D" w:rsidRPr="00E96529" w:rsidRDefault="00187F4D" w:rsidP="00187F4D">
      <w:r w:rsidRPr="00E96529">
        <w:t>In the Matter of</w:t>
      </w:r>
      <w:r w:rsidRPr="00E96529">
        <w:tab/>
      </w:r>
      <w:r w:rsidRPr="00E96529">
        <w:tab/>
      </w:r>
      <w:r w:rsidRPr="00E96529">
        <w:tab/>
        <w:t>)</w:t>
      </w:r>
    </w:p>
    <w:p w14:paraId="11C70CED" w14:textId="77777777" w:rsidR="00187F4D" w:rsidRPr="00E96529" w:rsidRDefault="00187F4D" w:rsidP="00187F4D">
      <w:r w:rsidRPr="00E96529">
        <w:tab/>
      </w:r>
      <w:r w:rsidRPr="00E96529">
        <w:tab/>
      </w:r>
      <w:r w:rsidRPr="00E96529">
        <w:tab/>
      </w:r>
      <w:r w:rsidRPr="00E96529">
        <w:tab/>
      </w:r>
      <w:r w:rsidRPr="00E96529">
        <w:tab/>
        <w:t>)</w:t>
      </w:r>
    </w:p>
    <w:p w14:paraId="1C47A509" w14:textId="77777777" w:rsidR="00187F4D" w:rsidRPr="00E96529" w:rsidRDefault="00187F4D" w:rsidP="00187F4D">
      <w:r>
        <w:t>Ashok K. Joshi</w:t>
      </w:r>
      <w:r w:rsidRPr="00E96529">
        <w:t>, M.D.</w:t>
      </w:r>
      <w:r>
        <w:tab/>
      </w:r>
      <w:r>
        <w:tab/>
      </w:r>
      <w:r w:rsidRPr="00E96529">
        <w:tab/>
        <w:t>)</w:t>
      </w:r>
    </w:p>
    <w:p w14:paraId="039301F2" w14:textId="77777777" w:rsidR="00187F4D" w:rsidRPr="00C4188B" w:rsidRDefault="00187F4D" w:rsidP="00187F4D">
      <w:r w:rsidRPr="00E96529">
        <w:rPr>
          <w:u w:val="single"/>
        </w:rPr>
        <w:tab/>
      </w:r>
      <w:r w:rsidRPr="00E96529">
        <w:rPr>
          <w:u w:val="single"/>
        </w:rPr>
        <w:tab/>
      </w:r>
      <w:r w:rsidRPr="00E96529">
        <w:rPr>
          <w:u w:val="single"/>
        </w:rPr>
        <w:tab/>
      </w:r>
      <w:r w:rsidRPr="00E96529">
        <w:rPr>
          <w:u w:val="single"/>
        </w:rPr>
        <w:tab/>
      </w:r>
      <w:r w:rsidRPr="00E96529">
        <w:rPr>
          <w:u w:val="single"/>
        </w:rPr>
        <w:tab/>
      </w:r>
      <w:r w:rsidRPr="00E96529">
        <w:t>)</w:t>
      </w:r>
    </w:p>
    <w:p w14:paraId="21FC6D4C" w14:textId="77777777" w:rsidR="00187F4D" w:rsidRDefault="00187F4D" w:rsidP="00A16ECA">
      <w:pPr>
        <w:rPr>
          <w:u w:val="single"/>
        </w:rPr>
      </w:pPr>
    </w:p>
    <w:p w14:paraId="35F87BF4" w14:textId="77777777" w:rsidR="008F20E7" w:rsidRDefault="008F20E7" w:rsidP="008F20E7"/>
    <w:p w14:paraId="18B80181" w14:textId="77777777" w:rsidR="008F20E7" w:rsidRPr="002D135B" w:rsidRDefault="008F20E7" w:rsidP="008F20E7">
      <w:pPr>
        <w:jc w:val="center"/>
        <w:rPr>
          <w:b/>
          <w:u w:val="single"/>
        </w:rPr>
      </w:pPr>
      <w:r>
        <w:rPr>
          <w:b/>
          <w:u w:val="single"/>
        </w:rPr>
        <w:t>STATEMENT OF ALLEGATIONS</w:t>
      </w:r>
    </w:p>
    <w:p w14:paraId="661E7EBD" w14:textId="77777777" w:rsidR="008F20E7" w:rsidRDefault="008F20E7" w:rsidP="008F20E7">
      <w:pPr>
        <w:pStyle w:val="BodyText"/>
      </w:pPr>
    </w:p>
    <w:p w14:paraId="3AF10070" w14:textId="1BE5FCD6" w:rsidR="008F20E7" w:rsidRDefault="008F20E7" w:rsidP="008F20E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rsidR="00187F4D">
        <w:t>Ashok K. Joshi</w:t>
      </w:r>
      <w:r>
        <w:t>,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t>1</w:t>
      </w:r>
      <w:r w:rsidR="00187F4D">
        <w:t>8</w:t>
      </w:r>
      <w:r>
        <w:t>-</w:t>
      </w:r>
      <w:r w:rsidR="00187F4D">
        <w:t>167</w:t>
      </w:r>
      <w:r>
        <w:t>.</w:t>
      </w:r>
    </w:p>
    <w:p w14:paraId="4AAA921E" w14:textId="77777777" w:rsidR="008F20E7" w:rsidRDefault="008F20E7" w:rsidP="008F20E7">
      <w:pPr>
        <w:pStyle w:val="Heading1"/>
        <w:spacing w:line="480" w:lineRule="auto"/>
        <w:ind w:right="90"/>
      </w:pPr>
      <w:r>
        <w:t>Biographical Information</w:t>
      </w:r>
    </w:p>
    <w:p w14:paraId="1ACF37D5" w14:textId="77777777" w:rsidR="005D4015" w:rsidRPr="005D4015" w:rsidRDefault="005D4015" w:rsidP="008B5B67">
      <w:pPr>
        <w:numPr>
          <w:ilvl w:val="0"/>
          <w:numId w:val="1"/>
        </w:numPr>
        <w:spacing w:line="480" w:lineRule="auto"/>
      </w:pPr>
      <w:r>
        <w:t>The Respondent g</w:t>
      </w:r>
      <w:r>
        <w:rPr>
          <w:bCs/>
        </w:rPr>
        <w:t>raduated in June 1981</w:t>
      </w:r>
      <w:r w:rsidRPr="003532C2">
        <w:rPr>
          <w:bCs/>
        </w:rPr>
        <w:t xml:space="preserve"> from </w:t>
      </w:r>
      <w:r>
        <w:rPr>
          <w:bCs/>
        </w:rPr>
        <w:t xml:space="preserve">Mahadevappa Rampure Medical College, Gulbarga University in Karnataka, India.  His practice specialties are Emergency Medicine and General Practice.  He is Board-certified in Emergency Medicine.  The Respondent </w:t>
      </w:r>
      <w:r w:rsidRPr="003532C2">
        <w:rPr>
          <w:bCs/>
        </w:rPr>
        <w:t xml:space="preserve">has been licensed to practice medicine </w:t>
      </w:r>
      <w:r>
        <w:rPr>
          <w:bCs/>
        </w:rPr>
        <w:t>in Massachusetts since May 1986</w:t>
      </w:r>
      <w:r w:rsidRPr="003532C2">
        <w:rPr>
          <w:bCs/>
        </w:rPr>
        <w:t xml:space="preserve"> under certificate number </w:t>
      </w:r>
      <w:r>
        <w:rPr>
          <w:bCs/>
        </w:rPr>
        <w:t>55726</w:t>
      </w:r>
      <w:r w:rsidRPr="003532C2">
        <w:rPr>
          <w:bCs/>
        </w:rPr>
        <w:t xml:space="preserve">.  He </w:t>
      </w:r>
      <w:r>
        <w:rPr>
          <w:bCs/>
        </w:rPr>
        <w:t>is affiliated with Lowell General Hospital (LGH) and Athol Memorial Hospital (Athol).</w:t>
      </w:r>
    </w:p>
    <w:p w14:paraId="7F483DD0" w14:textId="7D7E6B72" w:rsidR="008F20E7" w:rsidRDefault="008F20E7" w:rsidP="008F20E7">
      <w:pPr>
        <w:spacing w:line="480" w:lineRule="auto"/>
        <w:jc w:val="center"/>
        <w:rPr>
          <w:u w:val="single"/>
        </w:rPr>
      </w:pPr>
      <w:r>
        <w:rPr>
          <w:u w:val="single"/>
        </w:rPr>
        <w:t>Factual Allegations</w:t>
      </w:r>
    </w:p>
    <w:p w14:paraId="7C3EBC2E" w14:textId="77777777" w:rsidR="00A619E5" w:rsidRPr="00BC34DA" w:rsidRDefault="00A619E5" w:rsidP="00A619E5">
      <w:pPr>
        <w:spacing w:line="480" w:lineRule="auto"/>
        <w:rPr>
          <w:u w:val="single"/>
        </w:rPr>
      </w:pPr>
      <w:r w:rsidRPr="00BC34DA">
        <w:rPr>
          <w:u w:val="single"/>
        </w:rPr>
        <w:t>Patient A</w:t>
      </w:r>
    </w:p>
    <w:p w14:paraId="0DC61964" w14:textId="77777777" w:rsidR="00A619E5" w:rsidRDefault="00A619E5" w:rsidP="00A619E5">
      <w:pPr>
        <w:spacing w:line="480" w:lineRule="auto"/>
        <w:ind w:firstLine="720"/>
      </w:pPr>
      <w:r>
        <w:rPr>
          <w:bCs/>
        </w:rPr>
        <w:t>2.</w:t>
      </w:r>
      <w:r>
        <w:rPr>
          <w:bCs/>
        </w:rPr>
        <w:tab/>
      </w:r>
      <w:r>
        <w:t xml:space="preserve">Patient A’s first visit with the Respondent was on June 25, 2009.  The Respondent performed a urinalysis that revealed the significant finding of microscopic hematuria and sent the urine </w:t>
      </w:r>
      <w:r>
        <w:lastRenderedPageBreak/>
        <w:t>for culture to check for an infection as a urinary tract infection (UTI) is the most common cause of hematuria.</w:t>
      </w:r>
    </w:p>
    <w:p w14:paraId="03C8BB5E" w14:textId="77777777" w:rsidR="00A619E5" w:rsidRDefault="00A619E5" w:rsidP="00A619E5">
      <w:pPr>
        <w:spacing w:line="480" w:lineRule="auto"/>
        <w:ind w:firstLine="720"/>
      </w:pPr>
      <w:r>
        <w:t>3.</w:t>
      </w:r>
      <w:r>
        <w:tab/>
        <w:t>On Patient A’s follow-up visit on July 6, 2009, the Respondent did a repeat urinalysis by dipstick.  The results of this repeat urinalysis showed that the blood had cleared.  Patient A did not attend subsequent scheduled follow up visits.</w:t>
      </w:r>
    </w:p>
    <w:p w14:paraId="46C8B4CE" w14:textId="77777777" w:rsidR="00A619E5" w:rsidRDefault="00A619E5" w:rsidP="00A619E5">
      <w:pPr>
        <w:spacing w:line="480" w:lineRule="auto"/>
        <w:ind w:firstLine="720"/>
      </w:pPr>
      <w:r>
        <w:t>4.</w:t>
      </w:r>
      <w:r>
        <w:tab/>
        <w:t>The finding of hematuria warranted further evaluation of the urinary tract but was not performed.</w:t>
      </w:r>
    </w:p>
    <w:p w14:paraId="1CCD0A65" w14:textId="77777777" w:rsidR="00A619E5" w:rsidRDefault="00A619E5" w:rsidP="00A619E5">
      <w:pPr>
        <w:spacing w:line="480" w:lineRule="auto"/>
        <w:ind w:firstLine="720"/>
      </w:pPr>
      <w:r>
        <w:t>5.</w:t>
      </w:r>
      <w:r>
        <w:tab/>
        <w:t>Patient A passed away due to kidney cancer on December 31, 2014.</w:t>
      </w:r>
    </w:p>
    <w:p w14:paraId="01148A14" w14:textId="77777777" w:rsidR="00A619E5" w:rsidRDefault="00A619E5" w:rsidP="00A619E5">
      <w:pPr>
        <w:spacing w:line="480" w:lineRule="auto"/>
        <w:ind w:firstLine="720"/>
      </w:pPr>
      <w:r>
        <w:t>6.</w:t>
      </w:r>
      <w:r>
        <w:tab/>
        <w:t>The Respondent’s failure to follow-up with a renal scan and urology consultation to rule out occult malignancy did not meet the standard of care.</w:t>
      </w:r>
    </w:p>
    <w:p w14:paraId="0C01DC63" w14:textId="77777777" w:rsidR="00A619E5" w:rsidRPr="00ED211B" w:rsidRDefault="00A619E5" w:rsidP="00A619E5">
      <w:pPr>
        <w:spacing w:line="480" w:lineRule="auto"/>
        <w:rPr>
          <w:u w:val="single"/>
        </w:rPr>
      </w:pPr>
      <w:r w:rsidRPr="00ED211B">
        <w:rPr>
          <w:u w:val="single"/>
        </w:rPr>
        <w:t>Patient B</w:t>
      </w:r>
    </w:p>
    <w:p w14:paraId="3E708181" w14:textId="77777777" w:rsidR="00A619E5" w:rsidRDefault="00A619E5" w:rsidP="00A619E5">
      <w:pPr>
        <w:spacing w:line="480" w:lineRule="auto"/>
        <w:ind w:firstLine="720"/>
      </w:pPr>
      <w:r>
        <w:t>7.</w:t>
      </w:r>
      <w:r>
        <w:tab/>
        <w:t>Patient B was an elderly woman in very poor baseline health; she had critical Chronic Obstructive Pulmonary Disease (COPD) necessitating use of home oxygen (at 4 liters); she had chronic atrial fibrillation; was chronically debilitated; had congestive heart failure; and had multiple other comorbidities.</w:t>
      </w:r>
    </w:p>
    <w:p w14:paraId="7D251866" w14:textId="77777777" w:rsidR="00A619E5" w:rsidRDefault="00A619E5" w:rsidP="00A619E5">
      <w:pPr>
        <w:spacing w:line="480" w:lineRule="auto"/>
        <w:ind w:firstLine="720"/>
      </w:pPr>
      <w:r>
        <w:t>8.</w:t>
      </w:r>
      <w:r>
        <w:tab/>
        <w:t>Patient B continued in obvious respiratory distress upon arrival to the Emergency Room (ER) at Athol Hospital on April 3, 2015, as evidenced by a rapid respiratory rate and the need for 8 liters of oxygen to maintain an oxygen saturation in the low 90s.</w:t>
      </w:r>
    </w:p>
    <w:p w14:paraId="1326042F" w14:textId="77777777" w:rsidR="00A619E5" w:rsidRDefault="00A619E5" w:rsidP="00A619E5">
      <w:pPr>
        <w:spacing w:line="480" w:lineRule="auto"/>
        <w:ind w:firstLine="720"/>
      </w:pPr>
      <w:r>
        <w:t>9.</w:t>
      </w:r>
      <w:r>
        <w:tab/>
        <w:t>Patient B was in atrial fibrillation at a rapid rate of 128 bpm (beats per minute) that continually progressed to a severe tachycardia at 180 bpm at the time of transfer to Heywood Hospital.  Per cardiology guidelines, rapid atrial fibrillation should be treated until the heart rate is below 110 beats per minute, even in the absence of other medical problems.</w:t>
      </w:r>
    </w:p>
    <w:p w14:paraId="347B2DC1" w14:textId="77777777" w:rsidR="00A619E5" w:rsidRDefault="00A619E5" w:rsidP="00A619E5">
      <w:pPr>
        <w:spacing w:line="480" w:lineRule="auto"/>
        <w:ind w:firstLine="720"/>
      </w:pPr>
      <w:r>
        <w:t>10.</w:t>
      </w:r>
      <w:r>
        <w:tab/>
        <w:t>Patient B was also exhibiting signs of significant dehydration, infection and sepsis.  She had lost fluids due to vomiting and diarrhea.</w:t>
      </w:r>
    </w:p>
    <w:p w14:paraId="7497252B" w14:textId="77777777" w:rsidR="00A619E5" w:rsidRDefault="00A619E5" w:rsidP="00A619E5">
      <w:pPr>
        <w:spacing w:line="480" w:lineRule="auto"/>
        <w:ind w:firstLine="720"/>
      </w:pPr>
      <w:r>
        <w:lastRenderedPageBreak/>
        <w:t>11.</w:t>
      </w:r>
      <w:r>
        <w:tab/>
        <w:t>The Respondent ordered one liter of IV fluids to be administered over 6 hours.  The recommended administration of IV fluids for Patient B’s degree of dehydration and tachycardia would have been to administer the one liter of IV fluids over 10-15 minutes and then re-assess for further need.</w:t>
      </w:r>
    </w:p>
    <w:p w14:paraId="6579DD94" w14:textId="77777777" w:rsidR="00A619E5" w:rsidRDefault="00A619E5" w:rsidP="00A619E5">
      <w:pPr>
        <w:spacing w:line="480" w:lineRule="auto"/>
        <w:ind w:firstLine="720"/>
      </w:pPr>
      <w:r>
        <w:t>12.</w:t>
      </w:r>
      <w:r>
        <w:tab/>
        <w:t>Patient B had four markers of severe infection (fever, rapid heart rate, rapid respiratory rate, and an elevated white blood cell count).</w:t>
      </w:r>
    </w:p>
    <w:p w14:paraId="0F365375" w14:textId="77777777" w:rsidR="00A619E5" w:rsidRDefault="00A619E5" w:rsidP="00A619E5">
      <w:pPr>
        <w:spacing w:line="480" w:lineRule="auto"/>
        <w:ind w:firstLine="720"/>
      </w:pPr>
      <w:r>
        <w:t>13.</w:t>
      </w:r>
      <w:r>
        <w:tab/>
        <w:t>These markers serve as diagnostic criteria for Systemic Inflammatory Response Syndrome (SIRS) and would give the diagnosis of sepsis, the identification of a potentially life-threatening form of infection.</w:t>
      </w:r>
    </w:p>
    <w:p w14:paraId="322C5711" w14:textId="77777777" w:rsidR="00A619E5" w:rsidRDefault="00A619E5" w:rsidP="00A619E5">
      <w:pPr>
        <w:spacing w:line="480" w:lineRule="auto"/>
        <w:ind w:firstLine="720"/>
      </w:pPr>
      <w:r>
        <w:t>14.</w:t>
      </w:r>
      <w:r>
        <w:tab/>
        <w:t>Patient B was transferred to the ICU at Heywood Hospital on April 4, 2015.  She passed away on April 12, 2015.</w:t>
      </w:r>
    </w:p>
    <w:p w14:paraId="6A14FD6A" w14:textId="77777777" w:rsidR="00A619E5" w:rsidRDefault="00A619E5" w:rsidP="00A619E5">
      <w:pPr>
        <w:spacing w:line="480" w:lineRule="auto"/>
        <w:ind w:firstLine="720"/>
      </w:pPr>
      <w:r>
        <w:t>15.</w:t>
      </w:r>
      <w:r>
        <w:tab/>
        <w:t xml:space="preserve">The Respondent’s undertreatment of Patient B did not meet the standard of care. </w:t>
      </w:r>
    </w:p>
    <w:p w14:paraId="659424F8" w14:textId="77777777" w:rsidR="008F20E7" w:rsidRDefault="008F20E7" w:rsidP="008F20E7">
      <w:pPr>
        <w:spacing w:line="480" w:lineRule="auto"/>
        <w:jc w:val="center"/>
        <w:rPr>
          <w:u w:val="single"/>
        </w:rPr>
      </w:pPr>
      <w:r>
        <w:rPr>
          <w:u w:val="single"/>
        </w:rPr>
        <w:t>Legal Basis for Proposed Relief</w:t>
      </w:r>
    </w:p>
    <w:p w14:paraId="7F5B2F62" w14:textId="77777777" w:rsidR="008F20E7" w:rsidRPr="00CE772A" w:rsidRDefault="008F20E7" w:rsidP="008F20E7">
      <w:pPr>
        <w:spacing w:line="480" w:lineRule="auto"/>
        <w:ind w:firstLine="720"/>
      </w:pPr>
      <w:r>
        <w:t>A.</w:t>
      </w:r>
      <w:r>
        <w:tab/>
      </w:r>
      <w:r w:rsidRPr="00CE772A">
        <w:t>Pursuant to G.L. c. 112, §5, ninth par. (c) and 243 CMR 1.03(5)(a)3, the Board may discipline a physician upon proof satisfactory to a majority of the Board, that he engaged in conduct that plac</w:t>
      </w:r>
      <w:r>
        <w:t>es into question the physician’</w:t>
      </w:r>
      <w:r w:rsidRPr="00CE772A">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14:paraId="6835B504" w14:textId="77777777" w:rsidR="008F20E7" w:rsidRDefault="008F20E7" w:rsidP="008F20E7">
      <w:pPr>
        <w:spacing w:line="480" w:lineRule="auto"/>
        <w:ind w:firstLine="720"/>
      </w:pPr>
      <w:r>
        <w:t>B.</w:t>
      </w:r>
      <w:r>
        <w:tab/>
      </w:r>
      <w:r w:rsidRPr="00CE772A">
        <w:t>Pursuant to 243 CMR 1.03(5)(a)18, the Board may discipline a physician upon proof satisfactory to a majority of the Board that said physician committed misconduct in the practice of medicine.</w:t>
      </w:r>
    </w:p>
    <w:p w14:paraId="6F6E4260" w14:textId="77777777" w:rsidR="008F20E7" w:rsidRDefault="008F20E7" w:rsidP="008F20E7">
      <w:pPr>
        <w:spacing w:line="480" w:lineRule="auto"/>
        <w:ind w:firstLine="720"/>
      </w:pPr>
      <w:r>
        <w:t>C.</w:t>
      </w:r>
      <w:r>
        <w:tab/>
      </w:r>
      <w:r w:rsidRPr="00CE772A">
        <w:t xml:space="preserve">Pursuant to </w:t>
      </w:r>
      <w:r w:rsidRPr="00B75038">
        <w:rPr>
          <w:u w:val="single"/>
        </w:rPr>
        <w:t>Levy</w:t>
      </w:r>
      <w:r w:rsidRPr="00CE772A">
        <w:t xml:space="preserve"> v. </w:t>
      </w:r>
      <w:r w:rsidRPr="00B75038">
        <w:rPr>
          <w:u w:val="single"/>
        </w:rPr>
        <w:t>Board of Registration in Medicine</w:t>
      </w:r>
      <w:r w:rsidRPr="00CE772A">
        <w:t xml:space="preserve">, 378 Mass. 519 (1979); </w:t>
      </w:r>
      <w:r w:rsidRPr="00B75038">
        <w:rPr>
          <w:u w:val="single"/>
        </w:rPr>
        <w:t>Raymond</w:t>
      </w:r>
      <w:r w:rsidRPr="00CE772A">
        <w:t xml:space="preserve"> v. </w:t>
      </w:r>
      <w:r w:rsidRPr="00B75038">
        <w:rPr>
          <w:u w:val="single"/>
        </w:rPr>
        <w:t>Board of Registration in Medicine</w:t>
      </w:r>
      <w:r w:rsidRPr="00CE772A">
        <w:t xml:space="preserve">, 387 Mass. 708 (1982), </w:t>
      </w:r>
      <w:r>
        <w:t xml:space="preserve">and </w:t>
      </w:r>
      <w:r w:rsidRPr="00B75038">
        <w:rPr>
          <w:u w:val="single"/>
        </w:rPr>
        <w:t>Sugarman</w:t>
      </w:r>
      <w:r w:rsidRPr="00CE772A">
        <w:t xml:space="preserve"> v. </w:t>
      </w:r>
      <w:r w:rsidRPr="00B75038">
        <w:rPr>
          <w:u w:val="single"/>
        </w:rPr>
        <w:t>Board of Registration in Medicine</w:t>
      </w:r>
      <w:r w:rsidRPr="00CE772A">
        <w:t>, 422 Mass. 338 (1996), the Board may discipline a physician upon proof satisfac</w:t>
      </w:r>
      <w:r>
        <w:t xml:space="preserve">tory to a </w:t>
      </w:r>
      <w:r>
        <w:lastRenderedPageBreak/>
        <w:t>majority of the Board</w:t>
      </w:r>
      <w:r w:rsidRPr="00CE772A">
        <w:t xml:space="preserve"> that said physician lacks good moral character and has engaged in conduct that undermines the public confidence in the inte</w:t>
      </w:r>
      <w:r>
        <w:t>grity of the medical profession.</w:t>
      </w:r>
    </w:p>
    <w:p w14:paraId="73F55A9A" w14:textId="77777777" w:rsidR="008F20E7" w:rsidRPr="00CE772A" w:rsidRDefault="008F20E7" w:rsidP="008F20E7">
      <w:pPr>
        <w:spacing w:line="480" w:lineRule="auto"/>
        <w:ind w:firstLine="720"/>
      </w:pPr>
      <w:r w:rsidRPr="00CE772A">
        <w:t>The Board has jurisdiction over this matter pursuant to G.L. c. 112, §§ 5, 61 and 62.  This adjudicatory proceeding will be conducted in accordance with the provisions of G.L. c. 30A and 801 CMR 1.01.</w:t>
      </w:r>
    </w:p>
    <w:p w14:paraId="26A1BE5B" w14:textId="77777777" w:rsidR="008F20E7" w:rsidRPr="00F07290" w:rsidRDefault="008F20E7" w:rsidP="008F20E7">
      <w:pPr>
        <w:spacing w:line="480" w:lineRule="auto"/>
        <w:jc w:val="center"/>
        <w:rPr>
          <w:u w:val="single"/>
        </w:rPr>
      </w:pPr>
      <w:r w:rsidRPr="00F07290">
        <w:rPr>
          <w:u w:val="single"/>
        </w:rPr>
        <w:t>Nature of Relief Sought</w:t>
      </w:r>
    </w:p>
    <w:p w14:paraId="26107F01" w14:textId="77777777" w:rsidR="008F20E7" w:rsidRPr="001F28AB" w:rsidRDefault="008F20E7" w:rsidP="008F20E7">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14:paraId="61E509F3" w14:textId="77777777" w:rsidR="008F20E7" w:rsidRDefault="008F20E7" w:rsidP="008F20E7">
      <w:pPr>
        <w:pStyle w:val="Heading1"/>
        <w:rPr>
          <w:bCs/>
        </w:rPr>
      </w:pPr>
      <w:r>
        <w:rPr>
          <w:bCs/>
        </w:rPr>
        <w:t>Order</w:t>
      </w:r>
    </w:p>
    <w:p w14:paraId="2ABB9F26" w14:textId="77777777" w:rsidR="008F20E7" w:rsidRDefault="008F20E7" w:rsidP="008F20E7">
      <w:pPr>
        <w:jc w:val="center"/>
        <w:rPr>
          <w:bCs/>
        </w:rPr>
      </w:pPr>
    </w:p>
    <w:p w14:paraId="7AD52F8C" w14:textId="77777777" w:rsidR="008F20E7" w:rsidRDefault="008F20E7" w:rsidP="008F20E7">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14:paraId="5F8DF748" w14:textId="77777777" w:rsidR="008F20E7" w:rsidRDefault="008F20E7" w:rsidP="008F20E7">
      <w:pPr>
        <w:spacing w:line="480" w:lineRule="auto"/>
        <w:rPr>
          <w:bCs/>
        </w:rPr>
      </w:pPr>
    </w:p>
    <w:p w14:paraId="645474DF" w14:textId="77777777" w:rsidR="008F20E7" w:rsidRDefault="008F20E7" w:rsidP="008F20E7">
      <w:pPr>
        <w:ind w:right="90"/>
      </w:pPr>
      <w:r>
        <w:tab/>
      </w:r>
      <w:r>
        <w:tab/>
      </w:r>
      <w:r>
        <w:tab/>
      </w:r>
      <w:r>
        <w:tab/>
      </w:r>
      <w:r>
        <w:tab/>
      </w:r>
      <w:r>
        <w:tab/>
        <w:t>By the Board of Registration in Medicine,</w:t>
      </w:r>
    </w:p>
    <w:p w14:paraId="1714888C" w14:textId="77777777" w:rsidR="008F20E7" w:rsidRDefault="008F20E7" w:rsidP="008F20E7">
      <w:pPr>
        <w:ind w:right="90"/>
      </w:pPr>
    </w:p>
    <w:p w14:paraId="09C72E2A" w14:textId="77777777" w:rsidR="008F20E7" w:rsidRDefault="008F20E7" w:rsidP="008F20E7">
      <w:pPr>
        <w:ind w:right="90"/>
      </w:pPr>
    </w:p>
    <w:p w14:paraId="3942C9CA" w14:textId="5FE7F903" w:rsidR="008F20E7" w:rsidRPr="00432E87" w:rsidRDefault="008F20E7" w:rsidP="008F20E7">
      <w:pPr>
        <w:ind w:right="90"/>
        <w:rPr>
          <w:u w:val="single"/>
        </w:rPr>
      </w:pPr>
      <w:r>
        <w:tab/>
      </w:r>
      <w:r>
        <w:tab/>
      </w:r>
      <w:r>
        <w:tab/>
      </w:r>
      <w:r>
        <w:tab/>
      </w:r>
      <w:r>
        <w:tab/>
      </w:r>
      <w:r>
        <w:tab/>
      </w:r>
      <w:r w:rsidR="00432E87">
        <w:rPr>
          <w:u w:val="single"/>
        </w:rPr>
        <w:t>Signed by Julian N. Robinson, M.D.</w:t>
      </w:r>
    </w:p>
    <w:p w14:paraId="52441DA1" w14:textId="77777777" w:rsidR="008F20E7" w:rsidRDefault="008F20E7" w:rsidP="008F20E7">
      <w:pPr>
        <w:ind w:right="90"/>
      </w:pPr>
      <w:r>
        <w:tab/>
      </w:r>
      <w:r>
        <w:tab/>
      </w:r>
      <w:r>
        <w:tab/>
      </w:r>
      <w:r>
        <w:tab/>
      </w:r>
      <w:r>
        <w:tab/>
      </w:r>
      <w:r>
        <w:tab/>
      </w:r>
      <w:r w:rsidR="00185DF4">
        <w:t>Julian N. Robinson</w:t>
      </w:r>
      <w:r>
        <w:t>, M.D.</w:t>
      </w:r>
    </w:p>
    <w:p w14:paraId="1A317BC3" w14:textId="77777777" w:rsidR="008F20E7" w:rsidRDefault="008F20E7" w:rsidP="008F20E7">
      <w:pPr>
        <w:ind w:right="90"/>
      </w:pPr>
      <w:r>
        <w:tab/>
      </w:r>
      <w:r>
        <w:tab/>
      </w:r>
      <w:r>
        <w:tab/>
      </w:r>
      <w:r>
        <w:tab/>
      </w:r>
      <w:r>
        <w:tab/>
      </w:r>
      <w:r>
        <w:tab/>
      </w:r>
      <w:r w:rsidR="008B5B67">
        <w:t>Board</w:t>
      </w:r>
      <w:r>
        <w:t xml:space="preserve"> Chair</w:t>
      </w:r>
    </w:p>
    <w:p w14:paraId="7765AC3F" w14:textId="77777777" w:rsidR="008F20E7" w:rsidRDefault="008F20E7" w:rsidP="008F20E7">
      <w:pPr>
        <w:ind w:right="90"/>
      </w:pPr>
    </w:p>
    <w:p w14:paraId="128DE6E0" w14:textId="1CB74DD0" w:rsidR="008F20E7" w:rsidRPr="00887012" w:rsidRDefault="008F20E7" w:rsidP="008F20E7">
      <w:pPr>
        <w:ind w:right="90"/>
      </w:pPr>
      <w:r>
        <w:t xml:space="preserve">Date:  </w:t>
      </w:r>
      <w:r w:rsidR="00432E87">
        <w:t>2/2/2023</w:t>
      </w:r>
    </w:p>
    <w:p w14:paraId="68DEC7C2" w14:textId="77777777" w:rsidR="008F20E7" w:rsidRDefault="008F20E7" w:rsidP="008F20E7"/>
    <w:p w14:paraId="45A25A02" w14:textId="77777777" w:rsidR="00F01577" w:rsidRDefault="00000000"/>
    <w:sectPr w:rsidR="00F01577" w:rsidSect="00743A44">
      <w:footerReference w:type="even" r:id="rId7"/>
      <w:footerReference w:type="default" r:id="rId8"/>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FE4A" w14:textId="77777777" w:rsidR="00A679E6" w:rsidRDefault="00A679E6">
      <w:r>
        <w:separator/>
      </w:r>
    </w:p>
  </w:endnote>
  <w:endnote w:type="continuationSeparator" w:id="0">
    <w:p w14:paraId="5E8FDC17" w14:textId="77777777" w:rsidR="00A679E6" w:rsidRDefault="00A6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1291" w14:textId="77777777" w:rsidR="00240985" w:rsidRDefault="008F20E7"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B361F" w14:textId="77777777" w:rsidR="00240985"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01D0" w14:textId="77777777" w:rsidR="00240985" w:rsidRDefault="008F20E7"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5B67">
      <w:rPr>
        <w:rStyle w:val="PageNumber"/>
        <w:noProof/>
      </w:rPr>
      <w:t>3</w:t>
    </w:r>
    <w:r>
      <w:rPr>
        <w:rStyle w:val="PageNumber"/>
      </w:rPr>
      <w:fldChar w:fldCharType="end"/>
    </w:r>
  </w:p>
  <w:p w14:paraId="10FB77D6" w14:textId="77777777" w:rsidR="0024098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84F1" w14:textId="77777777" w:rsidR="00A679E6" w:rsidRDefault="00A679E6">
      <w:r>
        <w:separator/>
      </w:r>
    </w:p>
  </w:footnote>
  <w:footnote w:type="continuationSeparator" w:id="0">
    <w:p w14:paraId="25B526CB" w14:textId="77777777" w:rsidR="00A679E6" w:rsidRDefault="00A67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26928">
    <w:abstractNumId w:val="1"/>
  </w:num>
  <w:num w:numId="2" w16cid:durableId="214141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0E7"/>
    <w:rsid w:val="00146F92"/>
    <w:rsid w:val="00165FC4"/>
    <w:rsid w:val="00185DF4"/>
    <w:rsid w:val="00187F4D"/>
    <w:rsid w:val="00244064"/>
    <w:rsid w:val="00354A81"/>
    <w:rsid w:val="003D4B0B"/>
    <w:rsid w:val="00432E87"/>
    <w:rsid w:val="005D4015"/>
    <w:rsid w:val="00666F05"/>
    <w:rsid w:val="007445A7"/>
    <w:rsid w:val="007B468E"/>
    <w:rsid w:val="008B5B67"/>
    <w:rsid w:val="008F20E7"/>
    <w:rsid w:val="00935EDF"/>
    <w:rsid w:val="00A16ECA"/>
    <w:rsid w:val="00A421C3"/>
    <w:rsid w:val="00A619E5"/>
    <w:rsid w:val="00A679E6"/>
    <w:rsid w:val="00CF6E8A"/>
    <w:rsid w:val="00ED2BC9"/>
    <w:rsid w:val="00EF0B8C"/>
    <w:rsid w:val="00E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5840186"/>
  <w15:docId w15:val="{0D1FE07D-ECCA-4027-A1E1-4B164E81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F20E7"/>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20E7"/>
    <w:rPr>
      <w:rFonts w:ascii="Times New Roman" w:eastAsia="Times New Roman" w:hAnsi="Times New Roman" w:cs="Times New Roman"/>
      <w:sz w:val="24"/>
      <w:szCs w:val="24"/>
      <w:u w:val="single"/>
    </w:rPr>
  </w:style>
  <w:style w:type="paragraph" w:styleId="BodyText">
    <w:name w:val="Body Text"/>
    <w:basedOn w:val="Normal"/>
    <w:link w:val="BodyTextChar"/>
    <w:rsid w:val="008F20E7"/>
    <w:pPr>
      <w:tabs>
        <w:tab w:val="left" w:pos="720"/>
        <w:tab w:val="left" w:pos="1440"/>
        <w:tab w:val="left" w:pos="5040"/>
      </w:tabs>
    </w:pPr>
    <w:rPr>
      <w:b/>
      <w:bCs/>
    </w:rPr>
  </w:style>
  <w:style w:type="character" w:customStyle="1" w:styleId="BodyTextChar">
    <w:name w:val="Body Text Char"/>
    <w:basedOn w:val="DefaultParagraphFont"/>
    <w:link w:val="BodyText"/>
    <w:rsid w:val="008F20E7"/>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8F20E7"/>
    <w:pPr>
      <w:spacing w:after="120"/>
      <w:ind w:left="360"/>
    </w:pPr>
    <w:rPr>
      <w:sz w:val="16"/>
      <w:szCs w:val="16"/>
    </w:rPr>
  </w:style>
  <w:style w:type="character" w:customStyle="1" w:styleId="BodyTextIndent3Char">
    <w:name w:val="Body Text Indent 3 Char"/>
    <w:basedOn w:val="DefaultParagraphFont"/>
    <w:link w:val="BodyTextIndent3"/>
    <w:rsid w:val="008F20E7"/>
    <w:rPr>
      <w:rFonts w:ascii="Times New Roman" w:eastAsia="Times New Roman" w:hAnsi="Times New Roman" w:cs="Times New Roman"/>
      <w:sz w:val="16"/>
      <w:szCs w:val="16"/>
    </w:rPr>
  </w:style>
  <w:style w:type="paragraph" w:styleId="Footer">
    <w:name w:val="footer"/>
    <w:basedOn w:val="Normal"/>
    <w:link w:val="FooterChar"/>
    <w:rsid w:val="008F20E7"/>
    <w:pPr>
      <w:tabs>
        <w:tab w:val="center" w:pos="4320"/>
        <w:tab w:val="right" w:pos="8640"/>
      </w:tabs>
    </w:pPr>
  </w:style>
  <w:style w:type="character" w:customStyle="1" w:styleId="FooterChar">
    <w:name w:val="Footer Char"/>
    <w:basedOn w:val="DefaultParagraphFont"/>
    <w:link w:val="Footer"/>
    <w:rsid w:val="008F20E7"/>
    <w:rPr>
      <w:rFonts w:ascii="Times New Roman" w:eastAsia="Times New Roman" w:hAnsi="Times New Roman" w:cs="Times New Roman"/>
      <w:sz w:val="24"/>
      <w:szCs w:val="20"/>
    </w:rPr>
  </w:style>
  <w:style w:type="character" w:styleId="PageNumber">
    <w:name w:val="page number"/>
    <w:basedOn w:val="DefaultParagraphFont"/>
    <w:rsid w:val="008F20E7"/>
  </w:style>
  <w:style w:type="paragraph" w:styleId="ListParagraph">
    <w:name w:val="List Paragraph"/>
    <w:basedOn w:val="Normal"/>
    <w:uiPriority w:val="34"/>
    <w:qFormat/>
    <w:rsid w:val="00A421C3"/>
    <w:pPr>
      <w:ind w:left="720"/>
      <w:contextualSpacing/>
    </w:pPr>
  </w:style>
  <w:style w:type="paragraph" w:styleId="Header">
    <w:name w:val="header"/>
    <w:basedOn w:val="Normal"/>
    <w:link w:val="HeaderChar"/>
    <w:uiPriority w:val="99"/>
    <w:unhideWhenUsed/>
    <w:rsid w:val="00EF0B8C"/>
    <w:pPr>
      <w:tabs>
        <w:tab w:val="center" w:pos="4680"/>
        <w:tab w:val="right" w:pos="9360"/>
      </w:tabs>
    </w:pPr>
  </w:style>
  <w:style w:type="character" w:customStyle="1" w:styleId="HeaderChar">
    <w:name w:val="Header Char"/>
    <w:basedOn w:val="DefaultParagraphFont"/>
    <w:link w:val="Header"/>
    <w:uiPriority w:val="99"/>
    <w:rsid w:val="00EF0B8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LaPointe, Donald (DPH)</cp:lastModifiedBy>
  <cp:revision>38</cp:revision>
  <dcterms:created xsi:type="dcterms:W3CDTF">2014-05-12T15:12:00Z</dcterms:created>
  <dcterms:modified xsi:type="dcterms:W3CDTF">2023-03-01T16:16:00Z</dcterms:modified>
</cp:coreProperties>
</file>