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C5" w:rsidRPr="009F75C5" w:rsidRDefault="009F75C5" w:rsidP="009F75C5">
      <w:pPr>
        <w:pStyle w:val="BodyText"/>
        <w:jc w:val="center"/>
        <w:rPr>
          <w:b w:val="0"/>
          <w:szCs w:val="24"/>
        </w:rPr>
      </w:pPr>
      <w:r w:rsidRPr="009F75C5">
        <w:rPr>
          <w:b w:val="0"/>
          <w:szCs w:val="24"/>
        </w:rPr>
        <w:t>COMMONWEALTH OF MASSACHUSETTS</w:t>
      </w:r>
    </w:p>
    <w:p w:rsidR="009F75C5" w:rsidRPr="009F75C5" w:rsidRDefault="009F75C5" w:rsidP="009F75C5">
      <w:pPr>
        <w:pStyle w:val="BodyText"/>
        <w:rPr>
          <w:b w:val="0"/>
          <w:szCs w:val="24"/>
        </w:rPr>
      </w:pPr>
    </w:p>
    <w:p w:rsidR="009F75C5" w:rsidRPr="009F75C5" w:rsidRDefault="009F75C5" w:rsidP="009F75C5">
      <w:pPr>
        <w:pStyle w:val="BodyText"/>
        <w:rPr>
          <w:b w:val="0"/>
          <w:szCs w:val="24"/>
        </w:rPr>
      </w:pPr>
      <w:r w:rsidRPr="009F75C5">
        <w:rPr>
          <w:b w:val="0"/>
          <w:szCs w:val="24"/>
        </w:rPr>
        <w:t>Middlesex, SS.</w:t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  <w:t>Board of Registration in Medicine</w:t>
      </w:r>
    </w:p>
    <w:p w:rsidR="009F75C5" w:rsidRPr="009F75C5" w:rsidRDefault="009F75C5" w:rsidP="009F75C5">
      <w:pPr>
        <w:pStyle w:val="BodyText"/>
        <w:rPr>
          <w:b w:val="0"/>
          <w:szCs w:val="24"/>
        </w:rPr>
      </w:pPr>
    </w:p>
    <w:p w:rsidR="009F75C5" w:rsidRDefault="009F75C5" w:rsidP="009F75C5">
      <w:pPr>
        <w:pStyle w:val="BodyText"/>
        <w:rPr>
          <w:b w:val="0"/>
          <w:szCs w:val="24"/>
        </w:rPr>
      </w:pP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  <w:t>Adjudicatory Case No.</w:t>
      </w:r>
      <w:r w:rsidR="004E0438">
        <w:rPr>
          <w:b w:val="0"/>
          <w:szCs w:val="24"/>
        </w:rPr>
        <w:t xml:space="preserve"> 2015-009</w:t>
      </w:r>
    </w:p>
    <w:p w:rsidR="009F75C5" w:rsidRDefault="009F75C5" w:rsidP="009F75C5">
      <w:pPr>
        <w:pStyle w:val="BodyText"/>
        <w:rPr>
          <w:b w:val="0"/>
          <w:szCs w:val="24"/>
        </w:rPr>
      </w:pPr>
    </w:p>
    <w:p w:rsidR="009F75C5" w:rsidRPr="009F75C5" w:rsidRDefault="009F75C5" w:rsidP="009F75C5">
      <w:pPr>
        <w:pStyle w:val="BodyText"/>
        <w:rPr>
          <w:b w:val="0"/>
          <w:szCs w:val="24"/>
        </w:rPr>
      </w:pPr>
    </w:p>
    <w:p w:rsidR="009F75C5" w:rsidRPr="009F75C5" w:rsidRDefault="009F75C5" w:rsidP="009F75C5">
      <w:pPr>
        <w:pStyle w:val="BodyText"/>
        <w:rPr>
          <w:b w:val="0"/>
          <w:szCs w:val="24"/>
        </w:rPr>
      </w:pPr>
      <w:r w:rsidRPr="009F75C5">
        <w:rPr>
          <w:b w:val="0"/>
          <w:szCs w:val="24"/>
          <w:u w:val="single"/>
        </w:rPr>
        <w:tab/>
      </w:r>
      <w:r w:rsidRPr="009F75C5">
        <w:rPr>
          <w:b w:val="0"/>
          <w:szCs w:val="24"/>
          <w:u w:val="single"/>
        </w:rPr>
        <w:tab/>
      </w:r>
      <w:r w:rsidRPr="009F75C5">
        <w:rPr>
          <w:b w:val="0"/>
          <w:szCs w:val="24"/>
          <w:u w:val="single"/>
        </w:rPr>
        <w:tab/>
      </w:r>
      <w:r w:rsidRPr="009F75C5">
        <w:rPr>
          <w:b w:val="0"/>
          <w:szCs w:val="24"/>
          <w:u w:val="single"/>
        </w:rPr>
        <w:tab/>
      </w:r>
      <w:r w:rsidRPr="009F75C5">
        <w:rPr>
          <w:b w:val="0"/>
          <w:szCs w:val="24"/>
          <w:u w:val="single"/>
        </w:rPr>
        <w:tab/>
      </w:r>
    </w:p>
    <w:p w:rsidR="009F75C5" w:rsidRPr="009F75C5" w:rsidRDefault="009F75C5" w:rsidP="009F75C5">
      <w:pPr>
        <w:pStyle w:val="BodyText"/>
        <w:rPr>
          <w:b w:val="0"/>
          <w:szCs w:val="24"/>
        </w:rPr>
      </w:pP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  <w:t>)</w:t>
      </w:r>
    </w:p>
    <w:p w:rsidR="009F75C5" w:rsidRPr="009F75C5" w:rsidRDefault="009F75C5" w:rsidP="009F75C5">
      <w:pPr>
        <w:pStyle w:val="BodyText"/>
        <w:rPr>
          <w:b w:val="0"/>
          <w:szCs w:val="24"/>
        </w:rPr>
      </w:pPr>
      <w:r w:rsidRPr="009F75C5">
        <w:rPr>
          <w:b w:val="0"/>
          <w:szCs w:val="24"/>
        </w:rPr>
        <w:t>In the Matter of</w:t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  <w:t>)</w:t>
      </w:r>
    </w:p>
    <w:p w:rsidR="009F75C5" w:rsidRPr="009F75C5" w:rsidRDefault="009F75C5" w:rsidP="009F75C5">
      <w:pPr>
        <w:pStyle w:val="BodyText"/>
        <w:rPr>
          <w:b w:val="0"/>
          <w:szCs w:val="24"/>
        </w:rPr>
      </w:pP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</w:r>
      <w:r w:rsidRPr="009F75C5">
        <w:rPr>
          <w:b w:val="0"/>
          <w:szCs w:val="24"/>
        </w:rPr>
        <w:tab/>
        <w:t>)</w:t>
      </w:r>
    </w:p>
    <w:p w:rsidR="009F75C5" w:rsidRPr="009F75C5" w:rsidRDefault="009F75C5" w:rsidP="009F75C5">
      <w:pPr>
        <w:pStyle w:val="BodyText"/>
        <w:rPr>
          <w:b w:val="0"/>
          <w:szCs w:val="24"/>
        </w:rPr>
      </w:pPr>
      <w:proofErr w:type="spellStart"/>
      <w:r w:rsidRPr="009F75C5">
        <w:rPr>
          <w:b w:val="0"/>
          <w:szCs w:val="24"/>
        </w:rPr>
        <w:t>HALBERT</w:t>
      </w:r>
      <w:proofErr w:type="spellEnd"/>
      <w:r w:rsidRPr="009F75C5">
        <w:rPr>
          <w:b w:val="0"/>
          <w:szCs w:val="24"/>
        </w:rPr>
        <w:t xml:space="preserve"> B. MILLER, M.D.</w:t>
      </w:r>
      <w:r w:rsidRPr="009F75C5"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Pr="009F75C5">
        <w:rPr>
          <w:b w:val="0"/>
          <w:szCs w:val="24"/>
        </w:rPr>
        <w:t>)</w:t>
      </w:r>
    </w:p>
    <w:p w:rsidR="009F75C5" w:rsidRPr="009F75C5" w:rsidRDefault="009F75C5" w:rsidP="009F75C5">
      <w:pPr>
        <w:pStyle w:val="BodyText"/>
        <w:rPr>
          <w:b w:val="0"/>
          <w:szCs w:val="24"/>
        </w:rPr>
      </w:pPr>
      <w:r w:rsidRPr="009F75C5">
        <w:rPr>
          <w:b w:val="0"/>
          <w:szCs w:val="24"/>
          <w:u w:val="single"/>
        </w:rPr>
        <w:tab/>
      </w:r>
      <w:r w:rsidRPr="009F75C5">
        <w:rPr>
          <w:b w:val="0"/>
          <w:szCs w:val="24"/>
          <w:u w:val="single"/>
        </w:rPr>
        <w:tab/>
      </w:r>
      <w:r w:rsidRPr="009F75C5">
        <w:rPr>
          <w:b w:val="0"/>
          <w:szCs w:val="24"/>
          <w:u w:val="single"/>
        </w:rPr>
        <w:tab/>
      </w:r>
      <w:r w:rsidRPr="009F75C5">
        <w:rPr>
          <w:b w:val="0"/>
          <w:szCs w:val="24"/>
          <w:u w:val="single"/>
        </w:rPr>
        <w:tab/>
      </w:r>
      <w:r w:rsidRPr="009F75C5">
        <w:rPr>
          <w:b w:val="0"/>
          <w:szCs w:val="24"/>
          <w:u w:val="single"/>
        </w:rPr>
        <w:tab/>
      </w:r>
      <w:r w:rsidRPr="009F75C5">
        <w:rPr>
          <w:b w:val="0"/>
          <w:szCs w:val="24"/>
        </w:rPr>
        <w:t>)</w:t>
      </w:r>
    </w:p>
    <w:p w:rsidR="009F75C5" w:rsidRDefault="009F75C5" w:rsidP="009F75C5"/>
    <w:p w:rsidR="009F75C5" w:rsidRDefault="009F75C5" w:rsidP="009F75C5"/>
    <w:p w:rsidR="009F75C5" w:rsidRPr="002D135B" w:rsidRDefault="009F75C5" w:rsidP="009F75C5">
      <w:pPr>
        <w:jc w:val="center"/>
        <w:rPr>
          <w:b/>
          <w:u w:val="single"/>
        </w:rPr>
      </w:pPr>
      <w:r>
        <w:rPr>
          <w:b/>
          <w:u w:val="single"/>
        </w:rPr>
        <w:t>STATEMENT OF ALLEGATIONS</w:t>
      </w:r>
    </w:p>
    <w:p w:rsidR="009F75C5" w:rsidRDefault="009F75C5" w:rsidP="009F75C5">
      <w:pPr>
        <w:pStyle w:val="BodyText"/>
      </w:pPr>
    </w:p>
    <w:p w:rsidR="009F75C5" w:rsidRDefault="009F75C5" w:rsidP="009F75C5">
      <w:pPr>
        <w:spacing w:line="480" w:lineRule="auto"/>
      </w:pPr>
      <w:r w:rsidRPr="009805EA">
        <w:tab/>
        <w:t xml:space="preserve">The </w:t>
      </w:r>
      <w:r w:rsidRPr="00A067E0">
        <w:t>Board of Registration in Medicine</w:t>
      </w:r>
      <w:r>
        <w:t xml:space="preserve"> (Board) </w:t>
      </w:r>
      <w:r w:rsidRPr="009805EA">
        <w:t xml:space="preserve">has determined that good cause exists to believe the following acts occurred and constitute a violation for which </w:t>
      </w:r>
      <w:proofErr w:type="gramStart"/>
      <w:r w:rsidRPr="009805EA">
        <w:t xml:space="preserve">a licensee may be </w:t>
      </w:r>
      <w:r w:rsidRPr="00697338">
        <w:t>sanctioned by the Board</w:t>
      </w:r>
      <w:proofErr w:type="gramEnd"/>
      <w:r w:rsidRPr="00697338">
        <w:t xml:space="preserve">.  The Board therefore alleges that </w:t>
      </w:r>
      <w:proofErr w:type="spellStart"/>
      <w:r>
        <w:t>Halbert</w:t>
      </w:r>
      <w:proofErr w:type="spellEnd"/>
      <w:r>
        <w:t xml:space="preserve"> B. Miller, M.D.</w:t>
      </w:r>
      <w:r w:rsidRPr="00697338">
        <w:rPr>
          <w:b/>
        </w:rPr>
        <w:t xml:space="preserve"> </w:t>
      </w:r>
      <w:r w:rsidRPr="00697338">
        <w:t>(Respondent) has</w:t>
      </w:r>
      <w:r w:rsidRPr="009805EA">
        <w:t xml:space="preserve"> practiced medicine </w:t>
      </w:r>
      <w:r>
        <w:t>in violation of law, regulation, and/</w:t>
      </w:r>
      <w:r w:rsidRPr="009805EA">
        <w:t xml:space="preserve">or good and accepted medical practice, as set </w:t>
      </w:r>
      <w:r w:rsidRPr="00697338">
        <w:t>forth herein.  The investigative docket number</w:t>
      </w:r>
      <w:r w:rsidRPr="00697338">
        <w:rPr>
          <w:b/>
        </w:rPr>
        <w:t xml:space="preserve"> </w:t>
      </w:r>
      <w:r w:rsidRPr="00697338">
        <w:t xml:space="preserve">associated with this order to show cause </w:t>
      </w:r>
      <w:r w:rsidRPr="00CE772A">
        <w:t xml:space="preserve">is </w:t>
      </w:r>
      <w:r w:rsidRPr="00697338">
        <w:t>Docket</w:t>
      </w:r>
      <w:r w:rsidRPr="00C500C2">
        <w:t xml:space="preserve"> No</w:t>
      </w:r>
      <w:r w:rsidRPr="00887012">
        <w:t xml:space="preserve">.  </w:t>
      </w:r>
      <w:proofErr w:type="gramStart"/>
      <w:r>
        <w:t>14-017.</w:t>
      </w:r>
      <w:proofErr w:type="gramEnd"/>
    </w:p>
    <w:p w:rsidR="009F75C5" w:rsidRPr="00740CC8" w:rsidRDefault="009F75C5" w:rsidP="009F75C5">
      <w:pPr>
        <w:keepNext/>
        <w:spacing w:line="480" w:lineRule="auto"/>
        <w:jc w:val="center"/>
        <w:outlineLvl w:val="2"/>
        <w:rPr>
          <w:szCs w:val="24"/>
          <w:u w:val="single"/>
        </w:rPr>
      </w:pPr>
      <w:r w:rsidRPr="00740CC8">
        <w:rPr>
          <w:szCs w:val="24"/>
          <w:u w:val="single"/>
        </w:rPr>
        <w:t>FINDINGS OF FACT</w:t>
      </w:r>
    </w:p>
    <w:p w:rsidR="009F75C5" w:rsidRPr="009F75C5" w:rsidRDefault="009F75C5" w:rsidP="009F75C5">
      <w:pPr>
        <w:pStyle w:val="BodyText"/>
        <w:spacing w:line="480" w:lineRule="auto"/>
        <w:ind w:firstLine="720"/>
        <w:rPr>
          <w:b w:val="0"/>
        </w:rPr>
      </w:pPr>
      <w:r w:rsidRPr="009F75C5">
        <w:rPr>
          <w:b w:val="0"/>
          <w:szCs w:val="24"/>
        </w:rPr>
        <w:t>1.</w:t>
      </w:r>
      <w:r w:rsidRPr="009F75C5">
        <w:rPr>
          <w:b w:val="0"/>
          <w:szCs w:val="24"/>
        </w:rPr>
        <w:tab/>
        <w:t xml:space="preserve">The Respondent was born on </w:t>
      </w:r>
      <w:r w:rsidRPr="009F75C5">
        <w:rPr>
          <w:b w:val="0"/>
        </w:rPr>
        <w:t xml:space="preserve">November 20, 1940.  He graduated from the Yale University School of Medicine in 1967.  He is board-certified in Psychiatry.  </w:t>
      </w:r>
      <w:proofErr w:type="gramStart"/>
      <w:r w:rsidRPr="009F75C5">
        <w:rPr>
          <w:b w:val="0"/>
        </w:rPr>
        <w:t>He lists a subspecialty certification in addiction psychiatry on his license renewal application</w:t>
      </w:r>
      <w:proofErr w:type="gramEnd"/>
      <w:r w:rsidRPr="009F75C5">
        <w:rPr>
          <w:b w:val="0"/>
        </w:rPr>
        <w:t xml:space="preserve">, </w:t>
      </w:r>
      <w:proofErr w:type="gramStart"/>
      <w:r w:rsidRPr="009F75C5">
        <w:rPr>
          <w:b w:val="0"/>
        </w:rPr>
        <w:t>however that certification has expired</w:t>
      </w:r>
      <w:proofErr w:type="gramEnd"/>
      <w:r w:rsidRPr="009F75C5">
        <w:rPr>
          <w:b w:val="0"/>
        </w:rPr>
        <w:t xml:space="preserve">.  The Respondent </w:t>
      </w:r>
      <w:proofErr w:type="gramStart"/>
      <w:r w:rsidRPr="009F75C5">
        <w:rPr>
          <w:b w:val="0"/>
        </w:rPr>
        <w:t>had been licensed</w:t>
      </w:r>
      <w:proofErr w:type="gramEnd"/>
      <w:r w:rsidRPr="009F75C5">
        <w:rPr>
          <w:b w:val="0"/>
        </w:rPr>
        <w:t xml:space="preserve"> to practice medicine in Massachusetts under certificate number 31512 since 1969, but his license was revoked by operation of law on November 20, 2013, when he failed to renew it.</w:t>
      </w:r>
    </w:p>
    <w:p w:rsidR="009F75C5" w:rsidRDefault="009F75C5" w:rsidP="009F75C5">
      <w:pPr>
        <w:autoSpaceDE w:val="0"/>
        <w:autoSpaceDN w:val="0"/>
        <w:adjustRightInd w:val="0"/>
        <w:spacing w:line="480" w:lineRule="auto"/>
        <w:ind w:firstLine="720"/>
      </w:pPr>
      <w:r>
        <w:t>2.</w:t>
      </w:r>
      <w:r>
        <w:tab/>
        <w:t>The Respondent’s license to practice medicine in Massachusetts expired on November 20, 2013.  The Board mailed a License Renewal Notice (</w:t>
      </w:r>
      <w:proofErr w:type="spellStart"/>
      <w:r>
        <w:t>LRN</w:t>
      </w:r>
      <w:proofErr w:type="spellEnd"/>
      <w:r>
        <w:t xml:space="preserve">) to the Respondent on September 13, 2013.  The U.S. Postal Service returned the </w:t>
      </w:r>
      <w:proofErr w:type="spellStart"/>
      <w:r>
        <w:t>LRN</w:t>
      </w:r>
      <w:proofErr w:type="spellEnd"/>
      <w:r>
        <w:t xml:space="preserve"> to the Board marked “returned to sender.”  The </w:t>
      </w:r>
      <w:proofErr w:type="spellStart"/>
      <w:r>
        <w:t>LRN</w:t>
      </w:r>
      <w:proofErr w:type="spellEnd"/>
      <w:r>
        <w:t xml:space="preserve"> </w:t>
      </w:r>
      <w:proofErr w:type="gramStart"/>
      <w:r>
        <w:t>could not be delivered</w:t>
      </w:r>
      <w:proofErr w:type="gramEnd"/>
      <w:r>
        <w:t xml:space="preserve"> due to the Respondent’s failure to update his mailing address with the Board.</w:t>
      </w:r>
    </w:p>
    <w:p w:rsidR="009F75C5" w:rsidRDefault="009F75C5" w:rsidP="009F75C5">
      <w:pPr>
        <w:spacing w:line="480" w:lineRule="auto"/>
        <w:ind w:firstLine="720"/>
      </w:pPr>
      <w:r>
        <w:lastRenderedPageBreak/>
        <w:t>3.</w:t>
      </w:r>
      <w:r>
        <w:tab/>
        <w:t xml:space="preserve">The Respondent continued to prescribe medications - including one patient on Oxycodone (Schedule II) and one patient on Ambien (Schedule IV) - after his license had lapsed.  Between November 20, 2013, and </w:t>
      </w:r>
      <w:r w:rsidR="002A1C66">
        <w:t>January 15</w:t>
      </w:r>
      <w:r>
        <w:t xml:space="preserve">, 2014, 122 prescriptions </w:t>
      </w:r>
      <w:proofErr w:type="gramStart"/>
      <w:r>
        <w:t>were filled</w:t>
      </w:r>
      <w:proofErr w:type="gramEnd"/>
      <w:r>
        <w:t>, including a substantial number of refills that were issued prior to the license lapse of November 20, 2013.</w:t>
      </w:r>
    </w:p>
    <w:p w:rsidR="009F75C5" w:rsidRDefault="009F75C5" w:rsidP="009F75C5">
      <w:pPr>
        <w:autoSpaceDE w:val="0"/>
        <w:autoSpaceDN w:val="0"/>
        <w:adjustRightInd w:val="0"/>
        <w:spacing w:line="480" w:lineRule="auto"/>
        <w:ind w:firstLine="720"/>
      </w:pPr>
      <w:r>
        <w:t>4.</w:t>
      </w:r>
      <w:r>
        <w:tab/>
        <w:t>The Respondent wrote many of the prescriptions on the prescription pad from his Massachusetts practice and the remainder on the prescription pad from his practice in Nevada.</w:t>
      </w:r>
      <w:r w:rsidR="002A1C66">
        <w:t xml:space="preserve">  The last prescription </w:t>
      </w:r>
      <w:proofErr w:type="gramStart"/>
      <w:r w:rsidR="002A1C66">
        <w:t>was issued</w:t>
      </w:r>
      <w:proofErr w:type="gramEnd"/>
      <w:r w:rsidR="002A1C66">
        <w:t xml:space="preserve"> on January 15, 2014. </w:t>
      </w:r>
    </w:p>
    <w:p w:rsidR="009F75C5" w:rsidRPr="009F75C5" w:rsidRDefault="009F75C5" w:rsidP="009F75C5">
      <w:pPr>
        <w:spacing w:line="480" w:lineRule="auto"/>
        <w:ind w:firstLine="720"/>
        <w:rPr>
          <w:b/>
          <w:bCs/>
        </w:rPr>
      </w:pPr>
      <w:r w:rsidRPr="00DE7512">
        <w:t>5.</w:t>
      </w:r>
      <w:r w:rsidRPr="009F75C5">
        <w:rPr>
          <w:b/>
        </w:rPr>
        <w:tab/>
      </w:r>
      <w:r w:rsidRPr="009F75C5">
        <w:t>The Respondent</w:t>
      </w:r>
      <w:r w:rsidRPr="009F75C5">
        <w:rPr>
          <w:b/>
        </w:rPr>
        <w:t xml:space="preserve"> </w:t>
      </w:r>
      <w:r w:rsidRPr="009F75C5">
        <w:rPr>
          <w:rStyle w:val="Strong"/>
          <w:b w:val="0"/>
        </w:rPr>
        <w:t>is Board-certified in psychiatry.  He is not Board-certified in addiction psychiatry; that subspecialty certification expired in December of 2008.  This expiration notwithstanding, the Respondent stated on his 2009 and 2011 Registration Renewal Applications that he was Board-certified in addiction psychiatry.</w:t>
      </w:r>
    </w:p>
    <w:p w:rsidR="009F75C5" w:rsidRDefault="009F75C5" w:rsidP="009F75C5">
      <w:pPr>
        <w:spacing w:line="480" w:lineRule="auto"/>
        <w:jc w:val="center"/>
        <w:rPr>
          <w:u w:val="single"/>
        </w:rPr>
      </w:pPr>
      <w:r>
        <w:rPr>
          <w:u w:val="single"/>
        </w:rPr>
        <w:t>Legal Basis for Proposed Relief</w:t>
      </w:r>
    </w:p>
    <w:p w:rsidR="009F75C5" w:rsidRDefault="009F75C5" w:rsidP="009F75C5">
      <w:pPr>
        <w:spacing w:line="480" w:lineRule="auto"/>
        <w:ind w:firstLine="720"/>
      </w:pPr>
      <w:proofErr w:type="gramStart"/>
      <w:r w:rsidRPr="00CE772A">
        <w:t xml:space="preserve">Pursuant to </w:t>
      </w:r>
      <w:r w:rsidRPr="009D45A3">
        <w:rPr>
          <w:u w:val="single"/>
        </w:rPr>
        <w:t>Levy</w:t>
      </w:r>
      <w:r w:rsidRPr="00CE772A">
        <w:t xml:space="preserve"> v. </w:t>
      </w:r>
      <w:r w:rsidRPr="009D45A3">
        <w:rPr>
          <w:u w:val="single"/>
        </w:rPr>
        <w:t>Board of Registration in Medicine</w:t>
      </w:r>
      <w:r w:rsidRPr="00CE772A">
        <w:t xml:space="preserve">, 378 Mass. 519 (1979); </w:t>
      </w:r>
      <w:r w:rsidRPr="009D45A3">
        <w:rPr>
          <w:u w:val="single"/>
        </w:rPr>
        <w:t>Raymond</w:t>
      </w:r>
      <w:r w:rsidRPr="00CE772A">
        <w:t xml:space="preserve"> v. </w:t>
      </w:r>
      <w:r w:rsidRPr="009D45A3">
        <w:rPr>
          <w:u w:val="single"/>
        </w:rPr>
        <w:t>Board of Registration in Medicine</w:t>
      </w:r>
      <w:r w:rsidRPr="00CE772A">
        <w:t xml:space="preserve">, 387 Mass. 708 (1982), </w:t>
      </w:r>
      <w:r>
        <w:t xml:space="preserve">and </w:t>
      </w:r>
      <w:proofErr w:type="spellStart"/>
      <w:r w:rsidRPr="009D45A3">
        <w:rPr>
          <w:u w:val="single"/>
        </w:rPr>
        <w:t>Sugarman</w:t>
      </w:r>
      <w:proofErr w:type="spellEnd"/>
      <w:r w:rsidRPr="00CE772A">
        <w:t xml:space="preserve"> v. </w:t>
      </w:r>
      <w:r w:rsidRPr="009D45A3">
        <w:rPr>
          <w:u w:val="single"/>
        </w:rPr>
        <w:t>Board of Registration in Medicine</w:t>
      </w:r>
      <w:r w:rsidRPr="00CE772A">
        <w:t>, 422 Mass. 338 (1996), the Board may discipline a physician upon proof satisfac</w:t>
      </w:r>
      <w:r>
        <w:t>tory to a majority of the Board</w:t>
      </w:r>
      <w:r w:rsidRPr="00CE772A">
        <w:t xml:space="preserve"> that said physician lacks good moral character and has engaged in conduct that undermines the public confidence in the inte</w:t>
      </w:r>
      <w:r>
        <w:t>grity of the medical profession.</w:t>
      </w:r>
      <w:proofErr w:type="gramEnd"/>
    </w:p>
    <w:p w:rsidR="009F75C5" w:rsidRPr="00CE772A" w:rsidRDefault="009F75C5" w:rsidP="009F75C5">
      <w:pPr>
        <w:spacing w:line="480" w:lineRule="auto"/>
        <w:ind w:firstLine="720"/>
      </w:pPr>
      <w:r w:rsidRPr="00CE772A">
        <w:t xml:space="preserve">The Board has jurisdiction over this matter pursuant to </w:t>
      </w:r>
      <w:proofErr w:type="spellStart"/>
      <w:r w:rsidRPr="00CE772A">
        <w:t>G.L</w:t>
      </w:r>
      <w:proofErr w:type="spellEnd"/>
      <w:r w:rsidRPr="00CE772A">
        <w:t xml:space="preserve">. c. 112, §§ 5, 61 and 62.  This adjudicatory proceeding </w:t>
      </w:r>
      <w:proofErr w:type="gramStart"/>
      <w:r w:rsidRPr="00CE772A">
        <w:t>will be conducted</w:t>
      </w:r>
      <w:proofErr w:type="gramEnd"/>
      <w:r w:rsidRPr="00CE772A">
        <w:t xml:space="preserve"> in accordance with the provisions of </w:t>
      </w:r>
      <w:proofErr w:type="spellStart"/>
      <w:r w:rsidRPr="00CE772A">
        <w:t>G.L</w:t>
      </w:r>
      <w:proofErr w:type="spellEnd"/>
      <w:r w:rsidRPr="00CE772A">
        <w:t xml:space="preserve">. c. </w:t>
      </w:r>
      <w:proofErr w:type="spellStart"/>
      <w:r w:rsidRPr="00CE772A">
        <w:t>30A</w:t>
      </w:r>
      <w:proofErr w:type="spellEnd"/>
      <w:r w:rsidRPr="00CE772A">
        <w:t xml:space="preserve"> and 801 </w:t>
      </w:r>
      <w:proofErr w:type="spellStart"/>
      <w:r w:rsidRPr="00CE772A">
        <w:t>CMR</w:t>
      </w:r>
      <w:proofErr w:type="spellEnd"/>
      <w:r w:rsidRPr="00CE772A">
        <w:t xml:space="preserve"> 1.01.</w:t>
      </w:r>
    </w:p>
    <w:p w:rsidR="009F75C5" w:rsidRPr="00F07290" w:rsidRDefault="009F75C5" w:rsidP="009F75C5">
      <w:pPr>
        <w:spacing w:line="480" w:lineRule="auto"/>
        <w:jc w:val="center"/>
        <w:rPr>
          <w:u w:val="single"/>
        </w:rPr>
      </w:pPr>
      <w:r w:rsidRPr="00F07290">
        <w:rPr>
          <w:u w:val="single"/>
        </w:rPr>
        <w:t>Nature of Relief Sought</w:t>
      </w:r>
    </w:p>
    <w:p w:rsidR="009F75C5" w:rsidRPr="001F28AB" w:rsidRDefault="009F75C5" w:rsidP="009F75C5">
      <w:pPr>
        <w:pStyle w:val="BodyTextIndent3"/>
        <w:spacing w:line="480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1F28AB">
        <w:rPr>
          <w:bCs/>
          <w:sz w:val="24"/>
          <w:szCs w:val="24"/>
        </w:rPr>
        <w:t xml:space="preserve">The Board </w:t>
      </w:r>
      <w:proofErr w:type="gramStart"/>
      <w:r w:rsidRPr="001F28AB">
        <w:rPr>
          <w:bCs/>
          <w:sz w:val="24"/>
          <w:szCs w:val="24"/>
        </w:rPr>
        <w:t>is authorized and empowered to order appropriate disciplinary action, which may include revocation or suspension of the Respondent's license to practice medicine</w:t>
      </w:r>
      <w:proofErr w:type="gramEnd"/>
      <w:r w:rsidRPr="001F28AB">
        <w:rPr>
          <w:bCs/>
          <w:sz w:val="24"/>
          <w:szCs w:val="24"/>
        </w:rPr>
        <w:t xml:space="preserve">.  The Board may also order, in addition to or instead of revocation or suspension, one or more of the following: admonishment, </w:t>
      </w:r>
      <w:r w:rsidRPr="001F28AB">
        <w:rPr>
          <w:bCs/>
          <w:sz w:val="24"/>
          <w:szCs w:val="24"/>
        </w:rPr>
        <w:lastRenderedPageBreak/>
        <w:t xml:space="preserve">censure, reprimand, </w:t>
      </w:r>
      <w:proofErr w:type="gramStart"/>
      <w:r w:rsidRPr="001F28AB">
        <w:rPr>
          <w:bCs/>
          <w:sz w:val="24"/>
          <w:szCs w:val="24"/>
        </w:rPr>
        <w:t>fine</w:t>
      </w:r>
      <w:proofErr w:type="gramEnd"/>
      <w:r w:rsidRPr="001F28AB">
        <w:rPr>
          <w:bCs/>
          <w:sz w:val="24"/>
          <w:szCs w:val="24"/>
        </w:rPr>
        <w:t>, the performance of uncompensated public service, a course of education or training</w:t>
      </w:r>
      <w:r>
        <w:rPr>
          <w:bCs/>
          <w:sz w:val="24"/>
          <w:szCs w:val="24"/>
        </w:rPr>
        <w:t>,</w:t>
      </w:r>
      <w:r w:rsidRPr="001F28AB">
        <w:rPr>
          <w:bCs/>
          <w:sz w:val="24"/>
          <w:szCs w:val="24"/>
        </w:rPr>
        <w:t xml:space="preserve"> or other restrictions upon the Respondent's practice of medicine.</w:t>
      </w:r>
    </w:p>
    <w:p w:rsidR="009F75C5" w:rsidRDefault="009F75C5" w:rsidP="009F75C5">
      <w:pPr>
        <w:pStyle w:val="Heading1"/>
        <w:rPr>
          <w:bCs/>
        </w:rPr>
      </w:pPr>
      <w:r>
        <w:rPr>
          <w:bCs/>
        </w:rPr>
        <w:t>Order</w:t>
      </w:r>
    </w:p>
    <w:p w:rsidR="009F75C5" w:rsidRDefault="009F75C5" w:rsidP="009F75C5">
      <w:pPr>
        <w:jc w:val="center"/>
        <w:rPr>
          <w:bCs/>
        </w:rPr>
      </w:pPr>
    </w:p>
    <w:p w:rsidR="009F75C5" w:rsidRDefault="009F75C5" w:rsidP="009F75C5">
      <w:pPr>
        <w:spacing w:line="480" w:lineRule="auto"/>
        <w:ind w:firstLine="720"/>
        <w:rPr>
          <w:bCs/>
        </w:rPr>
      </w:pPr>
      <w:r>
        <w:rPr>
          <w:bCs/>
        </w:rPr>
        <w:t xml:space="preserve">Wherefore, it </w:t>
      </w:r>
      <w:proofErr w:type="gramStart"/>
      <w:r>
        <w:rPr>
          <w:bCs/>
        </w:rPr>
        <w:t xml:space="preserve">is hereby </w:t>
      </w:r>
      <w:r>
        <w:rPr>
          <w:b/>
          <w:u w:val="single"/>
        </w:rPr>
        <w:t>ORDERED</w:t>
      </w:r>
      <w:proofErr w:type="gramEnd"/>
      <w:r>
        <w:rPr>
          <w:bCs/>
        </w:rPr>
        <w:t xml:space="preserve"> that the Respondent show cause why the Board should not discipline the Respondent for the conduct described herein.</w:t>
      </w:r>
    </w:p>
    <w:p w:rsidR="009F75C5" w:rsidRDefault="009F75C5" w:rsidP="009F75C5">
      <w:pPr>
        <w:spacing w:line="480" w:lineRule="auto"/>
        <w:rPr>
          <w:bCs/>
        </w:rPr>
      </w:pPr>
    </w:p>
    <w:p w:rsidR="009F75C5" w:rsidRDefault="009F75C5" w:rsidP="009F75C5">
      <w:pPr>
        <w:ind w:right="90"/>
      </w:pPr>
      <w:r>
        <w:tab/>
      </w:r>
      <w:r>
        <w:tab/>
      </w:r>
      <w:r>
        <w:tab/>
      </w:r>
      <w:r>
        <w:tab/>
      </w:r>
      <w:r>
        <w:tab/>
      </w:r>
      <w:r>
        <w:tab/>
        <w:t>By the Board of Registration in Medicine,</w:t>
      </w:r>
    </w:p>
    <w:p w:rsidR="009F75C5" w:rsidRDefault="009F75C5" w:rsidP="009F75C5">
      <w:pPr>
        <w:ind w:right="90"/>
      </w:pPr>
    </w:p>
    <w:p w:rsidR="009F75C5" w:rsidRDefault="009F75C5" w:rsidP="009F75C5">
      <w:pPr>
        <w:ind w:right="90"/>
      </w:pPr>
    </w:p>
    <w:p w:rsidR="009F75C5" w:rsidRDefault="009F75C5" w:rsidP="009F75C5">
      <w:pPr>
        <w:ind w:right="90"/>
      </w:pPr>
    </w:p>
    <w:p w:rsidR="009F75C5" w:rsidRDefault="009F75C5" w:rsidP="009F75C5">
      <w:pPr>
        <w:ind w:right="9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E0438">
        <w:rPr>
          <w:u w:val="single"/>
        </w:rPr>
        <w:t>Signed by Candace Lapidus Sloane, M.D.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</w:p>
    <w:p w:rsidR="009F75C5" w:rsidRPr="00C250C0" w:rsidRDefault="009F75C5" w:rsidP="009F75C5">
      <w:r>
        <w:tab/>
      </w:r>
      <w:r>
        <w:tab/>
      </w:r>
      <w:r>
        <w:tab/>
      </w:r>
      <w:r>
        <w:tab/>
      </w:r>
      <w:r>
        <w:tab/>
      </w:r>
      <w:r>
        <w:tab/>
        <w:t>Candace Lapidus Sloane</w:t>
      </w:r>
      <w:r w:rsidRPr="00C250C0">
        <w:t>, M.D.</w:t>
      </w:r>
    </w:p>
    <w:p w:rsidR="009F75C5" w:rsidRPr="00F249DE" w:rsidRDefault="009F75C5" w:rsidP="009F75C5">
      <w:r w:rsidRPr="00C250C0">
        <w:tab/>
      </w:r>
      <w:r w:rsidRPr="00C250C0">
        <w:tab/>
      </w:r>
      <w:r w:rsidRPr="00C250C0">
        <w:tab/>
      </w:r>
      <w:r w:rsidRPr="00C250C0">
        <w:tab/>
      </w:r>
      <w:r w:rsidRPr="00C250C0">
        <w:tab/>
      </w:r>
      <w:r w:rsidRPr="00C250C0">
        <w:tab/>
      </w:r>
      <w:r>
        <w:t>Board Chair</w:t>
      </w:r>
    </w:p>
    <w:p w:rsidR="009F75C5" w:rsidRDefault="009F75C5" w:rsidP="009F75C5">
      <w:pPr>
        <w:ind w:right="90"/>
      </w:pPr>
    </w:p>
    <w:p w:rsidR="009F75C5" w:rsidRDefault="009F75C5" w:rsidP="009F75C5">
      <w:pPr>
        <w:ind w:right="90"/>
      </w:pPr>
    </w:p>
    <w:p w:rsidR="009F75C5" w:rsidRPr="00887012" w:rsidRDefault="009F75C5" w:rsidP="009F75C5">
      <w:pPr>
        <w:ind w:right="90"/>
      </w:pPr>
      <w:r>
        <w:t>Date:</w:t>
      </w:r>
      <w:r w:rsidR="004E0438">
        <w:t xml:space="preserve"> February 19, 2015</w:t>
      </w:r>
      <w:r>
        <w:t xml:space="preserve">  </w:t>
      </w:r>
    </w:p>
    <w:p w:rsidR="009F75C5" w:rsidRDefault="009F75C5" w:rsidP="009F75C5"/>
    <w:p w:rsidR="009F75C5" w:rsidRDefault="009F75C5" w:rsidP="009F75C5"/>
    <w:p w:rsidR="00F01577" w:rsidRDefault="004E0438"/>
    <w:sectPr w:rsidR="00F01577" w:rsidSect="00743A44">
      <w:footerReference w:type="even" r:id="rId7"/>
      <w:footerReference w:type="default" r:id="rId8"/>
      <w:pgSz w:w="12240" w:h="15840" w:code="1"/>
      <w:pgMar w:top="1296" w:right="1008" w:bottom="1296" w:left="100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D0" w:rsidRDefault="002A1C66">
      <w:r>
        <w:separator/>
      </w:r>
    </w:p>
  </w:endnote>
  <w:endnote w:type="continuationSeparator" w:id="0">
    <w:p w:rsidR="001A56D0" w:rsidRDefault="002A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85" w:rsidRDefault="00DE7512" w:rsidP="003C4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0985" w:rsidRDefault="004E04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85" w:rsidRDefault="00DE7512" w:rsidP="003C4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438">
      <w:rPr>
        <w:rStyle w:val="PageNumber"/>
        <w:noProof/>
      </w:rPr>
      <w:t>3</w:t>
    </w:r>
    <w:r>
      <w:rPr>
        <w:rStyle w:val="PageNumber"/>
      </w:rPr>
      <w:fldChar w:fldCharType="end"/>
    </w:r>
  </w:p>
  <w:p w:rsidR="00240985" w:rsidRDefault="004E0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D0" w:rsidRDefault="002A1C66">
      <w:r>
        <w:separator/>
      </w:r>
    </w:p>
  </w:footnote>
  <w:footnote w:type="continuationSeparator" w:id="0">
    <w:p w:rsidR="001A56D0" w:rsidRDefault="002A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C5"/>
    <w:rsid w:val="001A56D0"/>
    <w:rsid w:val="00244064"/>
    <w:rsid w:val="002A1C66"/>
    <w:rsid w:val="002A1E37"/>
    <w:rsid w:val="00326434"/>
    <w:rsid w:val="00357E3B"/>
    <w:rsid w:val="004E0438"/>
    <w:rsid w:val="007D05B4"/>
    <w:rsid w:val="009F75C5"/>
    <w:rsid w:val="00AC11C6"/>
    <w:rsid w:val="00DE7512"/>
    <w:rsid w:val="00ED2BC9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5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F75C5"/>
    <w:pPr>
      <w:keepNext/>
      <w:jc w:val="center"/>
      <w:outlineLvl w:val="0"/>
    </w:pPr>
    <w:rPr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75C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9F75C5"/>
    <w:pPr>
      <w:tabs>
        <w:tab w:val="left" w:pos="720"/>
        <w:tab w:val="left" w:pos="1440"/>
        <w:tab w:val="left" w:pos="5040"/>
      </w:tabs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9F75C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3">
    <w:name w:val="Body Text Indent 3"/>
    <w:basedOn w:val="Normal"/>
    <w:link w:val="BodyTextIndent3Char"/>
    <w:rsid w:val="009F75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75C5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9F75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75C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F75C5"/>
  </w:style>
  <w:style w:type="character" w:styleId="Strong">
    <w:name w:val="Strong"/>
    <w:basedOn w:val="DefaultParagraphFont"/>
    <w:uiPriority w:val="22"/>
    <w:qFormat/>
    <w:rsid w:val="009F75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5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F75C5"/>
    <w:pPr>
      <w:keepNext/>
      <w:jc w:val="center"/>
      <w:outlineLvl w:val="0"/>
    </w:pPr>
    <w:rPr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75C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9F75C5"/>
    <w:pPr>
      <w:tabs>
        <w:tab w:val="left" w:pos="720"/>
        <w:tab w:val="left" w:pos="1440"/>
        <w:tab w:val="left" w:pos="5040"/>
      </w:tabs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9F75C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3">
    <w:name w:val="Body Text Indent 3"/>
    <w:basedOn w:val="Normal"/>
    <w:link w:val="BodyTextIndent3Char"/>
    <w:rsid w:val="009F75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75C5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9F75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75C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F75C5"/>
  </w:style>
  <w:style w:type="character" w:styleId="Strong">
    <w:name w:val="Strong"/>
    <w:basedOn w:val="DefaultParagraphFont"/>
    <w:uiPriority w:val="22"/>
    <w:qFormat/>
    <w:rsid w:val="009F7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2015-02-23T15:32:00Z</dcterms:created>
  <dc:creator>Hoctor, Stephen</dc:creator>
  <lastModifiedBy/>
  <lastPrinted>2015-01-13T21:07:00Z</lastPrinted>
  <dcterms:modified xsi:type="dcterms:W3CDTF">2015-02-23T16:03:00Z</dcterms:modified>
  <revision>3</revision>
</coreProperties>
</file>