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21502" w14:textId="64E623B5" w:rsidR="00392EAF" w:rsidRPr="00E93192" w:rsidRDefault="00392EAF" w:rsidP="00627688">
      <w:pPr>
        <w:spacing w:line="240" w:lineRule="auto"/>
      </w:pPr>
      <w:r w:rsidRPr="00E93192">
        <w:rPr>
          <w:b/>
          <w:bCs/>
        </w:rPr>
        <w:t>Massachusetts HIV Epidemiologic Profile</w:t>
      </w:r>
    </w:p>
    <w:p w14:paraId="34849B2D" w14:textId="02957F89" w:rsidR="00936F60" w:rsidRPr="00E93192" w:rsidRDefault="69601BB1" w:rsidP="00936F60">
      <w:pPr>
        <w:spacing w:after="120" w:line="240" w:lineRule="auto"/>
        <w:rPr>
          <w:b/>
          <w:bCs/>
          <w:szCs w:val="24"/>
        </w:rPr>
      </w:pPr>
      <w:r w:rsidRPr="00E93192">
        <w:rPr>
          <w:b/>
          <w:bCs/>
        </w:rPr>
        <w:t xml:space="preserve">Statewide Report – Data as of </w:t>
      </w:r>
      <w:r w:rsidR="00E93192" w:rsidRPr="00E93192">
        <w:rPr>
          <w:b/>
          <w:bCs/>
        </w:rPr>
        <w:t>7</w:t>
      </w:r>
      <w:r w:rsidRPr="00E93192">
        <w:rPr>
          <w:b/>
          <w:bCs/>
        </w:rPr>
        <w:t>/1/202</w:t>
      </w:r>
      <w:r w:rsidR="00C55930">
        <w:rPr>
          <w:b/>
          <w:bCs/>
        </w:rPr>
        <w:t>5</w:t>
      </w:r>
      <w:r w:rsidRPr="00E93192">
        <w:t xml:space="preserve">, </w:t>
      </w:r>
      <w:r w:rsidR="00936F60" w:rsidRPr="00E93192">
        <w:rPr>
          <w:b/>
          <w:bCs/>
          <w:szCs w:val="24"/>
        </w:rPr>
        <w:t>Accessible MS Word Version, optimized for screen reader use</w:t>
      </w:r>
    </w:p>
    <w:p w14:paraId="5E41CFBC" w14:textId="1D2B8659" w:rsidR="00936F60" w:rsidRPr="00E93192" w:rsidRDefault="00936F60" w:rsidP="00936F60">
      <w:pPr>
        <w:spacing w:after="120" w:line="240" w:lineRule="auto"/>
        <w:rPr>
          <w:i/>
          <w:iCs/>
          <w:szCs w:val="24"/>
        </w:rPr>
      </w:pPr>
      <w:r w:rsidRPr="00E93192">
        <w:rPr>
          <w:i/>
          <w:iCs/>
          <w:szCs w:val="24"/>
        </w:rPr>
        <w:t xml:space="preserve">Please note that while the content of this report is the same as the pdf version, the format and pagination have been modified significantly to optimize use with screen readers to ensure access for </w:t>
      </w:r>
      <w:r w:rsidR="006D087A" w:rsidRPr="00E93192">
        <w:rPr>
          <w:i/>
          <w:iCs/>
          <w:szCs w:val="24"/>
        </w:rPr>
        <w:t xml:space="preserve">audiences who are </w:t>
      </w:r>
      <w:r w:rsidRPr="00E93192">
        <w:rPr>
          <w:i/>
          <w:iCs/>
          <w:szCs w:val="24"/>
        </w:rPr>
        <w:t xml:space="preserve">blind or visually impaired. </w:t>
      </w:r>
    </w:p>
    <w:p w14:paraId="71D8CF6E" w14:textId="1DCB3697" w:rsidR="00392EAF" w:rsidRPr="00E93192" w:rsidRDefault="00392EAF" w:rsidP="00936F60">
      <w:pPr>
        <w:spacing w:line="240" w:lineRule="auto"/>
        <w:rPr>
          <w:szCs w:val="24"/>
        </w:rPr>
      </w:pPr>
      <w:r w:rsidRPr="00E93192">
        <w:rPr>
          <w:b/>
          <w:bCs/>
          <w:szCs w:val="24"/>
        </w:rPr>
        <w:t>Suggested citation:</w:t>
      </w:r>
    </w:p>
    <w:p w14:paraId="259A9B9C" w14:textId="0D3CA83C" w:rsidR="00392EAF" w:rsidRPr="00E93192" w:rsidRDefault="00392EAF" w:rsidP="00627688">
      <w:pPr>
        <w:spacing w:line="240" w:lineRule="auto"/>
      </w:pPr>
      <w:r w:rsidRPr="00E93192">
        <w:t xml:space="preserve">Massachusetts Department of Public Health, Bureau of Infectious Disease and Laboratory Sciences. Massachusetts HIV Epidemiologic Profile, Statewide Report – Data as of </w:t>
      </w:r>
      <w:r w:rsidR="004F36BE">
        <w:t>7</w:t>
      </w:r>
      <w:r w:rsidRPr="00E93192">
        <w:t>/1/202</w:t>
      </w:r>
      <w:r w:rsidR="00C55930">
        <w:t>5</w:t>
      </w:r>
      <w:r w:rsidRPr="00E93192">
        <w:t xml:space="preserve"> </w:t>
      </w:r>
      <w:hyperlink r:id="rId11">
        <w:r w:rsidRPr="00E93192">
          <w:rPr>
            <w:rStyle w:val="Hyperlink"/>
            <w:color w:val="0000FF"/>
          </w:rPr>
          <w:t>https://www.mass.gov/lists/hivaids-epidemiologic-profiles</w:t>
        </w:r>
      </w:hyperlink>
      <w:r w:rsidRPr="00E93192">
        <w:rPr>
          <w:b/>
          <w:bCs/>
        </w:rPr>
        <w:t xml:space="preserve"> </w:t>
      </w:r>
      <w:r w:rsidRPr="00E93192">
        <w:t xml:space="preserve">Published </w:t>
      </w:r>
      <w:r w:rsidR="002A6D5B">
        <w:t>December</w:t>
      </w:r>
      <w:r w:rsidR="00E42D9B" w:rsidRPr="00E93192">
        <w:t xml:space="preserve"> 202</w:t>
      </w:r>
      <w:r w:rsidR="00C55930">
        <w:t>5</w:t>
      </w:r>
      <w:r w:rsidRPr="00E93192">
        <w:t>. Accessed [date].</w:t>
      </w:r>
    </w:p>
    <w:p w14:paraId="375071D6" w14:textId="77777777" w:rsidR="00392EAF" w:rsidRPr="003A309D" w:rsidRDefault="00392EAF" w:rsidP="00C2658D">
      <w:pPr>
        <w:spacing w:after="0" w:line="240" w:lineRule="auto"/>
        <w:rPr>
          <w:szCs w:val="24"/>
        </w:rPr>
      </w:pPr>
      <w:r w:rsidRPr="003A309D">
        <w:rPr>
          <w:b/>
          <w:bCs/>
          <w:szCs w:val="24"/>
        </w:rPr>
        <w:t>Bureau of Infectious Disease and Laboratory Sciences</w:t>
      </w:r>
      <w:r w:rsidRPr="003A309D">
        <w:rPr>
          <w:szCs w:val="24"/>
        </w:rPr>
        <w:br/>
      </w:r>
      <w:r w:rsidRPr="003A309D">
        <w:rPr>
          <w:b/>
          <w:bCs/>
          <w:szCs w:val="24"/>
        </w:rPr>
        <w:t>Massachusetts Department of Public Health</w:t>
      </w:r>
    </w:p>
    <w:p w14:paraId="242BE121" w14:textId="7B1AFC48" w:rsidR="00392EAF" w:rsidRPr="003A309D" w:rsidRDefault="00E91538" w:rsidP="00627688">
      <w:pPr>
        <w:spacing w:line="240" w:lineRule="auto"/>
        <w:rPr>
          <w:szCs w:val="24"/>
        </w:rPr>
      </w:pPr>
      <w:r w:rsidRPr="00E91538">
        <w:rPr>
          <w:b/>
          <w:bCs/>
          <w:szCs w:val="24"/>
        </w:rPr>
        <w:t>Dr. Alfred DeMaria, Jr. Campus</w:t>
      </w:r>
    </w:p>
    <w:p w14:paraId="42688648" w14:textId="77777777" w:rsidR="00392EAF" w:rsidRPr="003A309D" w:rsidRDefault="00392EAF" w:rsidP="00627688">
      <w:pPr>
        <w:spacing w:line="240" w:lineRule="auto"/>
        <w:rPr>
          <w:szCs w:val="24"/>
        </w:rPr>
      </w:pPr>
      <w:r w:rsidRPr="003A309D">
        <w:rPr>
          <w:szCs w:val="24"/>
        </w:rPr>
        <w:t>305 South Street</w:t>
      </w:r>
      <w:r w:rsidRPr="003A309D">
        <w:rPr>
          <w:szCs w:val="24"/>
        </w:rPr>
        <w:br/>
        <w:t>Jamaica Plain, MA 02130</w:t>
      </w:r>
    </w:p>
    <w:p w14:paraId="3EF44316" w14:textId="77777777" w:rsidR="00392EAF" w:rsidRPr="003A309D" w:rsidRDefault="00392EAF" w:rsidP="00C2658D">
      <w:pPr>
        <w:spacing w:after="0" w:line="240" w:lineRule="auto"/>
        <w:rPr>
          <w:szCs w:val="24"/>
        </w:rPr>
      </w:pPr>
      <w:r w:rsidRPr="003A309D">
        <w:rPr>
          <w:b/>
          <w:bCs/>
          <w:szCs w:val="24"/>
        </w:rPr>
        <w:t>Questions about this report</w:t>
      </w:r>
    </w:p>
    <w:p w14:paraId="3BBE6F0C" w14:textId="77777777" w:rsidR="00392EAF" w:rsidRPr="003A309D" w:rsidRDefault="00392EAF" w:rsidP="00627688">
      <w:pPr>
        <w:spacing w:line="240" w:lineRule="auto"/>
        <w:rPr>
          <w:szCs w:val="24"/>
        </w:rPr>
      </w:pPr>
      <w:r w:rsidRPr="003A309D">
        <w:rPr>
          <w:szCs w:val="24"/>
        </w:rPr>
        <w:t>Tel: (617) 983-6560</w:t>
      </w:r>
    </w:p>
    <w:p w14:paraId="13B6E0DA" w14:textId="3DE2E198" w:rsidR="00392EAF" w:rsidRPr="003A309D" w:rsidRDefault="00392EAF" w:rsidP="00C2658D">
      <w:pPr>
        <w:spacing w:after="0" w:line="240" w:lineRule="auto"/>
        <w:rPr>
          <w:szCs w:val="24"/>
        </w:rPr>
      </w:pPr>
      <w:r w:rsidRPr="003A309D">
        <w:rPr>
          <w:b/>
          <w:bCs/>
          <w:szCs w:val="24"/>
        </w:rPr>
        <w:t>To reach the Reporting and Partner Services Line</w:t>
      </w:r>
      <w:r w:rsidR="00E42D9B" w:rsidRPr="003A309D">
        <w:rPr>
          <w:rStyle w:val="FootnoteReference"/>
          <w:b/>
          <w:bCs/>
          <w:szCs w:val="24"/>
        </w:rPr>
        <w:footnoteReference w:id="2"/>
      </w:r>
    </w:p>
    <w:p w14:paraId="69DCB53A" w14:textId="77777777" w:rsidR="00392EAF" w:rsidRPr="003A309D" w:rsidRDefault="00392EAF" w:rsidP="00627688">
      <w:pPr>
        <w:spacing w:line="240" w:lineRule="auto"/>
        <w:rPr>
          <w:szCs w:val="24"/>
        </w:rPr>
      </w:pPr>
      <w:r w:rsidRPr="003A309D">
        <w:rPr>
          <w:szCs w:val="24"/>
        </w:rPr>
        <w:t>Tel: (617) 983-6999</w:t>
      </w:r>
    </w:p>
    <w:p w14:paraId="53216E73" w14:textId="77777777" w:rsidR="00392EAF" w:rsidRPr="003A309D" w:rsidRDefault="00392EAF" w:rsidP="00C2658D">
      <w:pPr>
        <w:spacing w:after="0" w:line="240" w:lineRule="auto"/>
        <w:rPr>
          <w:szCs w:val="24"/>
        </w:rPr>
      </w:pPr>
      <w:r w:rsidRPr="003A309D">
        <w:rPr>
          <w:b/>
          <w:bCs/>
          <w:szCs w:val="24"/>
        </w:rPr>
        <w:t xml:space="preserve">To speak to the on-call epidemiologist </w:t>
      </w:r>
    </w:p>
    <w:p w14:paraId="44971FB2" w14:textId="77777777" w:rsidR="00392EAF" w:rsidRPr="003A309D" w:rsidRDefault="00392EAF" w:rsidP="00627688">
      <w:pPr>
        <w:spacing w:line="240" w:lineRule="auto"/>
        <w:rPr>
          <w:szCs w:val="24"/>
        </w:rPr>
      </w:pPr>
      <w:r w:rsidRPr="003A309D">
        <w:rPr>
          <w:szCs w:val="24"/>
        </w:rPr>
        <w:t>Tel: (617) 983-6800</w:t>
      </w:r>
    </w:p>
    <w:p w14:paraId="74A7DB68" w14:textId="77777777" w:rsidR="00392EAF" w:rsidRPr="003A309D" w:rsidRDefault="00392EAF" w:rsidP="00C2658D">
      <w:pPr>
        <w:spacing w:after="0" w:line="240" w:lineRule="auto"/>
        <w:rPr>
          <w:szCs w:val="24"/>
        </w:rPr>
      </w:pPr>
      <w:r w:rsidRPr="003A309D">
        <w:rPr>
          <w:b/>
          <w:bCs/>
          <w:szCs w:val="24"/>
        </w:rPr>
        <w:t>Questions about infectious disease reporting</w:t>
      </w:r>
    </w:p>
    <w:p w14:paraId="66992CA0" w14:textId="77777777" w:rsidR="00392EAF" w:rsidRPr="003A309D" w:rsidRDefault="00392EAF" w:rsidP="00627688">
      <w:pPr>
        <w:spacing w:line="240" w:lineRule="auto"/>
        <w:rPr>
          <w:szCs w:val="24"/>
        </w:rPr>
      </w:pPr>
      <w:r w:rsidRPr="003A309D">
        <w:rPr>
          <w:szCs w:val="24"/>
        </w:rPr>
        <w:t>Tel: (617) 983-6801</w:t>
      </w:r>
    </w:p>
    <w:p w14:paraId="1D51DC1B" w14:textId="77777777" w:rsidR="00392EAF" w:rsidRPr="003A309D" w:rsidRDefault="00392EAF" w:rsidP="00C2658D">
      <w:pPr>
        <w:spacing w:after="0" w:line="240" w:lineRule="auto"/>
        <w:rPr>
          <w:szCs w:val="24"/>
        </w:rPr>
      </w:pPr>
      <w:r w:rsidRPr="003A309D">
        <w:rPr>
          <w:b/>
          <w:bCs/>
          <w:szCs w:val="24"/>
        </w:rPr>
        <w:t>Requests for additional data</w:t>
      </w:r>
    </w:p>
    <w:p w14:paraId="6875B373" w14:textId="77777777" w:rsidR="00392EAF" w:rsidRPr="003A309D" w:rsidRDefault="00392EAF" w:rsidP="00627688">
      <w:pPr>
        <w:spacing w:line="240" w:lineRule="auto"/>
        <w:rPr>
          <w:color w:val="0000FF"/>
          <w:szCs w:val="24"/>
        </w:rPr>
      </w:pPr>
      <w:hyperlink r:id="rId12" w:history="1">
        <w:r w:rsidRPr="003A309D">
          <w:rPr>
            <w:rStyle w:val="Hyperlink"/>
            <w:color w:val="0000FF"/>
            <w:szCs w:val="24"/>
          </w:rPr>
          <w:t>https://www.mass.gov/lists/infectious-disease-data-reports-and-requests</w:t>
        </w:r>
      </w:hyperlink>
      <w:r w:rsidRPr="003A309D">
        <w:rPr>
          <w:color w:val="0000FF"/>
          <w:szCs w:val="24"/>
        </w:rPr>
        <w:t xml:space="preserve"> </w:t>
      </w:r>
    </w:p>
    <w:p w14:paraId="4CA17F53" w14:textId="77777777" w:rsidR="00E42D9B" w:rsidRPr="003A309D" w:rsidRDefault="00E42D9B" w:rsidP="00C2658D">
      <w:pPr>
        <w:spacing w:after="0" w:line="240" w:lineRule="auto"/>
        <w:rPr>
          <w:b/>
          <w:bCs/>
        </w:rPr>
      </w:pPr>
      <w:r w:rsidRPr="003A309D">
        <w:rPr>
          <w:b/>
          <w:bCs/>
        </w:rPr>
        <w:t xml:space="preserve">HIV Data Dashboard  </w:t>
      </w:r>
    </w:p>
    <w:p w14:paraId="6A9E69D8" w14:textId="77777777" w:rsidR="00E42D9B" w:rsidRPr="003A309D" w:rsidRDefault="00E42D9B" w:rsidP="00E42D9B">
      <w:pPr>
        <w:spacing w:line="240" w:lineRule="auto"/>
        <w:rPr>
          <w:color w:val="0000FF"/>
        </w:rPr>
      </w:pPr>
      <w:r w:rsidRPr="003A309D">
        <w:rPr>
          <w:color w:val="0000FF"/>
          <w:u w:val="single"/>
        </w:rPr>
        <w:t xml:space="preserve">https://www.mass.gov/info-details/hiv-data-dashboard  </w:t>
      </w:r>
    </w:p>
    <w:p w14:paraId="06723319" w14:textId="72288483" w:rsidR="00392EAF" w:rsidRPr="003A309D" w:rsidRDefault="00392EAF" w:rsidP="00C2658D">
      <w:pPr>
        <w:spacing w:after="0" w:line="240" w:lineRule="auto"/>
      </w:pPr>
      <w:r w:rsidRPr="003A309D">
        <w:rPr>
          <w:b/>
          <w:bCs/>
        </w:rPr>
        <w:t>Slide sets for HIV Epidemiologic Profile Reports</w:t>
      </w:r>
    </w:p>
    <w:p w14:paraId="661F0445" w14:textId="77777777" w:rsidR="00392EAF" w:rsidRPr="003A309D" w:rsidRDefault="00392EAF" w:rsidP="00627688">
      <w:pPr>
        <w:spacing w:line="240" w:lineRule="auto"/>
        <w:rPr>
          <w:color w:val="0000FF"/>
          <w:szCs w:val="24"/>
        </w:rPr>
      </w:pPr>
      <w:hyperlink r:id="rId13" w:history="1">
        <w:r w:rsidRPr="003A309D">
          <w:rPr>
            <w:rStyle w:val="Hyperlink"/>
            <w:color w:val="0000FF"/>
            <w:szCs w:val="24"/>
          </w:rPr>
          <w:t>https://www.mass.gov/lists/hivaids-epidemiologic-profiles</w:t>
        </w:r>
      </w:hyperlink>
    </w:p>
    <w:p w14:paraId="14755404" w14:textId="77777777" w:rsidR="00996F3A" w:rsidRPr="009B2711" w:rsidRDefault="00996F3A" w:rsidP="00627688">
      <w:pPr>
        <w:spacing w:line="240" w:lineRule="auto"/>
        <w:rPr>
          <w:color w:val="FF0000"/>
          <w:szCs w:val="24"/>
        </w:rPr>
        <w:sectPr w:rsidR="00996F3A" w:rsidRPr="009B2711" w:rsidSect="00D719CA">
          <w:headerReference w:type="default" r:id="rId14"/>
          <w:footerReference w:type="default" r:id="rId15"/>
          <w:footerReference w:type="first" r:id="rId16"/>
          <w:pgSz w:w="12240" w:h="15840"/>
          <w:pgMar w:top="1440" w:right="1440" w:bottom="1440" w:left="1440" w:header="720" w:footer="720" w:gutter="0"/>
          <w:cols w:space="720"/>
          <w:titlePg/>
          <w:docGrid w:linePitch="360"/>
        </w:sectPr>
      </w:pPr>
    </w:p>
    <w:p w14:paraId="71476853" w14:textId="073441C7" w:rsidR="00996F3A" w:rsidRPr="009B2711" w:rsidRDefault="00996F3A" w:rsidP="00627688">
      <w:pPr>
        <w:spacing w:line="240" w:lineRule="auto"/>
        <w:rPr>
          <w:color w:val="FF0000"/>
          <w:szCs w:val="24"/>
        </w:rPr>
      </w:pPr>
    </w:p>
    <w:sdt>
      <w:sdtPr>
        <w:rPr>
          <w:rFonts w:asciiTheme="minorHAnsi" w:eastAsiaTheme="minorEastAsia" w:hAnsiTheme="minorHAnsi" w:cstheme="minorBidi"/>
          <w:b w:val="0"/>
          <w:color w:val="FF0000"/>
          <w:sz w:val="24"/>
          <w:szCs w:val="24"/>
          <w:shd w:val="clear" w:color="auto" w:fill="E6E6E6"/>
          <w14:textFill>
            <w14:solidFill>
              <w14:srgbClr w14:val="FF0000">
                <w14:lumMod w14:val="75000"/>
              </w14:srgbClr>
            </w14:solidFill>
          </w14:textFill>
        </w:rPr>
        <w:id w:val="759645941"/>
        <w:docPartObj>
          <w:docPartGallery w:val="Table of Contents"/>
          <w:docPartUnique/>
        </w:docPartObj>
      </w:sdtPr>
      <w:sdtEndPr>
        <w:rPr>
          <w:bCs/>
          <w:noProof/>
        </w:rPr>
      </w:sdtEndPr>
      <w:sdtContent>
        <w:p w14:paraId="6CF5F64D" w14:textId="693E5084" w:rsidR="00996F3A" w:rsidRPr="006757F0" w:rsidRDefault="00996F3A" w:rsidP="009661FA">
          <w:pPr>
            <w:pStyle w:val="TOCHeading"/>
            <w:rPr>
              <w:rStyle w:val="Heading1Char"/>
              <w:color w:val="000000"/>
              <w14:textFill>
                <w14:solidFill>
                  <w14:srgbClr w14:val="000000">
                    <w14:lumMod w14:val="75000"/>
                  </w14:srgbClr>
                </w14:solidFill>
              </w14:textFill>
            </w:rPr>
          </w:pPr>
          <w:r w:rsidRPr="006757F0">
            <w:rPr>
              <w:rStyle w:val="Heading1Char"/>
              <w:color w:val="000000"/>
              <w14:textFill>
                <w14:solidFill>
                  <w14:srgbClr w14:val="000000">
                    <w14:lumMod w14:val="75000"/>
                  </w14:srgbClr>
                </w14:solidFill>
              </w14:textFill>
            </w:rPr>
            <w:t>Contents</w:t>
          </w:r>
        </w:p>
        <w:p w14:paraId="74353ADE" w14:textId="31210C2C" w:rsidR="005829E4" w:rsidRPr="006757F0" w:rsidRDefault="00996F3A">
          <w:pPr>
            <w:pStyle w:val="TOC1"/>
            <w:tabs>
              <w:tab w:val="right" w:leader="dot" w:pos="9350"/>
            </w:tabs>
            <w:rPr>
              <w:rFonts w:eastAsiaTheme="minorEastAsia"/>
              <w:noProof/>
              <w:kern w:val="2"/>
              <w:szCs w:val="24"/>
              <w14:ligatures w14:val="standardContextual"/>
            </w:rPr>
          </w:pPr>
          <w:r w:rsidRPr="006757F0">
            <w:rPr>
              <w:shd w:val="clear" w:color="auto" w:fill="E6E6E6"/>
            </w:rPr>
            <w:fldChar w:fldCharType="begin"/>
          </w:r>
          <w:r w:rsidRPr="006757F0">
            <w:instrText xml:space="preserve"> TOC \o "1-3" \h \z \u </w:instrText>
          </w:r>
          <w:r w:rsidRPr="006757F0">
            <w:rPr>
              <w:shd w:val="clear" w:color="auto" w:fill="E6E6E6"/>
            </w:rPr>
            <w:fldChar w:fldCharType="separate"/>
          </w:r>
          <w:hyperlink w:anchor="_Toc168575088" w:history="1">
            <w:r w:rsidR="005829E4" w:rsidRPr="006757F0">
              <w:rPr>
                <w:rStyle w:val="Hyperlink"/>
                <w:b/>
                <w:bCs/>
                <w:noProof/>
                <w:color w:val="auto"/>
              </w:rPr>
              <w:t>LIST OF COMMONLY USED ACRONYMS</w:t>
            </w:r>
            <w:r w:rsidR="005829E4" w:rsidRPr="006757F0">
              <w:rPr>
                <w:noProof/>
                <w:webHidden/>
              </w:rPr>
              <w:tab/>
            </w:r>
            <w:r w:rsidR="005829E4" w:rsidRPr="006757F0">
              <w:rPr>
                <w:noProof/>
                <w:webHidden/>
              </w:rPr>
              <w:fldChar w:fldCharType="begin"/>
            </w:r>
            <w:r w:rsidR="005829E4" w:rsidRPr="006757F0">
              <w:rPr>
                <w:noProof/>
                <w:webHidden/>
              </w:rPr>
              <w:instrText xml:space="preserve"> PAGEREF _Toc168575088 \h </w:instrText>
            </w:r>
            <w:r w:rsidR="005829E4" w:rsidRPr="006757F0">
              <w:rPr>
                <w:noProof/>
                <w:webHidden/>
              </w:rPr>
            </w:r>
            <w:r w:rsidR="005829E4" w:rsidRPr="006757F0">
              <w:rPr>
                <w:noProof/>
                <w:webHidden/>
              </w:rPr>
              <w:fldChar w:fldCharType="separate"/>
            </w:r>
            <w:r w:rsidR="004874A3">
              <w:rPr>
                <w:noProof/>
                <w:webHidden/>
              </w:rPr>
              <w:t>3</w:t>
            </w:r>
            <w:r w:rsidR="005829E4" w:rsidRPr="006757F0">
              <w:rPr>
                <w:noProof/>
                <w:webHidden/>
              </w:rPr>
              <w:fldChar w:fldCharType="end"/>
            </w:r>
          </w:hyperlink>
        </w:p>
        <w:p w14:paraId="39205F8B" w14:textId="689C9CC2" w:rsidR="005829E4" w:rsidRPr="006757F0" w:rsidRDefault="005829E4">
          <w:pPr>
            <w:pStyle w:val="TOC1"/>
            <w:tabs>
              <w:tab w:val="right" w:leader="dot" w:pos="9350"/>
            </w:tabs>
            <w:rPr>
              <w:rFonts w:eastAsiaTheme="minorEastAsia"/>
              <w:noProof/>
              <w:kern w:val="2"/>
              <w:szCs w:val="24"/>
              <w14:ligatures w14:val="standardContextual"/>
            </w:rPr>
          </w:pPr>
          <w:hyperlink w:anchor="_Toc168575089" w:history="1">
            <w:r w:rsidRPr="006757F0">
              <w:rPr>
                <w:rStyle w:val="Hyperlink"/>
                <w:b/>
                <w:bCs/>
                <w:noProof/>
                <w:color w:val="auto"/>
              </w:rPr>
              <w:t>EXECUTIVE SUMMARY</w:t>
            </w:r>
            <w:r w:rsidRPr="006757F0">
              <w:rPr>
                <w:noProof/>
                <w:webHidden/>
              </w:rPr>
              <w:tab/>
            </w:r>
            <w:r w:rsidRPr="006757F0">
              <w:rPr>
                <w:noProof/>
                <w:webHidden/>
              </w:rPr>
              <w:fldChar w:fldCharType="begin"/>
            </w:r>
            <w:r w:rsidRPr="006757F0">
              <w:rPr>
                <w:noProof/>
                <w:webHidden/>
              </w:rPr>
              <w:instrText xml:space="preserve"> PAGEREF _Toc168575089 \h </w:instrText>
            </w:r>
            <w:r w:rsidRPr="006757F0">
              <w:rPr>
                <w:noProof/>
                <w:webHidden/>
              </w:rPr>
            </w:r>
            <w:r w:rsidRPr="006757F0">
              <w:rPr>
                <w:noProof/>
                <w:webHidden/>
              </w:rPr>
              <w:fldChar w:fldCharType="separate"/>
            </w:r>
            <w:r w:rsidR="004874A3">
              <w:rPr>
                <w:noProof/>
                <w:webHidden/>
              </w:rPr>
              <w:t>4</w:t>
            </w:r>
            <w:r w:rsidRPr="006757F0">
              <w:rPr>
                <w:noProof/>
                <w:webHidden/>
              </w:rPr>
              <w:fldChar w:fldCharType="end"/>
            </w:r>
          </w:hyperlink>
        </w:p>
        <w:p w14:paraId="29FE2BF1" w14:textId="6E745240" w:rsidR="005829E4" w:rsidRPr="006757F0" w:rsidRDefault="005829E4">
          <w:pPr>
            <w:pStyle w:val="TOC1"/>
            <w:tabs>
              <w:tab w:val="right" w:leader="dot" w:pos="9350"/>
            </w:tabs>
            <w:rPr>
              <w:rFonts w:eastAsiaTheme="minorEastAsia"/>
              <w:noProof/>
              <w:kern w:val="2"/>
              <w:szCs w:val="24"/>
              <w14:ligatures w14:val="standardContextual"/>
            </w:rPr>
          </w:pPr>
          <w:hyperlink w:anchor="_Toc168575090" w:history="1">
            <w:r w:rsidRPr="006757F0">
              <w:rPr>
                <w:rStyle w:val="Hyperlink"/>
                <w:b/>
                <w:bCs/>
                <w:noProof/>
                <w:color w:val="auto"/>
              </w:rPr>
              <w:t>EPIDEMIC AT A GLANCE</w:t>
            </w:r>
            <w:r w:rsidRPr="006757F0">
              <w:rPr>
                <w:noProof/>
                <w:webHidden/>
              </w:rPr>
              <w:tab/>
            </w:r>
            <w:r w:rsidRPr="006757F0">
              <w:rPr>
                <w:noProof/>
                <w:webHidden/>
              </w:rPr>
              <w:fldChar w:fldCharType="begin"/>
            </w:r>
            <w:r w:rsidRPr="006757F0">
              <w:rPr>
                <w:noProof/>
                <w:webHidden/>
              </w:rPr>
              <w:instrText xml:space="preserve"> PAGEREF _Toc168575090 \h </w:instrText>
            </w:r>
            <w:r w:rsidRPr="006757F0">
              <w:rPr>
                <w:noProof/>
                <w:webHidden/>
              </w:rPr>
            </w:r>
            <w:r w:rsidRPr="006757F0">
              <w:rPr>
                <w:noProof/>
                <w:webHidden/>
              </w:rPr>
              <w:fldChar w:fldCharType="separate"/>
            </w:r>
            <w:r w:rsidR="004874A3">
              <w:rPr>
                <w:noProof/>
                <w:webHidden/>
              </w:rPr>
              <w:t>9</w:t>
            </w:r>
            <w:r w:rsidRPr="006757F0">
              <w:rPr>
                <w:noProof/>
                <w:webHidden/>
              </w:rPr>
              <w:fldChar w:fldCharType="end"/>
            </w:r>
          </w:hyperlink>
        </w:p>
        <w:p w14:paraId="16E88B3A" w14:textId="24766E00" w:rsidR="005829E4" w:rsidRPr="006757F0" w:rsidRDefault="005829E4">
          <w:pPr>
            <w:pStyle w:val="TOC1"/>
            <w:tabs>
              <w:tab w:val="right" w:leader="dot" w:pos="9350"/>
            </w:tabs>
            <w:rPr>
              <w:rFonts w:eastAsiaTheme="minorEastAsia"/>
              <w:noProof/>
              <w:kern w:val="2"/>
              <w:szCs w:val="24"/>
              <w14:ligatures w14:val="standardContextual"/>
            </w:rPr>
          </w:pPr>
          <w:hyperlink w:anchor="_Toc168575091" w:history="1">
            <w:r w:rsidRPr="006757F0">
              <w:rPr>
                <w:rStyle w:val="Hyperlink"/>
                <w:b/>
                <w:bCs/>
                <w:noProof/>
                <w:color w:val="auto"/>
              </w:rPr>
              <w:t>TRENDS IN HIV INFECTION DIAGNOSES OVER TIME</w:t>
            </w:r>
            <w:r w:rsidRPr="006757F0">
              <w:rPr>
                <w:noProof/>
                <w:webHidden/>
              </w:rPr>
              <w:tab/>
            </w:r>
            <w:r w:rsidRPr="006757F0">
              <w:rPr>
                <w:noProof/>
                <w:webHidden/>
              </w:rPr>
              <w:fldChar w:fldCharType="begin"/>
            </w:r>
            <w:r w:rsidRPr="006757F0">
              <w:rPr>
                <w:noProof/>
                <w:webHidden/>
              </w:rPr>
              <w:instrText xml:space="preserve"> PAGEREF _Toc168575091 \h </w:instrText>
            </w:r>
            <w:r w:rsidRPr="006757F0">
              <w:rPr>
                <w:noProof/>
                <w:webHidden/>
              </w:rPr>
            </w:r>
            <w:r w:rsidRPr="006757F0">
              <w:rPr>
                <w:noProof/>
                <w:webHidden/>
              </w:rPr>
              <w:fldChar w:fldCharType="separate"/>
            </w:r>
            <w:r w:rsidR="004874A3">
              <w:rPr>
                <w:noProof/>
                <w:webHidden/>
              </w:rPr>
              <w:t>11</w:t>
            </w:r>
            <w:r w:rsidRPr="006757F0">
              <w:rPr>
                <w:noProof/>
                <w:webHidden/>
              </w:rPr>
              <w:fldChar w:fldCharType="end"/>
            </w:r>
          </w:hyperlink>
        </w:p>
        <w:p w14:paraId="7231FF44" w14:textId="5A833DF8" w:rsidR="005829E4" w:rsidRPr="006757F0" w:rsidRDefault="005829E4">
          <w:pPr>
            <w:pStyle w:val="TOC1"/>
            <w:tabs>
              <w:tab w:val="right" w:leader="dot" w:pos="9350"/>
            </w:tabs>
            <w:rPr>
              <w:rFonts w:eastAsiaTheme="minorEastAsia"/>
              <w:noProof/>
              <w:kern w:val="2"/>
              <w:szCs w:val="24"/>
              <w14:ligatures w14:val="standardContextual"/>
            </w:rPr>
          </w:pPr>
          <w:hyperlink w:anchor="_Toc168575092" w:history="1">
            <w:r w:rsidRPr="006757F0">
              <w:rPr>
                <w:rStyle w:val="Hyperlink"/>
                <w:b/>
                <w:bCs/>
                <w:noProof/>
                <w:color w:val="auto"/>
              </w:rPr>
              <w:t>RECENT HIV INFECTION DIAGNOSES</w:t>
            </w:r>
            <w:r w:rsidRPr="006757F0">
              <w:rPr>
                <w:noProof/>
                <w:webHidden/>
              </w:rPr>
              <w:tab/>
            </w:r>
            <w:r w:rsidRPr="006757F0">
              <w:rPr>
                <w:noProof/>
                <w:webHidden/>
              </w:rPr>
              <w:fldChar w:fldCharType="begin"/>
            </w:r>
            <w:r w:rsidRPr="006757F0">
              <w:rPr>
                <w:noProof/>
                <w:webHidden/>
              </w:rPr>
              <w:instrText xml:space="preserve"> PAGEREF _Toc168575092 \h </w:instrText>
            </w:r>
            <w:r w:rsidRPr="006757F0">
              <w:rPr>
                <w:noProof/>
                <w:webHidden/>
              </w:rPr>
            </w:r>
            <w:r w:rsidRPr="006757F0">
              <w:rPr>
                <w:noProof/>
                <w:webHidden/>
              </w:rPr>
              <w:fldChar w:fldCharType="separate"/>
            </w:r>
            <w:r w:rsidR="004874A3">
              <w:rPr>
                <w:noProof/>
                <w:webHidden/>
              </w:rPr>
              <w:t>16</w:t>
            </w:r>
            <w:r w:rsidRPr="006757F0">
              <w:rPr>
                <w:noProof/>
                <w:webHidden/>
              </w:rPr>
              <w:fldChar w:fldCharType="end"/>
            </w:r>
          </w:hyperlink>
        </w:p>
        <w:p w14:paraId="031AD3AF" w14:textId="26815A47" w:rsidR="005829E4" w:rsidRPr="006757F0" w:rsidRDefault="005829E4">
          <w:pPr>
            <w:pStyle w:val="TOC1"/>
            <w:tabs>
              <w:tab w:val="right" w:leader="dot" w:pos="9350"/>
            </w:tabs>
            <w:rPr>
              <w:rFonts w:eastAsiaTheme="minorEastAsia"/>
              <w:noProof/>
              <w:kern w:val="2"/>
              <w:szCs w:val="24"/>
              <w14:ligatures w14:val="standardContextual"/>
            </w:rPr>
          </w:pPr>
          <w:hyperlink w:anchor="_Toc168575093" w:history="1">
            <w:r w:rsidRPr="006757F0">
              <w:rPr>
                <w:rStyle w:val="Hyperlink"/>
                <w:b/>
                <w:bCs/>
                <w:noProof/>
                <w:color w:val="auto"/>
              </w:rPr>
              <w:t>PERSONS LIVING WITH HIV INFECTION</w:t>
            </w:r>
            <w:r w:rsidRPr="006757F0">
              <w:rPr>
                <w:noProof/>
                <w:webHidden/>
              </w:rPr>
              <w:tab/>
            </w:r>
            <w:r w:rsidRPr="006757F0">
              <w:rPr>
                <w:noProof/>
                <w:webHidden/>
              </w:rPr>
              <w:fldChar w:fldCharType="begin"/>
            </w:r>
            <w:r w:rsidRPr="006757F0">
              <w:rPr>
                <w:noProof/>
                <w:webHidden/>
              </w:rPr>
              <w:instrText xml:space="preserve"> PAGEREF _Toc168575093 \h </w:instrText>
            </w:r>
            <w:r w:rsidRPr="006757F0">
              <w:rPr>
                <w:noProof/>
                <w:webHidden/>
              </w:rPr>
            </w:r>
            <w:r w:rsidRPr="006757F0">
              <w:rPr>
                <w:noProof/>
                <w:webHidden/>
              </w:rPr>
              <w:fldChar w:fldCharType="separate"/>
            </w:r>
            <w:r w:rsidR="004874A3">
              <w:rPr>
                <w:noProof/>
                <w:webHidden/>
              </w:rPr>
              <w:t>22</w:t>
            </w:r>
            <w:r w:rsidRPr="006757F0">
              <w:rPr>
                <w:noProof/>
                <w:webHidden/>
              </w:rPr>
              <w:fldChar w:fldCharType="end"/>
            </w:r>
          </w:hyperlink>
        </w:p>
        <w:p w14:paraId="37379D58" w14:textId="31823B63" w:rsidR="005829E4" w:rsidRPr="006757F0" w:rsidRDefault="005829E4">
          <w:pPr>
            <w:pStyle w:val="TOC1"/>
            <w:tabs>
              <w:tab w:val="right" w:leader="dot" w:pos="9350"/>
            </w:tabs>
            <w:rPr>
              <w:rFonts w:eastAsiaTheme="minorEastAsia"/>
              <w:noProof/>
              <w:kern w:val="2"/>
              <w:szCs w:val="24"/>
              <w14:ligatures w14:val="standardContextual"/>
            </w:rPr>
          </w:pPr>
          <w:hyperlink w:anchor="_Toc168575094" w:history="1">
            <w:r w:rsidRPr="006757F0">
              <w:rPr>
                <w:rStyle w:val="Hyperlink"/>
                <w:b/>
                <w:bCs/>
                <w:noProof/>
                <w:color w:val="auto"/>
              </w:rPr>
              <w:t>MORTALITY</w:t>
            </w:r>
            <w:r w:rsidRPr="006757F0">
              <w:rPr>
                <w:rStyle w:val="Hyperlink"/>
                <w:noProof/>
                <w:color w:val="auto"/>
              </w:rPr>
              <w:t xml:space="preserve"> </w:t>
            </w:r>
            <w:r w:rsidRPr="006757F0">
              <w:rPr>
                <w:rStyle w:val="Hyperlink"/>
                <w:b/>
                <w:bCs/>
                <w:noProof/>
                <w:color w:val="auto"/>
              </w:rPr>
              <w:t>AMONG INDIVIDUALS WITH HIV</w:t>
            </w:r>
            <w:r w:rsidRPr="006757F0">
              <w:rPr>
                <w:noProof/>
                <w:webHidden/>
              </w:rPr>
              <w:tab/>
            </w:r>
            <w:r w:rsidRPr="006757F0">
              <w:rPr>
                <w:noProof/>
                <w:webHidden/>
              </w:rPr>
              <w:fldChar w:fldCharType="begin"/>
            </w:r>
            <w:r w:rsidRPr="006757F0">
              <w:rPr>
                <w:noProof/>
                <w:webHidden/>
              </w:rPr>
              <w:instrText xml:space="preserve"> PAGEREF _Toc168575094 \h </w:instrText>
            </w:r>
            <w:r w:rsidRPr="006757F0">
              <w:rPr>
                <w:noProof/>
                <w:webHidden/>
              </w:rPr>
            </w:r>
            <w:r w:rsidRPr="006757F0">
              <w:rPr>
                <w:noProof/>
                <w:webHidden/>
              </w:rPr>
              <w:fldChar w:fldCharType="separate"/>
            </w:r>
            <w:r w:rsidR="004874A3">
              <w:rPr>
                <w:noProof/>
                <w:webHidden/>
              </w:rPr>
              <w:t>27</w:t>
            </w:r>
            <w:r w:rsidRPr="006757F0">
              <w:rPr>
                <w:noProof/>
                <w:webHidden/>
              </w:rPr>
              <w:fldChar w:fldCharType="end"/>
            </w:r>
          </w:hyperlink>
        </w:p>
        <w:p w14:paraId="6B9BF85C" w14:textId="136F3AD3" w:rsidR="005829E4" w:rsidRPr="006757F0" w:rsidRDefault="005829E4">
          <w:pPr>
            <w:pStyle w:val="TOC1"/>
            <w:tabs>
              <w:tab w:val="right" w:leader="dot" w:pos="9350"/>
            </w:tabs>
            <w:rPr>
              <w:rFonts w:eastAsiaTheme="minorEastAsia"/>
              <w:noProof/>
              <w:kern w:val="2"/>
              <w:szCs w:val="24"/>
              <w14:ligatures w14:val="standardContextual"/>
            </w:rPr>
          </w:pPr>
          <w:hyperlink w:anchor="_Toc168575095" w:history="1">
            <w:r w:rsidRPr="006757F0">
              <w:rPr>
                <w:rStyle w:val="Hyperlink"/>
                <w:b/>
                <w:bCs/>
                <w:noProof/>
                <w:color w:val="auto"/>
              </w:rPr>
              <w:t>GEOGRAPHIC DISTRIBUTION OF HIV INFECTION</w:t>
            </w:r>
            <w:r w:rsidRPr="006757F0">
              <w:rPr>
                <w:noProof/>
                <w:webHidden/>
              </w:rPr>
              <w:tab/>
            </w:r>
            <w:r w:rsidRPr="006757F0">
              <w:rPr>
                <w:noProof/>
                <w:webHidden/>
              </w:rPr>
              <w:fldChar w:fldCharType="begin"/>
            </w:r>
            <w:r w:rsidRPr="006757F0">
              <w:rPr>
                <w:noProof/>
                <w:webHidden/>
              </w:rPr>
              <w:instrText xml:space="preserve"> PAGEREF _Toc168575095 \h </w:instrText>
            </w:r>
            <w:r w:rsidRPr="006757F0">
              <w:rPr>
                <w:noProof/>
                <w:webHidden/>
              </w:rPr>
            </w:r>
            <w:r w:rsidRPr="006757F0">
              <w:rPr>
                <w:noProof/>
                <w:webHidden/>
              </w:rPr>
              <w:fldChar w:fldCharType="separate"/>
            </w:r>
            <w:r w:rsidR="004874A3">
              <w:rPr>
                <w:noProof/>
                <w:webHidden/>
              </w:rPr>
              <w:t>34</w:t>
            </w:r>
            <w:r w:rsidRPr="006757F0">
              <w:rPr>
                <w:noProof/>
                <w:webHidden/>
              </w:rPr>
              <w:fldChar w:fldCharType="end"/>
            </w:r>
          </w:hyperlink>
        </w:p>
        <w:p w14:paraId="5993C586" w14:textId="5CC2AC1D" w:rsidR="005829E4" w:rsidRPr="006757F0" w:rsidRDefault="005829E4">
          <w:pPr>
            <w:pStyle w:val="TOC1"/>
            <w:tabs>
              <w:tab w:val="right" w:leader="dot" w:pos="9350"/>
            </w:tabs>
            <w:rPr>
              <w:rFonts w:eastAsiaTheme="minorEastAsia"/>
              <w:noProof/>
              <w:kern w:val="2"/>
              <w:szCs w:val="24"/>
              <w14:ligatures w14:val="standardContextual"/>
            </w:rPr>
          </w:pPr>
          <w:hyperlink w:anchor="_Toc168575096" w:history="1">
            <w:r w:rsidRPr="006757F0">
              <w:rPr>
                <w:rStyle w:val="Hyperlink"/>
                <w:b/>
                <w:bCs/>
                <w:noProof/>
                <w:color w:val="auto"/>
              </w:rPr>
              <w:t>HIV CARE CONTINUUM</w:t>
            </w:r>
            <w:r w:rsidRPr="006757F0">
              <w:rPr>
                <w:noProof/>
                <w:webHidden/>
              </w:rPr>
              <w:tab/>
            </w:r>
            <w:r w:rsidRPr="006757F0">
              <w:rPr>
                <w:noProof/>
                <w:webHidden/>
              </w:rPr>
              <w:fldChar w:fldCharType="begin"/>
            </w:r>
            <w:r w:rsidRPr="006757F0">
              <w:rPr>
                <w:noProof/>
                <w:webHidden/>
              </w:rPr>
              <w:instrText xml:space="preserve"> PAGEREF _Toc168575096 \h </w:instrText>
            </w:r>
            <w:r w:rsidRPr="006757F0">
              <w:rPr>
                <w:noProof/>
                <w:webHidden/>
              </w:rPr>
            </w:r>
            <w:r w:rsidRPr="006757F0">
              <w:rPr>
                <w:noProof/>
                <w:webHidden/>
              </w:rPr>
              <w:fldChar w:fldCharType="separate"/>
            </w:r>
            <w:r w:rsidR="004874A3">
              <w:rPr>
                <w:noProof/>
                <w:webHidden/>
              </w:rPr>
              <w:t>39</w:t>
            </w:r>
            <w:r w:rsidRPr="006757F0">
              <w:rPr>
                <w:noProof/>
                <w:webHidden/>
              </w:rPr>
              <w:fldChar w:fldCharType="end"/>
            </w:r>
          </w:hyperlink>
        </w:p>
        <w:p w14:paraId="150D994C" w14:textId="134EC594" w:rsidR="005829E4" w:rsidRPr="006757F0" w:rsidRDefault="005829E4">
          <w:pPr>
            <w:pStyle w:val="TOC1"/>
            <w:tabs>
              <w:tab w:val="right" w:leader="dot" w:pos="9350"/>
            </w:tabs>
            <w:rPr>
              <w:rFonts w:eastAsiaTheme="minorEastAsia"/>
              <w:noProof/>
              <w:kern w:val="2"/>
              <w:szCs w:val="24"/>
              <w14:ligatures w14:val="standardContextual"/>
            </w:rPr>
          </w:pPr>
          <w:hyperlink w:anchor="_Toc168575097" w:history="1">
            <w:r w:rsidRPr="006757F0">
              <w:rPr>
                <w:rStyle w:val="Hyperlink"/>
                <w:b/>
                <w:bCs/>
                <w:noProof/>
                <w:color w:val="auto"/>
              </w:rPr>
              <w:t>SOCIAL VULNERABILITY INDEX</w:t>
            </w:r>
            <w:r w:rsidRPr="006757F0">
              <w:rPr>
                <w:noProof/>
                <w:webHidden/>
              </w:rPr>
              <w:tab/>
            </w:r>
            <w:r w:rsidRPr="006757F0">
              <w:rPr>
                <w:noProof/>
                <w:webHidden/>
              </w:rPr>
              <w:fldChar w:fldCharType="begin"/>
            </w:r>
            <w:r w:rsidRPr="006757F0">
              <w:rPr>
                <w:noProof/>
                <w:webHidden/>
              </w:rPr>
              <w:instrText xml:space="preserve"> PAGEREF _Toc168575097 \h </w:instrText>
            </w:r>
            <w:r w:rsidRPr="006757F0">
              <w:rPr>
                <w:noProof/>
                <w:webHidden/>
              </w:rPr>
            </w:r>
            <w:r w:rsidRPr="006757F0">
              <w:rPr>
                <w:noProof/>
                <w:webHidden/>
              </w:rPr>
              <w:fldChar w:fldCharType="separate"/>
            </w:r>
            <w:r w:rsidR="004874A3">
              <w:rPr>
                <w:noProof/>
                <w:webHidden/>
              </w:rPr>
              <w:t>44</w:t>
            </w:r>
            <w:r w:rsidRPr="006757F0">
              <w:rPr>
                <w:noProof/>
                <w:webHidden/>
              </w:rPr>
              <w:fldChar w:fldCharType="end"/>
            </w:r>
          </w:hyperlink>
        </w:p>
        <w:p w14:paraId="45BEB680" w14:textId="6A695049" w:rsidR="005829E4" w:rsidRPr="006757F0" w:rsidRDefault="005829E4">
          <w:pPr>
            <w:pStyle w:val="TOC1"/>
            <w:tabs>
              <w:tab w:val="right" w:leader="dot" w:pos="9350"/>
            </w:tabs>
            <w:rPr>
              <w:rFonts w:eastAsiaTheme="minorEastAsia"/>
              <w:noProof/>
              <w:kern w:val="2"/>
              <w:szCs w:val="24"/>
              <w14:ligatures w14:val="standardContextual"/>
            </w:rPr>
          </w:pPr>
          <w:hyperlink w:anchor="_Toc168575098" w:history="1">
            <w:r w:rsidRPr="006757F0">
              <w:rPr>
                <w:rStyle w:val="Hyperlink"/>
                <w:b/>
                <w:bCs/>
                <w:noProof/>
                <w:color w:val="auto"/>
              </w:rPr>
              <w:t>TECHNICAL NOTES</w:t>
            </w:r>
            <w:r w:rsidRPr="006757F0">
              <w:rPr>
                <w:noProof/>
                <w:webHidden/>
              </w:rPr>
              <w:tab/>
            </w:r>
            <w:r w:rsidRPr="006757F0">
              <w:rPr>
                <w:noProof/>
                <w:webHidden/>
              </w:rPr>
              <w:fldChar w:fldCharType="begin"/>
            </w:r>
            <w:r w:rsidRPr="006757F0">
              <w:rPr>
                <w:noProof/>
                <w:webHidden/>
              </w:rPr>
              <w:instrText xml:space="preserve"> PAGEREF _Toc168575098 \h </w:instrText>
            </w:r>
            <w:r w:rsidRPr="006757F0">
              <w:rPr>
                <w:noProof/>
                <w:webHidden/>
              </w:rPr>
            </w:r>
            <w:r w:rsidRPr="006757F0">
              <w:rPr>
                <w:noProof/>
                <w:webHidden/>
              </w:rPr>
              <w:fldChar w:fldCharType="separate"/>
            </w:r>
            <w:r w:rsidR="004874A3">
              <w:rPr>
                <w:noProof/>
                <w:webHidden/>
              </w:rPr>
              <w:t>45</w:t>
            </w:r>
            <w:r w:rsidRPr="006757F0">
              <w:rPr>
                <w:noProof/>
                <w:webHidden/>
              </w:rPr>
              <w:fldChar w:fldCharType="end"/>
            </w:r>
          </w:hyperlink>
        </w:p>
        <w:p w14:paraId="32F6D7EB" w14:textId="406C27B0" w:rsidR="00996F3A" w:rsidRPr="009B2711" w:rsidRDefault="00996F3A" w:rsidP="00627688">
          <w:pPr>
            <w:spacing w:line="240" w:lineRule="auto"/>
            <w:rPr>
              <w:color w:val="FF0000"/>
            </w:rPr>
          </w:pPr>
          <w:r w:rsidRPr="006757F0">
            <w:rPr>
              <w:b/>
              <w:bCs/>
              <w:noProof/>
              <w:shd w:val="clear" w:color="auto" w:fill="E6E6E6"/>
            </w:rPr>
            <w:fldChar w:fldCharType="end"/>
          </w:r>
        </w:p>
      </w:sdtContent>
    </w:sdt>
    <w:p w14:paraId="537C448B" w14:textId="34F23B41" w:rsidR="00996F3A" w:rsidRPr="009B2711" w:rsidRDefault="00996F3A" w:rsidP="00627688">
      <w:pPr>
        <w:spacing w:line="240" w:lineRule="auto"/>
        <w:rPr>
          <w:color w:val="FF0000"/>
          <w:szCs w:val="24"/>
        </w:rPr>
      </w:pPr>
      <w:r w:rsidRPr="009B2711">
        <w:rPr>
          <w:color w:val="FF0000"/>
          <w:szCs w:val="24"/>
        </w:rPr>
        <w:br w:type="page"/>
      </w:r>
    </w:p>
    <w:p w14:paraId="4EE4CA10" w14:textId="77777777" w:rsidR="00996F3A" w:rsidRPr="009E7761" w:rsidRDefault="00996F3A" w:rsidP="009661FA">
      <w:pPr>
        <w:pStyle w:val="Heading1"/>
      </w:pPr>
      <w:bookmarkStart w:id="0" w:name="_Toc168575088"/>
      <w:r w:rsidRPr="009E7761">
        <w:lastRenderedPageBreak/>
        <w:t>LIST OF COMMONLY USED ACRONYMS</w:t>
      </w:r>
      <w:bookmarkEnd w:id="0"/>
    </w:p>
    <w:p w14:paraId="4BD7F72B" w14:textId="70274E5F" w:rsidR="005873E9" w:rsidRPr="006757F0" w:rsidRDefault="005873E9" w:rsidP="00627688">
      <w:pPr>
        <w:spacing w:line="240" w:lineRule="auto"/>
      </w:pPr>
    </w:p>
    <w:tbl>
      <w:tblPr>
        <w:tblStyle w:val="TableGrid"/>
        <w:tblW w:w="8440" w:type="dxa"/>
        <w:tblLook w:val="04A0" w:firstRow="1" w:lastRow="0" w:firstColumn="1" w:lastColumn="0" w:noHBand="0" w:noVBand="1"/>
      </w:tblPr>
      <w:tblGrid>
        <w:gridCol w:w="1920"/>
        <w:gridCol w:w="6520"/>
      </w:tblGrid>
      <w:tr w:rsidR="006757F0" w:rsidRPr="006757F0" w14:paraId="10AAA877" w14:textId="77777777" w:rsidTr="11AD1994">
        <w:trPr>
          <w:trHeight w:val="542"/>
        </w:trPr>
        <w:tc>
          <w:tcPr>
            <w:tcW w:w="1920" w:type="dxa"/>
            <w:hideMark/>
          </w:tcPr>
          <w:p w14:paraId="57EA617C" w14:textId="77777777" w:rsidR="000D0CCE" w:rsidRPr="006757F0" w:rsidRDefault="000D0CCE" w:rsidP="00627688">
            <w:r w:rsidRPr="006757F0">
              <w:rPr>
                <w:b/>
                <w:bCs/>
              </w:rPr>
              <w:t>AFAB</w:t>
            </w:r>
          </w:p>
        </w:tc>
        <w:tc>
          <w:tcPr>
            <w:tcW w:w="6520" w:type="dxa"/>
            <w:hideMark/>
          </w:tcPr>
          <w:p w14:paraId="55AAB33A" w14:textId="77777777" w:rsidR="000D0CCE" w:rsidRPr="006757F0" w:rsidRDefault="000D0CCE" w:rsidP="00627688">
            <w:r w:rsidRPr="006757F0">
              <w:t>Assigned Female at Birth</w:t>
            </w:r>
          </w:p>
        </w:tc>
      </w:tr>
      <w:tr w:rsidR="006757F0" w:rsidRPr="006757F0" w14:paraId="7B456A55" w14:textId="77777777" w:rsidTr="11AD1994">
        <w:trPr>
          <w:trHeight w:val="542"/>
        </w:trPr>
        <w:tc>
          <w:tcPr>
            <w:tcW w:w="1920" w:type="dxa"/>
            <w:hideMark/>
          </w:tcPr>
          <w:p w14:paraId="7E0DA263" w14:textId="77777777" w:rsidR="000D0CCE" w:rsidRPr="006757F0" w:rsidRDefault="000D0CCE" w:rsidP="00627688">
            <w:r w:rsidRPr="006757F0">
              <w:rPr>
                <w:b/>
                <w:bCs/>
              </w:rPr>
              <w:t>AI/AN</w:t>
            </w:r>
          </w:p>
        </w:tc>
        <w:tc>
          <w:tcPr>
            <w:tcW w:w="6520" w:type="dxa"/>
            <w:hideMark/>
          </w:tcPr>
          <w:p w14:paraId="6C1BA2E7" w14:textId="77777777" w:rsidR="000D0CCE" w:rsidRPr="006757F0" w:rsidRDefault="000D0CCE" w:rsidP="00627688">
            <w:r w:rsidRPr="006757F0">
              <w:t>American Indian/Alaska Native</w:t>
            </w:r>
          </w:p>
        </w:tc>
      </w:tr>
      <w:tr w:rsidR="006757F0" w:rsidRPr="006757F0" w14:paraId="095D70A9" w14:textId="77777777" w:rsidTr="11AD1994">
        <w:trPr>
          <w:trHeight w:val="542"/>
        </w:trPr>
        <w:tc>
          <w:tcPr>
            <w:tcW w:w="1920" w:type="dxa"/>
            <w:hideMark/>
          </w:tcPr>
          <w:p w14:paraId="310D26CE" w14:textId="77777777" w:rsidR="000D0CCE" w:rsidRPr="006757F0" w:rsidRDefault="000D0CCE" w:rsidP="00627688">
            <w:r w:rsidRPr="006757F0">
              <w:rPr>
                <w:b/>
                <w:bCs/>
              </w:rPr>
              <w:t>AIDS</w:t>
            </w:r>
          </w:p>
        </w:tc>
        <w:tc>
          <w:tcPr>
            <w:tcW w:w="6520" w:type="dxa"/>
            <w:hideMark/>
          </w:tcPr>
          <w:p w14:paraId="60968447" w14:textId="77777777" w:rsidR="000D0CCE" w:rsidRPr="006757F0" w:rsidRDefault="000D0CCE" w:rsidP="00627688">
            <w:r w:rsidRPr="006757F0">
              <w:t>Acquired Immunodeficiency Syndrome</w:t>
            </w:r>
          </w:p>
        </w:tc>
      </w:tr>
      <w:tr w:rsidR="006757F0" w:rsidRPr="006757F0" w14:paraId="1B6CF121" w14:textId="77777777" w:rsidTr="11AD1994">
        <w:trPr>
          <w:trHeight w:val="542"/>
        </w:trPr>
        <w:tc>
          <w:tcPr>
            <w:tcW w:w="1920" w:type="dxa"/>
            <w:hideMark/>
          </w:tcPr>
          <w:p w14:paraId="60B7C734" w14:textId="77777777" w:rsidR="000D0CCE" w:rsidRPr="006757F0" w:rsidRDefault="000D0CCE" w:rsidP="00627688">
            <w:r w:rsidRPr="006757F0">
              <w:rPr>
                <w:b/>
                <w:bCs/>
              </w:rPr>
              <w:t>AMAB</w:t>
            </w:r>
          </w:p>
        </w:tc>
        <w:tc>
          <w:tcPr>
            <w:tcW w:w="6520" w:type="dxa"/>
            <w:hideMark/>
          </w:tcPr>
          <w:p w14:paraId="0561FE7F" w14:textId="77777777" w:rsidR="000D0CCE" w:rsidRPr="006757F0" w:rsidRDefault="000D0CCE" w:rsidP="00627688">
            <w:r w:rsidRPr="006757F0">
              <w:t>Assigned Male at Birth</w:t>
            </w:r>
          </w:p>
        </w:tc>
      </w:tr>
      <w:tr w:rsidR="006757F0" w:rsidRPr="006757F0" w14:paraId="6362FF0E" w14:textId="77777777" w:rsidTr="11AD1994">
        <w:trPr>
          <w:trHeight w:val="542"/>
        </w:trPr>
        <w:tc>
          <w:tcPr>
            <w:tcW w:w="1920" w:type="dxa"/>
            <w:hideMark/>
          </w:tcPr>
          <w:p w14:paraId="3D6B5229" w14:textId="77777777" w:rsidR="000D0CCE" w:rsidRPr="006757F0" w:rsidRDefault="000D0CCE" w:rsidP="00627688">
            <w:r w:rsidRPr="006757F0">
              <w:rPr>
                <w:b/>
                <w:bCs/>
              </w:rPr>
              <w:t>API</w:t>
            </w:r>
          </w:p>
        </w:tc>
        <w:tc>
          <w:tcPr>
            <w:tcW w:w="6520" w:type="dxa"/>
            <w:hideMark/>
          </w:tcPr>
          <w:p w14:paraId="593BBA32" w14:textId="77777777" w:rsidR="000D0CCE" w:rsidRPr="006757F0" w:rsidRDefault="000D0CCE" w:rsidP="00627688">
            <w:r w:rsidRPr="006757F0">
              <w:t>Asian/Pacific Islander</w:t>
            </w:r>
          </w:p>
        </w:tc>
      </w:tr>
      <w:tr w:rsidR="006757F0" w:rsidRPr="006757F0" w14:paraId="17839E9A" w14:textId="77777777" w:rsidTr="11AD1994">
        <w:trPr>
          <w:trHeight w:val="542"/>
        </w:trPr>
        <w:tc>
          <w:tcPr>
            <w:tcW w:w="1920" w:type="dxa"/>
            <w:hideMark/>
          </w:tcPr>
          <w:p w14:paraId="67DFB5B1" w14:textId="77777777" w:rsidR="000D0CCE" w:rsidRPr="006757F0" w:rsidRDefault="000D0CCE" w:rsidP="00627688">
            <w:r w:rsidRPr="006757F0">
              <w:rPr>
                <w:b/>
                <w:bCs/>
              </w:rPr>
              <w:t>BIDLS</w:t>
            </w:r>
          </w:p>
        </w:tc>
        <w:tc>
          <w:tcPr>
            <w:tcW w:w="6520" w:type="dxa"/>
            <w:hideMark/>
          </w:tcPr>
          <w:p w14:paraId="0C4A3FF0" w14:textId="77777777" w:rsidR="000D0CCE" w:rsidRPr="006757F0" w:rsidRDefault="000D0CCE" w:rsidP="00627688">
            <w:r w:rsidRPr="006757F0">
              <w:t>Bureau of Infectious Disease and Laboratory Sciences</w:t>
            </w:r>
          </w:p>
        </w:tc>
      </w:tr>
      <w:tr w:rsidR="006757F0" w:rsidRPr="006757F0" w14:paraId="540CB319" w14:textId="77777777" w:rsidTr="11AD1994">
        <w:trPr>
          <w:trHeight w:val="542"/>
        </w:trPr>
        <w:tc>
          <w:tcPr>
            <w:tcW w:w="1920" w:type="dxa"/>
            <w:hideMark/>
          </w:tcPr>
          <w:p w14:paraId="6C7A4F73" w14:textId="6D5ACA59" w:rsidR="11AD1994" w:rsidRPr="006757F0" w:rsidRDefault="11AD1994">
            <w:r w:rsidRPr="006757F0">
              <w:rPr>
                <w:b/>
                <w:bCs/>
              </w:rPr>
              <w:t>DPH</w:t>
            </w:r>
          </w:p>
        </w:tc>
        <w:tc>
          <w:tcPr>
            <w:tcW w:w="6520" w:type="dxa"/>
            <w:hideMark/>
          </w:tcPr>
          <w:p w14:paraId="72463BC5" w14:textId="74271DBA" w:rsidR="431C031A" w:rsidRPr="006757F0" w:rsidRDefault="431C031A">
            <w:r w:rsidRPr="006757F0">
              <w:t>(</w:t>
            </w:r>
            <w:r w:rsidR="11AD1994" w:rsidRPr="006757F0">
              <w:t>Massachusetts</w:t>
            </w:r>
            <w:r w:rsidR="2EFC4E98" w:rsidRPr="006757F0">
              <w:t>)</w:t>
            </w:r>
            <w:r w:rsidR="11AD1994" w:rsidRPr="006757F0">
              <w:t xml:space="preserve"> Department of Public Health</w:t>
            </w:r>
          </w:p>
        </w:tc>
      </w:tr>
      <w:tr w:rsidR="006757F0" w:rsidRPr="006757F0" w14:paraId="36E89DBF" w14:textId="77777777" w:rsidTr="11AD1994">
        <w:trPr>
          <w:trHeight w:val="542"/>
        </w:trPr>
        <w:tc>
          <w:tcPr>
            <w:tcW w:w="1920" w:type="dxa"/>
            <w:hideMark/>
          </w:tcPr>
          <w:p w14:paraId="2F682734" w14:textId="77777777" w:rsidR="000D0CCE" w:rsidRPr="006757F0" w:rsidRDefault="000D0CCE" w:rsidP="00627688">
            <w:r w:rsidRPr="006757F0">
              <w:rPr>
                <w:b/>
                <w:bCs/>
              </w:rPr>
              <w:t xml:space="preserve">HIV </w:t>
            </w:r>
          </w:p>
        </w:tc>
        <w:tc>
          <w:tcPr>
            <w:tcW w:w="6520" w:type="dxa"/>
            <w:hideMark/>
          </w:tcPr>
          <w:p w14:paraId="49B4C4A4" w14:textId="77777777" w:rsidR="000D0CCE" w:rsidRPr="006757F0" w:rsidRDefault="000D0CCE" w:rsidP="00627688">
            <w:r w:rsidRPr="006757F0">
              <w:t>Human Immunodeficiency Virus</w:t>
            </w:r>
          </w:p>
        </w:tc>
      </w:tr>
      <w:tr w:rsidR="006757F0" w:rsidRPr="006757F0" w14:paraId="1469A0C2" w14:textId="77777777" w:rsidTr="11AD1994">
        <w:trPr>
          <w:trHeight w:val="542"/>
        </w:trPr>
        <w:tc>
          <w:tcPr>
            <w:tcW w:w="1920" w:type="dxa"/>
            <w:hideMark/>
          </w:tcPr>
          <w:p w14:paraId="14F87DE2" w14:textId="77777777" w:rsidR="000D0CCE" w:rsidRPr="006757F0" w:rsidRDefault="000D0CCE" w:rsidP="00627688">
            <w:r w:rsidRPr="006757F0">
              <w:rPr>
                <w:b/>
                <w:bCs/>
              </w:rPr>
              <w:t>HSR</w:t>
            </w:r>
          </w:p>
        </w:tc>
        <w:tc>
          <w:tcPr>
            <w:tcW w:w="6520" w:type="dxa"/>
            <w:hideMark/>
          </w:tcPr>
          <w:p w14:paraId="1C02043F" w14:textId="77777777" w:rsidR="000D0CCE" w:rsidRPr="006757F0" w:rsidRDefault="000D0CCE" w:rsidP="00627688">
            <w:r w:rsidRPr="006757F0">
              <w:t>Health Service Region</w:t>
            </w:r>
          </w:p>
        </w:tc>
      </w:tr>
      <w:tr w:rsidR="006757F0" w:rsidRPr="006757F0" w14:paraId="1D4FF421" w14:textId="77777777" w:rsidTr="11AD1994">
        <w:trPr>
          <w:trHeight w:val="542"/>
        </w:trPr>
        <w:tc>
          <w:tcPr>
            <w:tcW w:w="1920" w:type="dxa"/>
            <w:hideMark/>
          </w:tcPr>
          <w:p w14:paraId="3348EAF9" w14:textId="77777777" w:rsidR="000D0CCE" w:rsidRPr="006757F0" w:rsidRDefault="000D0CCE" w:rsidP="00627688">
            <w:r w:rsidRPr="006757F0">
              <w:rPr>
                <w:b/>
                <w:bCs/>
              </w:rPr>
              <w:t>HTSX</w:t>
            </w:r>
          </w:p>
        </w:tc>
        <w:tc>
          <w:tcPr>
            <w:tcW w:w="6520" w:type="dxa"/>
            <w:hideMark/>
          </w:tcPr>
          <w:p w14:paraId="0F6B2AA7" w14:textId="77777777" w:rsidR="000D0CCE" w:rsidRPr="006757F0" w:rsidRDefault="000D0CCE" w:rsidP="00627688">
            <w:r w:rsidRPr="006757F0">
              <w:t>Heterosexual Sex</w:t>
            </w:r>
          </w:p>
        </w:tc>
      </w:tr>
      <w:tr w:rsidR="006757F0" w:rsidRPr="006757F0" w14:paraId="13538AA1" w14:textId="77777777" w:rsidTr="11AD1994">
        <w:trPr>
          <w:trHeight w:val="542"/>
        </w:trPr>
        <w:tc>
          <w:tcPr>
            <w:tcW w:w="1920" w:type="dxa"/>
            <w:hideMark/>
          </w:tcPr>
          <w:p w14:paraId="1F5556F4" w14:textId="77777777" w:rsidR="000D0CCE" w:rsidRPr="006757F0" w:rsidRDefault="000D0CCE" w:rsidP="00627688">
            <w:r w:rsidRPr="006757F0">
              <w:rPr>
                <w:b/>
                <w:bCs/>
              </w:rPr>
              <w:t>IDU</w:t>
            </w:r>
          </w:p>
        </w:tc>
        <w:tc>
          <w:tcPr>
            <w:tcW w:w="6520" w:type="dxa"/>
            <w:hideMark/>
          </w:tcPr>
          <w:p w14:paraId="27F594A0" w14:textId="77777777" w:rsidR="000D0CCE" w:rsidRPr="006757F0" w:rsidRDefault="000D0CCE" w:rsidP="00627688">
            <w:r w:rsidRPr="006757F0">
              <w:t>Injection Drug Use</w:t>
            </w:r>
          </w:p>
        </w:tc>
      </w:tr>
      <w:tr w:rsidR="006757F0" w:rsidRPr="006757F0" w14:paraId="2D5AF3E0" w14:textId="77777777" w:rsidTr="11AD1994">
        <w:trPr>
          <w:trHeight w:val="542"/>
        </w:trPr>
        <w:tc>
          <w:tcPr>
            <w:tcW w:w="1920" w:type="dxa"/>
            <w:hideMark/>
          </w:tcPr>
          <w:p w14:paraId="104200AC" w14:textId="77777777" w:rsidR="000D0CCE" w:rsidRPr="006757F0" w:rsidRDefault="000D0CCE" w:rsidP="00627688">
            <w:r w:rsidRPr="006757F0">
              <w:rPr>
                <w:b/>
                <w:bCs/>
              </w:rPr>
              <w:t>MSM</w:t>
            </w:r>
          </w:p>
        </w:tc>
        <w:tc>
          <w:tcPr>
            <w:tcW w:w="6520" w:type="dxa"/>
            <w:hideMark/>
          </w:tcPr>
          <w:p w14:paraId="4F208353" w14:textId="77777777" w:rsidR="000D0CCE" w:rsidRPr="006757F0" w:rsidRDefault="000D0CCE" w:rsidP="00627688">
            <w:r w:rsidRPr="006757F0">
              <w:t>Male-to-Male Sex, Men Who Have Sex with Men</w:t>
            </w:r>
          </w:p>
        </w:tc>
      </w:tr>
      <w:tr w:rsidR="006757F0" w:rsidRPr="006757F0" w14:paraId="513303A8" w14:textId="77777777" w:rsidTr="11AD1994">
        <w:trPr>
          <w:trHeight w:val="542"/>
        </w:trPr>
        <w:tc>
          <w:tcPr>
            <w:tcW w:w="1920" w:type="dxa"/>
            <w:hideMark/>
          </w:tcPr>
          <w:p w14:paraId="154AA15C" w14:textId="77777777" w:rsidR="000D0CCE" w:rsidRPr="006757F0" w:rsidRDefault="000D0CCE" w:rsidP="00627688">
            <w:r w:rsidRPr="006757F0">
              <w:rPr>
                <w:b/>
                <w:bCs/>
              </w:rPr>
              <w:t>N</w:t>
            </w:r>
          </w:p>
        </w:tc>
        <w:tc>
          <w:tcPr>
            <w:tcW w:w="6520" w:type="dxa"/>
            <w:hideMark/>
          </w:tcPr>
          <w:p w14:paraId="6B1CF6C0" w14:textId="77777777" w:rsidR="000D0CCE" w:rsidRPr="006757F0" w:rsidRDefault="000D0CCE" w:rsidP="00627688">
            <w:r w:rsidRPr="006757F0">
              <w:t>Number</w:t>
            </w:r>
          </w:p>
        </w:tc>
      </w:tr>
      <w:tr w:rsidR="006757F0" w:rsidRPr="006757F0" w14:paraId="64E487F9" w14:textId="77777777" w:rsidTr="11AD1994">
        <w:trPr>
          <w:trHeight w:val="542"/>
        </w:trPr>
        <w:tc>
          <w:tcPr>
            <w:tcW w:w="1920" w:type="dxa"/>
            <w:hideMark/>
          </w:tcPr>
          <w:p w14:paraId="2D20310E" w14:textId="77777777" w:rsidR="000D0CCE" w:rsidRPr="006757F0" w:rsidRDefault="000D0CCE" w:rsidP="00627688">
            <w:r w:rsidRPr="006757F0">
              <w:rPr>
                <w:b/>
                <w:bCs/>
              </w:rPr>
              <w:t>N/A</w:t>
            </w:r>
          </w:p>
        </w:tc>
        <w:tc>
          <w:tcPr>
            <w:tcW w:w="6520" w:type="dxa"/>
            <w:hideMark/>
          </w:tcPr>
          <w:p w14:paraId="4706A493" w14:textId="77777777" w:rsidR="000D0CCE" w:rsidRPr="006757F0" w:rsidRDefault="000D0CCE" w:rsidP="00627688">
            <w:r w:rsidRPr="006757F0">
              <w:t>Not Applicable</w:t>
            </w:r>
          </w:p>
        </w:tc>
      </w:tr>
      <w:tr w:rsidR="006757F0" w:rsidRPr="006757F0" w14:paraId="0CDC4882" w14:textId="77777777" w:rsidTr="11AD1994">
        <w:trPr>
          <w:trHeight w:val="542"/>
        </w:trPr>
        <w:tc>
          <w:tcPr>
            <w:tcW w:w="1920" w:type="dxa"/>
            <w:hideMark/>
          </w:tcPr>
          <w:p w14:paraId="2E413CDD" w14:textId="77777777" w:rsidR="000D0CCE" w:rsidRPr="006757F0" w:rsidRDefault="000D0CCE" w:rsidP="00627688">
            <w:r w:rsidRPr="006757F0">
              <w:rPr>
                <w:b/>
                <w:bCs/>
              </w:rPr>
              <w:t>NH</w:t>
            </w:r>
          </w:p>
        </w:tc>
        <w:tc>
          <w:tcPr>
            <w:tcW w:w="6520" w:type="dxa"/>
            <w:hideMark/>
          </w:tcPr>
          <w:p w14:paraId="17C8C939" w14:textId="77777777" w:rsidR="000D0CCE" w:rsidRPr="006757F0" w:rsidRDefault="000D0CCE" w:rsidP="00627688">
            <w:r w:rsidRPr="006757F0">
              <w:t>Non-Hispanic</w:t>
            </w:r>
          </w:p>
        </w:tc>
      </w:tr>
      <w:tr w:rsidR="006757F0" w:rsidRPr="006757F0" w14:paraId="28DE81EB" w14:textId="77777777" w:rsidTr="11AD1994">
        <w:trPr>
          <w:trHeight w:val="542"/>
        </w:trPr>
        <w:tc>
          <w:tcPr>
            <w:tcW w:w="1920" w:type="dxa"/>
            <w:hideMark/>
          </w:tcPr>
          <w:p w14:paraId="79D64A90" w14:textId="77777777" w:rsidR="000D0CCE" w:rsidRPr="006757F0" w:rsidRDefault="000D0CCE" w:rsidP="00627688">
            <w:r w:rsidRPr="006757F0">
              <w:rPr>
                <w:b/>
                <w:bCs/>
              </w:rPr>
              <w:t>NIR</w:t>
            </w:r>
          </w:p>
        </w:tc>
        <w:tc>
          <w:tcPr>
            <w:tcW w:w="6520" w:type="dxa"/>
            <w:hideMark/>
          </w:tcPr>
          <w:p w14:paraId="2CF75E04" w14:textId="77777777" w:rsidR="000D0CCE" w:rsidRPr="006757F0" w:rsidRDefault="000D0CCE" w:rsidP="00627688">
            <w:r w:rsidRPr="006757F0">
              <w:t>No Identified Risk</w:t>
            </w:r>
          </w:p>
        </w:tc>
      </w:tr>
      <w:tr w:rsidR="006757F0" w:rsidRPr="006757F0" w14:paraId="621812E0" w14:textId="77777777" w:rsidTr="11AD1994">
        <w:trPr>
          <w:trHeight w:val="542"/>
        </w:trPr>
        <w:tc>
          <w:tcPr>
            <w:tcW w:w="1920" w:type="dxa"/>
            <w:hideMark/>
          </w:tcPr>
          <w:p w14:paraId="7B2ACC44" w14:textId="77777777" w:rsidR="000D0CCE" w:rsidRPr="006757F0" w:rsidRDefault="000D0CCE" w:rsidP="00627688">
            <w:r w:rsidRPr="006757F0">
              <w:rPr>
                <w:b/>
                <w:bCs/>
              </w:rPr>
              <w:t>PLWH</w:t>
            </w:r>
          </w:p>
        </w:tc>
        <w:tc>
          <w:tcPr>
            <w:tcW w:w="6520" w:type="dxa"/>
            <w:hideMark/>
          </w:tcPr>
          <w:p w14:paraId="33EB39E0" w14:textId="77777777" w:rsidR="000D0CCE" w:rsidRPr="006757F0" w:rsidRDefault="000D0CCE" w:rsidP="00627688">
            <w:r w:rsidRPr="006757F0">
              <w:t>Persons (or Individuals) Living with HIV Infection</w:t>
            </w:r>
          </w:p>
        </w:tc>
      </w:tr>
      <w:tr w:rsidR="006757F0" w:rsidRPr="006757F0" w14:paraId="70161094" w14:textId="77777777" w:rsidTr="11AD1994">
        <w:trPr>
          <w:trHeight w:val="542"/>
        </w:trPr>
        <w:tc>
          <w:tcPr>
            <w:tcW w:w="1920" w:type="dxa"/>
            <w:hideMark/>
          </w:tcPr>
          <w:p w14:paraId="509906AC" w14:textId="77777777" w:rsidR="000D0CCE" w:rsidRPr="006757F0" w:rsidRDefault="000D0CCE" w:rsidP="00627688">
            <w:r w:rsidRPr="006757F0">
              <w:rPr>
                <w:b/>
                <w:bCs/>
              </w:rPr>
              <w:t>Pres. HTSX</w:t>
            </w:r>
          </w:p>
        </w:tc>
        <w:tc>
          <w:tcPr>
            <w:tcW w:w="6520" w:type="dxa"/>
            <w:hideMark/>
          </w:tcPr>
          <w:p w14:paraId="19A1D286" w14:textId="77777777" w:rsidR="000D0CCE" w:rsidRPr="006757F0" w:rsidRDefault="000D0CCE" w:rsidP="00627688">
            <w:r w:rsidRPr="006757F0">
              <w:t>Presumed Heterosexual Sex</w:t>
            </w:r>
          </w:p>
        </w:tc>
      </w:tr>
      <w:tr w:rsidR="006757F0" w:rsidRPr="006757F0" w14:paraId="568321FE" w14:textId="77777777" w:rsidTr="11AD1994">
        <w:trPr>
          <w:trHeight w:val="542"/>
        </w:trPr>
        <w:tc>
          <w:tcPr>
            <w:tcW w:w="1920" w:type="dxa"/>
            <w:hideMark/>
          </w:tcPr>
          <w:p w14:paraId="1986FCEC" w14:textId="77777777" w:rsidR="000D0CCE" w:rsidRPr="006757F0" w:rsidRDefault="000D0CCE" w:rsidP="00627688">
            <w:r w:rsidRPr="006757F0">
              <w:rPr>
                <w:b/>
                <w:bCs/>
              </w:rPr>
              <w:t>PR/USD</w:t>
            </w:r>
          </w:p>
        </w:tc>
        <w:tc>
          <w:tcPr>
            <w:tcW w:w="6520" w:type="dxa"/>
            <w:hideMark/>
          </w:tcPr>
          <w:p w14:paraId="6AA1A6A6" w14:textId="77777777" w:rsidR="000D0CCE" w:rsidRPr="006757F0" w:rsidRDefault="000D0CCE" w:rsidP="00627688">
            <w:r w:rsidRPr="006757F0">
              <w:t>Puerto Rico/United States Dependency</w:t>
            </w:r>
          </w:p>
        </w:tc>
      </w:tr>
      <w:tr w:rsidR="006757F0" w:rsidRPr="006757F0" w14:paraId="4970626D" w14:textId="77777777" w:rsidTr="11AD1994">
        <w:trPr>
          <w:trHeight w:val="542"/>
        </w:trPr>
        <w:tc>
          <w:tcPr>
            <w:tcW w:w="1920" w:type="dxa"/>
            <w:hideMark/>
          </w:tcPr>
          <w:p w14:paraId="7FBBF87E" w14:textId="77777777" w:rsidR="000D0CCE" w:rsidRPr="006757F0" w:rsidRDefault="000D0CCE" w:rsidP="00627688">
            <w:r w:rsidRPr="006757F0">
              <w:rPr>
                <w:b/>
                <w:bCs/>
              </w:rPr>
              <w:t>PWID</w:t>
            </w:r>
          </w:p>
        </w:tc>
        <w:tc>
          <w:tcPr>
            <w:tcW w:w="6520" w:type="dxa"/>
            <w:hideMark/>
          </w:tcPr>
          <w:p w14:paraId="6938F734" w14:textId="77777777" w:rsidR="000D0CCE" w:rsidRPr="006757F0" w:rsidRDefault="000D0CCE" w:rsidP="00627688">
            <w:r w:rsidRPr="006757F0">
              <w:t>Persons Who Inject Drugs</w:t>
            </w:r>
          </w:p>
        </w:tc>
      </w:tr>
    </w:tbl>
    <w:p w14:paraId="0ADCC4DD" w14:textId="77777777" w:rsidR="000D0CCE" w:rsidRPr="009B2711" w:rsidRDefault="000D0CCE" w:rsidP="00627688">
      <w:pPr>
        <w:spacing w:line="240" w:lineRule="auto"/>
        <w:rPr>
          <w:color w:val="FF0000"/>
        </w:rPr>
        <w:sectPr w:rsidR="000D0CCE" w:rsidRPr="009B2711" w:rsidSect="00D719CA">
          <w:headerReference w:type="default" r:id="rId17"/>
          <w:headerReference w:type="first" r:id="rId18"/>
          <w:pgSz w:w="12240" w:h="15840"/>
          <w:pgMar w:top="1440" w:right="1440" w:bottom="1440" w:left="1440" w:header="720" w:footer="720" w:gutter="0"/>
          <w:cols w:space="720"/>
          <w:titlePg/>
          <w:docGrid w:linePitch="360"/>
        </w:sectPr>
      </w:pPr>
    </w:p>
    <w:p w14:paraId="5877C75E" w14:textId="77777777" w:rsidR="001C2856" w:rsidRPr="009B2711" w:rsidRDefault="001C2856" w:rsidP="009661FA">
      <w:pPr>
        <w:pStyle w:val="Heading1"/>
        <w:spacing w:after="160"/>
      </w:pPr>
      <w:bookmarkStart w:id="1" w:name="_Toc168575089"/>
      <w:r w:rsidRPr="009B2711">
        <w:lastRenderedPageBreak/>
        <w:t>EXECUTIVE SUMMARY</w:t>
      </w:r>
      <w:bookmarkEnd w:id="1"/>
    </w:p>
    <w:p w14:paraId="5B47BF27" w14:textId="359511DA" w:rsidR="001C2856" w:rsidRPr="005406ED" w:rsidRDefault="001C2856" w:rsidP="00627688">
      <w:pPr>
        <w:spacing w:line="240" w:lineRule="auto"/>
      </w:pPr>
      <w:r w:rsidRPr="005406ED">
        <w:rPr>
          <w:b/>
          <w:bCs/>
        </w:rPr>
        <w:t>Epidemic at a Glance</w:t>
      </w:r>
    </w:p>
    <w:p w14:paraId="6A7D31A1" w14:textId="01ABBECD" w:rsidR="001C2856" w:rsidRPr="005406ED" w:rsidRDefault="005406ED" w:rsidP="00627688">
      <w:pPr>
        <w:numPr>
          <w:ilvl w:val="0"/>
          <w:numId w:val="1"/>
        </w:numPr>
        <w:spacing w:line="240" w:lineRule="auto"/>
      </w:pPr>
      <w:r w:rsidRPr="005406ED">
        <w:t>The number of persons living with HIV infection (PLWH) in Massachusetts increased by 13% from 22,078 in 2015 to 24,838 in 2024</w:t>
      </w:r>
      <w:r w:rsidR="00C13A9E" w:rsidRPr="005406ED">
        <w:t>.</w:t>
      </w:r>
      <w:r w:rsidR="003463B6" w:rsidRPr="005406ED">
        <w:rPr>
          <w:rStyle w:val="FootnoteReference"/>
        </w:rPr>
        <w:footnoteReference w:id="3"/>
      </w:r>
    </w:p>
    <w:p w14:paraId="1DF83640" w14:textId="5F6533E2" w:rsidR="003D24C3" w:rsidRPr="005406ED" w:rsidRDefault="005406ED" w:rsidP="767F44C3">
      <w:pPr>
        <w:pStyle w:val="ListParagraph"/>
        <w:numPr>
          <w:ilvl w:val="0"/>
          <w:numId w:val="1"/>
        </w:numPr>
        <w:spacing w:line="240" w:lineRule="auto"/>
        <w:rPr>
          <w:szCs w:val="24"/>
        </w:rPr>
      </w:pPr>
      <w:r w:rsidRPr="005406ED">
        <w:rPr>
          <w:szCs w:val="24"/>
        </w:rPr>
        <w:t>After ranging from 609 to 654 from 2015 to 2018, the number of new HIV infection diagnoses declined to 529 in 2019. In 2020, the number of new HIV infection diagnoses further declined to 435 and then remained at this lower level in 2021 and 2022, when there were 451 and 448 diagnoses, respectively. However, caution should be used in the interpretation of this decline and subsequent stabilization due to the impact of COVID-19 on access to HIV testing and care services, and case surveillance activities. The number of new HIV infection diagnoses returned to pre-pandemic levels in 2023 (N=546), increasing by 22% compared to the prior year, and then by an additional 10% in 2024 (N=602). The largest increases in HIV diagnoses from 2022 to 2024 were among people born outside the US (by 50% from 211 to 316), Black non-Hispanic individuals (by 61% from 153 to 246), individuals with presumed heterosexual (by 54% from 59 to 91) and male-to-male sex (MSM) exposure modes (by 49% from 169 to 251), individuals under 30 years of age (by 48% from 124 to 184), and individuals diagnosed in the Central (by 64% from 33 to 54) and Northeast HSRs (by 62% from 85 to 138)</w:t>
      </w:r>
      <w:r w:rsidR="534F4028" w:rsidRPr="005406ED">
        <w:rPr>
          <w:szCs w:val="24"/>
        </w:rPr>
        <w:t>.</w:t>
      </w:r>
      <w:r w:rsidR="4FDDB9A9" w:rsidRPr="005406ED">
        <w:rPr>
          <w:szCs w:val="24"/>
        </w:rPr>
        <w:t xml:space="preserve"> </w:t>
      </w:r>
    </w:p>
    <w:p w14:paraId="56460A25" w14:textId="67B0AAFE" w:rsidR="00503E2C" w:rsidRDefault="005574F9" w:rsidP="003D24C3">
      <w:pPr>
        <w:numPr>
          <w:ilvl w:val="0"/>
          <w:numId w:val="1"/>
        </w:numPr>
        <w:spacing w:line="240" w:lineRule="auto"/>
      </w:pPr>
      <w:r w:rsidRPr="005574F9">
        <w:t>The number of deaths due to any cause among individuals reported with HIV infection increased by 14% from 325 in 2015 to a peak of 369 in 2022 and then decreased by 11% to 330 in 2024</w:t>
      </w:r>
      <w:r w:rsidR="003D24C3" w:rsidRPr="005406ED">
        <w:t xml:space="preserve">. </w:t>
      </w:r>
    </w:p>
    <w:p w14:paraId="778DE218" w14:textId="7592AFDA" w:rsidR="001C2856" w:rsidRPr="005406ED" w:rsidRDefault="76BDF1E6" w:rsidP="005406ED">
      <w:pPr>
        <w:numPr>
          <w:ilvl w:val="0"/>
          <w:numId w:val="1"/>
        </w:numPr>
        <w:spacing w:line="240" w:lineRule="auto"/>
      </w:pPr>
      <w:r w:rsidRPr="005406ED">
        <w:t xml:space="preserve">Although there have been </w:t>
      </w:r>
      <w:r w:rsidR="005406ED">
        <w:t xml:space="preserve">some </w:t>
      </w:r>
      <w:r w:rsidRPr="005406ED">
        <w:t>reductions in cases</w:t>
      </w:r>
      <w:r w:rsidR="2A1D77C6" w:rsidRPr="005406ED">
        <w:t xml:space="preserve"> over the past ten years</w:t>
      </w:r>
      <w:r w:rsidRPr="005406ED">
        <w:t>, vulnerable and historically marginalized populations remain disproportionately impacted</w:t>
      </w:r>
      <w:r w:rsidR="3C9EE269" w:rsidRPr="005406ED">
        <w:t>:</w:t>
      </w:r>
    </w:p>
    <w:p w14:paraId="23D181D5" w14:textId="77777777" w:rsidR="005406ED" w:rsidRPr="005406ED" w:rsidRDefault="005406ED" w:rsidP="005406ED">
      <w:pPr>
        <w:pStyle w:val="ListParagraph"/>
        <w:numPr>
          <w:ilvl w:val="1"/>
          <w:numId w:val="1"/>
        </w:numPr>
        <w:rPr>
          <w:szCs w:val="24"/>
        </w:rPr>
      </w:pPr>
      <w:r w:rsidRPr="005406ED">
        <w:rPr>
          <w:szCs w:val="24"/>
        </w:rPr>
        <w:t>Men who have sex with men (MSM) continued to represent the largest proportion of new HIV infection diagnoses (41% overall and 56% among individuals assigned male at birth [AMAB] in 2022–2024).</w:t>
      </w:r>
    </w:p>
    <w:p w14:paraId="13D974C8" w14:textId="5C1D2066" w:rsidR="00DF2656" w:rsidRPr="005406ED" w:rsidRDefault="005406ED" w:rsidP="005406ED">
      <w:pPr>
        <w:pStyle w:val="ListParagraph"/>
        <w:numPr>
          <w:ilvl w:val="1"/>
          <w:numId w:val="1"/>
        </w:numPr>
      </w:pPr>
      <w:r w:rsidRPr="005406ED">
        <w:rPr>
          <w:szCs w:val="24"/>
        </w:rPr>
        <w:t xml:space="preserve">Individuals with IDU exposure mode accounted for 33% of deaths among individuals with HIV in 2024 but only </w:t>
      </w:r>
      <w:r w:rsidR="00C31A89" w:rsidRPr="00C31A89">
        <w:rPr>
          <w:szCs w:val="24"/>
        </w:rPr>
        <w:t xml:space="preserve">8% of new HIV infection diagnoses in 2022–2024 and </w:t>
      </w:r>
      <w:r w:rsidRPr="005406ED">
        <w:rPr>
          <w:szCs w:val="24"/>
        </w:rPr>
        <w:t>13% of all PLWH</w:t>
      </w:r>
      <w:r w:rsidR="00C31A89">
        <w:rPr>
          <w:szCs w:val="24"/>
        </w:rPr>
        <w:t xml:space="preserve"> on 12/31/2024</w:t>
      </w:r>
      <w:r w:rsidR="214260C1" w:rsidRPr="005406ED">
        <w:t>.</w:t>
      </w:r>
    </w:p>
    <w:p w14:paraId="5E1F5050" w14:textId="7DF0A43B" w:rsidR="001C2856" w:rsidRPr="005406ED" w:rsidRDefault="001C2856" w:rsidP="00627688">
      <w:pPr>
        <w:spacing w:line="240" w:lineRule="auto"/>
      </w:pPr>
      <w:r w:rsidRPr="005406ED">
        <w:rPr>
          <w:b/>
          <w:bCs/>
        </w:rPr>
        <w:t>Trends in HIV Infection Diagnoses Over Time</w:t>
      </w:r>
    </w:p>
    <w:p w14:paraId="7258F715" w14:textId="64B70638" w:rsidR="001C2856" w:rsidRPr="005406ED" w:rsidRDefault="005406ED" w:rsidP="00627688">
      <w:pPr>
        <w:numPr>
          <w:ilvl w:val="0"/>
          <w:numId w:val="2"/>
        </w:numPr>
        <w:spacing w:line="240" w:lineRule="auto"/>
      </w:pPr>
      <w:r w:rsidRPr="005406ED">
        <w:t>Disparities persist in number of individuals diagnosed with HIV infection in Massachusetts by sex at birth, place of birth, race/ethnicity, exposure mode, and age</w:t>
      </w:r>
      <w:r w:rsidR="001C2856" w:rsidRPr="005406ED">
        <w:t xml:space="preserve">.  </w:t>
      </w:r>
    </w:p>
    <w:p w14:paraId="5A0BE1A7" w14:textId="5553BE92" w:rsidR="001C2856" w:rsidRPr="005406ED" w:rsidRDefault="00696E39" w:rsidP="00627688">
      <w:pPr>
        <w:numPr>
          <w:ilvl w:val="0"/>
          <w:numId w:val="2"/>
        </w:numPr>
        <w:spacing w:line="240" w:lineRule="auto"/>
      </w:pPr>
      <w:r w:rsidRPr="005406ED">
        <w:t>Male-to-male sex (MSM) remained the predominant exposure mode from 201</w:t>
      </w:r>
      <w:r w:rsidR="005406ED" w:rsidRPr="005406ED">
        <w:t>5</w:t>
      </w:r>
      <w:r w:rsidRPr="005406ED">
        <w:t xml:space="preserve"> to 202</w:t>
      </w:r>
      <w:r w:rsidR="005406ED" w:rsidRPr="005406ED">
        <w:t>4.</w:t>
      </w:r>
    </w:p>
    <w:p w14:paraId="018E0A07" w14:textId="394C55C0" w:rsidR="00752AE9" w:rsidRPr="00B50923" w:rsidRDefault="005406ED" w:rsidP="767F44C3">
      <w:pPr>
        <w:pStyle w:val="ListParagraph"/>
        <w:numPr>
          <w:ilvl w:val="0"/>
          <w:numId w:val="2"/>
        </w:numPr>
        <w:spacing w:line="240" w:lineRule="auto"/>
        <w:contextualSpacing w:val="0"/>
        <w:rPr>
          <w:szCs w:val="24"/>
        </w:rPr>
      </w:pPr>
      <w:r w:rsidRPr="005406ED">
        <w:rPr>
          <w:szCs w:val="24"/>
        </w:rPr>
        <w:t xml:space="preserve">The number of reported cases with injection drug use (IDU) as the primary exposure mode increased from 50 in 2015 to a peak of 115 in 2017 and then decreased to 60 in 2019. The </w:t>
      </w:r>
      <w:r w:rsidRPr="005406ED">
        <w:rPr>
          <w:szCs w:val="24"/>
        </w:rPr>
        <w:lastRenderedPageBreak/>
        <w:t>increase in 2017 was primarily due to an outbreak among persons who inject drugs (PWID) in the northeast part of the state between 2016 and 2018</w:t>
      </w:r>
      <w:r w:rsidR="00992F77" w:rsidRPr="005406ED">
        <w:rPr>
          <w:szCs w:val="24"/>
        </w:rPr>
        <w:t>.</w:t>
      </w:r>
      <w:r w:rsidR="001C2856" w:rsidRPr="005406ED">
        <w:rPr>
          <w:rStyle w:val="FootnoteReference"/>
          <w:szCs w:val="24"/>
        </w:rPr>
        <w:footnoteReference w:id="4"/>
      </w:r>
      <w:r w:rsidR="001C2856" w:rsidRPr="005406ED">
        <w:rPr>
          <w:szCs w:val="24"/>
        </w:rPr>
        <w:t xml:space="preserve"> </w:t>
      </w:r>
      <w:r w:rsidRPr="005406ED">
        <w:rPr>
          <w:szCs w:val="24"/>
        </w:rPr>
        <w:t xml:space="preserve">Following a focused public health response, the number of HIV infection diagnoses attributed to IDU in the northeast has decreased. However, in early 2019, a new cluster of HIV infection was identified in Boston among PWID who were experiencing or had experienced recent homelessness, and the total statewide number of reported cases with IDU as the primary exposure </w:t>
      </w:r>
      <w:r w:rsidR="00AB3A5D">
        <w:rPr>
          <w:szCs w:val="24"/>
        </w:rPr>
        <w:t xml:space="preserve">mode </w:t>
      </w:r>
      <w:r w:rsidRPr="005406ED">
        <w:rPr>
          <w:szCs w:val="24"/>
        </w:rPr>
        <w:t xml:space="preserve">increased to 82 in 2021. Following another focused public health response, the number of HIV infection diagnoses </w:t>
      </w:r>
      <w:r w:rsidRPr="00B50923">
        <w:rPr>
          <w:szCs w:val="24"/>
        </w:rPr>
        <w:t>attributed to IDU has decreased by 48% to 43 cases in 2024</w:t>
      </w:r>
      <w:r w:rsidR="00696E39" w:rsidRPr="00B50923">
        <w:rPr>
          <w:szCs w:val="24"/>
        </w:rPr>
        <w:t>.</w:t>
      </w:r>
      <w:r w:rsidR="00CA2ADE" w:rsidRPr="00B50923">
        <w:rPr>
          <w:rStyle w:val="FootnoteReference"/>
        </w:rPr>
        <w:footnoteReference w:id="5"/>
      </w:r>
      <w:r w:rsidR="00696E39" w:rsidRPr="00B50923">
        <w:rPr>
          <w:szCs w:val="24"/>
        </w:rPr>
        <w:t xml:space="preserve"> </w:t>
      </w:r>
    </w:p>
    <w:p w14:paraId="55B41C65" w14:textId="40A559A6" w:rsidR="001C2856" w:rsidRPr="00B50923" w:rsidRDefault="00696E39" w:rsidP="767F44C3">
      <w:pPr>
        <w:pStyle w:val="ListParagraph"/>
        <w:numPr>
          <w:ilvl w:val="0"/>
          <w:numId w:val="2"/>
        </w:numPr>
        <w:spacing w:line="240" w:lineRule="auto"/>
        <w:rPr>
          <w:szCs w:val="24"/>
        </w:rPr>
      </w:pPr>
      <w:r w:rsidRPr="00B50923">
        <w:rPr>
          <w:szCs w:val="24"/>
        </w:rPr>
        <w:t>As of July 1, 202</w:t>
      </w:r>
      <w:r w:rsidR="00B50923" w:rsidRPr="00B50923">
        <w:rPr>
          <w:szCs w:val="24"/>
        </w:rPr>
        <w:t>5</w:t>
      </w:r>
      <w:r w:rsidRPr="00B50923">
        <w:rPr>
          <w:szCs w:val="24"/>
        </w:rPr>
        <w:t>, a total of 2</w:t>
      </w:r>
      <w:r w:rsidR="00B50923" w:rsidRPr="00B50923">
        <w:rPr>
          <w:szCs w:val="24"/>
        </w:rPr>
        <w:t>39</w:t>
      </w:r>
      <w:r w:rsidRPr="00B50923">
        <w:rPr>
          <w:szCs w:val="24"/>
        </w:rPr>
        <w:t xml:space="preserve"> cases diagnosed since November 2018 have been investigated and identified as part of the Boston </w:t>
      </w:r>
      <w:r w:rsidR="00DE38DD">
        <w:rPr>
          <w:szCs w:val="24"/>
        </w:rPr>
        <w:t xml:space="preserve">HIV </w:t>
      </w:r>
      <w:r w:rsidRPr="00B50923">
        <w:rPr>
          <w:szCs w:val="24"/>
        </w:rPr>
        <w:t xml:space="preserve">cluster. As it is an active cluster of concern, additional cases will continue to be investigated and added. </w:t>
      </w:r>
      <w:r w:rsidR="001E7EB9">
        <w:rPr>
          <w:szCs w:val="24"/>
        </w:rPr>
        <w:t>Continuing</w:t>
      </w:r>
      <w:r w:rsidRPr="00B50923">
        <w:rPr>
          <w:szCs w:val="24"/>
        </w:rPr>
        <w:t xml:space="preserve"> trends among those newly diagnosed in the Boston cluster (N=1</w:t>
      </w:r>
      <w:r w:rsidR="00B50923" w:rsidRPr="00B50923">
        <w:rPr>
          <w:szCs w:val="24"/>
        </w:rPr>
        <w:t>6</w:t>
      </w:r>
      <w:r w:rsidRPr="00B50923">
        <w:rPr>
          <w:szCs w:val="24"/>
        </w:rPr>
        <w:t xml:space="preserve"> cases diagnosed in 202</w:t>
      </w:r>
      <w:r w:rsidR="00B50923" w:rsidRPr="00B50923">
        <w:rPr>
          <w:szCs w:val="24"/>
        </w:rPr>
        <w:t>4</w:t>
      </w:r>
      <w:r w:rsidRPr="00B50923">
        <w:rPr>
          <w:szCs w:val="24"/>
        </w:rPr>
        <w:t>) include an increase in polysubstance and methamphetamine use</w:t>
      </w:r>
      <w:r w:rsidR="003D24C3" w:rsidRPr="00B50923">
        <w:rPr>
          <w:szCs w:val="24"/>
        </w:rPr>
        <w:t>.</w:t>
      </w:r>
      <w:r w:rsidR="001C2856" w:rsidRPr="00B50923">
        <w:rPr>
          <w:rStyle w:val="FootnoteReference"/>
          <w:szCs w:val="24"/>
        </w:rPr>
        <w:footnoteReference w:id="6"/>
      </w:r>
    </w:p>
    <w:p w14:paraId="1B8E2F32" w14:textId="2CBB7B44" w:rsidR="003D24C3" w:rsidRPr="005406ED" w:rsidRDefault="005406ED" w:rsidP="003D24C3">
      <w:pPr>
        <w:numPr>
          <w:ilvl w:val="0"/>
          <w:numId w:val="2"/>
        </w:numPr>
        <w:spacing w:line="240" w:lineRule="auto"/>
      </w:pPr>
      <w:r w:rsidRPr="005406ED">
        <w:t>The distributions of individuals diagnosed with HIV infection by sex assigned at birth remained relatively stable, while distributions by race/ethnicity, age at diagnosis, and place of birth shifted from 201</w:t>
      </w:r>
      <w:r w:rsidR="006B66B6">
        <w:t>5</w:t>
      </w:r>
      <w:r w:rsidRPr="005406ED">
        <w:t xml:space="preserve"> to 202</w:t>
      </w:r>
      <w:r w:rsidR="006B66B6">
        <w:t>4</w:t>
      </w:r>
      <w:r w:rsidR="003D24C3" w:rsidRPr="005406ED">
        <w:t>:</w:t>
      </w:r>
    </w:p>
    <w:p w14:paraId="38B546F7" w14:textId="56B5EC04" w:rsidR="003D24C3" w:rsidRPr="00445A9C" w:rsidRDefault="00445A9C" w:rsidP="003D24C3">
      <w:pPr>
        <w:numPr>
          <w:ilvl w:val="1"/>
          <w:numId w:val="2"/>
        </w:numPr>
        <w:spacing w:after="0" w:line="240" w:lineRule="auto"/>
      </w:pPr>
      <w:r w:rsidRPr="00445A9C">
        <w:t>The proportion of HIV infection diagnoses among White (non-Hispanic) individuals decreased from 38% to 26%, while it increased from 29% to 41% among Black (non-Hispanic) individuals</w:t>
      </w:r>
      <w:r w:rsidR="214260C1" w:rsidRPr="00445A9C">
        <w:t>.</w:t>
      </w:r>
    </w:p>
    <w:p w14:paraId="1D70353E" w14:textId="50B3E1CC" w:rsidR="003D24C3" w:rsidRPr="00445A9C" w:rsidRDefault="00445A9C" w:rsidP="003D24C3">
      <w:pPr>
        <w:numPr>
          <w:ilvl w:val="1"/>
          <w:numId w:val="2"/>
        </w:numPr>
        <w:spacing w:after="0" w:line="240" w:lineRule="auto"/>
      </w:pPr>
      <w:r w:rsidRPr="00445A9C">
        <w:t>The proportion of HIV infection diagnoses among 30–39 year-olds increased from 24% to 34%, while it decreased from 18% to 11% among 50–59 year-olds</w:t>
      </w:r>
      <w:r w:rsidR="003D24C3" w:rsidRPr="00445A9C">
        <w:t>.</w:t>
      </w:r>
    </w:p>
    <w:p w14:paraId="7BB523AC" w14:textId="31BB00F1" w:rsidR="007B559D" w:rsidRPr="00445A9C" w:rsidRDefault="00445A9C" w:rsidP="00D57094">
      <w:pPr>
        <w:numPr>
          <w:ilvl w:val="1"/>
          <w:numId w:val="2"/>
        </w:numPr>
        <w:spacing w:after="0" w:line="240" w:lineRule="auto"/>
      </w:pPr>
      <w:r w:rsidRPr="00445A9C">
        <w:t>The proportion of HIV infection diagnoses among individuals born in the US decreased from 56% to 46%, while it increased from 37% to 52% among individuals born outside the US</w:t>
      </w:r>
      <w:r w:rsidR="214260C1" w:rsidRPr="00445A9C">
        <w:t>.</w:t>
      </w:r>
    </w:p>
    <w:p w14:paraId="7B86DB86" w14:textId="1F28CFB5" w:rsidR="001C2856" w:rsidRPr="00445A9C" w:rsidRDefault="001C2856" w:rsidP="007B559D">
      <w:pPr>
        <w:spacing w:before="120" w:after="120" w:line="240" w:lineRule="auto"/>
      </w:pPr>
      <w:r w:rsidRPr="00445A9C">
        <w:rPr>
          <w:b/>
          <w:bCs/>
        </w:rPr>
        <w:t>Recent HIV Infection Diagnoses</w:t>
      </w:r>
    </w:p>
    <w:p w14:paraId="7D0E6107" w14:textId="77777777" w:rsidR="00445A9C" w:rsidRPr="00445A9C" w:rsidRDefault="00445A9C" w:rsidP="00445A9C">
      <w:pPr>
        <w:numPr>
          <w:ilvl w:val="0"/>
          <w:numId w:val="4"/>
        </w:numPr>
        <w:spacing w:line="240" w:lineRule="auto"/>
      </w:pPr>
      <w:r w:rsidRPr="00445A9C">
        <w:t xml:space="preserve">Those with no identified risk (NIR) comprised the second largest exposure mode group reported to the Massachusetts Department of Public Health (DPH), accounting for 29% of recent HIV infection diagnoses and consisting predominantly of individuals AMAB (75%), individuals born outside the US (63%), and Black (non-Hispanic) individuals (52%). Beginning in 2019, all new diagnoses of HIV infection were assigned to field epidemiologists for partner services, education, and linkage to HIV care. Please note that although field epidemiologists offer additional support in the collection of risk information as part of this process, some of the information doesn’t meet the CDC-defined exposure mode categories. For example, risks occurring outside the US, such as transfusion/transplant risk (blood product), are not assigned </w:t>
      </w:r>
      <w:r w:rsidRPr="00445A9C">
        <w:lastRenderedPageBreak/>
        <w:t xml:space="preserve">as a primary exposure mode because it is not possible to verify the information internationally, so these cases would be assigned no identified risk. DPH will collect and maintain expanded risk information for local analyses and future use in case the CDC-defined exposure mode categories are updated. </w:t>
      </w:r>
    </w:p>
    <w:p w14:paraId="2BAD4D7E" w14:textId="16E6A2E0" w:rsidR="00445A9C" w:rsidRPr="00445A9C" w:rsidRDefault="00445A9C" w:rsidP="00445A9C">
      <w:pPr>
        <w:numPr>
          <w:ilvl w:val="0"/>
          <w:numId w:val="4"/>
        </w:numPr>
        <w:spacing w:line="240" w:lineRule="auto"/>
      </w:pPr>
      <w:r w:rsidRPr="00445A9C">
        <w:t>One in ten (10%) individuals AFAB and diagnosed with HIV infection from 2022 to 2024</w:t>
      </w:r>
      <w:r w:rsidR="00CA2ADE" w:rsidRPr="005406ED">
        <w:rPr>
          <w:rStyle w:val="FootnoteReference"/>
        </w:rPr>
        <w:footnoteReference w:id="7"/>
      </w:r>
      <w:r w:rsidRPr="00445A9C">
        <w:t xml:space="preserve"> reported IDU as their primary exposure mode, compared to one in 14 (7%) individuals AMAB.</w:t>
      </w:r>
    </w:p>
    <w:p w14:paraId="3282AFAB" w14:textId="77777777" w:rsidR="00445A9C" w:rsidRPr="00445A9C" w:rsidRDefault="00445A9C" w:rsidP="00445A9C">
      <w:pPr>
        <w:numPr>
          <w:ilvl w:val="0"/>
          <w:numId w:val="4"/>
        </w:numPr>
        <w:spacing w:line="240" w:lineRule="auto"/>
      </w:pPr>
      <w:r w:rsidRPr="00445A9C">
        <w:t>Black (non-Hispanic) and Hispanic/Latinx individuals were diagnosed with HIV infection during 2022–2024 at rates 13 and six times that of White (non-Hispanic) individuals, respectively.</w:t>
      </w:r>
    </w:p>
    <w:p w14:paraId="06023912" w14:textId="5A9A053E" w:rsidR="003D24C3" w:rsidRPr="00445A9C" w:rsidRDefault="00445A9C" w:rsidP="00445A9C">
      <w:pPr>
        <w:numPr>
          <w:ilvl w:val="0"/>
          <w:numId w:val="4"/>
        </w:numPr>
        <w:spacing w:line="240" w:lineRule="auto"/>
      </w:pPr>
      <w:r w:rsidRPr="00445A9C">
        <w:t>During 2022 to 2024, 49% (N=785) of all individuals diagnosed with HIV infection were born outside the US. This proportion varied by race/ethnicity: 70% of Black (non-Hispanic) individuals diagnosed with HIV infection were born outside the US, compared to 67% of Asian/Pacific Islander, 59% of Hispanic/Latinx, and 9% of White (non-Hispanic) individuals. An additional 7% of Hispanic/Latinx individuals diagnosed with HIV infection during this time period were born in Puerto Rico/US Dependencies.</w:t>
      </w:r>
    </w:p>
    <w:p w14:paraId="087D5897" w14:textId="6BCFC904" w:rsidR="001C2856" w:rsidRPr="00044A5B" w:rsidRDefault="001C2856" w:rsidP="00445A9C">
      <w:pPr>
        <w:rPr>
          <w:b/>
          <w:bCs/>
        </w:rPr>
      </w:pPr>
      <w:r w:rsidRPr="00044A5B">
        <w:rPr>
          <w:b/>
          <w:bCs/>
        </w:rPr>
        <w:t>Persons Living with HIV Infection (PLWH)</w:t>
      </w:r>
    </w:p>
    <w:p w14:paraId="4BBC3EC5" w14:textId="29B65F73" w:rsidR="001C2856" w:rsidRPr="00044A5B" w:rsidRDefault="001C2856" w:rsidP="00627688">
      <w:pPr>
        <w:numPr>
          <w:ilvl w:val="0"/>
          <w:numId w:val="5"/>
        </w:numPr>
        <w:spacing w:line="240" w:lineRule="auto"/>
      </w:pPr>
      <w:r w:rsidRPr="00044A5B">
        <w:t xml:space="preserve">Challenges to </w:t>
      </w:r>
      <w:r w:rsidR="00DE38DD">
        <w:t>reducing the disparate impacts of HIV</w:t>
      </w:r>
      <w:r w:rsidRPr="00044A5B">
        <w:t xml:space="preserve"> in </w:t>
      </w:r>
      <w:r w:rsidR="006E3F7F">
        <w:t xml:space="preserve">specific populations </w:t>
      </w:r>
      <w:r w:rsidRPr="00044A5B">
        <w:t>remain:</w:t>
      </w:r>
    </w:p>
    <w:p w14:paraId="52675A6C" w14:textId="77777777" w:rsidR="00044A5B" w:rsidRPr="00044A5B" w:rsidRDefault="00044A5B" w:rsidP="00044A5B">
      <w:pPr>
        <w:numPr>
          <w:ilvl w:val="1"/>
          <w:numId w:val="5"/>
        </w:numPr>
        <w:spacing w:line="240" w:lineRule="auto"/>
      </w:pPr>
      <w:r w:rsidRPr="00044A5B">
        <w:t>Racial/ethnic disparities persist among PLWH, and marked differences exist by exposure mode, current gender, place of birth, and geographic region of residence in the state.</w:t>
      </w:r>
    </w:p>
    <w:p w14:paraId="6204C81C" w14:textId="77777777" w:rsidR="00044A5B" w:rsidRPr="00044A5B" w:rsidRDefault="00044A5B" w:rsidP="00044A5B">
      <w:pPr>
        <w:numPr>
          <w:ilvl w:val="1"/>
          <w:numId w:val="5"/>
        </w:numPr>
        <w:spacing w:line="240" w:lineRule="auto"/>
      </w:pPr>
      <w:r w:rsidRPr="00044A5B">
        <w:t>MSM was the most frequently reported exposure mode, accounting for 40% of PLWH overall and 57% of individuals AMAB living with HIV infection.</w:t>
      </w:r>
    </w:p>
    <w:p w14:paraId="181725B2" w14:textId="6C7DC312" w:rsidR="00E5247A" w:rsidRPr="00044A5B" w:rsidRDefault="00044A5B" w:rsidP="00044A5B">
      <w:pPr>
        <w:numPr>
          <w:ilvl w:val="1"/>
          <w:numId w:val="5"/>
        </w:numPr>
        <w:spacing w:line="240" w:lineRule="auto"/>
      </w:pPr>
      <w:r w:rsidRPr="00044A5B">
        <w:t>While 12% of all Massachusetts residents live in the Boston HSR, it is the current residence of 28% of PLWH</w:t>
      </w:r>
      <w:r w:rsidR="00E5247A" w:rsidRPr="00044A5B">
        <w:t>.</w:t>
      </w:r>
    </w:p>
    <w:p w14:paraId="29A6DB35" w14:textId="6A6B3268" w:rsidR="00641F4F" w:rsidRPr="00044A5B" w:rsidRDefault="00641F4F" w:rsidP="007B559D">
      <w:pPr>
        <w:rPr>
          <w:b/>
          <w:bCs/>
          <w:szCs w:val="24"/>
        </w:rPr>
      </w:pPr>
      <w:r w:rsidRPr="00044A5B">
        <w:rPr>
          <w:b/>
          <w:bCs/>
          <w:szCs w:val="24"/>
        </w:rPr>
        <w:t xml:space="preserve">Mortality Among Individuals Reported with HIV </w:t>
      </w:r>
    </w:p>
    <w:p w14:paraId="0A6B1DE0" w14:textId="4D031DAF" w:rsidR="00B65258" w:rsidRPr="00990C5C" w:rsidRDefault="00044A5B" w:rsidP="076E9460">
      <w:pPr>
        <w:numPr>
          <w:ilvl w:val="0"/>
          <w:numId w:val="6"/>
        </w:numPr>
        <w:spacing w:line="240" w:lineRule="auto"/>
        <w:rPr>
          <w:szCs w:val="24"/>
        </w:rPr>
      </w:pPr>
      <w:r w:rsidRPr="00044A5B">
        <w:rPr>
          <w:szCs w:val="24"/>
        </w:rPr>
        <w:t>Disparities in mortality among individuals reported with HIV paralleled those in diagnosis rates by sex assigned at birth and race/ethnicity but not exposure mode. Individuals with IDU exposure mode were over-represented among HIV-positive individuals who died. The leading causes of death among individuals reported with HIV infection with IDU and IDU/MSM exposure mode who died in 2023 (with a known cause) were external causes of injuries</w:t>
      </w:r>
      <w:r w:rsidR="00B65258" w:rsidRPr="00044A5B">
        <w:rPr>
          <w:rStyle w:val="FootnoteReference"/>
          <w:szCs w:val="24"/>
        </w:rPr>
        <w:footnoteReference w:id="8"/>
      </w:r>
      <w:r w:rsidR="34FE7C53" w:rsidRPr="00044A5B">
        <w:rPr>
          <w:szCs w:val="24"/>
        </w:rPr>
        <w:t xml:space="preserve"> </w:t>
      </w:r>
      <w:r w:rsidRPr="00044A5B">
        <w:rPr>
          <w:szCs w:val="24"/>
        </w:rPr>
        <w:t>and poisonings (which includes opioid overdoses) which accounted for 37% (N=45/122) of deaths, cancer which accounted for 17% (N=21/122) of deaths, and HIV which accounted for 13% (N=16/122) of deaths.</w:t>
      </w:r>
      <w:r w:rsidR="00FE1A63" w:rsidRPr="00FE1A63">
        <w:rPr>
          <w:rStyle w:val="FootnoteReference"/>
          <w:szCs w:val="24"/>
        </w:rPr>
        <w:t xml:space="preserve"> </w:t>
      </w:r>
      <w:r w:rsidR="00FE1A63">
        <w:rPr>
          <w:rStyle w:val="FootnoteReference"/>
          <w:szCs w:val="24"/>
        </w:rPr>
        <w:footnoteReference w:id="9"/>
      </w:r>
    </w:p>
    <w:p w14:paraId="4F2C4B01" w14:textId="036C0FEA" w:rsidR="00641F4F" w:rsidRPr="00990C5C" w:rsidRDefault="00044A5B" w:rsidP="076E9460">
      <w:pPr>
        <w:numPr>
          <w:ilvl w:val="0"/>
          <w:numId w:val="6"/>
        </w:numPr>
        <w:rPr>
          <w:szCs w:val="24"/>
        </w:rPr>
      </w:pPr>
      <w:r w:rsidRPr="00990C5C">
        <w:rPr>
          <w:szCs w:val="24"/>
        </w:rPr>
        <w:lastRenderedPageBreak/>
        <w:t>The average age at death among individuals reported with HIV increased by 4.5 years, from 56.5 years in 2015 to 61.0 years in 2024</w:t>
      </w:r>
      <w:r w:rsidR="00641F4F" w:rsidRPr="00990C5C">
        <w:rPr>
          <w:szCs w:val="24"/>
        </w:rPr>
        <w:t>.</w:t>
      </w:r>
      <w:r w:rsidR="00A01EAF" w:rsidRPr="00990C5C">
        <w:rPr>
          <w:rStyle w:val="FootnoteReference"/>
          <w:szCs w:val="24"/>
        </w:rPr>
        <w:footnoteReference w:id="10"/>
      </w:r>
      <w:r w:rsidR="00B65258" w:rsidRPr="00990C5C">
        <w:rPr>
          <w:rFonts w:eastAsiaTheme="minorEastAsia" w:hAnsi="Arial"/>
          <w:kern w:val="24"/>
          <w:szCs w:val="24"/>
        </w:rPr>
        <w:t xml:space="preserve"> </w:t>
      </w:r>
      <w:r w:rsidR="00AD33B4" w:rsidRPr="00990C5C">
        <w:rPr>
          <w:szCs w:val="24"/>
        </w:rPr>
        <w:t>For comparison, the average age at death of the general Massachusetts population remained between 75.1 and 76.8 from 2014 to 2023</w:t>
      </w:r>
      <w:r w:rsidR="00B65258" w:rsidRPr="00990C5C">
        <w:rPr>
          <w:szCs w:val="24"/>
        </w:rPr>
        <w:t>.</w:t>
      </w:r>
      <w:r w:rsidR="00AD33B4" w:rsidRPr="00990C5C">
        <w:rPr>
          <w:rStyle w:val="FootnoteReference"/>
          <w:szCs w:val="24"/>
        </w:rPr>
        <w:footnoteReference w:id="11"/>
      </w:r>
      <w:r w:rsidR="00B65258" w:rsidRPr="00990C5C">
        <w:rPr>
          <w:szCs w:val="24"/>
        </w:rPr>
        <w:t xml:space="preserve"> </w:t>
      </w:r>
    </w:p>
    <w:p w14:paraId="5AC15652" w14:textId="77777777" w:rsidR="00A01EAF" w:rsidRPr="00A01EAF" w:rsidRDefault="00A01EAF" w:rsidP="00A01EAF">
      <w:pPr>
        <w:pStyle w:val="ListParagraph"/>
        <w:numPr>
          <w:ilvl w:val="0"/>
          <w:numId w:val="6"/>
        </w:numPr>
        <w:spacing w:line="240" w:lineRule="auto"/>
        <w:contextualSpacing w:val="0"/>
        <w:rPr>
          <w:szCs w:val="24"/>
        </w:rPr>
      </w:pPr>
      <w:r w:rsidRPr="00A01EAF">
        <w:rPr>
          <w:szCs w:val="24"/>
        </w:rPr>
        <w:t xml:space="preserve">Survival of individuals diagnosed with AIDS has increased over time. In the earliest cohort of AIDS diagnoses (1990–1994), estimated survival at five years after AIDS diagnosis was 32%, compared to 89% in the most recent cohort (2020–2024). </w:t>
      </w:r>
    </w:p>
    <w:p w14:paraId="127D8274" w14:textId="0A23E7C3" w:rsidR="00D8732E" w:rsidRPr="00A01EAF" w:rsidRDefault="00A01EAF" w:rsidP="00A01EAF">
      <w:pPr>
        <w:pStyle w:val="ListParagraph"/>
        <w:numPr>
          <w:ilvl w:val="0"/>
          <w:numId w:val="6"/>
        </w:numPr>
        <w:rPr>
          <w:rStyle w:val="FootnoteReference"/>
          <w:szCs w:val="24"/>
          <w:vertAlign w:val="baseline"/>
        </w:rPr>
      </w:pPr>
      <w:r w:rsidRPr="00A01EAF">
        <w:rPr>
          <w:szCs w:val="24"/>
        </w:rPr>
        <w:t>The proportion of deaths among individuals reported with HIV infection attributed to HIV-related causes decreased from 31% (N=89/284) in 2015 to 17% (N=51/307) in 2023. The leading non HIV-related causes of death among individuals reported with HIV infection who died in 2023 (with a known cause) were external causes of injuries</w:t>
      </w:r>
      <w:r w:rsidRPr="00A01EAF">
        <w:rPr>
          <w:szCs w:val="24"/>
          <w:vertAlign w:val="superscript"/>
        </w:rPr>
        <w:t xml:space="preserve"> </w:t>
      </w:r>
      <w:r w:rsidRPr="00A01EAF">
        <w:rPr>
          <w:szCs w:val="24"/>
        </w:rPr>
        <w:t>and poisonings (which includes opioid overdoses) and cancer which both accounted for 22% (N=67/307) of deaths, and heart disease which accounted for 9% (N=26/307) of deaths</w:t>
      </w:r>
      <w:r w:rsidR="00FE1A63">
        <w:rPr>
          <w:szCs w:val="24"/>
        </w:rPr>
        <w:t>.</w:t>
      </w:r>
      <w:r w:rsidR="00FE1A63">
        <w:rPr>
          <w:rStyle w:val="FootnoteReference"/>
          <w:szCs w:val="24"/>
        </w:rPr>
        <w:footnoteReference w:id="12"/>
      </w:r>
      <w:r w:rsidRPr="00A01EAF">
        <w:rPr>
          <w:szCs w:val="24"/>
        </w:rPr>
        <w:t xml:space="preserve"> </w:t>
      </w:r>
      <w:r w:rsidR="6B15C5F6" w:rsidRPr="00A01EAF">
        <w:rPr>
          <w:szCs w:val="24"/>
        </w:rPr>
        <w:t xml:space="preserve"> </w:t>
      </w:r>
    </w:p>
    <w:p w14:paraId="343EBE11" w14:textId="335B3362" w:rsidR="00641F4F" w:rsidRPr="005C4024" w:rsidRDefault="00641F4F" w:rsidP="00CA2ADE">
      <w:pPr>
        <w:rPr>
          <w:b/>
          <w:bCs/>
          <w:szCs w:val="24"/>
        </w:rPr>
      </w:pPr>
      <w:r w:rsidRPr="005C4024">
        <w:rPr>
          <w:b/>
          <w:bCs/>
          <w:szCs w:val="24"/>
        </w:rPr>
        <w:t>Geographic Distribution of HIV Infection</w:t>
      </w:r>
    </w:p>
    <w:p w14:paraId="4F61F600" w14:textId="2D5162C1" w:rsidR="00B47324" w:rsidRPr="005C4024" w:rsidRDefault="00517242" w:rsidP="00044A5B">
      <w:pPr>
        <w:numPr>
          <w:ilvl w:val="0"/>
          <w:numId w:val="8"/>
        </w:numPr>
        <w:spacing w:line="240" w:lineRule="auto"/>
        <w:rPr>
          <w:szCs w:val="24"/>
        </w:rPr>
      </w:pPr>
      <w:r w:rsidRPr="005C4024">
        <w:rPr>
          <w:szCs w:val="24"/>
        </w:rPr>
        <w:t>The cities and towns with the highest average annual rate of HIV infection diagnosis during 202</w:t>
      </w:r>
      <w:r w:rsidR="005C4024" w:rsidRPr="005C4024">
        <w:rPr>
          <w:szCs w:val="24"/>
        </w:rPr>
        <w:t>2</w:t>
      </w:r>
      <w:r w:rsidRPr="005C4024">
        <w:rPr>
          <w:szCs w:val="24"/>
        </w:rPr>
        <w:t xml:space="preserve"> to 202</w:t>
      </w:r>
      <w:r w:rsidR="005C4024" w:rsidRPr="005C4024">
        <w:rPr>
          <w:szCs w:val="24"/>
        </w:rPr>
        <w:t>4</w:t>
      </w:r>
      <w:r w:rsidRPr="005C4024">
        <w:rPr>
          <w:szCs w:val="24"/>
        </w:rPr>
        <w:t xml:space="preserve"> </w:t>
      </w:r>
      <w:r w:rsidR="005C4024" w:rsidRPr="005C4024">
        <w:rPr>
          <w:szCs w:val="24"/>
        </w:rPr>
        <w:t>included Brockton (30.3 per 100,000), Everett (21.1), Chelsea (19.6), Randolph (18.1), and Boston (17.4</w:t>
      </w:r>
      <w:r w:rsidRPr="005C4024">
        <w:rPr>
          <w:szCs w:val="24"/>
        </w:rPr>
        <w:t>)</w:t>
      </w:r>
      <w:r w:rsidR="55ED95D3" w:rsidRPr="005C4024">
        <w:rPr>
          <w:szCs w:val="24"/>
        </w:rPr>
        <w:t>.</w:t>
      </w:r>
      <w:r w:rsidR="007577F5" w:rsidRPr="005C4024">
        <w:rPr>
          <w:rStyle w:val="FootnoteReference"/>
          <w:szCs w:val="24"/>
        </w:rPr>
        <w:footnoteReference w:id="13"/>
      </w:r>
      <w:r w:rsidR="55ED95D3" w:rsidRPr="005C4024">
        <w:rPr>
          <w:szCs w:val="24"/>
        </w:rPr>
        <w:t xml:space="preserve"> </w:t>
      </w:r>
      <w:r w:rsidRPr="005C4024">
        <w:rPr>
          <w:szCs w:val="24"/>
        </w:rPr>
        <w:t xml:space="preserve">Boston had the highest number of new HIV infection diagnoses from </w:t>
      </w:r>
      <w:r w:rsidR="00793583" w:rsidRPr="005C4024">
        <w:rPr>
          <w:szCs w:val="24"/>
        </w:rPr>
        <w:t>2022–2024</w:t>
      </w:r>
      <w:r w:rsidRPr="005C4024">
        <w:rPr>
          <w:szCs w:val="24"/>
        </w:rPr>
        <w:t xml:space="preserve"> </w:t>
      </w:r>
      <w:r w:rsidR="005C4024" w:rsidRPr="005C4024">
        <w:rPr>
          <w:szCs w:val="24"/>
        </w:rPr>
        <w:t>(N=352), followed by Brockton (N=96)</w:t>
      </w:r>
      <w:r w:rsidR="60EC458A" w:rsidRPr="005C4024">
        <w:rPr>
          <w:szCs w:val="24"/>
        </w:rPr>
        <w:t xml:space="preserve">. </w:t>
      </w:r>
    </w:p>
    <w:p w14:paraId="0616BD63" w14:textId="7F999D7E" w:rsidR="007B559D" w:rsidRPr="00A01EAF" w:rsidRDefault="00A01EAF" w:rsidP="00A01EAF">
      <w:pPr>
        <w:pStyle w:val="ListParagraph"/>
        <w:numPr>
          <w:ilvl w:val="0"/>
          <w:numId w:val="8"/>
        </w:numPr>
        <w:rPr>
          <w:szCs w:val="24"/>
        </w:rPr>
      </w:pPr>
      <w:r w:rsidRPr="00A01EAF">
        <w:rPr>
          <w:szCs w:val="24"/>
        </w:rPr>
        <w:t>Suffolk County was selected as one of 48 counties nationally that was prioritized for funding in the U.S. Health and Human Services initiative “Ending the HIV Epidemic (EHE): A Plan for America</w:t>
      </w:r>
      <w:r w:rsidR="006E3F7F">
        <w:rPr>
          <w:szCs w:val="24"/>
        </w:rPr>
        <w:t>.</w:t>
      </w:r>
      <w:r w:rsidRPr="00A01EAF">
        <w:rPr>
          <w:szCs w:val="24"/>
        </w:rPr>
        <w:t>” Suffolk County had the highest average age-adjusted rate of HIV infection diagnosis during 2022 to 2024 among all Massachusetts counties at 14.7 per 100,000.</w:t>
      </w:r>
    </w:p>
    <w:p w14:paraId="1A703B0D" w14:textId="4D09A549" w:rsidR="00641F4F" w:rsidRPr="003E517E" w:rsidRDefault="00641F4F" w:rsidP="007B559D">
      <w:pPr>
        <w:spacing w:line="240" w:lineRule="auto"/>
        <w:ind w:left="360"/>
      </w:pPr>
      <w:r w:rsidRPr="003E517E">
        <w:rPr>
          <w:b/>
          <w:bCs/>
        </w:rPr>
        <w:t>The Massachusetts HIV Care Continuum</w:t>
      </w:r>
    </w:p>
    <w:p w14:paraId="0D7EA853" w14:textId="77777777" w:rsidR="003E517E" w:rsidRPr="003E517E" w:rsidRDefault="003E517E" w:rsidP="003E517E">
      <w:pPr>
        <w:numPr>
          <w:ilvl w:val="0"/>
          <w:numId w:val="9"/>
        </w:numPr>
        <w:rPr>
          <w:szCs w:val="24"/>
        </w:rPr>
      </w:pPr>
      <w:r w:rsidRPr="003E517E">
        <w:rPr>
          <w:szCs w:val="24"/>
        </w:rPr>
        <w:t xml:space="preserve">Among 513 individuals newly diagnosed with HIV infection in 2023 (and alive in Massachusetts through 2024), </w:t>
      </w:r>
      <w:r w:rsidR="009F6845" w:rsidRPr="003E517E">
        <w:rPr>
          <w:szCs w:val="24"/>
        </w:rPr>
        <w:t>8</w:t>
      </w:r>
      <w:r w:rsidRPr="003E517E">
        <w:rPr>
          <w:szCs w:val="24"/>
        </w:rPr>
        <w:t>5</w:t>
      </w:r>
      <w:r w:rsidR="009F6845" w:rsidRPr="003E517E">
        <w:rPr>
          <w:szCs w:val="24"/>
        </w:rPr>
        <w:t>% overall achieved viral suppression</w:t>
      </w:r>
      <w:r w:rsidR="41FD206F" w:rsidRPr="003E517E">
        <w:rPr>
          <w:szCs w:val="24"/>
        </w:rPr>
        <w:t>,</w:t>
      </w:r>
      <w:r w:rsidR="00641F4F" w:rsidRPr="003E517E">
        <w:rPr>
          <w:rStyle w:val="FootnoteReference"/>
          <w:szCs w:val="24"/>
        </w:rPr>
        <w:footnoteReference w:id="14"/>
      </w:r>
      <w:r w:rsidR="41FD206F" w:rsidRPr="003E517E">
        <w:rPr>
          <w:szCs w:val="24"/>
        </w:rPr>
        <w:t xml:space="preserve"> </w:t>
      </w:r>
      <w:r w:rsidR="57C2AEB8" w:rsidRPr="003E517E">
        <w:rPr>
          <w:szCs w:val="24"/>
        </w:rPr>
        <w:t xml:space="preserve">increasing to </w:t>
      </w:r>
      <w:r w:rsidR="009F6845" w:rsidRPr="003E517E">
        <w:rPr>
          <w:szCs w:val="24"/>
        </w:rPr>
        <w:t>90</w:t>
      </w:r>
      <w:r w:rsidR="55ED95D3" w:rsidRPr="003E517E">
        <w:rPr>
          <w:szCs w:val="24"/>
        </w:rPr>
        <w:t xml:space="preserve">% </w:t>
      </w:r>
      <w:r w:rsidR="4D37535A" w:rsidRPr="003E517E">
        <w:rPr>
          <w:szCs w:val="24"/>
        </w:rPr>
        <w:t>among</w:t>
      </w:r>
      <w:r w:rsidR="55ED95D3" w:rsidRPr="003E517E">
        <w:rPr>
          <w:szCs w:val="24"/>
        </w:rPr>
        <w:t xml:space="preserve"> those linked to care</w:t>
      </w:r>
      <w:r w:rsidR="41FD206F" w:rsidRPr="003E517E">
        <w:rPr>
          <w:szCs w:val="24"/>
        </w:rPr>
        <w:t>,</w:t>
      </w:r>
      <w:r w:rsidR="00641F4F" w:rsidRPr="003E517E">
        <w:rPr>
          <w:rStyle w:val="FootnoteReference"/>
          <w:szCs w:val="24"/>
        </w:rPr>
        <w:footnoteReference w:id="15"/>
      </w:r>
      <w:r w:rsidR="41FD206F" w:rsidRPr="003E517E">
        <w:rPr>
          <w:szCs w:val="24"/>
        </w:rPr>
        <w:t xml:space="preserve"> </w:t>
      </w:r>
      <w:r w:rsidR="55ED95D3" w:rsidRPr="003E517E">
        <w:rPr>
          <w:szCs w:val="24"/>
        </w:rPr>
        <w:t xml:space="preserve">and </w:t>
      </w:r>
      <w:r w:rsidR="6F72650C" w:rsidRPr="003E517E">
        <w:rPr>
          <w:szCs w:val="24"/>
        </w:rPr>
        <w:t xml:space="preserve">to </w:t>
      </w:r>
      <w:r w:rsidR="55ED95D3" w:rsidRPr="003E517E">
        <w:rPr>
          <w:szCs w:val="24"/>
        </w:rPr>
        <w:t>9</w:t>
      </w:r>
      <w:r w:rsidR="009F6845" w:rsidRPr="003E517E">
        <w:rPr>
          <w:szCs w:val="24"/>
        </w:rPr>
        <w:t>3</w:t>
      </w:r>
      <w:r w:rsidR="55ED95D3" w:rsidRPr="003E517E">
        <w:rPr>
          <w:szCs w:val="24"/>
        </w:rPr>
        <w:t xml:space="preserve">% </w:t>
      </w:r>
      <w:r w:rsidR="5B8D6618" w:rsidRPr="003E517E">
        <w:rPr>
          <w:szCs w:val="24"/>
        </w:rPr>
        <w:t>among</w:t>
      </w:r>
      <w:r w:rsidR="55ED95D3" w:rsidRPr="003E517E">
        <w:rPr>
          <w:szCs w:val="24"/>
        </w:rPr>
        <w:t xml:space="preserve"> those retained in care</w:t>
      </w:r>
      <w:r w:rsidR="00641F4F" w:rsidRPr="003E517E">
        <w:rPr>
          <w:rStyle w:val="FootnoteReference"/>
          <w:szCs w:val="24"/>
        </w:rPr>
        <w:footnoteReference w:id="16"/>
      </w:r>
      <w:r w:rsidR="41FD206F" w:rsidRPr="003E517E">
        <w:rPr>
          <w:szCs w:val="24"/>
        </w:rPr>
        <w:t xml:space="preserve">. </w:t>
      </w:r>
      <w:r w:rsidRPr="003E517E">
        <w:rPr>
          <w:szCs w:val="24"/>
        </w:rPr>
        <w:t>Viral suppression was lowest among individuals with IDU exposure mode (56% compared to 81% to 90% among other exposure modes).</w:t>
      </w:r>
    </w:p>
    <w:p w14:paraId="0BBF646E" w14:textId="788B04F7" w:rsidR="00A117E9" w:rsidRPr="0040512C" w:rsidRDefault="003E517E" w:rsidP="006738B9">
      <w:pPr>
        <w:numPr>
          <w:ilvl w:val="0"/>
          <w:numId w:val="9"/>
        </w:numPr>
        <w:spacing w:line="240" w:lineRule="auto"/>
      </w:pPr>
      <w:r w:rsidRPr="003E517E">
        <w:rPr>
          <w:szCs w:val="24"/>
        </w:rPr>
        <w:lastRenderedPageBreak/>
        <w:t>Among 23,515 persons living with HIV infection (PLWH) in Massachusetts at the end of 2024</w:t>
      </w:r>
      <w:r w:rsidRPr="003E517E">
        <w:rPr>
          <w:szCs w:val="24"/>
          <w:vertAlign w:val="superscript"/>
        </w:rPr>
        <w:t xml:space="preserve"> </w:t>
      </w:r>
      <w:r w:rsidRPr="003E517E">
        <w:rPr>
          <w:szCs w:val="24"/>
        </w:rPr>
        <w:t>(and diagnosed through 2023),</w:t>
      </w:r>
      <w:r w:rsidR="00D91DEE" w:rsidRPr="005406ED">
        <w:rPr>
          <w:rStyle w:val="FootnoteReference"/>
        </w:rPr>
        <w:footnoteReference w:id="17"/>
      </w:r>
      <w:r w:rsidRPr="003E517E">
        <w:rPr>
          <w:szCs w:val="24"/>
        </w:rPr>
        <w:t xml:space="preserve"> 64% were virally suppressed</w:t>
      </w:r>
      <w:r w:rsidR="49AF9E79" w:rsidRPr="003E517E">
        <w:rPr>
          <w:szCs w:val="24"/>
        </w:rPr>
        <w:t>,</w:t>
      </w:r>
      <w:r w:rsidR="00641F4F" w:rsidRPr="003E517E">
        <w:rPr>
          <w:rStyle w:val="FootnoteReference"/>
          <w:szCs w:val="24"/>
        </w:rPr>
        <w:footnoteReference w:id="18"/>
      </w:r>
      <w:r w:rsidR="49AF9E79" w:rsidRPr="003E517E">
        <w:rPr>
          <w:szCs w:val="24"/>
        </w:rPr>
        <w:t xml:space="preserve"> </w:t>
      </w:r>
      <w:r w:rsidR="005968A4" w:rsidRPr="003E517E">
        <w:rPr>
          <w:szCs w:val="24"/>
        </w:rPr>
        <w:t xml:space="preserve">4% were not virally suppressed, </w:t>
      </w:r>
      <w:r w:rsidR="0040512C" w:rsidRPr="003E517E">
        <w:rPr>
          <w:szCs w:val="24"/>
        </w:rPr>
        <w:t>and 3</w:t>
      </w:r>
      <w:r w:rsidRPr="003E517E">
        <w:rPr>
          <w:szCs w:val="24"/>
        </w:rPr>
        <w:t>3</w:t>
      </w:r>
      <w:r w:rsidR="0040512C" w:rsidRPr="003E517E">
        <w:rPr>
          <w:szCs w:val="24"/>
        </w:rPr>
        <w:t>% did not have a viral load test done in 202</w:t>
      </w:r>
      <w:r w:rsidRPr="003E517E">
        <w:rPr>
          <w:szCs w:val="24"/>
        </w:rPr>
        <w:t>4</w:t>
      </w:r>
      <w:r w:rsidR="0040512C" w:rsidRPr="003E517E">
        <w:rPr>
          <w:szCs w:val="24"/>
        </w:rPr>
        <w:t>. Viral suppression increased to 9</w:t>
      </w:r>
      <w:r w:rsidRPr="003E517E">
        <w:rPr>
          <w:szCs w:val="24"/>
        </w:rPr>
        <w:t>0</w:t>
      </w:r>
      <w:r w:rsidR="0040512C" w:rsidRPr="003E517E">
        <w:rPr>
          <w:szCs w:val="24"/>
        </w:rPr>
        <w:t>% among those engaged in care</w:t>
      </w:r>
      <w:r w:rsidR="00641F4F" w:rsidRPr="003E517E">
        <w:rPr>
          <w:rStyle w:val="FootnoteReference"/>
          <w:szCs w:val="24"/>
        </w:rPr>
        <w:footnoteReference w:id="19"/>
      </w:r>
      <w:r w:rsidR="49AF9E79" w:rsidRPr="003E517E">
        <w:rPr>
          <w:szCs w:val="24"/>
        </w:rPr>
        <w:t xml:space="preserve"> and </w:t>
      </w:r>
      <w:r w:rsidR="002241E7" w:rsidRPr="003E517E">
        <w:rPr>
          <w:szCs w:val="24"/>
        </w:rPr>
        <w:t xml:space="preserve">to </w:t>
      </w:r>
      <w:r w:rsidR="49AF9E79" w:rsidRPr="003E517E">
        <w:rPr>
          <w:szCs w:val="24"/>
        </w:rPr>
        <w:t>9</w:t>
      </w:r>
      <w:r w:rsidRPr="003E517E">
        <w:rPr>
          <w:szCs w:val="24"/>
        </w:rPr>
        <w:t>4</w:t>
      </w:r>
      <w:r w:rsidR="49AF9E79" w:rsidRPr="003E517E">
        <w:rPr>
          <w:szCs w:val="24"/>
        </w:rPr>
        <w:t xml:space="preserve">% </w:t>
      </w:r>
      <w:r w:rsidR="002241E7" w:rsidRPr="003E517E">
        <w:rPr>
          <w:szCs w:val="24"/>
        </w:rPr>
        <w:t>among</w:t>
      </w:r>
      <w:r w:rsidR="49AF9E79" w:rsidRPr="003E517E">
        <w:rPr>
          <w:szCs w:val="24"/>
        </w:rPr>
        <w:t xml:space="preserve"> those retained in care</w:t>
      </w:r>
      <w:r w:rsidR="00265A59" w:rsidRPr="003E517E">
        <w:rPr>
          <w:rStyle w:val="FootnoteReference"/>
          <w:szCs w:val="24"/>
        </w:rPr>
        <w:footnoteReference w:id="20"/>
      </w:r>
      <w:r w:rsidR="1A95EB0F" w:rsidRPr="003E517E">
        <w:rPr>
          <w:rFonts w:eastAsia="Arial"/>
          <w:szCs w:val="24"/>
        </w:rPr>
        <w:t xml:space="preserve">. </w:t>
      </w:r>
      <w:r w:rsidR="005968A4" w:rsidRPr="003E517E">
        <w:rPr>
          <w:rStyle w:val="normaltextrun"/>
          <w:rFonts w:ascii="Calibri" w:hAnsi="Calibri" w:cs="Calibri"/>
          <w:szCs w:val="24"/>
          <w:shd w:val="clear" w:color="auto" w:fill="FFFFFF"/>
        </w:rPr>
        <w:t>Please note that the rate of viral suppression may be underestimated as the total number of PLWH used to calculate these rates includes all individuals who have ever been diagnosed with HIV infection in Massachusetts</w:t>
      </w:r>
      <w:r w:rsidR="0081707C" w:rsidRPr="003E517E">
        <w:rPr>
          <w:rStyle w:val="normaltextrun"/>
          <w:rFonts w:ascii="Calibri" w:hAnsi="Calibri" w:cs="Calibri"/>
          <w:szCs w:val="24"/>
          <w:shd w:val="clear" w:color="auto" w:fill="FFFFFF"/>
        </w:rPr>
        <w:t>,</w:t>
      </w:r>
      <w:r w:rsidR="005968A4" w:rsidRPr="003E517E">
        <w:rPr>
          <w:rStyle w:val="normaltextrun"/>
          <w:rFonts w:ascii="Calibri" w:hAnsi="Calibri" w:cs="Calibri"/>
          <w:szCs w:val="24"/>
          <w:shd w:val="clear" w:color="auto" w:fill="FFFFFF"/>
        </w:rPr>
        <w:t xml:space="preserve"> with no evidence of death or having moved out of the state or country.</w:t>
      </w:r>
      <w:r w:rsidR="00FB6301" w:rsidRPr="003E517E">
        <w:rPr>
          <w:rStyle w:val="normaltextrun"/>
          <w:rFonts w:ascii="Calibri" w:hAnsi="Calibri" w:cs="Calibri"/>
          <w:szCs w:val="24"/>
          <w:shd w:val="clear" w:color="auto" w:fill="FFFFFF"/>
        </w:rPr>
        <w:t xml:space="preserve"> See the section, </w:t>
      </w:r>
      <w:hyperlink w:anchor="_HIV_CARE_CONTINUUM" w:history="1">
        <w:r w:rsidR="00FB6301" w:rsidRPr="003E517E">
          <w:rPr>
            <w:rStyle w:val="Hyperlink"/>
            <w:rFonts w:ascii="Calibri" w:hAnsi="Calibri" w:cs="Calibri"/>
            <w:b/>
            <w:bCs/>
            <w:color w:val="0000FF"/>
            <w:szCs w:val="24"/>
            <w:shd w:val="clear" w:color="auto" w:fill="FFFFFF"/>
          </w:rPr>
          <w:t>Massachusetts HIV Care Continuum</w:t>
        </w:r>
      </w:hyperlink>
      <w:r w:rsidR="00FB6301" w:rsidRPr="003E517E">
        <w:rPr>
          <w:rStyle w:val="normaltextrun"/>
          <w:rFonts w:ascii="Calibri" w:hAnsi="Calibri" w:cs="Calibri"/>
          <w:color w:val="0000FF"/>
          <w:szCs w:val="24"/>
          <w:shd w:val="clear" w:color="auto" w:fill="FFFFFF"/>
        </w:rPr>
        <w:t xml:space="preserve"> </w:t>
      </w:r>
      <w:r w:rsidR="00FB6301" w:rsidRPr="003E517E">
        <w:rPr>
          <w:rStyle w:val="normaltextrun"/>
          <w:rFonts w:ascii="Calibri" w:hAnsi="Calibri" w:cs="Calibri"/>
          <w:szCs w:val="24"/>
          <w:shd w:val="clear" w:color="auto" w:fill="FFFFFF"/>
        </w:rPr>
        <w:t>– PLWH for more information.</w:t>
      </w:r>
      <w:r w:rsidR="00A117E9" w:rsidRPr="0040512C">
        <w:br w:type="page"/>
      </w:r>
    </w:p>
    <w:p w14:paraId="06378973" w14:textId="13C1C56B" w:rsidR="00D90FD3" w:rsidRPr="009B2711" w:rsidRDefault="00D90FD3" w:rsidP="009661FA">
      <w:pPr>
        <w:pStyle w:val="Heading1"/>
      </w:pPr>
      <w:bookmarkStart w:id="2" w:name="_Toc168575090"/>
      <w:r w:rsidRPr="009B2711">
        <w:lastRenderedPageBreak/>
        <w:t>EPIDEMIC AT A GLANCE</w:t>
      </w:r>
      <w:bookmarkEnd w:id="2"/>
    </w:p>
    <w:p w14:paraId="2A22A73A" w14:textId="20DC1F48" w:rsidR="00D76D67" w:rsidRPr="00C855C8" w:rsidRDefault="00C855C8" w:rsidP="00627688">
      <w:pPr>
        <w:spacing w:line="240" w:lineRule="auto"/>
      </w:pPr>
      <w:r w:rsidRPr="00C855C8">
        <w:t>The number of persons living with HIV infection (PLWH) in Massachusetts increased by 13% from 22,078 in 2015 to 24,838 in 2024.</w:t>
      </w:r>
      <w:r w:rsidR="001D733B" w:rsidRPr="005406ED">
        <w:rPr>
          <w:rStyle w:val="FootnoteReference"/>
        </w:rPr>
        <w:footnoteReference w:id="21"/>
      </w:r>
      <w:r w:rsidRPr="00C855C8">
        <w:t xml:space="preserve"> After ranging from 609 to 654 from 2015 to 2018, the number of new HIV infection diagnoses declined to 529 in 2019. In 2020, the number of new HIV infection diagnoses further declined to 435 and then remained at this lower level in 2021 and 2022, when there were 451 and 448 diagnoses, respectively. However, caution should be used in the interpretation of this decline and subsequent stabilization due to the impact of COVID-19 on access to HIV testing and care services, and case surveillance activities. The number of new HIV infection diagnoses returned to pre-pandemic levels in 2023 (N=546), increasing by 22% compared to the prior year, and then increased by an additional 10% in 2024 to 602. </w:t>
      </w:r>
      <w:r w:rsidR="00490FB6" w:rsidRPr="00490FB6">
        <w:t>The number of deaths due to any cause among individuals reported with HIV infection increased by 14% from 325 in 2015 to a peak of 369 in 2022 and then decreased by 11% to 330 in 2024</w:t>
      </w:r>
      <w:r w:rsidR="24EB2C54" w:rsidRPr="00C855C8">
        <w:t>.</w:t>
      </w:r>
    </w:p>
    <w:p w14:paraId="3023353E" w14:textId="6FB8C0A0" w:rsidR="00D90FD3" w:rsidRPr="00C855C8" w:rsidRDefault="00D90FD3" w:rsidP="00627688">
      <w:pPr>
        <w:spacing w:line="240" w:lineRule="auto"/>
      </w:pPr>
      <w:r w:rsidRPr="00C855C8">
        <w:rPr>
          <w:b/>
          <w:bCs/>
        </w:rPr>
        <w:t xml:space="preserve">FIGURE 1: </w:t>
      </w:r>
      <w:r w:rsidRPr="00C855C8">
        <w:t xml:space="preserve">History of the HIV epidemic, Massachusetts </w:t>
      </w:r>
      <w:r w:rsidR="00491BB0" w:rsidRPr="00C855C8">
        <w:t>201</w:t>
      </w:r>
      <w:r w:rsidR="00C855C8">
        <w:t>5</w:t>
      </w:r>
      <w:r w:rsidR="00491BB0" w:rsidRPr="00C855C8">
        <w:t>–202</w:t>
      </w:r>
      <w:r w:rsidR="00C855C8">
        <w:t>4</w:t>
      </w:r>
    </w:p>
    <w:p w14:paraId="6D4966A8" w14:textId="3AE77D99" w:rsidR="008D411F" w:rsidRPr="00030CFD" w:rsidRDefault="00C855C8" w:rsidP="00627688">
      <w:pPr>
        <w:spacing w:line="240" w:lineRule="auto"/>
        <w:rPr>
          <w:color w:val="EE0000"/>
        </w:rPr>
      </w:pPr>
      <w:r>
        <w:rPr>
          <w:noProof/>
          <w:color w:val="EE0000"/>
        </w:rPr>
        <w:drawing>
          <wp:inline distT="0" distB="0" distL="0" distR="0" wp14:anchorId="30800280" wp14:editId="72BAC7B1">
            <wp:extent cx="3408045" cy="2560320"/>
            <wp:effectExtent l="0" t="0" r="1905" b="0"/>
            <wp:docPr id="985658902" name="Picture 1" descr="The figure displays trends in the annual number of new HIV diagnoses and all-cause deaths among individuals reported with HIV from 2015-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58902" name="Picture 1" descr="The figure displays trends in the annual number of new HIV diagnoses and all-cause deaths among individuals reported with HIV from 2015-2024.&#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8045" cy="2560320"/>
                    </a:xfrm>
                    <a:prstGeom prst="rect">
                      <a:avLst/>
                    </a:prstGeom>
                    <a:noFill/>
                  </pic:spPr>
                </pic:pic>
              </a:graphicData>
            </a:graphic>
          </wp:inline>
        </w:drawing>
      </w:r>
    </w:p>
    <w:p w14:paraId="00C49EB6" w14:textId="5B03BCE3" w:rsidR="00D90FD3" w:rsidRPr="00030CFD" w:rsidRDefault="00C855C8" w:rsidP="00627688">
      <w:pPr>
        <w:spacing w:line="240" w:lineRule="auto"/>
        <w:rPr>
          <w:color w:val="EE0000"/>
        </w:rPr>
      </w:pPr>
      <w:r>
        <w:rPr>
          <w:noProof/>
          <w:color w:val="EE0000"/>
        </w:rPr>
        <w:lastRenderedPageBreak/>
        <w:drawing>
          <wp:inline distT="0" distB="0" distL="0" distR="0" wp14:anchorId="0DA1E3C9" wp14:editId="1B875E2A">
            <wp:extent cx="3474720" cy="2554605"/>
            <wp:effectExtent l="0" t="0" r="0" b="0"/>
            <wp:docPr id="1696547685" name="Picture 2" descr="The figure displays a trend in the annual number of persons living with HIV infection from 2015-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47685" name="Picture 2" descr="The figure displays a trend in the annual number of persons living with HIV infection from 2015-2024.&#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4720" cy="2554605"/>
                    </a:xfrm>
                    <a:prstGeom prst="rect">
                      <a:avLst/>
                    </a:prstGeom>
                    <a:noFill/>
                  </pic:spPr>
                </pic:pic>
              </a:graphicData>
            </a:graphic>
          </wp:inline>
        </w:drawing>
      </w:r>
    </w:p>
    <w:p w14:paraId="631323BC" w14:textId="77777777" w:rsidR="00220D61" w:rsidRDefault="00220D61" w:rsidP="00627688">
      <w:pPr>
        <w:spacing w:line="240" w:lineRule="auto"/>
        <w:rPr>
          <w:color w:val="EE0000"/>
        </w:rPr>
      </w:pPr>
    </w:p>
    <w:p w14:paraId="0E97C2F9" w14:textId="1565896F" w:rsidR="00D90FD3" w:rsidRPr="00220D61" w:rsidRDefault="00D90FD3" w:rsidP="00627688">
      <w:pPr>
        <w:spacing w:line="240" w:lineRule="auto"/>
        <w:rPr>
          <w:szCs w:val="24"/>
        </w:rPr>
      </w:pPr>
      <w:r w:rsidRPr="00220D61">
        <w:t>N =</w:t>
      </w:r>
      <w:r w:rsidRPr="00220D61">
        <w:rPr>
          <w:rFonts w:ascii="Arial Narrow" w:eastAsiaTheme="minorEastAsia" w:hAnsi="Arial Narrow"/>
          <w:b/>
          <w:bCs/>
          <w:kern w:val="24"/>
        </w:rPr>
        <w:t xml:space="preserve"> </w:t>
      </w:r>
      <w:r w:rsidR="00220D61" w:rsidRPr="00220D61">
        <w:t>602</w:t>
      </w:r>
      <w:r w:rsidRPr="00220D61">
        <w:rPr>
          <w:szCs w:val="24"/>
        </w:rPr>
        <w:t xml:space="preserve"> </w:t>
      </w:r>
      <w:r w:rsidR="00CE3E04" w:rsidRPr="00220D61">
        <w:t>N</w:t>
      </w:r>
      <w:r w:rsidRPr="00220D61">
        <w:t xml:space="preserve">ew HIV diagnoses </w:t>
      </w:r>
      <w:r w:rsidR="00CE3E04" w:rsidRPr="00220D61">
        <w:t xml:space="preserve">in MA in </w:t>
      </w:r>
      <w:r w:rsidRPr="00220D61">
        <w:t>202</w:t>
      </w:r>
      <w:r w:rsidR="00220D61" w:rsidRPr="00220D61">
        <w:t>4</w:t>
      </w:r>
      <w:r w:rsidRPr="00220D61">
        <w:rPr>
          <w:rStyle w:val="FootnoteReference"/>
        </w:rPr>
        <w:footnoteReference w:id="22"/>
      </w:r>
    </w:p>
    <w:p w14:paraId="18BA66B4" w14:textId="2FBB06B2" w:rsidR="00CE3E04" w:rsidRPr="00220D61" w:rsidRDefault="00D90FD3" w:rsidP="00627688">
      <w:pPr>
        <w:spacing w:line="240" w:lineRule="auto"/>
        <w:rPr>
          <w:rFonts w:ascii="Arial Narrow" w:eastAsiaTheme="minorEastAsia" w:hAnsi="Arial Narrow"/>
          <w:b/>
          <w:bCs/>
          <w:kern w:val="24"/>
        </w:rPr>
      </w:pPr>
      <w:r w:rsidRPr="00220D61">
        <w:rPr>
          <w:szCs w:val="24"/>
        </w:rPr>
        <w:t xml:space="preserve">N = </w:t>
      </w:r>
      <w:r w:rsidR="00CE3E04" w:rsidRPr="00220D61">
        <w:rPr>
          <w:szCs w:val="24"/>
        </w:rPr>
        <w:t>2</w:t>
      </w:r>
      <w:r w:rsidR="006F7382" w:rsidRPr="00220D61">
        <w:rPr>
          <w:szCs w:val="24"/>
        </w:rPr>
        <w:t>4,</w:t>
      </w:r>
      <w:r w:rsidR="00220D61" w:rsidRPr="00220D61">
        <w:rPr>
          <w:szCs w:val="24"/>
        </w:rPr>
        <w:t>838</w:t>
      </w:r>
      <w:r w:rsidR="00CE3E04" w:rsidRPr="00220D61">
        <w:rPr>
          <w:szCs w:val="24"/>
        </w:rPr>
        <w:t xml:space="preserve"> P</w:t>
      </w:r>
      <w:r w:rsidRPr="00220D61">
        <w:rPr>
          <w:szCs w:val="24"/>
        </w:rPr>
        <w:t>ersons living with HIV infection in MA as of 12/31/202</w:t>
      </w:r>
      <w:r w:rsidR="00220D61" w:rsidRPr="00220D61">
        <w:rPr>
          <w:szCs w:val="24"/>
        </w:rPr>
        <w:t>4</w:t>
      </w:r>
    </w:p>
    <w:p w14:paraId="6F1F8366" w14:textId="6DEA91EF" w:rsidR="00D90FD3" w:rsidRPr="00220D61" w:rsidRDefault="00CE3E04" w:rsidP="00D9D008">
      <w:pPr>
        <w:spacing w:line="240" w:lineRule="auto"/>
        <w:rPr>
          <w:rFonts w:ascii="Arial Narrow" w:eastAsiaTheme="minorEastAsia" w:hAnsi="Arial Narrow"/>
          <w:b/>
          <w:bCs/>
          <w:kern w:val="24"/>
        </w:rPr>
      </w:pPr>
      <w:r w:rsidRPr="00220D61">
        <w:t>N = 3</w:t>
      </w:r>
      <w:r w:rsidR="00220D61" w:rsidRPr="00220D61">
        <w:t xml:space="preserve">30 </w:t>
      </w:r>
      <w:r w:rsidRPr="00220D61">
        <w:t>Deaths among individuals reported with HIV in MA in 202</w:t>
      </w:r>
      <w:r w:rsidR="00220D61" w:rsidRPr="00220D61">
        <w:t>4</w:t>
      </w:r>
    </w:p>
    <w:p w14:paraId="75BE96AF" w14:textId="165E1644" w:rsidR="006F7382" w:rsidRPr="00220D61" w:rsidRDefault="006F7382" w:rsidP="00845F06">
      <w:pPr>
        <w:spacing w:line="240" w:lineRule="auto"/>
      </w:pPr>
      <w:r w:rsidRPr="00220D61">
        <w:t xml:space="preserve">Men who have sex with men (MSM) continued to represent the largest proportion of new HIV infection diagnoses: </w:t>
      </w:r>
      <w:r w:rsidR="00220D61" w:rsidRPr="00220D61">
        <w:t>41</w:t>
      </w:r>
      <w:r w:rsidRPr="00220D61">
        <w:t>% of all new HIV infection diagnoses in 202</w:t>
      </w:r>
      <w:r w:rsidR="00220D61" w:rsidRPr="00220D61">
        <w:t>2</w:t>
      </w:r>
      <w:r w:rsidRPr="00220D61">
        <w:t>–202</w:t>
      </w:r>
      <w:r w:rsidR="00220D61" w:rsidRPr="00220D61">
        <w:t>4</w:t>
      </w:r>
      <w:r w:rsidRPr="00220D61">
        <w:t>, and 5</w:t>
      </w:r>
      <w:r w:rsidR="00220D61" w:rsidRPr="00220D61">
        <w:t>6</w:t>
      </w:r>
      <w:r w:rsidRPr="00220D61">
        <w:t>% among individuals assigned male at birth (AMAB).</w:t>
      </w:r>
    </w:p>
    <w:p w14:paraId="4AFDCEC9" w14:textId="2DADAC0D" w:rsidR="00845F06" w:rsidRPr="00220D61" w:rsidRDefault="006F7382" w:rsidP="00845F06">
      <w:pPr>
        <w:spacing w:line="240" w:lineRule="auto"/>
      </w:pPr>
      <w:r w:rsidRPr="00220D61">
        <w:t>During 202</w:t>
      </w:r>
      <w:r w:rsidR="00220D61" w:rsidRPr="00220D61">
        <w:t>2</w:t>
      </w:r>
      <w:r w:rsidRPr="00220D61">
        <w:t>–202</w:t>
      </w:r>
      <w:r w:rsidR="00220D61" w:rsidRPr="00220D61">
        <w:t>4</w:t>
      </w:r>
      <w:r w:rsidRPr="00220D61">
        <w:t>, the HIV infection diagnosis rates among Black (non-Hispanic) and Hispanic/Latinx individuals were 1</w:t>
      </w:r>
      <w:r w:rsidR="00220D61" w:rsidRPr="00220D61">
        <w:t>3</w:t>
      </w:r>
      <w:r w:rsidRPr="00220D61">
        <w:t xml:space="preserve"> and </w:t>
      </w:r>
      <w:r w:rsidR="00220D61" w:rsidRPr="00220D61">
        <w:t>six</w:t>
      </w:r>
      <w:r w:rsidRPr="00220D61">
        <w:t xml:space="preserve"> times that of White (non-Hispanic) individuals, respectively</w:t>
      </w:r>
      <w:r w:rsidR="06739436" w:rsidRPr="00220D61">
        <w:t>.</w:t>
      </w:r>
    </w:p>
    <w:p w14:paraId="21556EA0" w14:textId="2351B93F" w:rsidR="00845F06" w:rsidRPr="00220D61" w:rsidRDefault="006F7382" w:rsidP="00845F06">
      <w:pPr>
        <w:spacing w:line="240" w:lineRule="auto"/>
      </w:pPr>
      <w:r w:rsidRPr="00220D61">
        <w:t>Individuals with injection drug use (IDU) exposure mode accounted for 3</w:t>
      </w:r>
      <w:r w:rsidR="00220D61" w:rsidRPr="00220D61">
        <w:t>3</w:t>
      </w:r>
      <w:r w:rsidRPr="00220D61">
        <w:t>% of deaths among individuals reported with HIV in 202</w:t>
      </w:r>
      <w:r w:rsidR="0095237E">
        <w:t>4</w:t>
      </w:r>
      <w:r w:rsidRPr="00220D61">
        <w:t xml:space="preserve"> but only 1</w:t>
      </w:r>
      <w:r w:rsidR="00220D61" w:rsidRPr="00220D61">
        <w:t>3</w:t>
      </w:r>
      <w:r w:rsidRPr="00220D61">
        <w:t>% of all PLWH</w:t>
      </w:r>
      <w:r w:rsidR="00845F06" w:rsidRPr="00220D61">
        <w:t xml:space="preserve">. </w:t>
      </w:r>
    </w:p>
    <w:p w14:paraId="526EB3B8" w14:textId="7CDB8DB3" w:rsidR="00CE3E04" w:rsidRPr="00030CFD" w:rsidRDefault="00CE3E04" w:rsidP="00627688">
      <w:pPr>
        <w:spacing w:line="240" w:lineRule="auto"/>
        <w:rPr>
          <w:color w:val="EE0000"/>
        </w:rPr>
      </w:pPr>
      <w:r w:rsidRPr="00030CFD">
        <w:rPr>
          <w:color w:val="EE0000"/>
        </w:rPr>
        <w:br w:type="page"/>
      </w:r>
    </w:p>
    <w:p w14:paraId="7C8A106C" w14:textId="77777777" w:rsidR="00CE3E04" w:rsidRPr="00581E08" w:rsidRDefault="574D31D5" w:rsidP="009661FA">
      <w:pPr>
        <w:pStyle w:val="Heading1"/>
        <w:rPr>
          <w:color w:val="auto"/>
        </w:rPr>
      </w:pPr>
      <w:bookmarkStart w:id="3" w:name="_Toc168575091"/>
      <w:r w:rsidRPr="00666ABA">
        <w:lastRenderedPageBreak/>
        <w:t>TRENDS IN HIV INFECTION DIAGNOSES OVER TIME</w:t>
      </w:r>
      <w:bookmarkEnd w:id="3"/>
    </w:p>
    <w:p w14:paraId="61A05BFC" w14:textId="6A4E0C27" w:rsidR="00CE3E04" w:rsidRPr="00581E08" w:rsidRDefault="00CE3E04" w:rsidP="00954B45">
      <w:pPr>
        <w:spacing w:after="0" w:line="240" w:lineRule="auto"/>
      </w:pPr>
      <w:r w:rsidRPr="00581E08">
        <w:rPr>
          <w:b/>
          <w:bCs/>
        </w:rPr>
        <w:t xml:space="preserve">FIGURE 2: </w:t>
      </w:r>
      <w:r w:rsidRPr="00581E08">
        <w:t>Trends in HIV infection diagnoses, Massachusetts 201</w:t>
      </w:r>
      <w:r w:rsidR="00581E08" w:rsidRPr="00581E08">
        <w:t>5</w:t>
      </w:r>
      <w:r w:rsidRPr="00581E08">
        <w:t xml:space="preserve"> – 202</w:t>
      </w:r>
      <w:r w:rsidR="00581E08" w:rsidRPr="00581E08">
        <w:t>4</w:t>
      </w:r>
      <w:r w:rsidRPr="00581E08">
        <w:rPr>
          <w:rStyle w:val="FootnoteReference"/>
        </w:rPr>
        <w:footnoteReference w:id="23"/>
      </w:r>
    </w:p>
    <w:tbl>
      <w:tblPr>
        <w:tblStyle w:val="TableGrid"/>
        <w:tblW w:w="0" w:type="auto"/>
        <w:tblLook w:val="04A0" w:firstRow="1" w:lastRow="0" w:firstColumn="1" w:lastColumn="0" w:noHBand="0" w:noVBand="1"/>
      </w:tblPr>
      <w:tblGrid>
        <w:gridCol w:w="2875"/>
        <w:gridCol w:w="765"/>
        <w:gridCol w:w="765"/>
        <w:gridCol w:w="810"/>
        <w:gridCol w:w="810"/>
      </w:tblGrid>
      <w:tr w:rsidR="00715C7C" w:rsidRPr="00581E08" w14:paraId="00EDCF9D" w14:textId="77777777" w:rsidTr="006A336D">
        <w:trPr>
          <w:trHeight w:val="300"/>
        </w:trPr>
        <w:tc>
          <w:tcPr>
            <w:tcW w:w="2875" w:type="dxa"/>
            <w:vAlign w:val="center"/>
          </w:tcPr>
          <w:p w14:paraId="029753AE" w14:textId="77777777" w:rsidR="00715C7C" w:rsidRPr="00581E08" w:rsidRDefault="00715C7C" w:rsidP="005873E9">
            <w:pPr>
              <w:pStyle w:val="Style2"/>
              <w:rPr>
                <w:rFonts w:asciiTheme="minorHAnsi" w:hAnsiTheme="minorHAnsi" w:cstheme="minorHAnsi"/>
                <w:sz w:val="22"/>
                <w:szCs w:val="22"/>
              </w:rPr>
            </w:pPr>
            <w:r w:rsidRPr="00581E08">
              <w:rPr>
                <w:rFonts w:asciiTheme="minorHAnsi" w:hAnsiTheme="minorHAnsi" w:cstheme="minorHAnsi"/>
                <w:b/>
                <w:bCs/>
                <w:sz w:val="22"/>
                <w:szCs w:val="22"/>
              </w:rPr>
              <w:t>HIV Infection Diagnoses</w:t>
            </w:r>
          </w:p>
        </w:tc>
        <w:tc>
          <w:tcPr>
            <w:tcW w:w="765" w:type="dxa"/>
            <w:vAlign w:val="center"/>
          </w:tcPr>
          <w:p w14:paraId="11DE2B13" w14:textId="0DB3B423" w:rsidR="00715C7C" w:rsidRPr="00CF4744" w:rsidRDefault="00715C7C" w:rsidP="009701CB">
            <w:pPr>
              <w:pStyle w:val="Style2"/>
              <w:jc w:val="center"/>
              <w:rPr>
                <w:rFonts w:asciiTheme="minorHAnsi" w:hAnsiTheme="minorHAnsi" w:cstheme="minorHAnsi"/>
                <w:sz w:val="22"/>
                <w:szCs w:val="22"/>
              </w:rPr>
            </w:pPr>
            <w:r w:rsidRPr="00CF4744">
              <w:rPr>
                <w:rFonts w:asciiTheme="minorHAnsi" w:hAnsiTheme="minorHAnsi" w:cstheme="minorHAnsi"/>
                <w:b/>
                <w:bCs/>
                <w:sz w:val="22"/>
                <w:szCs w:val="22"/>
              </w:rPr>
              <w:t>2015 N</w:t>
            </w:r>
          </w:p>
        </w:tc>
        <w:tc>
          <w:tcPr>
            <w:tcW w:w="765" w:type="dxa"/>
            <w:vAlign w:val="center"/>
          </w:tcPr>
          <w:p w14:paraId="0271E1AA" w14:textId="3DD13BC9" w:rsidR="00715C7C" w:rsidRPr="00CF4744" w:rsidRDefault="00715C7C" w:rsidP="009701CB">
            <w:pPr>
              <w:pStyle w:val="Style2"/>
              <w:jc w:val="center"/>
              <w:rPr>
                <w:rFonts w:asciiTheme="minorHAnsi" w:hAnsiTheme="minorHAnsi" w:cstheme="minorHAnsi"/>
                <w:b/>
                <w:bCs/>
                <w:sz w:val="22"/>
                <w:szCs w:val="22"/>
              </w:rPr>
            </w:pPr>
            <w:r w:rsidRPr="00CF4744">
              <w:rPr>
                <w:rFonts w:asciiTheme="minorHAnsi" w:hAnsiTheme="minorHAnsi" w:cstheme="minorHAnsi"/>
                <w:b/>
                <w:bCs/>
                <w:sz w:val="22"/>
                <w:szCs w:val="22"/>
              </w:rPr>
              <w:t>2015 %</w:t>
            </w:r>
          </w:p>
        </w:tc>
        <w:tc>
          <w:tcPr>
            <w:tcW w:w="810" w:type="dxa"/>
            <w:vAlign w:val="center"/>
          </w:tcPr>
          <w:p w14:paraId="25329E65" w14:textId="60775ABB" w:rsidR="00715C7C" w:rsidRPr="00CF4744" w:rsidRDefault="00715C7C" w:rsidP="009701CB">
            <w:pPr>
              <w:pStyle w:val="Style2"/>
              <w:jc w:val="center"/>
              <w:rPr>
                <w:rFonts w:asciiTheme="minorHAnsi" w:hAnsiTheme="minorHAnsi" w:cstheme="minorHAnsi"/>
                <w:b/>
                <w:bCs/>
                <w:sz w:val="22"/>
                <w:szCs w:val="22"/>
              </w:rPr>
            </w:pPr>
            <w:r w:rsidRPr="00CF4744">
              <w:rPr>
                <w:rFonts w:asciiTheme="minorHAnsi" w:hAnsiTheme="minorHAnsi" w:cstheme="minorHAnsi"/>
                <w:b/>
                <w:bCs/>
                <w:sz w:val="22"/>
                <w:szCs w:val="22"/>
              </w:rPr>
              <w:t>2024</w:t>
            </w:r>
            <w:r w:rsidR="00FE1A63">
              <w:rPr>
                <w:rFonts w:asciiTheme="minorHAnsi" w:hAnsiTheme="minorHAnsi" w:cstheme="minorHAnsi"/>
                <w:b/>
                <w:bCs/>
                <w:sz w:val="22"/>
                <w:szCs w:val="22"/>
              </w:rPr>
              <w:t xml:space="preserve"> N</w:t>
            </w:r>
          </w:p>
        </w:tc>
        <w:tc>
          <w:tcPr>
            <w:tcW w:w="810" w:type="dxa"/>
            <w:vAlign w:val="center"/>
          </w:tcPr>
          <w:p w14:paraId="65EAEF5E" w14:textId="059EBD3C" w:rsidR="00715C7C" w:rsidRPr="00CF4744" w:rsidRDefault="00715C7C" w:rsidP="009701CB">
            <w:pPr>
              <w:pStyle w:val="Style2"/>
              <w:jc w:val="center"/>
              <w:rPr>
                <w:rFonts w:asciiTheme="minorHAnsi" w:hAnsiTheme="minorHAnsi" w:cstheme="minorHAnsi"/>
                <w:b/>
                <w:bCs/>
                <w:sz w:val="22"/>
                <w:szCs w:val="22"/>
              </w:rPr>
            </w:pPr>
            <w:r w:rsidRPr="00CF4744">
              <w:rPr>
                <w:rFonts w:asciiTheme="minorHAnsi" w:hAnsiTheme="minorHAnsi" w:cstheme="minorHAnsi"/>
                <w:b/>
                <w:bCs/>
                <w:sz w:val="22"/>
                <w:szCs w:val="22"/>
              </w:rPr>
              <w:t>2024 %</w:t>
            </w:r>
          </w:p>
        </w:tc>
      </w:tr>
      <w:tr w:rsidR="00CF4744" w:rsidRPr="00581E08" w14:paraId="5937A3BD" w14:textId="77777777" w:rsidTr="003B2286">
        <w:trPr>
          <w:trHeight w:val="300"/>
        </w:trPr>
        <w:tc>
          <w:tcPr>
            <w:tcW w:w="2875" w:type="dxa"/>
            <w:vAlign w:val="center"/>
          </w:tcPr>
          <w:p w14:paraId="3E4261D3"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b/>
                <w:bCs/>
                <w:sz w:val="22"/>
                <w:szCs w:val="22"/>
              </w:rPr>
              <w:t>Total</w:t>
            </w:r>
          </w:p>
        </w:tc>
        <w:tc>
          <w:tcPr>
            <w:tcW w:w="765" w:type="dxa"/>
            <w:vAlign w:val="bottom"/>
          </w:tcPr>
          <w:p w14:paraId="7F586DE4"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609</w:t>
            </w:r>
          </w:p>
        </w:tc>
        <w:tc>
          <w:tcPr>
            <w:tcW w:w="765" w:type="dxa"/>
            <w:vAlign w:val="center"/>
          </w:tcPr>
          <w:p w14:paraId="13AFA071" w14:textId="571A3211"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100%</w:t>
            </w:r>
          </w:p>
        </w:tc>
        <w:tc>
          <w:tcPr>
            <w:tcW w:w="810" w:type="dxa"/>
            <w:vAlign w:val="bottom"/>
          </w:tcPr>
          <w:p w14:paraId="4C911B82"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602</w:t>
            </w:r>
          </w:p>
        </w:tc>
        <w:tc>
          <w:tcPr>
            <w:tcW w:w="810" w:type="dxa"/>
            <w:vAlign w:val="center"/>
          </w:tcPr>
          <w:p w14:paraId="53AAC440" w14:textId="495CFCCF"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100%</w:t>
            </w:r>
          </w:p>
        </w:tc>
      </w:tr>
      <w:tr w:rsidR="00CF4744" w:rsidRPr="00581E08" w14:paraId="393F32D6" w14:textId="77777777" w:rsidTr="003B2286">
        <w:trPr>
          <w:trHeight w:val="300"/>
        </w:trPr>
        <w:tc>
          <w:tcPr>
            <w:tcW w:w="2875" w:type="dxa"/>
            <w:vAlign w:val="center"/>
          </w:tcPr>
          <w:p w14:paraId="4691775B"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b/>
                <w:bCs/>
                <w:sz w:val="22"/>
                <w:szCs w:val="22"/>
              </w:rPr>
              <w:t>Sex Assigned at Birth</w:t>
            </w:r>
          </w:p>
        </w:tc>
        <w:tc>
          <w:tcPr>
            <w:tcW w:w="765" w:type="dxa"/>
            <w:vAlign w:val="bottom"/>
          </w:tcPr>
          <w:p w14:paraId="14F298E8" w14:textId="77777777" w:rsidR="00CF4744" w:rsidRPr="00CF4744" w:rsidRDefault="00CF4744" w:rsidP="00CF4744">
            <w:pPr>
              <w:pStyle w:val="Style2"/>
              <w:jc w:val="center"/>
              <w:rPr>
                <w:rFonts w:asciiTheme="minorHAnsi" w:hAnsiTheme="minorHAnsi" w:cstheme="minorHAnsi"/>
                <w:sz w:val="22"/>
                <w:szCs w:val="22"/>
              </w:rPr>
            </w:pPr>
          </w:p>
        </w:tc>
        <w:tc>
          <w:tcPr>
            <w:tcW w:w="765" w:type="dxa"/>
            <w:vAlign w:val="center"/>
          </w:tcPr>
          <w:p w14:paraId="559CB4E6" w14:textId="328B11F7" w:rsidR="00CF4744" w:rsidRPr="00CF4744" w:rsidRDefault="00CF4744" w:rsidP="00CF4744">
            <w:pPr>
              <w:pStyle w:val="Style2"/>
              <w:jc w:val="center"/>
              <w:rPr>
                <w:rFonts w:asciiTheme="minorHAnsi" w:hAnsiTheme="minorHAnsi" w:cstheme="minorHAnsi"/>
                <w:sz w:val="22"/>
                <w:szCs w:val="22"/>
              </w:rPr>
            </w:pPr>
          </w:p>
        </w:tc>
        <w:tc>
          <w:tcPr>
            <w:tcW w:w="810" w:type="dxa"/>
            <w:vAlign w:val="bottom"/>
          </w:tcPr>
          <w:p w14:paraId="639ECF5B" w14:textId="77777777" w:rsidR="00CF4744" w:rsidRPr="00CF4744" w:rsidRDefault="00CF4744" w:rsidP="00CF4744">
            <w:pPr>
              <w:pStyle w:val="Style2"/>
              <w:jc w:val="center"/>
              <w:rPr>
                <w:rFonts w:asciiTheme="minorHAnsi" w:hAnsiTheme="minorHAnsi" w:cstheme="minorHAnsi"/>
                <w:sz w:val="22"/>
                <w:szCs w:val="22"/>
              </w:rPr>
            </w:pPr>
          </w:p>
        </w:tc>
        <w:tc>
          <w:tcPr>
            <w:tcW w:w="810" w:type="dxa"/>
            <w:vAlign w:val="center"/>
          </w:tcPr>
          <w:p w14:paraId="77D4C965" w14:textId="1C3D118A" w:rsidR="00CF4744" w:rsidRPr="00CF4744" w:rsidRDefault="00CF4744" w:rsidP="00CF4744">
            <w:pPr>
              <w:pStyle w:val="Style2"/>
              <w:jc w:val="center"/>
              <w:rPr>
                <w:rFonts w:asciiTheme="minorHAnsi" w:hAnsiTheme="minorHAnsi" w:cstheme="minorHAnsi"/>
                <w:sz w:val="22"/>
                <w:szCs w:val="22"/>
              </w:rPr>
            </w:pPr>
          </w:p>
        </w:tc>
      </w:tr>
      <w:tr w:rsidR="00CF4744" w:rsidRPr="00581E08" w14:paraId="781827BA" w14:textId="77777777" w:rsidTr="003B2286">
        <w:trPr>
          <w:trHeight w:val="300"/>
        </w:trPr>
        <w:tc>
          <w:tcPr>
            <w:tcW w:w="2875" w:type="dxa"/>
            <w:vAlign w:val="center"/>
          </w:tcPr>
          <w:p w14:paraId="488DFB0E" w14:textId="70F2FD60"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t>Assigned Male Sex</w:t>
            </w:r>
          </w:p>
        </w:tc>
        <w:tc>
          <w:tcPr>
            <w:tcW w:w="765" w:type="dxa"/>
            <w:vAlign w:val="bottom"/>
          </w:tcPr>
          <w:p w14:paraId="5A54103A"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447</w:t>
            </w:r>
          </w:p>
        </w:tc>
        <w:tc>
          <w:tcPr>
            <w:tcW w:w="765" w:type="dxa"/>
            <w:vAlign w:val="center"/>
          </w:tcPr>
          <w:p w14:paraId="09E53496" w14:textId="43FF3BB3"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73%</w:t>
            </w:r>
          </w:p>
        </w:tc>
        <w:tc>
          <w:tcPr>
            <w:tcW w:w="810" w:type="dxa"/>
            <w:vAlign w:val="bottom"/>
          </w:tcPr>
          <w:p w14:paraId="360A4493"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432</w:t>
            </w:r>
          </w:p>
        </w:tc>
        <w:tc>
          <w:tcPr>
            <w:tcW w:w="810" w:type="dxa"/>
            <w:vAlign w:val="center"/>
          </w:tcPr>
          <w:p w14:paraId="391F1291" w14:textId="40BEB4F6"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72%</w:t>
            </w:r>
          </w:p>
        </w:tc>
      </w:tr>
      <w:tr w:rsidR="00CF4744" w:rsidRPr="00581E08" w14:paraId="705A38BD" w14:textId="77777777" w:rsidTr="003B2286">
        <w:trPr>
          <w:trHeight w:val="300"/>
        </w:trPr>
        <w:tc>
          <w:tcPr>
            <w:tcW w:w="2875" w:type="dxa"/>
            <w:vAlign w:val="center"/>
          </w:tcPr>
          <w:p w14:paraId="51B90FB8" w14:textId="5B6C359B"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t>Assigned Female Sex</w:t>
            </w:r>
          </w:p>
        </w:tc>
        <w:tc>
          <w:tcPr>
            <w:tcW w:w="765" w:type="dxa"/>
            <w:vAlign w:val="bottom"/>
          </w:tcPr>
          <w:p w14:paraId="1761EBE1"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162</w:t>
            </w:r>
          </w:p>
        </w:tc>
        <w:tc>
          <w:tcPr>
            <w:tcW w:w="765" w:type="dxa"/>
            <w:vAlign w:val="center"/>
          </w:tcPr>
          <w:p w14:paraId="439CD724" w14:textId="31A21772"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27%</w:t>
            </w:r>
          </w:p>
        </w:tc>
        <w:tc>
          <w:tcPr>
            <w:tcW w:w="810" w:type="dxa"/>
            <w:vAlign w:val="bottom"/>
          </w:tcPr>
          <w:p w14:paraId="41CD9E9D"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170</w:t>
            </w:r>
          </w:p>
        </w:tc>
        <w:tc>
          <w:tcPr>
            <w:tcW w:w="810" w:type="dxa"/>
            <w:vAlign w:val="center"/>
          </w:tcPr>
          <w:p w14:paraId="72F65CFD" w14:textId="6F3115A9"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28%</w:t>
            </w:r>
          </w:p>
        </w:tc>
      </w:tr>
      <w:tr w:rsidR="00CF4744" w:rsidRPr="00581E08" w14:paraId="082338D3" w14:textId="77777777" w:rsidTr="003B2286">
        <w:trPr>
          <w:trHeight w:val="300"/>
        </w:trPr>
        <w:tc>
          <w:tcPr>
            <w:tcW w:w="2875" w:type="dxa"/>
            <w:vAlign w:val="center"/>
          </w:tcPr>
          <w:p w14:paraId="503F9AFA"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b/>
                <w:bCs/>
                <w:sz w:val="22"/>
                <w:szCs w:val="22"/>
              </w:rPr>
              <w:t>Race/Ethnicity</w:t>
            </w:r>
          </w:p>
        </w:tc>
        <w:tc>
          <w:tcPr>
            <w:tcW w:w="765" w:type="dxa"/>
            <w:vAlign w:val="bottom"/>
          </w:tcPr>
          <w:p w14:paraId="7F9FBFCC" w14:textId="77777777" w:rsidR="00CF4744" w:rsidRPr="00CF4744" w:rsidRDefault="00CF4744" w:rsidP="00CF4744">
            <w:pPr>
              <w:pStyle w:val="Style2"/>
              <w:jc w:val="center"/>
              <w:rPr>
                <w:rFonts w:asciiTheme="minorHAnsi" w:hAnsiTheme="minorHAnsi" w:cstheme="minorHAnsi"/>
                <w:sz w:val="22"/>
                <w:szCs w:val="22"/>
              </w:rPr>
            </w:pPr>
          </w:p>
        </w:tc>
        <w:tc>
          <w:tcPr>
            <w:tcW w:w="765" w:type="dxa"/>
            <w:vAlign w:val="center"/>
          </w:tcPr>
          <w:p w14:paraId="33294D73" w14:textId="6DD6A8AE" w:rsidR="00CF4744" w:rsidRPr="00CF4744" w:rsidRDefault="00CF4744" w:rsidP="00CF4744">
            <w:pPr>
              <w:pStyle w:val="Style2"/>
              <w:jc w:val="center"/>
              <w:rPr>
                <w:rFonts w:asciiTheme="minorHAnsi" w:hAnsiTheme="minorHAnsi" w:cstheme="minorHAnsi"/>
                <w:sz w:val="22"/>
                <w:szCs w:val="22"/>
              </w:rPr>
            </w:pPr>
          </w:p>
        </w:tc>
        <w:tc>
          <w:tcPr>
            <w:tcW w:w="810" w:type="dxa"/>
            <w:vAlign w:val="bottom"/>
          </w:tcPr>
          <w:p w14:paraId="3ED3D42E" w14:textId="77777777" w:rsidR="00CF4744" w:rsidRPr="00CF4744" w:rsidRDefault="00CF4744" w:rsidP="00CF4744">
            <w:pPr>
              <w:pStyle w:val="Style2"/>
              <w:jc w:val="center"/>
              <w:rPr>
                <w:rFonts w:asciiTheme="minorHAnsi" w:hAnsiTheme="minorHAnsi" w:cstheme="minorHAnsi"/>
                <w:sz w:val="22"/>
                <w:szCs w:val="22"/>
              </w:rPr>
            </w:pPr>
          </w:p>
        </w:tc>
        <w:tc>
          <w:tcPr>
            <w:tcW w:w="810" w:type="dxa"/>
            <w:vAlign w:val="center"/>
          </w:tcPr>
          <w:p w14:paraId="528D0C71" w14:textId="5F121B56" w:rsidR="00CF4744" w:rsidRPr="00CF4744" w:rsidRDefault="00CF4744" w:rsidP="00CF4744">
            <w:pPr>
              <w:pStyle w:val="Style2"/>
              <w:jc w:val="center"/>
              <w:rPr>
                <w:rFonts w:asciiTheme="minorHAnsi" w:hAnsiTheme="minorHAnsi" w:cstheme="minorHAnsi"/>
                <w:sz w:val="22"/>
                <w:szCs w:val="22"/>
              </w:rPr>
            </w:pPr>
          </w:p>
        </w:tc>
      </w:tr>
      <w:tr w:rsidR="00CF4744" w:rsidRPr="00581E08" w14:paraId="3A7CF0FE" w14:textId="77777777" w:rsidTr="003B2286">
        <w:trPr>
          <w:trHeight w:val="300"/>
        </w:trPr>
        <w:tc>
          <w:tcPr>
            <w:tcW w:w="2875" w:type="dxa"/>
            <w:vAlign w:val="center"/>
          </w:tcPr>
          <w:p w14:paraId="4A47AE19"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t>White NH</w:t>
            </w:r>
          </w:p>
        </w:tc>
        <w:tc>
          <w:tcPr>
            <w:tcW w:w="765" w:type="dxa"/>
            <w:vAlign w:val="bottom"/>
          </w:tcPr>
          <w:p w14:paraId="6D10740E"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231</w:t>
            </w:r>
          </w:p>
        </w:tc>
        <w:tc>
          <w:tcPr>
            <w:tcW w:w="765" w:type="dxa"/>
            <w:vAlign w:val="center"/>
          </w:tcPr>
          <w:p w14:paraId="3AEEDECE" w14:textId="3316ECA1"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38%</w:t>
            </w:r>
          </w:p>
        </w:tc>
        <w:tc>
          <w:tcPr>
            <w:tcW w:w="810" w:type="dxa"/>
            <w:vAlign w:val="bottom"/>
          </w:tcPr>
          <w:p w14:paraId="0D508E2F"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154</w:t>
            </w:r>
          </w:p>
        </w:tc>
        <w:tc>
          <w:tcPr>
            <w:tcW w:w="810" w:type="dxa"/>
            <w:vAlign w:val="center"/>
          </w:tcPr>
          <w:p w14:paraId="78E669FC" w14:textId="59A96E94"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26%</w:t>
            </w:r>
          </w:p>
        </w:tc>
      </w:tr>
      <w:tr w:rsidR="00CF4744" w:rsidRPr="00581E08" w14:paraId="765C6E3D" w14:textId="77777777" w:rsidTr="003B2286">
        <w:trPr>
          <w:trHeight w:val="300"/>
        </w:trPr>
        <w:tc>
          <w:tcPr>
            <w:tcW w:w="2875" w:type="dxa"/>
            <w:vAlign w:val="center"/>
          </w:tcPr>
          <w:p w14:paraId="66361145"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t>Black NH</w:t>
            </w:r>
          </w:p>
        </w:tc>
        <w:tc>
          <w:tcPr>
            <w:tcW w:w="765" w:type="dxa"/>
            <w:vAlign w:val="bottom"/>
          </w:tcPr>
          <w:p w14:paraId="1A190476"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179</w:t>
            </w:r>
          </w:p>
        </w:tc>
        <w:tc>
          <w:tcPr>
            <w:tcW w:w="765" w:type="dxa"/>
            <w:vAlign w:val="center"/>
          </w:tcPr>
          <w:p w14:paraId="43416B78" w14:textId="1180BAFA"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29%</w:t>
            </w:r>
          </w:p>
        </w:tc>
        <w:tc>
          <w:tcPr>
            <w:tcW w:w="810" w:type="dxa"/>
            <w:vAlign w:val="bottom"/>
          </w:tcPr>
          <w:p w14:paraId="7003D638"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246</w:t>
            </w:r>
          </w:p>
        </w:tc>
        <w:tc>
          <w:tcPr>
            <w:tcW w:w="810" w:type="dxa"/>
            <w:vAlign w:val="center"/>
          </w:tcPr>
          <w:p w14:paraId="3FC4A78C" w14:textId="5403FCA1"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41%</w:t>
            </w:r>
          </w:p>
        </w:tc>
      </w:tr>
      <w:tr w:rsidR="00CF4744" w:rsidRPr="00581E08" w14:paraId="76FBF9BF" w14:textId="77777777" w:rsidTr="003B2286">
        <w:trPr>
          <w:trHeight w:val="300"/>
        </w:trPr>
        <w:tc>
          <w:tcPr>
            <w:tcW w:w="2875" w:type="dxa"/>
            <w:vAlign w:val="center"/>
          </w:tcPr>
          <w:p w14:paraId="52FE05D5" w14:textId="26D0F4B8"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t>Hispanic/Latinx</w:t>
            </w:r>
          </w:p>
        </w:tc>
        <w:tc>
          <w:tcPr>
            <w:tcW w:w="765" w:type="dxa"/>
            <w:vAlign w:val="bottom"/>
          </w:tcPr>
          <w:p w14:paraId="3A0FC0A9"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168</w:t>
            </w:r>
          </w:p>
        </w:tc>
        <w:tc>
          <w:tcPr>
            <w:tcW w:w="765" w:type="dxa"/>
            <w:vAlign w:val="center"/>
          </w:tcPr>
          <w:p w14:paraId="763296F7" w14:textId="1291BE2C"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28%</w:t>
            </w:r>
          </w:p>
        </w:tc>
        <w:tc>
          <w:tcPr>
            <w:tcW w:w="810" w:type="dxa"/>
            <w:vAlign w:val="bottom"/>
          </w:tcPr>
          <w:p w14:paraId="1EE5B8DD"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183</w:t>
            </w:r>
          </w:p>
        </w:tc>
        <w:tc>
          <w:tcPr>
            <w:tcW w:w="810" w:type="dxa"/>
            <w:vAlign w:val="center"/>
          </w:tcPr>
          <w:p w14:paraId="0DD672BA" w14:textId="37FF96AA"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30%</w:t>
            </w:r>
          </w:p>
        </w:tc>
      </w:tr>
      <w:tr w:rsidR="00CF4744" w:rsidRPr="00581E08" w14:paraId="2745890B" w14:textId="77777777" w:rsidTr="003B2286">
        <w:trPr>
          <w:trHeight w:val="300"/>
        </w:trPr>
        <w:tc>
          <w:tcPr>
            <w:tcW w:w="2875" w:type="dxa"/>
            <w:vAlign w:val="center"/>
          </w:tcPr>
          <w:p w14:paraId="3BA90CB9"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t>API</w:t>
            </w:r>
          </w:p>
        </w:tc>
        <w:tc>
          <w:tcPr>
            <w:tcW w:w="765" w:type="dxa"/>
            <w:vAlign w:val="bottom"/>
          </w:tcPr>
          <w:p w14:paraId="2D778DE9"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22</w:t>
            </w:r>
          </w:p>
        </w:tc>
        <w:tc>
          <w:tcPr>
            <w:tcW w:w="765" w:type="dxa"/>
            <w:vAlign w:val="center"/>
          </w:tcPr>
          <w:p w14:paraId="5F59E441" w14:textId="7C395E0B"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4%</w:t>
            </w:r>
          </w:p>
        </w:tc>
        <w:tc>
          <w:tcPr>
            <w:tcW w:w="810" w:type="dxa"/>
            <w:vAlign w:val="bottom"/>
          </w:tcPr>
          <w:p w14:paraId="31CE8C4D"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14</w:t>
            </w:r>
          </w:p>
        </w:tc>
        <w:tc>
          <w:tcPr>
            <w:tcW w:w="810" w:type="dxa"/>
            <w:vAlign w:val="center"/>
          </w:tcPr>
          <w:p w14:paraId="169683A8" w14:textId="6343B9FE"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2%</w:t>
            </w:r>
          </w:p>
        </w:tc>
      </w:tr>
      <w:tr w:rsidR="00CF4744" w:rsidRPr="00581E08" w14:paraId="13650A54" w14:textId="77777777" w:rsidTr="003B2286">
        <w:trPr>
          <w:trHeight w:val="300"/>
        </w:trPr>
        <w:tc>
          <w:tcPr>
            <w:tcW w:w="2875" w:type="dxa"/>
            <w:vAlign w:val="center"/>
          </w:tcPr>
          <w:p w14:paraId="31A729A3"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t>Other/Unknown</w:t>
            </w:r>
          </w:p>
        </w:tc>
        <w:tc>
          <w:tcPr>
            <w:tcW w:w="765" w:type="dxa"/>
            <w:vAlign w:val="bottom"/>
          </w:tcPr>
          <w:p w14:paraId="00BF80AD"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9</w:t>
            </w:r>
          </w:p>
        </w:tc>
        <w:tc>
          <w:tcPr>
            <w:tcW w:w="765" w:type="dxa"/>
            <w:vAlign w:val="center"/>
          </w:tcPr>
          <w:p w14:paraId="74F5265B" w14:textId="3FD9D7D0"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1%</w:t>
            </w:r>
          </w:p>
        </w:tc>
        <w:tc>
          <w:tcPr>
            <w:tcW w:w="810" w:type="dxa"/>
            <w:vAlign w:val="bottom"/>
          </w:tcPr>
          <w:p w14:paraId="4F255C6F"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5</w:t>
            </w:r>
          </w:p>
        </w:tc>
        <w:tc>
          <w:tcPr>
            <w:tcW w:w="810" w:type="dxa"/>
            <w:vAlign w:val="center"/>
          </w:tcPr>
          <w:p w14:paraId="7BCD7095" w14:textId="384334FE"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1%</w:t>
            </w:r>
          </w:p>
        </w:tc>
      </w:tr>
      <w:tr w:rsidR="00CF4744" w:rsidRPr="00581E08" w14:paraId="5D3AA8E3" w14:textId="77777777" w:rsidTr="003B2286">
        <w:trPr>
          <w:trHeight w:val="300"/>
        </w:trPr>
        <w:tc>
          <w:tcPr>
            <w:tcW w:w="2875" w:type="dxa"/>
            <w:vAlign w:val="center"/>
          </w:tcPr>
          <w:p w14:paraId="2649F848"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b/>
                <w:bCs/>
                <w:sz w:val="22"/>
                <w:szCs w:val="22"/>
              </w:rPr>
              <w:t>Age Group (Years)</w:t>
            </w:r>
          </w:p>
        </w:tc>
        <w:tc>
          <w:tcPr>
            <w:tcW w:w="765" w:type="dxa"/>
            <w:vAlign w:val="bottom"/>
          </w:tcPr>
          <w:p w14:paraId="28AF0B23" w14:textId="77777777" w:rsidR="00CF4744" w:rsidRPr="00CF4744" w:rsidRDefault="00CF4744" w:rsidP="00CF4744">
            <w:pPr>
              <w:pStyle w:val="Style2"/>
              <w:jc w:val="center"/>
              <w:rPr>
                <w:rFonts w:asciiTheme="minorHAnsi" w:hAnsiTheme="minorHAnsi" w:cstheme="minorHAnsi"/>
                <w:sz w:val="22"/>
                <w:szCs w:val="22"/>
              </w:rPr>
            </w:pPr>
          </w:p>
        </w:tc>
        <w:tc>
          <w:tcPr>
            <w:tcW w:w="765" w:type="dxa"/>
            <w:vAlign w:val="center"/>
          </w:tcPr>
          <w:p w14:paraId="7EC6ABBB" w14:textId="54AFA375" w:rsidR="00CF4744" w:rsidRPr="00CF4744" w:rsidRDefault="00CF4744" w:rsidP="00CF4744">
            <w:pPr>
              <w:pStyle w:val="Style2"/>
              <w:jc w:val="center"/>
              <w:rPr>
                <w:rFonts w:asciiTheme="minorHAnsi" w:hAnsiTheme="minorHAnsi" w:cstheme="minorHAnsi"/>
                <w:sz w:val="22"/>
                <w:szCs w:val="22"/>
              </w:rPr>
            </w:pPr>
          </w:p>
        </w:tc>
        <w:tc>
          <w:tcPr>
            <w:tcW w:w="810" w:type="dxa"/>
            <w:vAlign w:val="bottom"/>
          </w:tcPr>
          <w:p w14:paraId="6A2C15D9" w14:textId="77777777" w:rsidR="00CF4744" w:rsidRPr="00CF4744" w:rsidRDefault="00CF4744" w:rsidP="00CF4744">
            <w:pPr>
              <w:pStyle w:val="Style2"/>
              <w:jc w:val="center"/>
              <w:rPr>
                <w:rFonts w:asciiTheme="minorHAnsi" w:hAnsiTheme="minorHAnsi" w:cstheme="minorHAnsi"/>
                <w:sz w:val="22"/>
                <w:szCs w:val="22"/>
              </w:rPr>
            </w:pPr>
          </w:p>
        </w:tc>
        <w:tc>
          <w:tcPr>
            <w:tcW w:w="810" w:type="dxa"/>
            <w:vAlign w:val="center"/>
          </w:tcPr>
          <w:p w14:paraId="26B73360" w14:textId="711EAAF3" w:rsidR="00CF4744" w:rsidRPr="00CF4744" w:rsidRDefault="00CF4744" w:rsidP="00CF4744">
            <w:pPr>
              <w:pStyle w:val="Style2"/>
              <w:jc w:val="center"/>
              <w:rPr>
                <w:rFonts w:asciiTheme="minorHAnsi" w:hAnsiTheme="minorHAnsi" w:cstheme="minorHAnsi"/>
                <w:sz w:val="22"/>
                <w:szCs w:val="22"/>
              </w:rPr>
            </w:pPr>
          </w:p>
        </w:tc>
      </w:tr>
      <w:tr w:rsidR="00CF4744" w:rsidRPr="00581E08" w14:paraId="177F8A01" w14:textId="77777777" w:rsidTr="003B2286">
        <w:trPr>
          <w:trHeight w:val="300"/>
        </w:trPr>
        <w:tc>
          <w:tcPr>
            <w:tcW w:w="2875" w:type="dxa"/>
            <w:vAlign w:val="center"/>
          </w:tcPr>
          <w:p w14:paraId="2E6E0374"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t>0-12</w:t>
            </w:r>
          </w:p>
        </w:tc>
        <w:tc>
          <w:tcPr>
            <w:tcW w:w="765" w:type="dxa"/>
            <w:vAlign w:val="bottom"/>
          </w:tcPr>
          <w:p w14:paraId="1C6B0BEB"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4</w:t>
            </w:r>
          </w:p>
        </w:tc>
        <w:tc>
          <w:tcPr>
            <w:tcW w:w="765" w:type="dxa"/>
            <w:vAlign w:val="center"/>
          </w:tcPr>
          <w:p w14:paraId="4D873DB3" w14:textId="614C64B6"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1%</w:t>
            </w:r>
          </w:p>
        </w:tc>
        <w:tc>
          <w:tcPr>
            <w:tcW w:w="810" w:type="dxa"/>
            <w:vAlign w:val="bottom"/>
          </w:tcPr>
          <w:p w14:paraId="40D0F148"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1</w:t>
            </w:r>
          </w:p>
        </w:tc>
        <w:tc>
          <w:tcPr>
            <w:tcW w:w="810" w:type="dxa"/>
            <w:vAlign w:val="center"/>
          </w:tcPr>
          <w:p w14:paraId="5856DD95" w14:textId="20742BB8"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&lt;1%</w:t>
            </w:r>
          </w:p>
        </w:tc>
      </w:tr>
      <w:tr w:rsidR="00CF4744" w:rsidRPr="00581E08" w14:paraId="46D7E6E4" w14:textId="77777777" w:rsidTr="003B2286">
        <w:trPr>
          <w:trHeight w:val="300"/>
        </w:trPr>
        <w:tc>
          <w:tcPr>
            <w:tcW w:w="2875" w:type="dxa"/>
            <w:vAlign w:val="center"/>
          </w:tcPr>
          <w:p w14:paraId="12DDF8EB"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t>13-19</w:t>
            </w:r>
          </w:p>
        </w:tc>
        <w:tc>
          <w:tcPr>
            <w:tcW w:w="765" w:type="dxa"/>
            <w:vAlign w:val="bottom"/>
          </w:tcPr>
          <w:p w14:paraId="2CFA950D"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23</w:t>
            </w:r>
          </w:p>
        </w:tc>
        <w:tc>
          <w:tcPr>
            <w:tcW w:w="765" w:type="dxa"/>
            <w:vAlign w:val="center"/>
          </w:tcPr>
          <w:p w14:paraId="68A31DD2" w14:textId="4AC073CE"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4%</w:t>
            </w:r>
          </w:p>
        </w:tc>
        <w:tc>
          <w:tcPr>
            <w:tcW w:w="810" w:type="dxa"/>
            <w:vAlign w:val="bottom"/>
          </w:tcPr>
          <w:p w14:paraId="5C157B85"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12</w:t>
            </w:r>
          </w:p>
        </w:tc>
        <w:tc>
          <w:tcPr>
            <w:tcW w:w="810" w:type="dxa"/>
            <w:vAlign w:val="center"/>
          </w:tcPr>
          <w:p w14:paraId="54BBE1F2" w14:textId="23BDFA60"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2%</w:t>
            </w:r>
          </w:p>
        </w:tc>
      </w:tr>
      <w:tr w:rsidR="00CF4744" w:rsidRPr="00581E08" w14:paraId="51F9D70A" w14:textId="77777777" w:rsidTr="003B2286">
        <w:trPr>
          <w:trHeight w:val="300"/>
        </w:trPr>
        <w:tc>
          <w:tcPr>
            <w:tcW w:w="2875" w:type="dxa"/>
            <w:vAlign w:val="center"/>
          </w:tcPr>
          <w:p w14:paraId="63C19AD5"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t>20-29</w:t>
            </w:r>
          </w:p>
        </w:tc>
        <w:tc>
          <w:tcPr>
            <w:tcW w:w="765" w:type="dxa"/>
            <w:vAlign w:val="bottom"/>
          </w:tcPr>
          <w:p w14:paraId="4D78BDAC"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170</w:t>
            </w:r>
          </w:p>
        </w:tc>
        <w:tc>
          <w:tcPr>
            <w:tcW w:w="765" w:type="dxa"/>
            <w:vAlign w:val="center"/>
          </w:tcPr>
          <w:p w14:paraId="155DCDB3" w14:textId="54278FEF"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28%</w:t>
            </w:r>
          </w:p>
        </w:tc>
        <w:tc>
          <w:tcPr>
            <w:tcW w:w="810" w:type="dxa"/>
            <w:vAlign w:val="bottom"/>
          </w:tcPr>
          <w:p w14:paraId="1A7295DF"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171</w:t>
            </w:r>
          </w:p>
        </w:tc>
        <w:tc>
          <w:tcPr>
            <w:tcW w:w="810" w:type="dxa"/>
            <w:vAlign w:val="center"/>
          </w:tcPr>
          <w:p w14:paraId="4AA90A38" w14:textId="4A3B081F"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28%</w:t>
            </w:r>
          </w:p>
        </w:tc>
      </w:tr>
      <w:tr w:rsidR="00CF4744" w:rsidRPr="00581E08" w14:paraId="73437AEB" w14:textId="77777777" w:rsidTr="003B2286">
        <w:trPr>
          <w:trHeight w:val="300"/>
        </w:trPr>
        <w:tc>
          <w:tcPr>
            <w:tcW w:w="2875" w:type="dxa"/>
            <w:vAlign w:val="center"/>
          </w:tcPr>
          <w:p w14:paraId="78BB8C85"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t>30-39</w:t>
            </w:r>
          </w:p>
        </w:tc>
        <w:tc>
          <w:tcPr>
            <w:tcW w:w="765" w:type="dxa"/>
            <w:vAlign w:val="bottom"/>
          </w:tcPr>
          <w:p w14:paraId="3BCEFE35"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149</w:t>
            </w:r>
          </w:p>
        </w:tc>
        <w:tc>
          <w:tcPr>
            <w:tcW w:w="765" w:type="dxa"/>
            <w:vAlign w:val="center"/>
          </w:tcPr>
          <w:p w14:paraId="4E0ACE1D" w14:textId="0CC9A576"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24%</w:t>
            </w:r>
          </w:p>
        </w:tc>
        <w:tc>
          <w:tcPr>
            <w:tcW w:w="810" w:type="dxa"/>
            <w:vAlign w:val="bottom"/>
          </w:tcPr>
          <w:p w14:paraId="64E3EB14"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206</w:t>
            </w:r>
          </w:p>
        </w:tc>
        <w:tc>
          <w:tcPr>
            <w:tcW w:w="810" w:type="dxa"/>
            <w:vAlign w:val="center"/>
          </w:tcPr>
          <w:p w14:paraId="0F921BDC" w14:textId="55B35F88"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34%</w:t>
            </w:r>
          </w:p>
        </w:tc>
      </w:tr>
      <w:tr w:rsidR="00CF4744" w:rsidRPr="00581E08" w14:paraId="0D197365" w14:textId="77777777" w:rsidTr="003B2286">
        <w:trPr>
          <w:trHeight w:val="300"/>
        </w:trPr>
        <w:tc>
          <w:tcPr>
            <w:tcW w:w="2875" w:type="dxa"/>
            <w:vAlign w:val="center"/>
          </w:tcPr>
          <w:p w14:paraId="7ECF8BD1"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t>40-49</w:t>
            </w:r>
          </w:p>
        </w:tc>
        <w:tc>
          <w:tcPr>
            <w:tcW w:w="765" w:type="dxa"/>
            <w:vAlign w:val="bottom"/>
          </w:tcPr>
          <w:p w14:paraId="3AA7030E"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124</w:t>
            </w:r>
          </w:p>
        </w:tc>
        <w:tc>
          <w:tcPr>
            <w:tcW w:w="765" w:type="dxa"/>
            <w:vAlign w:val="center"/>
          </w:tcPr>
          <w:p w14:paraId="7B33DA44" w14:textId="2EDD46FB"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20%</w:t>
            </w:r>
          </w:p>
        </w:tc>
        <w:tc>
          <w:tcPr>
            <w:tcW w:w="810" w:type="dxa"/>
            <w:vAlign w:val="bottom"/>
          </w:tcPr>
          <w:p w14:paraId="417F74C8"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103</w:t>
            </w:r>
          </w:p>
        </w:tc>
        <w:tc>
          <w:tcPr>
            <w:tcW w:w="810" w:type="dxa"/>
            <w:vAlign w:val="center"/>
          </w:tcPr>
          <w:p w14:paraId="0F4960F6" w14:textId="5D64CF2D"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17%</w:t>
            </w:r>
          </w:p>
        </w:tc>
      </w:tr>
      <w:tr w:rsidR="00CF4744" w:rsidRPr="00581E08" w14:paraId="36DCF1BD" w14:textId="77777777" w:rsidTr="003B2286">
        <w:trPr>
          <w:trHeight w:val="300"/>
        </w:trPr>
        <w:tc>
          <w:tcPr>
            <w:tcW w:w="2875" w:type="dxa"/>
            <w:vAlign w:val="center"/>
          </w:tcPr>
          <w:p w14:paraId="246C9BBF"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t>50-59</w:t>
            </w:r>
          </w:p>
        </w:tc>
        <w:tc>
          <w:tcPr>
            <w:tcW w:w="765" w:type="dxa"/>
            <w:vAlign w:val="bottom"/>
          </w:tcPr>
          <w:p w14:paraId="18D181C8"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107</w:t>
            </w:r>
          </w:p>
        </w:tc>
        <w:tc>
          <w:tcPr>
            <w:tcW w:w="765" w:type="dxa"/>
            <w:vAlign w:val="center"/>
          </w:tcPr>
          <w:p w14:paraId="759FAEBF" w14:textId="79F8DDFA"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18%</w:t>
            </w:r>
          </w:p>
        </w:tc>
        <w:tc>
          <w:tcPr>
            <w:tcW w:w="810" w:type="dxa"/>
            <w:vAlign w:val="bottom"/>
          </w:tcPr>
          <w:p w14:paraId="6976CD6D"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68</w:t>
            </w:r>
          </w:p>
        </w:tc>
        <w:tc>
          <w:tcPr>
            <w:tcW w:w="810" w:type="dxa"/>
            <w:vAlign w:val="center"/>
          </w:tcPr>
          <w:p w14:paraId="09FFD6B7" w14:textId="7F6CEB54"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11%</w:t>
            </w:r>
          </w:p>
        </w:tc>
      </w:tr>
      <w:tr w:rsidR="00CF4744" w:rsidRPr="00581E08" w14:paraId="4EF13022" w14:textId="77777777" w:rsidTr="003B2286">
        <w:trPr>
          <w:trHeight w:val="300"/>
        </w:trPr>
        <w:tc>
          <w:tcPr>
            <w:tcW w:w="2875" w:type="dxa"/>
            <w:vAlign w:val="center"/>
          </w:tcPr>
          <w:p w14:paraId="5532AF88"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t>60-69</w:t>
            </w:r>
          </w:p>
        </w:tc>
        <w:tc>
          <w:tcPr>
            <w:tcW w:w="765" w:type="dxa"/>
            <w:vAlign w:val="bottom"/>
          </w:tcPr>
          <w:p w14:paraId="438221E1"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26</w:t>
            </w:r>
          </w:p>
        </w:tc>
        <w:tc>
          <w:tcPr>
            <w:tcW w:w="765" w:type="dxa"/>
            <w:vAlign w:val="center"/>
          </w:tcPr>
          <w:p w14:paraId="1484E660" w14:textId="5B68B502"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4%</w:t>
            </w:r>
          </w:p>
        </w:tc>
        <w:tc>
          <w:tcPr>
            <w:tcW w:w="810" w:type="dxa"/>
            <w:vAlign w:val="bottom"/>
          </w:tcPr>
          <w:p w14:paraId="1E543C24"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31</w:t>
            </w:r>
          </w:p>
        </w:tc>
        <w:tc>
          <w:tcPr>
            <w:tcW w:w="810" w:type="dxa"/>
            <w:vAlign w:val="center"/>
          </w:tcPr>
          <w:p w14:paraId="4986AEEA" w14:textId="108CEAA2"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5%</w:t>
            </w:r>
          </w:p>
        </w:tc>
      </w:tr>
      <w:tr w:rsidR="00CF4744" w:rsidRPr="00581E08" w14:paraId="3F330E22" w14:textId="77777777" w:rsidTr="003B2286">
        <w:trPr>
          <w:trHeight w:val="300"/>
        </w:trPr>
        <w:tc>
          <w:tcPr>
            <w:tcW w:w="2875" w:type="dxa"/>
            <w:vAlign w:val="center"/>
          </w:tcPr>
          <w:p w14:paraId="15D05C20"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t>70+</w:t>
            </w:r>
          </w:p>
        </w:tc>
        <w:tc>
          <w:tcPr>
            <w:tcW w:w="765" w:type="dxa"/>
            <w:vAlign w:val="bottom"/>
          </w:tcPr>
          <w:p w14:paraId="04E4FE44"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6</w:t>
            </w:r>
          </w:p>
        </w:tc>
        <w:tc>
          <w:tcPr>
            <w:tcW w:w="765" w:type="dxa"/>
            <w:vAlign w:val="center"/>
          </w:tcPr>
          <w:p w14:paraId="756AEDF2" w14:textId="5AF4EADC"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1%</w:t>
            </w:r>
          </w:p>
        </w:tc>
        <w:tc>
          <w:tcPr>
            <w:tcW w:w="810" w:type="dxa"/>
            <w:vAlign w:val="bottom"/>
          </w:tcPr>
          <w:p w14:paraId="04E28D17"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10</w:t>
            </w:r>
          </w:p>
        </w:tc>
        <w:tc>
          <w:tcPr>
            <w:tcW w:w="810" w:type="dxa"/>
            <w:vAlign w:val="center"/>
          </w:tcPr>
          <w:p w14:paraId="22375134" w14:textId="0911F8BC"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2%</w:t>
            </w:r>
          </w:p>
        </w:tc>
      </w:tr>
      <w:tr w:rsidR="00CF4744" w:rsidRPr="00581E08" w14:paraId="23DFA3A8" w14:textId="77777777" w:rsidTr="003B2286">
        <w:trPr>
          <w:trHeight w:val="300"/>
        </w:trPr>
        <w:tc>
          <w:tcPr>
            <w:tcW w:w="2875" w:type="dxa"/>
            <w:vAlign w:val="center"/>
          </w:tcPr>
          <w:p w14:paraId="24B20AD1"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b/>
                <w:bCs/>
                <w:sz w:val="22"/>
                <w:szCs w:val="22"/>
              </w:rPr>
              <w:t>Exposure Mode</w:t>
            </w:r>
          </w:p>
        </w:tc>
        <w:tc>
          <w:tcPr>
            <w:tcW w:w="765" w:type="dxa"/>
            <w:vAlign w:val="bottom"/>
          </w:tcPr>
          <w:p w14:paraId="384BA8BF" w14:textId="77777777" w:rsidR="00CF4744" w:rsidRPr="00CF4744" w:rsidRDefault="00CF4744" w:rsidP="00CF4744">
            <w:pPr>
              <w:pStyle w:val="Style2"/>
              <w:jc w:val="center"/>
              <w:rPr>
                <w:rFonts w:asciiTheme="minorHAnsi" w:hAnsiTheme="minorHAnsi" w:cstheme="minorHAnsi"/>
                <w:sz w:val="22"/>
                <w:szCs w:val="22"/>
              </w:rPr>
            </w:pPr>
          </w:p>
        </w:tc>
        <w:tc>
          <w:tcPr>
            <w:tcW w:w="765" w:type="dxa"/>
            <w:vAlign w:val="center"/>
          </w:tcPr>
          <w:p w14:paraId="5D55ACF2" w14:textId="40911840" w:rsidR="00CF4744" w:rsidRPr="00CF4744" w:rsidRDefault="00CF4744" w:rsidP="00CF4744">
            <w:pPr>
              <w:pStyle w:val="Style2"/>
              <w:jc w:val="center"/>
              <w:rPr>
                <w:rFonts w:asciiTheme="minorHAnsi" w:hAnsiTheme="minorHAnsi" w:cstheme="minorHAnsi"/>
                <w:sz w:val="22"/>
                <w:szCs w:val="22"/>
              </w:rPr>
            </w:pPr>
          </w:p>
        </w:tc>
        <w:tc>
          <w:tcPr>
            <w:tcW w:w="810" w:type="dxa"/>
            <w:vAlign w:val="bottom"/>
          </w:tcPr>
          <w:p w14:paraId="55BDC70C" w14:textId="77777777" w:rsidR="00CF4744" w:rsidRPr="00CF4744" w:rsidRDefault="00CF4744" w:rsidP="00CF4744">
            <w:pPr>
              <w:pStyle w:val="Style2"/>
              <w:jc w:val="center"/>
              <w:rPr>
                <w:rFonts w:asciiTheme="minorHAnsi" w:hAnsiTheme="minorHAnsi" w:cstheme="minorHAnsi"/>
                <w:sz w:val="22"/>
                <w:szCs w:val="22"/>
              </w:rPr>
            </w:pPr>
          </w:p>
        </w:tc>
        <w:tc>
          <w:tcPr>
            <w:tcW w:w="810" w:type="dxa"/>
            <w:vAlign w:val="center"/>
          </w:tcPr>
          <w:p w14:paraId="3AD8A285" w14:textId="195C1F5A" w:rsidR="00CF4744" w:rsidRPr="00CF4744" w:rsidRDefault="00CF4744" w:rsidP="00CF4744">
            <w:pPr>
              <w:pStyle w:val="Style2"/>
              <w:jc w:val="center"/>
              <w:rPr>
                <w:rFonts w:asciiTheme="minorHAnsi" w:hAnsiTheme="minorHAnsi" w:cstheme="minorHAnsi"/>
                <w:sz w:val="22"/>
                <w:szCs w:val="22"/>
              </w:rPr>
            </w:pPr>
          </w:p>
        </w:tc>
      </w:tr>
      <w:tr w:rsidR="00CF4744" w:rsidRPr="00581E08" w14:paraId="01B69CBD" w14:textId="77777777" w:rsidTr="003B2286">
        <w:trPr>
          <w:trHeight w:val="300"/>
        </w:trPr>
        <w:tc>
          <w:tcPr>
            <w:tcW w:w="2875" w:type="dxa"/>
            <w:vAlign w:val="center"/>
          </w:tcPr>
          <w:p w14:paraId="5596279E"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t>MSM</w:t>
            </w:r>
          </w:p>
        </w:tc>
        <w:tc>
          <w:tcPr>
            <w:tcW w:w="765" w:type="dxa"/>
            <w:vAlign w:val="bottom"/>
          </w:tcPr>
          <w:p w14:paraId="4E23FDFE"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266</w:t>
            </w:r>
          </w:p>
        </w:tc>
        <w:tc>
          <w:tcPr>
            <w:tcW w:w="765" w:type="dxa"/>
            <w:vAlign w:val="center"/>
          </w:tcPr>
          <w:p w14:paraId="7C7AAC17" w14:textId="1D5D9DEA"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44%</w:t>
            </w:r>
          </w:p>
        </w:tc>
        <w:tc>
          <w:tcPr>
            <w:tcW w:w="810" w:type="dxa"/>
            <w:vAlign w:val="bottom"/>
          </w:tcPr>
          <w:p w14:paraId="7EF1426D"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251</w:t>
            </w:r>
          </w:p>
        </w:tc>
        <w:tc>
          <w:tcPr>
            <w:tcW w:w="810" w:type="dxa"/>
            <w:vAlign w:val="center"/>
          </w:tcPr>
          <w:p w14:paraId="0928EA71" w14:textId="75B5D412"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42%</w:t>
            </w:r>
          </w:p>
        </w:tc>
      </w:tr>
      <w:tr w:rsidR="00CF4744" w:rsidRPr="00581E08" w14:paraId="511DEBD5" w14:textId="77777777" w:rsidTr="003B2286">
        <w:trPr>
          <w:trHeight w:val="300"/>
        </w:trPr>
        <w:tc>
          <w:tcPr>
            <w:tcW w:w="2875" w:type="dxa"/>
            <w:vAlign w:val="center"/>
          </w:tcPr>
          <w:p w14:paraId="55A7AE2A"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t>IDU</w:t>
            </w:r>
          </w:p>
        </w:tc>
        <w:tc>
          <w:tcPr>
            <w:tcW w:w="765" w:type="dxa"/>
            <w:vAlign w:val="bottom"/>
          </w:tcPr>
          <w:p w14:paraId="566033B5"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50</w:t>
            </w:r>
          </w:p>
        </w:tc>
        <w:tc>
          <w:tcPr>
            <w:tcW w:w="765" w:type="dxa"/>
            <w:vAlign w:val="center"/>
          </w:tcPr>
          <w:p w14:paraId="1CD1613F" w14:textId="2B7FD25B"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8%</w:t>
            </w:r>
          </w:p>
        </w:tc>
        <w:tc>
          <w:tcPr>
            <w:tcW w:w="810" w:type="dxa"/>
            <w:vAlign w:val="bottom"/>
          </w:tcPr>
          <w:p w14:paraId="0E4E44AF"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43</w:t>
            </w:r>
          </w:p>
        </w:tc>
        <w:tc>
          <w:tcPr>
            <w:tcW w:w="810" w:type="dxa"/>
            <w:vAlign w:val="center"/>
          </w:tcPr>
          <w:p w14:paraId="278C6C27" w14:textId="5B95BF82"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7%</w:t>
            </w:r>
          </w:p>
        </w:tc>
      </w:tr>
      <w:tr w:rsidR="00CF4744" w:rsidRPr="00581E08" w14:paraId="158E06A2" w14:textId="77777777" w:rsidTr="003B2286">
        <w:trPr>
          <w:trHeight w:val="300"/>
        </w:trPr>
        <w:tc>
          <w:tcPr>
            <w:tcW w:w="2875" w:type="dxa"/>
            <w:vAlign w:val="center"/>
          </w:tcPr>
          <w:p w14:paraId="03ED3827"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t>MSM/IDU</w:t>
            </w:r>
          </w:p>
        </w:tc>
        <w:tc>
          <w:tcPr>
            <w:tcW w:w="765" w:type="dxa"/>
            <w:vAlign w:val="bottom"/>
          </w:tcPr>
          <w:p w14:paraId="1999CD55"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21</w:t>
            </w:r>
          </w:p>
        </w:tc>
        <w:tc>
          <w:tcPr>
            <w:tcW w:w="765" w:type="dxa"/>
            <w:vAlign w:val="center"/>
          </w:tcPr>
          <w:p w14:paraId="3E8FE79E" w14:textId="61B5C2D0"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3%</w:t>
            </w:r>
          </w:p>
        </w:tc>
        <w:tc>
          <w:tcPr>
            <w:tcW w:w="810" w:type="dxa"/>
            <w:vAlign w:val="bottom"/>
          </w:tcPr>
          <w:p w14:paraId="24D4351B"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11</w:t>
            </w:r>
          </w:p>
        </w:tc>
        <w:tc>
          <w:tcPr>
            <w:tcW w:w="810" w:type="dxa"/>
            <w:vAlign w:val="center"/>
          </w:tcPr>
          <w:p w14:paraId="31B55BC3" w14:textId="1AE0B991"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2%</w:t>
            </w:r>
          </w:p>
        </w:tc>
      </w:tr>
      <w:tr w:rsidR="00CF4744" w:rsidRPr="00581E08" w14:paraId="6CDB1B8B" w14:textId="77777777" w:rsidTr="003B2286">
        <w:trPr>
          <w:trHeight w:val="300"/>
        </w:trPr>
        <w:tc>
          <w:tcPr>
            <w:tcW w:w="2875" w:type="dxa"/>
            <w:vAlign w:val="center"/>
          </w:tcPr>
          <w:p w14:paraId="04A13093"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t>HTSX</w:t>
            </w:r>
          </w:p>
        </w:tc>
        <w:tc>
          <w:tcPr>
            <w:tcW w:w="765" w:type="dxa"/>
            <w:vAlign w:val="bottom"/>
          </w:tcPr>
          <w:p w14:paraId="5E098334"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38</w:t>
            </w:r>
          </w:p>
        </w:tc>
        <w:tc>
          <w:tcPr>
            <w:tcW w:w="765" w:type="dxa"/>
            <w:vAlign w:val="center"/>
          </w:tcPr>
          <w:p w14:paraId="36D121F6" w14:textId="14FF8E4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6%</w:t>
            </w:r>
          </w:p>
        </w:tc>
        <w:tc>
          <w:tcPr>
            <w:tcW w:w="810" w:type="dxa"/>
            <w:vAlign w:val="bottom"/>
          </w:tcPr>
          <w:p w14:paraId="39DD787E"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26</w:t>
            </w:r>
          </w:p>
        </w:tc>
        <w:tc>
          <w:tcPr>
            <w:tcW w:w="810" w:type="dxa"/>
            <w:vAlign w:val="center"/>
          </w:tcPr>
          <w:p w14:paraId="1010BACE" w14:textId="3A3BB343"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4%</w:t>
            </w:r>
          </w:p>
        </w:tc>
      </w:tr>
      <w:tr w:rsidR="00CF4744" w:rsidRPr="00581E08" w14:paraId="439D1FBB" w14:textId="77777777" w:rsidTr="003B2286">
        <w:trPr>
          <w:trHeight w:val="300"/>
        </w:trPr>
        <w:tc>
          <w:tcPr>
            <w:tcW w:w="2875" w:type="dxa"/>
            <w:vAlign w:val="center"/>
          </w:tcPr>
          <w:p w14:paraId="2CBC91DE"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t>Other</w:t>
            </w:r>
            <w:r w:rsidRPr="00581E08">
              <w:rPr>
                <w:rStyle w:val="FootnoteReference"/>
                <w:rFonts w:asciiTheme="minorHAnsi" w:hAnsiTheme="minorHAnsi" w:cstheme="minorHAnsi"/>
                <w:sz w:val="22"/>
                <w:szCs w:val="22"/>
              </w:rPr>
              <w:footnoteReference w:id="24"/>
            </w:r>
          </w:p>
        </w:tc>
        <w:tc>
          <w:tcPr>
            <w:tcW w:w="765" w:type="dxa"/>
            <w:vAlign w:val="bottom"/>
          </w:tcPr>
          <w:p w14:paraId="54B3C846"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5</w:t>
            </w:r>
          </w:p>
        </w:tc>
        <w:tc>
          <w:tcPr>
            <w:tcW w:w="765" w:type="dxa"/>
            <w:vAlign w:val="center"/>
          </w:tcPr>
          <w:p w14:paraId="5934BA8D" w14:textId="2B01FA62"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1%</w:t>
            </w:r>
          </w:p>
        </w:tc>
        <w:tc>
          <w:tcPr>
            <w:tcW w:w="810" w:type="dxa"/>
            <w:vAlign w:val="bottom"/>
          </w:tcPr>
          <w:p w14:paraId="55A2FC24"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1</w:t>
            </w:r>
          </w:p>
        </w:tc>
        <w:tc>
          <w:tcPr>
            <w:tcW w:w="810" w:type="dxa"/>
            <w:vAlign w:val="center"/>
          </w:tcPr>
          <w:p w14:paraId="56E5A94F" w14:textId="1F58E509"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&lt;1%</w:t>
            </w:r>
          </w:p>
        </w:tc>
      </w:tr>
      <w:tr w:rsidR="00CF4744" w:rsidRPr="00581E08" w14:paraId="72F2B46A" w14:textId="77777777" w:rsidTr="003B2286">
        <w:trPr>
          <w:trHeight w:val="300"/>
        </w:trPr>
        <w:tc>
          <w:tcPr>
            <w:tcW w:w="2875" w:type="dxa"/>
            <w:vAlign w:val="center"/>
          </w:tcPr>
          <w:p w14:paraId="7DD70F36"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t>Pres. HTSX</w:t>
            </w:r>
          </w:p>
        </w:tc>
        <w:tc>
          <w:tcPr>
            <w:tcW w:w="765" w:type="dxa"/>
            <w:vAlign w:val="bottom"/>
          </w:tcPr>
          <w:p w14:paraId="22923A49"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65</w:t>
            </w:r>
          </w:p>
        </w:tc>
        <w:tc>
          <w:tcPr>
            <w:tcW w:w="765" w:type="dxa"/>
            <w:vAlign w:val="center"/>
          </w:tcPr>
          <w:p w14:paraId="3E6F995B" w14:textId="05EF4B1C"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11%</w:t>
            </w:r>
          </w:p>
        </w:tc>
        <w:tc>
          <w:tcPr>
            <w:tcW w:w="810" w:type="dxa"/>
            <w:vAlign w:val="bottom"/>
          </w:tcPr>
          <w:p w14:paraId="3BE275B2"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91</w:t>
            </w:r>
          </w:p>
        </w:tc>
        <w:tc>
          <w:tcPr>
            <w:tcW w:w="810" w:type="dxa"/>
            <w:vAlign w:val="center"/>
          </w:tcPr>
          <w:p w14:paraId="5A5B12F2" w14:textId="30575FFD"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15%</w:t>
            </w:r>
          </w:p>
        </w:tc>
      </w:tr>
      <w:tr w:rsidR="00CF4744" w:rsidRPr="00581E08" w14:paraId="590281AA" w14:textId="77777777" w:rsidTr="003B2286">
        <w:trPr>
          <w:trHeight w:val="300"/>
        </w:trPr>
        <w:tc>
          <w:tcPr>
            <w:tcW w:w="2875" w:type="dxa"/>
            <w:vAlign w:val="center"/>
          </w:tcPr>
          <w:p w14:paraId="640032ED"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t>NIR</w:t>
            </w:r>
          </w:p>
        </w:tc>
        <w:tc>
          <w:tcPr>
            <w:tcW w:w="765" w:type="dxa"/>
            <w:vAlign w:val="bottom"/>
          </w:tcPr>
          <w:p w14:paraId="1D75E871"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164</w:t>
            </w:r>
          </w:p>
        </w:tc>
        <w:tc>
          <w:tcPr>
            <w:tcW w:w="765" w:type="dxa"/>
            <w:vAlign w:val="center"/>
          </w:tcPr>
          <w:p w14:paraId="76AEA801" w14:textId="48212BEA"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27%</w:t>
            </w:r>
          </w:p>
        </w:tc>
        <w:tc>
          <w:tcPr>
            <w:tcW w:w="810" w:type="dxa"/>
            <w:vAlign w:val="bottom"/>
          </w:tcPr>
          <w:p w14:paraId="66EBF9F9"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179</w:t>
            </w:r>
          </w:p>
        </w:tc>
        <w:tc>
          <w:tcPr>
            <w:tcW w:w="810" w:type="dxa"/>
            <w:vAlign w:val="center"/>
          </w:tcPr>
          <w:p w14:paraId="25701C83" w14:textId="230A3EF5"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30%</w:t>
            </w:r>
          </w:p>
        </w:tc>
      </w:tr>
      <w:tr w:rsidR="00CF4744" w:rsidRPr="00581E08" w14:paraId="44F43F87" w14:textId="77777777" w:rsidTr="003B2286">
        <w:trPr>
          <w:trHeight w:val="300"/>
        </w:trPr>
        <w:tc>
          <w:tcPr>
            <w:tcW w:w="2875" w:type="dxa"/>
            <w:vAlign w:val="center"/>
          </w:tcPr>
          <w:p w14:paraId="503539D0"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b/>
                <w:bCs/>
                <w:sz w:val="22"/>
                <w:szCs w:val="22"/>
              </w:rPr>
              <w:t>Place of Birth</w:t>
            </w:r>
          </w:p>
        </w:tc>
        <w:tc>
          <w:tcPr>
            <w:tcW w:w="765" w:type="dxa"/>
            <w:vAlign w:val="bottom"/>
          </w:tcPr>
          <w:p w14:paraId="11A16F2A" w14:textId="77777777" w:rsidR="00CF4744" w:rsidRPr="00CF4744" w:rsidRDefault="00CF4744" w:rsidP="00CF4744">
            <w:pPr>
              <w:pStyle w:val="Style2"/>
              <w:jc w:val="center"/>
              <w:rPr>
                <w:rFonts w:asciiTheme="minorHAnsi" w:hAnsiTheme="minorHAnsi" w:cstheme="minorHAnsi"/>
                <w:sz w:val="22"/>
                <w:szCs w:val="22"/>
              </w:rPr>
            </w:pPr>
          </w:p>
        </w:tc>
        <w:tc>
          <w:tcPr>
            <w:tcW w:w="765" w:type="dxa"/>
            <w:vAlign w:val="center"/>
          </w:tcPr>
          <w:p w14:paraId="24F7BF59" w14:textId="7E2B79D6" w:rsidR="00CF4744" w:rsidRPr="00CF4744" w:rsidRDefault="00CF4744" w:rsidP="00CF4744">
            <w:pPr>
              <w:pStyle w:val="Style2"/>
              <w:jc w:val="center"/>
              <w:rPr>
                <w:rFonts w:asciiTheme="minorHAnsi" w:hAnsiTheme="minorHAnsi" w:cstheme="minorHAnsi"/>
                <w:sz w:val="22"/>
                <w:szCs w:val="22"/>
              </w:rPr>
            </w:pPr>
          </w:p>
        </w:tc>
        <w:tc>
          <w:tcPr>
            <w:tcW w:w="810" w:type="dxa"/>
            <w:vAlign w:val="bottom"/>
          </w:tcPr>
          <w:p w14:paraId="2B7635B8" w14:textId="77777777" w:rsidR="00CF4744" w:rsidRPr="00CF4744" w:rsidRDefault="00CF4744" w:rsidP="00CF4744">
            <w:pPr>
              <w:pStyle w:val="Style2"/>
              <w:jc w:val="center"/>
              <w:rPr>
                <w:rFonts w:asciiTheme="minorHAnsi" w:hAnsiTheme="minorHAnsi" w:cstheme="minorHAnsi"/>
                <w:sz w:val="22"/>
                <w:szCs w:val="22"/>
              </w:rPr>
            </w:pPr>
          </w:p>
        </w:tc>
        <w:tc>
          <w:tcPr>
            <w:tcW w:w="810" w:type="dxa"/>
            <w:vAlign w:val="center"/>
          </w:tcPr>
          <w:p w14:paraId="4F748A8E" w14:textId="64EE0525" w:rsidR="00CF4744" w:rsidRPr="00CF4744" w:rsidRDefault="00CF4744" w:rsidP="00CF4744">
            <w:pPr>
              <w:pStyle w:val="Style2"/>
              <w:jc w:val="center"/>
              <w:rPr>
                <w:rFonts w:asciiTheme="minorHAnsi" w:hAnsiTheme="minorHAnsi" w:cstheme="minorHAnsi"/>
                <w:sz w:val="22"/>
                <w:szCs w:val="22"/>
              </w:rPr>
            </w:pPr>
          </w:p>
        </w:tc>
      </w:tr>
      <w:tr w:rsidR="00CF4744" w:rsidRPr="00581E08" w14:paraId="36547680" w14:textId="77777777" w:rsidTr="003B2286">
        <w:trPr>
          <w:trHeight w:val="300"/>
        </w:trPr>
        <w:tc>
          <w:tcPr>
            <w:tcW w:w="2875" w:type="dxa"/>
            <w:vAlign w:val="center"/>
          </w:tcPr>
          <w:p w14:paraId="693604FE"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t>US</w:t>
            </w:r>
          </w:p>
        </w:tc>
        <w:tc>
          <w:tcPr>
            <w:tcW w:w="765" w:type="dxa"/>
            <w:vAlign w:val="bottom"/>
          </w:tcPr>
          <w:p w14:paraId="6FCD8079"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344</w:t>
            </w:r>
          </w:p>
        </w:tc>
        <w:tc>
          <w:tcPr>
            <w:tcW w:w="765" w:type="dxa"/>
            <w:vAlign w:val="center"/>
          </w:tcPr>
          <w:p w14:paraId="586A7424" w14:textId="4E71009B"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56%</w:t>
            </w:r>
          </w:p>
        </w:tc>
        <w:tc>
          <w:tcPr>
            <w:tcW w:w="810" w:type="dxa"/>
            <w:vAlign w:val="bottom"/>
          </w:tcPr>
          <w:p w14:paraId="51F1BF17"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275</w:t>
            </w:r>
          </w:p>
        </w:tc>
        <w:tc>
          <w:tcPr>
            <w:tcW w:w="810" w:type="dxa"/>
            <w:vAlign w:val="center"/>
          </w:tcPr>
          <w:p w14:paraId="06F66A30" w14:textId="2BC6D4FF"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46%</w:t>
            </w:r>
          </w:p>
        </w:tc>
      </w:tr>
      <w:tr w:rsidR="00CF4744" w:rsidRPr="00581E08" w14:paraId="1593767E" w14:textId="77777777" w:rsidTr="003B2286">
        <w:trPr>
          <w:trHeight w:val="300"/>
        </w:trPr>
        <w:tc>
          <w:tcPr>
            <w:tcW w:w="2875" w:type="dxa"/>
            <w:vAlign w:val="center"/>
          </w:tcPr>
          <w:p w14:paraId="6152D5C7"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t>PR/USD</w:t>
            </w:r>
            <w:r w:rsidRPr="00581E08">
              <w:rPr>
                <w:rStyle w:val="FootnoteReference"/>
                <w:rFonts w:asciiTheme="minorHAnsi" w:hAnsiTheme="minorHAnsi" w:cstheme="minorHAnsi"/>
                <w:sz w:val="22"/>
                <w:szCs w:val="22"/>
              </w:rPr>
              <w:footnoteReference w:id="25"/>
            </w:r>
          </w:p>
        </w:tc>
        <w:tc>
          <w:tcPr>
            <w:tcW w:w="765" w:type="dxa"/>
            <w:vAlign w:val="bottom"/>
          </w:tcPr>
          <w:p w14:paraId="03615962"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37</w:t>
            </w:r>
          </w:p>
        </w:tc>
        <w:tc>
          <w:tcPr>
            <w:tcW w:w="765" w:type="dxa"/>
            <w:vAlign w:val="center"/>
          </w:tcPr>
          <w:p w14:paraId="41E025DC" w14:textId="60310682"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6%</w:t>
            </w:r>
          </w:p>
        </w:tc>
        <w:tc>
          <w:tcPr>
            <w:tcW w:w="810" w:type="dxa"/>
            <w:vAlign w:val="bottom"/>
          </w:tcPr>
          <w:p w14:paraId="4A2D6927"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11</w:t>
            </w:r>
          </w:p>
        </w:tc>
        <w:tc>
          <w:tcPr>
            <w:tcW w:w="810" w:type="dxa"/>
            <w:vAlign w:val="center"/>
          </w:tcPr>
          <w:p w14:paraId="4F193858" w14:textId="05E60844"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2%</w:t>
            </w:r>
          </w:p>
        </w:tc>
      </w:tr>
      <w:tr w:rsidR="00CF4744" w:rsidRPr="00581E08" w14:paraId="38C9A38A" w14:textId="77777777" w:rsidTr="003B2286">
        <w:trPr>
          <w:trHeight w:val="300"/>
        </w:trPr>
        <w:tc>
          <w:tcPr>
            <w:tcW w:w="2875" w:type="dxa"/>
            <w:vAlign w:val="center"/>
          </w:tcPr>
          <w:p w14:paraId="5535702D"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t>Non-US</w:t>
            </w:r>
          </w:p>
        </w:tc>
        <w:tc>
          <w:tcPr>
            <w:tcW w:w="765" w:type="dxa"/>
            <w:vAlign w:val="bottom"/>
          </w:tcPr>
          <w:p w14:paraId="4DADA980"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228</w:t>
            </w:r>
          </w:p>
        </w:tc>
        <w:tc>
          <w:tcPr>
            <w:tcW w:w="765" w:type="dxa"/>
            <w:vAlign w:val="center"/>
          </w:tcPr>
          <w:p w14:paraId="7E1D5539" w14:textId="53D39F03"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37%</w:t>
            </w:r>
          </w:p>
        </w:tc>
        <w:tc>
          <w:tcPr>
            <w:tcW w:w="810" w:type="dxa"/>
            <w:vAlign w:val="bottom"/>
          </w:tcPr>
          <w:p w14:paraId="0C71E7D4"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316</w:t>
            </w:r>
          </w:p>
        </w:tc>
        <w:tc>
          <w:tcPr>
            <w:tcW w:w="810" w:type="dxa"/>
            <w:vAlign w:val="center"/>
          </w:tcPr>
          <w:p w14:paraId="465B549B" w14:textId="64D7D312"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52%</w:t>
            </w:r>
          </w:p>
        </w:tc>
      </w:tr>
      <w:tr w:rsidR="00CF4744" w:rsidRPr="00581E08" w14:paraId="3060AFCF" w14:textId="77777777" w:rsidTr="003B2286">
        <w:trPr>
          <w:trHeight w:val="300"/>
        </w:trPr>
        <w:tc>
          <w:tcPr>
            <w:tcW w:w="2875" w:type="dxa"/>
            <w:vAlign w:val="center"/>
          </w:tcPr>
          <w:p w14:paraId="2A93A7D2"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b/>
                <w:bCs/>
                <w:sz w:val="22"/>
                <w:szCs w:val="22"/>
              </w:rPr>
              <w:t>Health Service Region</w:t>
            </w:r>
          </w:p>
        </w:tc>
        <w:tc>
          <w:tcPr>
            <w:tcW w:w="765" w:type="dxa"/>
            <w:vAlign w:val="bottom"/>
          </w:tcPr>
          <w:p w14:paraId="296B9E48" w14:textId="77777777" w:rsidR="00CF4744" w:rsidRPr="00CF4744" w:rsidRDefault="00CF4744" w:rsidP="00CF4744">
            <w:pPr>
              <w:pStyle w:val="Style2"/>
              <w:jc w:val="center"/>
              <w:rPr>
                <w:rFonts w:asciiTheme="minorHAnsi" w:hAnsiTheme="minorHAnsi" w:cstheme="minorHAnsi"/>
                <w:sz w:val="22"/>
                <w:szCs w:val="22"/>
              </w:rPr>
            </w:pPr>
          </w:p>
        </w:tc>
        <w:tc>
          <w:tcPr>
            <w:tcW w:w="765" w:type="dxa"/>
            <w:vAlign w:val="center"/>
          </w:tcPr>
          <w:p w14:paraId="7D99F016" w14:textId="1A4846C4" w:rsidR="00CF4744" w:rsidRPr="00CF4744" w:rsidRDefault="00CF4744" w:rsidP="00CF4744">
            <w:pPr>
              <w:pStyle w:val="Style2"/>
              <w:jc w:val="center"/>
              <w:rPr>
                <w:rFonts w:asciiTheme="minorHAnsi" w:hAnsiTheme="minorHAnsi" w:cstheme="minorHAnsi"/>
                <w:sz w:val="22"/>
                <w:szCs w:val="22"/>
              </w:rPr>
            </w:pPr>
          </w:p>
        </w:tc>
        <w:tc>
          <w:tcPr>
            <w:tcW w:w="810" w:type="dxa"/>
            <w:vAlign w:val="bottom"/>
          </w:tcPr>
          <w:p w14:paraId="7E82AFAA" w14:textId="77777777" w:rsidR="00CF4744" w:rsidRPr="00CF4744" w:rsidRDefault="00CF4744" w:rsidP="00CF4744">
            <w:pPr>
              <w:pStyle w:val="Style2"/>
              <w:jc w:val="center"/>
              <w:rPr>
                <w:rFonts w:asciiTheme="minorHAnsi" w:hAnsiTheme="minorHAnsi" w:cstheme="minorHAnsi"/>
                <w:sz w:val="22"/>
                <w:szCs w:val="22"/>
              </w:rPr>
            </w:pPr>
          </w:p>
        </w:tc>
        <w:tc>
          <w:tcPr>
            <w:tcW w:w="810" w:type="dxa"/>
            <w:vAlign w:val="center"/>
          </w:tcPr>
          <w:p w14:paraId="159C832A" w14:textId="61CF9D60" w:rsidR="00CF4744" w:rsidRPr="00CF4744" w:rsidRDefault="00CF4744" w:rsidP="00CF4744">
            <w:pPr>
              <w:pStyle w:val="Style2"/>
              <w:jc w:val="center"/>
              <w:rPr>
                <w:rFonts w:asciiTheme="minorHAnsi" w:hAnsiTheme="minorHAnsi" w:cstheme="minorHAnsi"/>
                <w:sz w:val="22"/>
                <w:szCs w:val="22"/>
              </w:rPr>
            </w:pPr>
          </w:p>
        </w:tc>
      </w:tr>
      <w:tr w:rsidR="00CF4744" w:rsidRPr="00581E08" w14:paraId="3391F598" w14:textId="77777777" w:rsidTr="003B2286">
        <w:trPr>
          <w:trHeight w:val="300"/>
        </w:trPr>
        <w:tc>
          <w:tcPr>
            <w:tcW w:w="2875" w:type="dxa"/>
            <w:vAlign w:val="center"/>
          </w:tcPr>
          <w:p w14:paraId="084571F8"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t>Boston</w:t>
            </w:r>
          </w:p>
        </w:tc>
        <w:tc>
          <w:tcPr>
            <w:tcW w:w="765" w:type="dxa"/>
            <w:vAlign w:val="bottom"/>
          </w:tcPr>
          <w:p w14:paraId="62834A0E"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152</w:t>
            </w:r>
          </w:p>
        </w:tc>
        <w:tc>
          <w:tcPr>
            <w:tcW w:w="765" w:type="dxa"/>
            <w:vAlign w:val="center"/>
          </w:tcPr>
          <w:p w14:paraId="6B31DB6F" w14:textId="19F14B71"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25%</w:t>
            </w:r>
          </w:p>
        </w:tc>
        <w:tc>
          <w:tcPr>
            <w:tcW w:w="810" w:type="dxa"/>
            <w:vAlign w:val="bottom"/>
          </w:tcPr>
          <w:p w14:paraId="35F19001"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137</w:t>
            </w:r>
          </w:p>
        </w:tc>
        <w:tc>
          <w:tcPr>
            <w:tcW w:w="810" w:type="dxa"/>
            <w:vAlign w:val="center"/>
          </w:tcPr>
          <w:p w14:paraId="72BC0ED5" w14:textId="32A1E0EF"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23%</w:t>
            </w:r>
          </w:p>
        </w:tc>
      </w:tr>
      <w:tr w:rsidR="00CF4744" w:rsidRPr="00581E08" w14:paraId="4D104CF8" w14:textId="77777777" w:rsidTr="003B2286">
        <w:trPr>
          <w:trHeight w:val="300"/>
        </w:trPr>
        <w:tc>
          <w:tcPr>
            <w:tcW w:w="2875" w:type="dxa"/>
            <w:vAlign w:val="center"/>
          </w:tcPr>
          <w:p w14:paraId="01879792"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lastRenderedPageBreak/>
              <w:t>Central</w:t>
            </w:r>
          </w:p>
        </w:tc>
        <w:tc>
          <w:tcPr>
            <w:tcW w:w="765" w:type="dxa"/>
            <w:vAlign w:val="bottom"/>
          </w:tcPr>
          <w:p w14:paraId="24D2A9CA"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49</w:t>
            </w:r>
          </w:p>
        </w:tc>
        <w:tc>
          <w:tcPr>
            <w:tcW w:w="765" w:type="dxa"/>
            <w:vAlign w:val="center"/>
          </w:tcPr>
          <w:p w14:paraId="49CE7D3A" w14:textId="58E7EEB6"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8%</w:t>
            </w:r>
          </w:p>
        </w:tc>
        <w:tc>
          <w:tcPr>
            <w:tcW w:w="810" w:type="dxa"/>
            <w:vAlign w:val="bottom"/>
          </w:tcPr>
          <w:p w14:paraId="1FE44A1A"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54</w:t>
            </w:r>
          </w:p>
        </w:tc>
        <w:tc>
          <w:tcPr>
            <w:tcW w:w="810" w:type="dxa"/>
            <w:vAlign w:val="center"/>
          </w:tcPr>
          <w:p w14:paraId="11A6F4F6" w14:textId="073EFB28"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9%</w:t>
            </w:r>
          </w:p>
        </w:tc>
      </w:tr>
      <w:tr w:rsidR="00CF4744" w:rsidRPr="00581E08" w14:paraId="2D213FDC" w14:textId="77777777" w:rsidTr="003B2286">
        <w:trPr>
          <w:trHeight w:val="300"/>
        </w:trPr>
        <w:tc>
          <w:tcPr>
            <w:tcW w:w="2875" w:type="dxa"/>
            <w:vAlign w:val="center"/>
          </w:tcPr>
          <w:p w14:paraId="0565AA80"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t>Metro West</w:t>
            </w:r>
          </w:p>
        </w:tc>
        <w:tc>
          <w:tcPr>
            <w:tcW w:w="765" w:type="dxa"/>
            <w:vAlign w:val="bottom"/>
          </w:tcPr>
          <w:p w14:paraId="355D9533"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113</w:t>
            </w:r>
          </w:p>
        </w:tc>
        <w:tc>
          <w:tcPr>
            <w:tcW w:w="765" w:type="dxa"/>
            <w:vAlign w:val="center"/>
          </w:tcPr>
          <w:p w14:paraId="284AB343" w14:textId="54BDB2F4"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19%</w:t>
            </w:r>
          </w:p>
        </w:tc>
        <w:tc>
          <w:tcPr>
            <w:tcW w:w="810" w:type="dxa"/>
            <w:vAlign w:val="bottom"/>
          </w:tcPr>
          <w:p w14:paraId="1B1B2B80"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88</w:t>
            </w:r>
          </w:p>
        </w:tc>
        <w:tc>
          <w:tcPr>
            <w:tcW w:w="810" w:type="dxa"/>
            <w:vAlign w:val="center"/>
          </w:tcPr>
          <w:p w14:paraId="54CBE51C" w14:textId="1635E834"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15%</w:t>
            </w:r>
          </w:p>
        </w:tc>
      </w:tr>
      <w:tr w:rsidR="00CF4744" w:rsidRPr="00581E08" w14:paraId="3DC62B0A" w14:textId="77777777" w:rsidTr="003B2286">
        <w:trPr>
          <w:trHeight w:val="300"/>
        </w:trPr>
        <w:tc>
          <w:tcPr>
            <w:tcW w:w="2875" w:type="dxa"/>
            <w:vAlign w:val="center"/>
          </w:tcPr>
          <w:p w14:paraId="6F9BA8D8"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t>Northeast</w:t>
            </w:r>
          </w:p>
        </w:tc>
        <w:tc>
          <w:tcPr>
            <w:tcW w:w="765" w:type="dxa"/>
            <w:vAlign w:val="bottom"/>
          </w:tcPr>
          <w:p w14:paraId="60428583"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130</w:t>
            </w:r>
          </w:p>
        </w:tc>
        <w:tc>
          <w:tcPr>
            <w:tcW w:w="765" w:type="dxa"/>
            <w:vAlign w:val="center"/>
          </w:tcPr>
          <w:p w14:paraId="41A96313" w14:textId="0C8717A1"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21%</w:t>
            </w:r>
          </w:p>
        </w:tc>
        <w:tc>
          <w:tcPr>
            <w:tcW w:w="810" w:type="dxa"/>
            <w:vAlign w:val="bottom"/>
          </w:tcPr>
          <w:p w14:paraId="356B0F47"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138</w:t>
            </w:r>
          </w:p>
        </w:tc>
        <w:tc>
          <w:tcPr>
            <w:tcW w:w="810" w:type="dxa"/>
            <w:vAlign w:val="center"/>
          </w:tcPr>
          <w:p w14:paraId="1A4AAC71" w14:textId="2D19CEFC"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23%</w:t>
            </w:r>
          </w:p>
        </w:tc>
      </w:tr>
      <w:tr w:rsidR="00CF4744" w:rsidRPr="00581E08" w14:paraId="54A80A9C" w14:textId="77777777" w:rsidTr="003B2286">
        <w:trPr>
          <w:trHeight w:val="300"/>
        </w:trPr>
        <w:tc>
          <w:tcPr>
            <w:tcW w:w="2875" w:type="dxa"/>
            <w:vAlign w:val="center"/>
          </w:tcPr>
          <w:p w14:paraId="766DFD1D"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t>Southeast</w:t>
            </w:r>
          </w:p>
        </w:tc>
        <w:tc>
          <w:tcPr>
            <w:tcW w:w="765" w:type="dxa"/>
            <w:vAlign w:val="bottom"/>
          </w:tcPr>
          <w:p w14:paraId="1676BE9B"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99</w:t>
            </w:r>
          </w:p>
        </w:tc>
        <w:tc>
          <w:tcPr>
            <w:tcW w:w="765" w:type="dxa"/>
            <w:vAlign w:val="center"/>
          </w:tcPr>
          <w:p w14:paraId="7494439C" w14:textId="35A23EED"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16%</w:t>
            </w:r>
          </w:p>
        </w:tc>
        <w:tc>
          <w:tcPr>
            <w:tcW w:w="810" w:type="dxa"/>
            <w:vAlign w:val="bottom"/>
          </w:tcPr>
          <w:p w14:paraId="512587A6"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123</w:t>
            </w:r>
          </w:p>
        </w:tc>
        <w:tc>
          <w:tcPr>
            <w:tcW w:w="810" w:type="dxa"/>
            <w:vAlign w:val="center"/>
          </w:tcPr>
          <w:p w14:paraId="76F29E19" w14:textId="522666F2"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20%</w:t>
            </w:r>
          </w:p>
        </w:tc>
      </w:tr>
      <w:tr w:rsidR="00CF4744" w:rsidRPr="00581E08" w14:paraId="55DBEF23" w14:textId="77777777" w:rsidTr="003B2286">
        <w:trPr>
          <w:trHeight w:val="300"/>
        </w:trPr>
        <w:tc>
          <w:tcPr>
            <w:tcW w:w="2875" w:type="dxa"/>
            <w:vAlign w:val="center"/>
          </w:tcPr>
          <w:p w14:paraId="4DABE14E"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t>Western</w:t>
            </w:r>
          </w:p>
        </w:tc>
        <w:tc>
          <w:tcPr>
            <w:tcW w:w="765" w:type="dxa"/>
            <w:vAlign w:val="bottom"/>
          </w:tcPr>
          <w:p w14:paraId="582A793E"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55</w:t>
            </w:r>
          </w:p>
        </w:tc>
        <w:tc>
          <w:tcPr>
            <w:tcW w:w="765" w:type="dxa"/>
            <w:vAlign w:val="center"/>
          </w:tcPr>
          <w:p w14:paraId="55EF56FC" w14:textId="2C54CFDC"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9%</w:t>
            </w:r>
          </w:p>
        </w:tc>
        <w:tc>
          <w:tcPr>
            <w:tcW w:w="810" w:type="dxa"/>
            <w:vAlign w:val="bottom"/>
          </w:tcPr>
          <w:p w14:paraId="7503DB26"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55</w:t>
            </w:r>
          </w:p>
        </w:tc>
        <w:tc>
          <w:tcPr>
            <w:tcW w:w="810" w:type="dxa"/>
            <w:vAlign w:val="center"/>
          </w:tcPr>
          <w:p w14:paraId="59E8DFBB" w14:textId="2648441B"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9%</w:t>
            </w:r>
          </w:p>
        </w:tc>
      </w:tr>
      <w:tr w:rsidR="00CF4744" w:rsidRPr="00581E08" w14:paraId="4286ABF9" w14:textId="77777777" w:rsidTr="003B2286">
        <w:trPr>
          <w:trHeight w:val="300"/>
        </w:trPr>
        <w:tc>
          <w:tcPr>
            <w:tcW w:w="2875" w:type="dxa"/>
            <w:vAlign w:val="center"/>
          </w:tcPr>
          <w:p w14:paraId="7171E243" w14:textId="77777777"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t>Prisoner</w:t>
            </w:r>
          </w:p>
        </w:tc>
        <w:tc>
          <w:tcPr>
            <w:tcW w:w="765" w:type="dxa"/>
            <w:vAlign w:val="bottom"/>
          </w:tcPr>
          <w:p w14:paraId="27D636EC"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10</w:t>
            </w:r>
          </w:p>
        </w:tc>
        <w:tc>
          <w:tcPr>
            <w:tcW w:w="765" w:type="dxa"/>
            <w:vAlign w:val="center"/>
          </w:tcPr>
          <w:p w14:paraId="3902084C" w14:textId="4CB6E285"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2%</w:t>
            </w:r>
          </w:p>
        </w:tc>
        <w:tc>
          <w:tcPr>
            <w:tcW w:w="810" w:type="dxa"/>
            <w:vAlign w:val="bottom"/>
          </w:tcPr>
          <w:p w14:paraId="7F12C9C8"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7</w:t>
            </w:r>
          </w:p>
        </w:tc>
        <w:tc>
          <w:tcPr>
            <w:tcW w:w="810" w:type="dxa"/>
            <w:vAlign w:val="center"/>
          </w:tcPr>
          <w:p w14:paraId="1E050B13" w14:textId="3D6992C1"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1%</w:t>
            </w:r>
          </w:p>
        </w:tc>
      </w:tr>
      <w:tr w:rsidR="00CF4744" w:rsidRPr="00581E08" w14:paraId="07960413" w14:textId="77777777" w:rsidTr="003B2286">
        <w:trPr>
          <w:trHeight w:val="300"/>
        </w:trPr>
        <w:tc>
          <w:tcPr>
            <w:tcW w:w="2875" w:type="dxa"/>
            <w:vAlign w:val="center"/>
          </w:tcPr>
          <w:p w14:paraId="11741DF4" w14:textId="0A4FBC56" w:rsidR="00CF4744" w:rsidRPr="00581E08" w:rsidRDefault="00CF4744" w:rsidP="00CF4744">
            <w:pPr>
              <w:pStyle w:val="Style2"/>
              <w:rPr>
                <w:rFonts w:asciiTheme="minorHAnsi" w:hAnsiTheme="minorHAnsi" w:cstheme="minorHAnsi"/>
                <w:sz w:val="22"/>
                <w:szCs w:val="22"/>
              </w:rPr>
            </w:pPr>
            <w:r w:rsidRPr="00581E08">
              <w:rPr>
                <w:rFonts w:asciiTheme="minorHAnsi" w:hAnsiTheme="minorHAnsi" w:cstheme="minorHAnsi"/>
                <w:sz w:val="22"/>
                <w:szCs w:val="22"/>
              </w:rPr>
              <w:t>Other/Unknown</w:t>
            </w:r>
          </w:p>
        </w:tc>
        <w:tc>
          <w:tcPr>
            <w:tcW w:w="765" w:type="dxa"/>
            <w:vAlign w:val="bottom"/>
          </w:tcPr>
          <w:p w14:paraId="6CFF0815"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1</w:t>
            </w:r>
          </w:p>
        </w:tc>
        <w:tc>
          <w:tcPr>
            <w:tcW w:w="765" w:type="dxa"/>
            <w:vAlign w:val="center"/>
          </w:tcPr>
          <w:p w14:paraId="2EADD0CA" w14:textId="1F1CD99E"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&lt;1%</w:t>
            </w:r>
          </w:p>
        </w:tc>
        <w:tc>
          <w:tcPr>
            <w:tcW w:w="810" w:type="dxa"/>
            <w:vAlign w:val="bottom"/>
          </w:tcPr>
          <w:p w14:paraId="403B51B2" w14:textId="77777777"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sz w:val="22"/>
                <w:szCs w:val="22"/>
              </w:rPr>
              <w:t>0</w:t>
            </w:r>
          </w:p>
        </w:tc>
        <w:tc>
          <w:tcPr>
            <w:tcW w:w="810" w:type="dxa"/>
            <w:vAlign w:val="center"/>
          </w:tcPr>
          <w:p w14:paraId="5D2FA33B" w14:textId="162FD2E1" w:rsidR="00CF4744" w:rsidRPr="00CF4744" w:rsidRDefault="00CF4744" w:rsidP="00CF4744">
            <w:pPr>
              <w:pStyle w:val="Style2"/>
              <w:jc w:val="center"/>
              <w:rPr>
                <w:rFonts w:asciiTheme="minorHAnsi" w:hAnsiTheme="minorHAnsi" w:cstheme="minorHAnsi"/>
                <w:sz w:val="22"/>
                <w:szCs w:val="22"/>
              </w:rPr>
            </w:pPr>
            <w:r w:rsidRPr="00CF4744">
              <w:rPr>
                <w:rFonts w:asciiTheme="minorHAnsi" w:hAnsiTheme="minorHAnsi" w:cstheme="minorHAnsi"/>
                <w:color w:val="000000"/>
                <w:sz w:val="22"/>
                <w:szCs w:val="22"/>
              </w:rPr>
              <w:t>0%</w:t>
            </w:r>
          </w:p>
        </w:tc>
      </w:tr>
    </w:tbl>
    <w:p w14:paraId="7711090D" w14:textId="61050EC8" w:rsidR="00837D46" w:rsidRDefault="00837D46" w:rsidP="00432679">
      <w:pPr>
        <w:spacing w:line="240" w:lineRule="auto"/>
        <w:rPr>
          <w:b/>
          <w:bCs/>
        </w:rPr>
      </w:pPr>
    </w:p>
    <w:tbl>
      <w:tblPr>
        <w:tblStyle w:val="TableGrid"/>
        <w:tblW w:w="0" w:type="auto"/>
        <w:tblLook w:val="04A0" w:firstRow="1" w:lastRow="0" w:firstColumn="1" w:lastColumn="0" w:noHBand="0" w:noVBand="1"/>
      </w:tblPr>
      <w:tblGrid>
        <w:gridCol w:w="10070"/>
      </w:tblGrid>
      <w:tr w:rsidR="006156E0" w14:paraId="292FDB79" w14:textId="77777777" w:rsidTr="006156E0">
        <w:tc>
          <w:tcPr>
            <w:tcW w:w="10070" w:type="dxa"/>
            <w:shd w:val="clear" w:color="auto" w:fill="E2EFD9" w:themeFill="accent6" w:themeFillTint="33"/>
          </w:tcPr>
          <w:p w14:paraId="30A0F8D9" w14:textId="1A14F456" w:rsidR="006156E0" w:rsidRPr="006156E0" w:rsidRDefault="006156E0" w:rsidP="006156E0">
            <w:pPr>
              <w:jc w:val="center"/>
              <w:rPr>
                <w:b/>
                <w:bCs/>
              </w:rPr>
            </w:pPr>
            <w:r w:rsidRPr="006156E0">
              <w:rPr>
                <w:b/>
                <w:bCs/>
              </w:rPr>
              <w:t>Key Points</w:t>
            </w:r>
          </w:p>
          <w:p w14:paraId="5E6D7BB6" w14:textId="2A775FE5" w:rsidR="006156E0" w:rsidRPr="006156E0" w:rsidRDefault="006156E0" w:rsidP="006156E0">
            <w:r w:rsidRPr="006156E0">
              <w:t xml:space="preserve">From 2015 to 2024, the proportion of HIV diagnoses increased among Black (non-Hispanic) individuals from 29% to 41%, and among people born outside the US from 37% to 52%, indicating an intersection of these two populations. Among individuals recently diagnosed with HIV infection (2022 - 2024), 70% of Black (non-Hispanic) individuals were born outside the US, compared to 67% of Asian/Pacific Islander, 59% of Hispanic/Latinx, and 9% of White (non-Hispanic) individuals.   </w:t>
            </w:r>
          </w:p>
        </w:tc>
      </w:tr>
    </w:tbl>
    <w:p w14:paraId="6DA0BB80" w14:textId="11CFA931" w:rsidR="00837D46" w:rsidRDefault="00837D46" w:rsidP="00432679">
      <w:pPr>
        <w:spacing w:line="240" w:lineRule="auto"/>
        <w:rPr>
          <w:b/>
          <w:bCs/>
        </w:rPr>
      </w:pPr>
    </w:p>
    <w:p w14:paraId="68268F69" w14:textId="135A908A" w:rsidR="00CE3E04" w:rsidRPr="00432679" w:rsidRDefault="00CE3E04" w:rsidP="00432679">
      <w:pPr>
        <w:spacing w:line="240" w:lineRule="auto"/>
        <w:rPr>
          <w:b/>
          <w:bCs/>
          <w:color w:val="EE0000"/>
        </w:rPr>
      </w:pPr>
      <w:r w:rsidRPr="00760797">
        <w:rPr>
          <w:b/>
          <w:bCs/>
        </w:rPr>
        <w:t>Overall</w:t>
      </w:r>
    </w:p>
    <w:p w14:paraId="1DFED410" w14:textId="25F7C68B" w:rsidR="000B3DE1" w:rsidRPr="00760797" w:rsidRDefault="00760797" w:rsidP="000B3DE1">
      <w:r w:rsidRPr="00760797">
        <w:t>The number of new HIV infection diagnoses decreased by 26% from 2015 to 2022 and then increased by 34% in 2024</w:t>
      </w:r>
      <w:r w:rsidR="007F0CC0" w:rsidRPr="00760797">
        <w:t>.</w:t>
      </w:r>
      <w:r w:rsidR="0038706B" w:rsidRPr="00760797">
        <w:rPr>
          <w:rStyle w:val="FootnoteReference"/>
        </w:rPr>
        <w:footnoteReference w:id="26"/>
      </w:r>
      <w:r w:rsidR="00CE3E04" w:rsidRPr="00760797">
        <w:t xml:space="preserve"> </w:t>
      </w:r>
      <w:r w:rsidRPr="00760797">
        <w:t xml:space="preserve">Distributions by sex assigned at birth remained relatively stable, while distributions by race/ethnicity, age at diagnosis, </w:t>
      </w:r>
      <w:r w:rsidR="004B4412" w:rsidRPr="00760797">
        <w:t>exposure mode</w:t>
      </w:r>
      <w:r w:rsidR="004B4412">
        <w:t>,</w:t>
      </w:r>
      <w:r w:rsidR="004B4412" w:rsidRPr="00760797">
        <w:t xml:space="preserve"> </w:t>
      </w:r>
      <w:r w:rsidRPr="00760797">
        <w:t>and place of birth shifted</w:t>
      </w:r>
      <w:r w:rsidR="000B3DE1" w:rsidRPr="00760797">
        <w:t xml:space="preserve">. </w:t>
      </w:r>
    </w:p>
    <w:p w14:paraId="2788184A" w14:textId="77777777" w:rsidR="00CE3E04" w:rsidRPr="00760797" w:rsidRDefault="00CE3E04" w:rsidP="00627688">
      <w:pPr>
        <w:spacing w:line="240" w:lineRule="auto"/>
      </w:pPr>
      <w:r w:rsidRPr="00760797">
        <w:rPr>
          <w:b/>
          <w:bCs/>
        </w:rPr>
        <w:t>By Sex Assigned at Birth</w:t>
      </w:r>
    </w:p>
    <w:p w14:paraId="13A0D95D" w14:textId="77777777" w:rsidR="00760797" w:rsidRPr="00760797" w:rsidRDefault="00760797" w:rsidP="00627688">
      <w:pPr>
        <w:spacing w:line="240" w:lineRule="auto"/>
      </w:pPr>
      <w:r w:rsidRPr="00760797">
        <w:t xml:space="preserve">HIV infection diagnoses decreased slightly among individuals AMAB (by 3%, from 447 to 432) and increased slightly among individuals AFAB (by 5%, from 162 to 170). </w:t>
      </w:r>
    </w:p>
    <w:p w14:paraId="6A83C498" w14:textId="1A0A2E59" w:rsidR="00CE3E04" w:rsidRPr="00760797" w:rsidRDefault="00CE3E04" w:rsidP="00627688">
      <w:pPr>
        <w:spacing w:line="240" w:lineRule="auto"/>
      </w:pPr>
      <w:r w:rsidRPr="00760797">
        <w:rPr>
          <w:b/>
          <w:bCs/>
        </w:rPr>
        <w:t>By Race/Ethnicity</w:t>
      </w:r>
    </w:p>
    <w:p w14:paraId="1A70EDF1" w14:textId="36C53367" w:rsidR="000B3DE1" w:rsidRPr="00760797" w:rsidRDefault="00760797" w:rsidP="362E252F">
      <w:pPr>
        <w:spacing w:line="240" w:lineRule="auto"/>
      </w:pPr>
      <w:r w:rsidRPr="00760797">
        <w:t>HIV infection diagnoses decreased among Asian/Pacific Islander individuals (by 36%, from 22 to 14) and White (non-Hispanic) individuals (by 33%, from 231 to 154) but increased among Black (non-Hispanic) individuals (by 37% from 179 to 246) and Hispanic/Latinx individuals (by 9% from 168 to 183). The proportion of HIV infection diagnoses among White (non-Hispanic) individuals decreased from 38% to 26%, while it increased from 29% to 41% among Black (non-Hispanic) individuals</w:t>
      </w:r>
      <w:r w:rsidR="6D4A07AF" w:rsidRPr="00760797">
        <w:t>.</w:t>
      </w:r>
    </w:p>
    <w:p w14:paraId="6A1D236F" w14:textId="77777777" w:rsidR="00CE3E04" w:rsidRPr="00760797" w:rsidRDefault="00CE3E04" w:rsidP="00627688">
      <w:pPr>
        <w:spacing w:line="240" w:lineRule="auto"/>
      </w:pPr>
      <w:r w:rsidRPr="00760797">
        <w:rPr>
          <w:b/>
          <w:bCs/>
        </w:rPr>
        <w:t>By Age at HIV Infection Diagnosis</w:t>
      </w:r>
    </w:p>
    <w:p w14:paraId="59E41E1B" w14:textId="1590FD09" w:rsidR="000B3DE1" w:rsidRPr="00760797" w:rsidRDefault="00760797" w:rsidP="000B3DE1">
      <w:pPr>
        <w:spacing w:line="240" w:lineRule="auto"/>
      </w:pPr>
      <w:r w:rsidRPr="00760797">
        <w:t>HIV infection diagnoses decreased among 0–12 year-olds (from four to one), 13–19 year-olds (by 48%, from 23 to 12), 40–49 year-olds (by 17%, from 124 to 103), and 50–59 year-olds (by 36%, from 107 to 68), but remained stable among 20–29 year-olds (from 170 to 171</w:t>
      </w:r>
      <w:r w:rsidR="00920E7A">
        <w:t>)</w:t>
      </w:r>
      <w:r w:rsidRPr="00760797">
        <w:t>, and increased among 30–39 year-olds (by 38%, from 149 to 206), 60–69 year-olds (by 19%, from 26 to 31), and 70+ year-olds (from six to 10). The proportion of HIV infection diagnoses among 30–39 year-olds increased from 24% to 34%, while it decreased from 18% to 11% among 50–59 year-olds</w:t>
      </w:r>
      <w:r w:rsidR="6D4A07AF" w:rsidRPr="00760797">
        <w:t>.</w:t>
      </w:r>
    </w:p>
    <w:p w14:paraId="471C3617" w14:textId="77777777" w:rsidR="00CE3E04" w:rsidRPr="00760797" w:rsidRDefault="00CE3E04" w:rsidP="00627688">
      <w:pPr>
        <w:spacing w:line="240" w:lineRule="auto"/>
      </w:pPr>
      <w:r w:rsidRPr="00760797">
        <w:rPr>
          <w:b/>
          <w:bCs/>
        </w:rPr>
        <w:lastRenderedPageBreak/>
        <w:t>By Exposure Mode</w:t>
      </w:r>
    </w:p>
    <w:p w14:paraId="2053FD3B" w14:textId="49D0E85F" w:rsidR="00CE3E04" w:rsidRPr="00030CFD" w:rsidRDefault="00760797" w:rsidP="00627688">
      <w:pPr>
        <w:spacing w:line="240" w:lineRule="auto"/>
        <w:rPr>
          <w:color w:val="EE0000"/>
        </w:rPr>
      </w:pPr>
      <w:r w:rsidRPr="00760797">
        <w:t>HIV infection diagnoses decreased among individuals with MSM/IDU (by 48%, from 21 to 11), heterosexual sex (by 32%, from 38 to 26),</w:t>
      </w:r>
      <w:r w:rsidR="00920E7A">
        <w:t xml:space="preserve"> </w:t>
      </w:r>
      <w:r w:rsidRPr="00760797">
        <w:t>MSM (by 29%, from 320 to 227), and “other” exposure modes (from five to one</w:t>
      </w:r>
      <w:r w:rsidRPr="000172D7">
        <w:t>). All diagnoses in the other category were related to pediatric exposures</w:t>
      </w:r>
      <w:r w:rsidR="6D4A07AF" w:rsidRPr="000172D7">
        <w:t>,</w:t>
      </w:r>
      <w:r w:rsidR="0023426B" w:rsidRPr="000172D7">
        <w:rPr>
          <w:rStyle w:val="FootnoteReference"/>
        </w:rPr>
        <w:footnoteReference w:id="27"/>
      </w:r>
      <w:r w:rsidR="6D4A07AF" w:rsidRPr="000172D7">
        <w:t xml:space="preserve"> </w:t>
      </w:r>
      <w:r w:rsidRPr="000172D7">
        <w:t xml:space="preserve">with no confirmed clotting factor, transfusion, or transplant-related exposures in the ten-year time period. </w:t>
      </w:r>
      <w:r w:rsidRPr="00760797">
        <w:t xml:space="preserve">HIV infection diagnoses increased among individuals with presumed heterosexual sex (by 40%, from 65 to 91) and no identified risk (by 9%, from 164 to 179) exposure modes. The number of reported cases with injection drug use (IDU) as the primary exposure mode increased by 37% from 60 in 2019 to 82 in 2021. This was primarily due to a cluster of HIV infection identified in early 2019 in Boston among PWID who were experiencing or had experienced recent homelessness. Following a focused public health response, the number of HIV infection diagnoses attributed to IDU decreased by 48% </w:t>
      </w:r>
      <w:r w:rsidR="00414FCB" w:rsidRPr="00414FCB">
        <w:t>from 82 in 2021</w:t>
      </w:r>
      <w:r w:rsidR="00414FCB">
        <w:t xml:space="preserve"> </w:t>
      </w:r>
      <w:r w:rsidRPr="00760797">
        <w:t>to 43 in 2024</w:t>
      </w:r>
      <w:r w:rsidR="3E4327FF" w:rsidRPr="00760797">
        <w:t>.</w:t>
      </w:r>
      <w:r w:rsidR="0038706B" w:rsidRPr="00760797">
        <w:rPr>
          <w:rStyle w:val="FootnoteReference"/>
        </w:rPr>
        <w:footnoteReference w:id="28"/>
      </w:r>
      <w:r w:rsidR="3E4327FF" w:rsidRPr="00760797">
        <w:rPr>
          <w:vertAlign w:val="superscript"/>
        </w:rPr>
        <w:t xml:space="preserve"> </w:t>
      </w:r>
    </w:p>
    <w:p w14:paraId="48AD169D" w14:textId="77777777" w:rsidR="007C4CE2" w:rsidRPr="005E161C" w:rsidRDefault="007C4CE2" w:rsidP="007C4CE2">
      <w:pPr>
        <w:spacing w:line="240" w:lineRule="auto"/>
        <w:rPr>
          <w:b/>
          <w:bCs/>
        </w:rPr>
      </w:pPr>
      <w:r w:rsidRPr="005E161C">
        <w:rPr>
          <w:b/>
          <w:bCs/>
        </w:rPr>
        <w:t>By Place of Birth</w:t>
      </w:r>
    </w:p>
    <w:p w14:paraId="3349513D" w14:textId="5CA688BB" w:rsidR="007C4CE2" w:rsidRPr="005E161C" w:rsidRDefault="005E161C" w:rsidP="007C4CE2">
      <w:pPr>
        <w:spacing w:line="240" w:lineRule="auto"/>
      </w:pPr>
      <w:r w:rsidRPr="005E161C">
        <w:t>HIV infection diagnoses decreased among individuals born in PR/USD (by 70%, from 37 to 11) and individuals born in the US (by 20%, from 344 to 275) and increased among individuals born outside the US (by 39% from 228 to 316). The proportion of HIV infection diagnoses among individuals born in the US decreased from 56% to 46%, while it increased from 37% to 52% among individuals born outside the US</w:t>
      </w:r>
      <w:r w:rsidR="20D00257" w:rsidRPr="005E161C">
        <w:t>.</w:t>
      </w:r>
    </w:p>
    <w:p w14:paraId="61F9D263" w14:textId="0729852F" w:rsidR="003C0F28" w:rsidRPr="009C41C1" w:rsidRDefault="003C0F28" w:rsidP="00627688">
      <w:pPr>
        <w:spacing w:line="240" w:lineRule="auto"/>
      </w:pPr>
      <w:r w:rsidRPr="009C41C1">
        <w:rPr>
          <w:b/>
          <w:bCs/>
        </w:rPr>
        <w:t xml:space="preserve">FIGURE 3: </w:t>
      </w:r>
      <w:r w:rsidRPr="009C41C1">
        <w:t xml:space="preserve">Trends in HIV infection diagnoses by sex assigned at birth, Massachusetts </w:t>
      </w:r>
      <w:r w:rsidR="005E161C" w:rsidRPr="009C41C1">
        <w:t>2015 – 2024</w:t>
      </w:r>
      <w:r w:rsidR="002670E6" w:rsidRPr="009C41C1">
        <w:rPr>
          <w:rStyle w:val="FootnoteReference"/>
        </w:rPr>
        <w:footnoteReference w:id="29"/>
      </w:r>
    </w:p>
    <w:p w14:paraId="36D434E5" w14:textId="6504E1EF" w:rsidR="00344914" w:rsidRPr="009C41C1" w:rsidRDefault="00344914" w:rsidP="00BC2EF2">
      <w:pPr>
        <w:pStyle w:val="Style2"/>
        <w:spacing w:after="0"/>
        <w:rPr>
          <w:rFonts w:asciiTheme="minorHAnsi" w:hAnsiTheme="minorHAnsi" w:cstheme="minorHAnsi"/>
          <w:sz w:val="28"/>
          <w:szCs w:val="28"/>
        </w:rPr>
      </w:pPr>
    </w:p>
    <w:tbl>
      <w:tblPr>
        <w:tblStyle w:val="TableGrid"/>
        <w:tblW w:w="0" w:type="auto"/>
        <w:tblLook w:val="04A0" w:firstRow="1" w:lastRow="0" w:firstColumn="1" w:lastColumn="0" w:noHBand="0" w:noVBand="1"/>
      </w:tblPr>
      <w:tblGrid>
        <w:gridCol w:w="2965"/>
        <w:gridCol w:w="832"/>
        <w:gridCol w:w="833"/>
        <w:gridCol w:w="832"/>
        <w:gridCol w:w="833"/>
      </w:tblGrid>
      <w:tr w:rsidR="00F634D1" w:rsidRPr="00030CFD" w14:paraId="00EBDCB7" w14:textId="77777777" w:rsidTr="00F634D1">
        <w:tc>
          <w:tcPr>
            <w:tcW w:w="2965" w:type="dxa"/>
            <w:vAlign w:val="center"/>
          </w:tcPr>
          <w:p w14:paraId="05FDF988" w14:textId="4BD9F4D1" w:rsidR="00F634D1" w:rsidRPr="00FA786A" w:rsidRDefault="00F634D1" w:rsidP="005873E9">
            <w:pPr>
              <w:pStyle w:val="Style2"/>
              <w:rPr>
                <w:rFonts w:asciiTheme="minorHAnsi" w:hAnsiTheme="minorHAnsi" w:cstheme="minorHAnsi"/>
                <w:sz w:val="22"/>
                <w:szCs w:val="22"/>
              </w:rPr>
            </w:pPr>
            <w:r w:rsidRPr="00FA786A">
              <w:rPr>
                <w:rFonts w:asciiTheme="minorHAnsi" w:hAnsiTheme="minorHAnsi" w:cstheme="minorHAnsi"/>
                <w:b/>
                <w:bCs/>
                <w:sz w:val="22"/>
                <w:szCs w:val="22"/>
              </w:rPr>
              <w:t>Assigned Male at Birth:</w:t>
            </w:r>
          </w:p>
        </w:tc>
        <w:tc>
          <w:tcPr>
            <w:tcW w:w="832" w:type="dxa"/>
            <w:vAlign w:val="center"/>
          </w:tcPr>
          <w:p w14:paraId="7553805B" w14:textId="63851CFC" w:rsidR="00F634D1" w:rsidRPr="00FA786A" w:rsidRDefault="00F634D1" w:rsidP="00175A04">
            <w:pPr>
              <w:pStyle w:val="Style2"/>
              <w:jc w:val="center"/>
              <w:rPr>
                <w:rFonts w:asciiTheme="minorHAnsi" w:hAnsiTheme="minorHAnsi" w:cstheme="minorHAnsi"/>
                <w:b/>
                <w:bCs/>
                <w:sz w:val="22"/>
                <w:szCs w:val="22"/>
              </w:rPr>
            </w:pPr>
            <w:r w:rsidRPr="00FA786A">
              <w:rPr>
                <w:rFonts w:asciiTheme="minorHAnsi" w:hAnsiTheme="minorHAnsi" w:cstheme="minorHAnsi"/>
                <w:b/>
                <w:bCs/>
                <w:sz w:val="22"/>
                <w:szCs w:val="22"/>
              </w:rPr>
              <w:t>2015 N</w:t>
            </w:r>
          </w:p>
        </w:tc>
        <w:tc>
          <w:tcPr>
            <w:tcW w:w="833" w:type="dxa"/>
            <w:vAlign w:val="center"/>
          </w:tcPr>
          <w:p w14:paraId="7B5A7CB1" w14:textId="26A29ECA" w:rsidR="00F634D1" w:rsidRPr="00FA786A" w:rsidRDefault="00F634D1" w:rsidP="00175A04">
            <w:pPr>
              <w:pStyle w:val="Style2"/>
              <w:jc w:val="center"/>
              <w:rPr>
                <w:rFonts w:asciiTheme="minorHAnsi" w:hAnsiTheme="minorHAnsi" w:cstheme="minorHAnsi"/>
                <w:b/>
                <w:bCs/>
                <w:sz w:val="22"/>
                <w:szCs w:val="22"/>
              </w:rPr>
            </w:pPr>
            <w:r w:rsidRPr="00FA786A">
              <w:rPr>
                <w:rFonts w:asciiTheme="minorHAnsi" w:hAnsiTheme="minorHAnsi" w:cstheme="minorHAnsi"/>
                <w:b/>
                <w:bCs/>
                <w:sz w:val="22"/>
                <w:szCs w:val="22"/>
              </w:rPr>
              <w:t>2015 %</w:t>
            </w:r>
          </w:p>
        </w:tc>
        <w:tc>
          <w:tcPr>
            <w:tcW w:w="832" w:type="dxa"/>
            <w:vAlign w:val="center"/>
          </w:tcPr>
          <w:p w14:paraId="56EC488C" w14:textId="22A2DBF0" w:rsidR="00F634D1" w:rsidRPr="00FA786A" w:rsidRDefault="00F634D1" w:rsidP="00175A04">
            <w:pPr>
              <w:pStyle w:val="Style2"/>
              <w:jc w:val="center"/>
              <w:rPr>
                <w:rFonts w:asciiTheme="minorHAnsi" w:hAnsiTheme="minorHAnsi" w:cstheme="minorHAnsi"/>
                <w:b/>
                <w:bCs/>
                <w:sz w:val="22"/>
                <w:szCs w:val="22"/>
              </w:rPr>
            </w:pPr>
            <w:r w:rsidRPr="00FA786A">
              <w:rPr>
                <w:rFonts w:asciiTheme="minorHAnsi" w:hAnsiTheme="minorHAnsi" w:cstheme="minorHAnsi"/>
                <w:b/>
                <w:bCs/>
                <w:sz w:val="22"/>
                <w:szCs w:val="22"/>
              </w:rPr>
              <w:t>2024 N</w:t>
            </w:r>
          </w:p>
        </w:tc>
        <w:tc>
          <w:tcPr>
            <w:tcW w:w="833" w:type="dxa"/>
            <w:vAlign w:val="center"/>
          </w:tcPr>
          <w:p w14:paraId="596E8B89" w14:textId="022685C5" w:rsidR="00F634D1" w:rsidRPr="00FA786A" w:rsidRDefault="00F634D1" w:rsidP="00175A04">
            <w:pPr>
              <w:pStyle w:val="Style2"/>
              <w:jc w:val="center"/>
              <w:rPr>
                <w:rFonts w:asciiTheme="minorHAnsi" w:hAnsiTheme="minorHAnsi" w:cstheme="minorHAnsi"/>
                <w:b/>
                <w:bCs/>
                <w:sz w:val="22"/>
                <w:szCs w:val="22"/>
              </w:rPr>
            </w:pPr>
            <w:r w:rsidRPr="00FA786A">
              <w:rPr>
                <w:rFonts w:asciiTheme="minorHAnsi" w:hAnsiTheme="minorHAnsi" w:cstheme="minorHAnsi"/>
                <w:b/>
                <w:bCs/>
                <w:sz w:val="22"/>
                <w:szCs w:val="22"/>
              </w:rPr>
              <w:t>2024 %</w:t>
            </w:r>
          </w:p>
        </w:tc>
      </w:tr>
      <w:tr w:rsidR="00175A04" w:rsidRPr="00030CFD" w14:paraId="72D73EE5" w14:textId="77777777" w:rsidTr="00F634D1">
        <w:tc>
          <w:tcPr>
            <w:tcW w:w="2965" w:type="dxa"/>
            <w:vAlign w:val="center"/>
          </w:tcPr>
          <w:p w14:paraId="737F1911" w14:textId="77777777" w:rsidR="00175A04" w:rsidRPr="00FA786A" w:rsidRDefault="00175A04" w:rsidP="00175A04">
            <w:pPr>
              <w:pStyle w:val="Style2"/>
              <w:rPr>
                <w:rFonts w:asciiTheme="minorHAnsi" w:hAnsiTheme="minorHAnsi" w:cstheme="minorHAnsi"/>
                <w:sz w:val="22"/>
                <w:szCs w:val="22"/>
              </w:rPr>
            </w:pPr>
            <w:r w:rsidRPr="00FA786A">
              <w:rPr>
                <w:rFonts w:asciiTheme="minorHAnsi" w:hAnsiTheme="minorHAnsi" w:cstheme="minorHAnsi"/>
                <w:b/>
                <w:bCs/>
                <w:sz w:val="22"/>
                <w:szCs w:val="22"/>
              </w:rPr>
              <w:t>Total</w:t>
            </w:r>
          </w:p>
        </w:tc>
        <w:tc>
          <w:tcPr>
            <w:tcW w:w="832" w:type="dxa"/>
            <w:vAlign w:val="center"/>
          </w:tcPr>
          <w:p w14:paraId="3BAB8607"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447</w:t>
            </w:r>
          </w:p>
        </w:tc>
        <w:tc>
          <w:tcPr>
            <w:tcW w:w="833" w:type="dxa"/>
            <w:vAlign w:val="center"/>
          </w:tcPr>
          <w:p w14:paraId="6DF1910B" w14:textId="4BBFA7BA"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100%</w:t>
            </w:r>
          </w:p>
        </w:tc>
        <w:tc>
          <w:tcPr>
            <w:tcW w:w="832" w:type="dxa"/>
            <w:vAlign w:val="center"/>
          </w:tcPr>
          <w:p w14:paraId="60076C02"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432</w:t>
            </w:r>
          </w:p>
        </w:tc>
        <w:tc>
          <w:tcPr>
            <w:tcW w:w="833" w:type="dxa"/>
            <w:vAlign w:val="center"/>
          </w:tcPr>
          <w:p w14:paraId="67563FB7" w14:textId="040078D0"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100%</w:t>
            </w:r>
          </w:p>
        </w:tc>
      </w:tr>
      <w:tr w:rsidR="00175A04" w:rsidRPr="00030CFD" w14:paraId="485C26B2" w14:textId="77777777" w:rsidTr="00F634D1">
        <w:tc>
          <w:tcPr>
            <w:tcW w:w="2965" w:type="dxa"/>
            <w:vAlign w:val="center"/>
          </w:tcPr>
          <w:p w14:paraId="4694DB37" w14:textId="77777777" w:rsidR="00175A04" w:rsidRPr="00FA786A" w:rsidRDefault="00175A04" w:rsidP="00175A04">
            <w:pPr>
              <w:pStyle w:val="Style2"/>
              <w:rPr>
                <w:rFonts w:asciiTheme="minorHAnsi" w:hAnsiTheme="minorHAnsi" w:cstheme="minorHAnsi"/>
                <w:sz w:val="22"/>
                <w:szCs w:val="22"/>
              </w:rPr>
            </w:pPr>
            <w:r w:rsidRPr="00FA786A">
              <w:rPr>
                <w:rFonts w:asciiTheme="minorHAnsi" w:hAnsiTheme="minorHAnsi" w:cstheme="minorHAnsi"/>
                <w:b/>
                <w:bCs/>
                <w:sz w:val="22"/>
                <w:szCs w:val="22"/>
              </w:rPr>
              <w:t>Race/Ethnicity</w:t>
            </w:r>
          </w:p>
        </w:tc>
        <w:tc>
          <w:tcPr>
            <w:tcW w:w="832" w:type="dxa"/>
            <w:vAlign w:val="center"/>
          </w:tcPr>
          <w:p w14:paraId="524F5D92" w14:textId="2766D566" w:rsidR="00175A04" w:rsidRPr="00FA786A" w:rsidRDefault="00175A04" w:rsidP="00175A04">
            <w:pPr>
              <w:pStyle w:val="Style2"/>
              <w:jc w:val="center"/>
              <w:rPr>
                <w:rFonts w:asciiTheme="minorHAnsi" w:hAnsiTheme="minorHAnsi" w:cstheme="minorHAnsi"/>
                <w:sz w:val="22"/>
                <w:szCs w:val="22"/>
              </w:rPr>
            </w:pPr>
          </w:p>
        </w:tc>
        <w:tc>
          <w:tcPr>
            <w:tcW w:w="833" w:type="dxa"/>
            <w:vAlign w:val="center"/>
          </w:tcPr>
          <w:p w14:paraId="57AAA8EB" w14:textId="2F1573EF" w:rsidR="00175A04" w:rsidRPr="00FA786A" w:rsidRDefault="00175A04" w:rsidP="00175A04">
            <w:pPr>
              <w:pStyle w:val="Style2"/>
              <w:jc w:val="center"/>
              <w:rPr>
                <w:rFonts w:asciiTheme="minorHAnsi" w:hAnsiTheme="minorHAnsi" w:cstheme="minorHAnsi"/>
                <w:sz w:val="22"/>
                <w:szCs w:val="22"/>
              </w:rPr>
            </w:pPr>
          </w:p>
        </w:tc>
        <w:tc>
          <w:tcPr>
            <w:tcW w:w="832" w:type="dxa"/>
            <w:vAlign w:val="center"/>
          </w:tcPr>
          <w:p w14:paraId="74DD10CE" w14:textId="650D7568" w:rsidR="00175A04" w:rsidRPr="00FA786A" w:rsidRDefault="00175A04" w:rsidP="00175A04">
            <w:pPr>
              <w:pStyle w:val="Style2"/>
              <w:jc w:val="center"/>
              <w:rPr>
                <w:rFonts w:asciiTheme="minorHAnsi" w:hAnsiTheme="minorHAnsi" w:cstheme="minorHAnsi"/>
                <w:sz w:val="22"/>
                <w:szCs w:val="22"/>
              </w:rPr>
            </w:pPr>
          </w:p>
        </w:tc>
        <w:tc>
          <w:tcPr>
            <w:tcW w:w="833" w:type="dxa"/>
            <w:vAlign w:val="center"/>
          </w:tcPr>
          <w:p w14:paraId="491F1457" w14:textId="505E11F6" w:rsidR="00175A04" w:rsidRPr="00FA786A" w:rsidRDefault="00175A04" w:rsidP="00175A04">
            <w:pPr>
              <w:pStyle w:val="Style2"/>
              <w:jc w:val="center"/>
              <w:rPr>
                <w:rFonts w:asciiTheme="minorHAnsi" w:hAnsiTheme="minorHAnsi" w:cstheme="minorHAnsi"/>
                <w:sz w:val="22"/>
                <w:szCs w:val="22"/>
              </w:rPr>
            </w:pPr>
          </w:p>
        </w:tc>
      </w:tr>
      <w:tr w:rsidR="00175A04" w:rsidRPr="00030CFD" w14:paraId="5C66F714" w14:textId="77777777" w:rsidTr="00F634D1">
        <w:tc>
          <w:tcPr>
            <w:tcW w:w="2965" w:type="dxa"/>
            <w:vAlign w:val="center"/>
          </w:tcPr>
          <w:p w14:paraId="12455362" w14:textId="77777777" w:rsidR="00175A04" w:rsidRPr="00FA786A" w:rsidRDefault="00175A04" w:rsidP="00175A04">
            <w:pPr>
              <w:pStyle w:val="Style2"/>
              <w:rPr>
                <w:rFonts w:asciiTheme="minorHAnsi" w:hAnsiTheme="minorHAnsi" w:cstheme="minorHAnsi"/>
                <w:sz w:val="22"/>
                <w:szCs w:val="22"/>
              </w:rPr>
            </w:pPr>
            <w:r w:rsidRPr="00FA786A">
              <w:rPr>
                <w:rFonts w:asciiTheme="minorHAnsi" w:hAnsiTheme="minorHAnsi" w:cstheme="minorHAnsi"/>
                <w:sz w:val="22"/>
                <w:szCs w:val="22"/>
              </w:rPr>
              <w:t>White NH</w:t>
            </w:r>
          </w:p>
        </w:tc>
        <w:tc>
          <w:tcPr>
            <w:tcW w:w="832" w:type="dxa"/>
            <w:vAlign w:val="center"/>
          </w:tcPr>
          <w:p w14:paraId="52201CF0"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190</w:t>
            </w:r>
          </w:p>
        </w:tc>
        <w:tc>
          <w:tcPr>
            <w:tcW w:w="833" w:type="dxa"/>
            <w:vAlign w:val="center"/>
          </w:tcPr>
          <w:p w14:paraId="089C8C7B" w14:textId="15E09949"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43%</w:t>
            </w:r>
          </w:p>
        </w:tc>
        <w:tc>
          <w:tcPr>
            <w:tcW w:w="832" w:type="dxa"/>
            <w:vAlign w:val="center"/>
          </w:tcPr>
          <w:p w14:paraId="38FF67DD"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122</w:t>
            </w:r>
          </w:p>
        </w:tc>
        <w:tc>
          <w:tcPr>
            <w:tcW w:w="833" w:type="dxa"/>
            <w:vAlign w:val="center"/>
          </w:tcPr>
          <w:p w14:paraId="78C5EECC" w14:textId="038FBAFB"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28%</w:t>
            </w:r>
          </w:p>
        </w:tc>
      </w:tr>
      <w:tr w:rsidR="00175A04" w:rsidRPr="00030CFD" w14:paraId="45951958" w14:textId="77777777" w:rsidTr="00F634D1">
        <w:tc>
          <w:tcPr>
            <w:tcW w:w="2965" w:type="dxa"/>
            <w:vAlign w:val="center"/>
          </w:tcPr>
          <w:p w14:paraId="7521948D" w14:textId="77777777" w:rsidR="00175A04" w:rsidRPr="00FA786A" w:rsidRDefault="00175A04" w:rsidP="00175A04">
            <w:pPr>
              <w:pStyle w:val="Style2"/>
              <w:rPr>
                <w:rFonts w:asciiTheme="minorHAnsi" w:hAnsiTheme="minorHAnsi" w:cstheme="minorHAnsi"/>
                <w:sz w:val="22"/>
                <w:szCs w:val="22"/>
              </w:rPr>
            </w:pPr>
            <w:r w:rsidRPr="00FA786A">
              <w:rPr>
                <w:rFonts w:asciiTheme="minorHAnsi" w:hAnsiTheme="minorHAnsi" w:cstheme="minorHAnsi"/>
                <w:sz w:val="22"/>
                <w:szCs w:val="22"/>
              </w:rPr>
              <w:t>Black NH</w:t>
            </w:r>
          </w:p>
        </w:tc>
        <w:tc>
          <w:tcPr>
            <w:tcW w:w="832" w:type="dxa"/>
            <w:vAlign w:val="center"/>
          </w:tcPr>
          <w:p w14:paraId="5340DF68"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95</w:t>
            </w:r>
          </w:p>
        </w:tc>
        <w:tc>
          <w:tcPr>
            <w:tcW w:w="833" w:type="dxa"/>
            <w:vAlign w:val="center"/>
          </w:tcPr>
          <w:p w14:paraId="244CE0B5" w14:textId="64653519"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21%</w:t>
            </w:r>
          </w:p>
        </w:tc>
        <w:tc>
          <w:tcPr>
            <w:tcW w:w="832" w:type="dxa"/>
            <w:vAlign w:val="center"/>
          </w:tcPr>
          <w:p w14:paraId="1962D80F"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139</w:t>
            </w:r>
          </w:p>
        </w:tc>
        <w:tc>
          <w:tcPr>
            <w:tcW w:w="833" w:type="dxa"/>
            <w:vAlign w:val="center"/>
          </w:tcPr>
          <w:p w14:paraId="3455406B" w14:textId="3C04D313"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32%</w:t>
            </w:r>
          </w:p>
        </w:tc>
      </w:tr>
      <w:tr w:rsidR="00175A04" w:rsidRPr="00030CFD" w14:paraId="7543B628" w14:textId="77777777" w:rsidTr="00F634D1">
        <w:tc>
          <w:tcPr>
            <w:tcW w:w="2965" w:type="dxa"/>
            <w:vAlign w:val="center"/>
          </w:tcPr>
          <w:p w14:paraId="03FA21F5" w14:textId="34676412" w:rsidR="00175A04" w:rsidRPr="00FA786A" w:rsidRDefault="00175A04" w:rsidP="00175A04">
            <w:pPr>
              <w:pStyle w:val="Style2"/>
              <w:rPr>
                <w:rFonts w:asciiTheme="minorHAnsi" w:hAnsiTheme="minorHAnsi" w:cstheme="minorHAnsi"/>
                <w:sz w:val="22"/>
                <w:szCs w:val="22"/>
              </w:rPr>
            </w:pPr>
            <w:r w:rsidRPr="00FA786A">
              <w:rPr>
                <w:rFonts w:asciiTheme="minorHAnsi" w:hAnsiTheme="minorHAnsi" w:cstheme="minorHAnsi"/>
                <w:sz w:val="22"/>
                <w:szCs w:val="22"/>
              </w:rPr>
              <w:t>Hispanic/Latinx</w:t>
            </w:r>
          </w:p>
        </w:tc>
        <w:tc>
          <w:tcPr>
            <w:tcW w:w="832" w:type="dxa"/>
            <w:vAlign w:val="center"/>
          </w:tcPr>
          <w:p w14:paraId="7ED11CFA"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135</w:t>
            </w:r>
          </w:p>
        </w:tc>
        <w:tc>
          <w:tcPr>
            <w:tcW w:w="833" w:type="dxa"/>
            <w:vAlign w:val="center"/>
          </w:tcPr>
          <w:p w14:paraId="2DF57771" w14:textId="19B2E709"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30%</w:t>
            </w:r>
          </w:p>
        </w:tc>
        <w:tc>
          <w:tcPr>
            <w:tcW w:w="832" w:type="dxa"/>
            <w:vAlign w:val="center"/>
          </w:tcPr>
          <w:p w14:paraId="7C578F23"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155</w:t>
            </w:r>
          </w:p>
        </w:tc>
        <w:tc>
          <w:tcPr>
            <w:tcW w:w="833" w:type="dxa"/>
            <w:vAlign w:val="center"/>
          </w:tcPr>
          <w:p w14:paraId="3CF3EFCF" w14:textId="202259F8"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36%</w:t>
            </w:r>
          </w:p>
        </w:tc>
      </w:tr>
      <w:tr w:rsidR="00175A04" w:rsidRPr="00030CFD" w14:paraId="2A4F5E0D" w14:textId="77777777" w:rsidTr="00F634D1">
        <w:tc>
          <w:tcPr>
            <w:tcW w:w="2965" w:type="dxa"/>
            <w:vAlign w:val="center"/>
          </w:tcPr>
          <w:p w14:paraId="41B01431" w14:textId="77777777" w:rsidR="00175A04" w:rsidRPr="00FA786A" w:rsidRDefault="00175A04" w:rsidP="00175A04">
            <w:pPr>
              <w:pStyle w:val="Style2"/>
              <w:rPr>
                <w:rFonts w:asciiTheme="minorHAnsi" w:hAnsiTheme="minorHAnsi" w:cstheme="minorHAnsi"/>
                <w:sz w:val="22"/>
                <w:szCs w:val="22"/>
              </w:rPr>
            </w:pPr>
            <w:r w:rsidRPr="00FA786A">
              <w:rPr>
                <w:rFonts w:asciiTheme="minorHAnsi" w:hAnsiTheme="minorHAnsi" w:cstheme="minorHAnsi"/>
                <w:sz w:val="22"/>
                <w:szCs w:val="22"/>
              </w:rPr>
              <w:t>API</w:t>
            </w:r>
          </w:p>
        </w:tc>
        <w:tc>
          <w:tcPr>
            <w:tcW w:w="832" w:type="dxa"/>
            <w:vAlign w:val="center"/>
          </w:tcPr>
          <w:p w14:paraId="06E7F6C7"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18</w:t>
            </w:r>
          </w:p>
        </w:tc>
        <w:tc>
          <w:tcPr>
            <w:tcW w:w="833" w:type="dxa"/>
            <w:vAlign w:val="center"/>
          </w:tcPr>
          <w:p w14:paraId="1B0378CA" w14:textId="7F560DC5"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4%</w:t>
            </w:r>
          </w:p>
        </w:tc>
        <w:tc>
          <w:tcPr>
            <w:tcW w:w="832" w:type="dxa"/>
            <w:vAlign w:val="center"/>
          </w:tcPr>
          <w:p w14:paraId="46EB1442"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12</w:t>
            </w:r>
          </w:p>
        </w:tc>
        <w:tc>
          <w:tcPr>
            <w:tcW w:w="833" w:type="dxa"/>
            <w:vAlign w:val="center"/>
          </w:tcPr>
          <w:p w14:paraId="6F3DA0D1" w14:textId="60E23F4E"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3%</w:t>
            </w:r>
          </w:p>
        </w:tc>
      </w:tr>
      <w:tr w:rsidR="00175A04" w:rsidRPr="00030CFD" w14:paraId="21A69BF4" w14:textId="77777777" w:rsidTr="00F634D1">
        <w:tc>
          <w:tcPr>
            <w:tcW w:w="2965" w:type="dxa"/>
            <w:vAlign w:val="center"/>
          </w:tcPr>
          <w:p w14:paraId="41D7D065" w14:textId="77777777" w:rsidR="00175A04" w:rsidRPr="00FA786A" w:rsidRDefault="00175A04" w:rsidP="00175A04">
            <w:pPr>
              <w:pStyle w:val="Style2"/>
              <w:rPr>
                <w:rFonts w:asciiTheme="minorHAnsi" w:hAnsiTheme="minorHAnsi" w:cstheme="minorHAnsi"/>
                <w:sz w:val="22"/>
                <w:szCs w:val="22"/>
              </w:rPr>
            </w:pPr>
            <w:r w:rsidRPr="00FA786A">
              <w:rPr>
                <w:rFonts w:asciiTheme="minorHAnsi" w:hAnsiTheme="minorHAnsi" w:cstheme="minorHAnsi"/>
                <w:sz w:val="22"/>
                <w:szCs w:val="22"/>
              </w:rPr>
              <w:t>Other/Unknown</w:t>
            </w:r>
          </w:p>
        </w:tc>
        <w:tc>
          <w:tcPr>
            <w:tcW w:w="832" w:type="dxa"/>
            <w:vAlign w:val="center"/>
          </w:tcPr>
          <w:p w14:paraId="0B1ABDA6"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9</w:t>
            </w:r>
          </w:p>
        </w:tc>
        <w:tc>
          <w:tcPr>
            <w:tcW w:w="833" w:type="dxa"/>
            <w:vAlign w:val="center"/>
          </w:tcPr>
          <w:p w14:paraId="0F628AF6" w14:textId="235B460A"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2%</w:t>
            </w:r>
          </w:p>
        </w:tc>
        <w:tc>
          <w:tcPr>
            <w:tcW w:w="832" w:type="dxa"/>
            <w:vAlign w:val="center"/>
          </w:tcPr>
          <w:p w14:paraId="472E9542"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4</w:t>
            </w:r>
          </w:p>
        </w:tc>
        <w:tc>
          <w:tcPr>
            <w:tcW w:w="833" w:type="dxa"/>
            <w:vAlign w:val="center"/>
          </w:tcPr>
          <w:p w14:paraId="5279B1CB" w14:textId="62A386B9"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1%</w:t>
            </w:r>
          </w:p>
        </w:tc>
      </w:tr>
      <w:tr w:rsidR="00175A04" w:rsidRPr="00030CFD" w14:paraId="08957E49" w14:textId="77777777" w:rsidTr="00F634D1">
        <w:tc>
          <w:tcPr>
            <w:tcW w:w="2965" w:type="dxa"/>
            <w:vAlign w:val="center"/>
          </w:tcPr>
          <w:p w14:paraId="0FB9A600" w14:textId="77777777" w:rsidR="00175A04" w:rsidRPr="00FA786A" w:rsidRDefault="00175A04" w:rsidP="00175A04">
            <w:pPr>
              <w:pStyle w:val="Style2"/>
              <w:rPr>
                <w:rFonts w:asciiTheme="minorHAnsi" w:hAnsiTheme="minorHAnsi" w:cstheme="minorHAnsi"/>
                <w:sz w:val="22"/>
                <w:szCs w:val="22"/>
              </w:rPr>
            </w:pPr>
            <w:r w:rsidRPr="00FA786A">
              <w:rPr>
                <w:rFonts w:asciiTheme="minorHAnsi" w:hAnsiTheme="minorHAnsi" w:cstheme="minorHAnsi"/>
                <w:b/>
                <w:bCs/>
                <w:sz w:val="22"/>
                <w:szCs w:val="22"/>
              </w:rPr>
              <w:t>Age Group (Years)</w:t>
            </w:r>
          </w:p>
        </w:tc>
        <w:tc>
          <w:tcPr>
            <w:tcW w:w="832" w:type="dxa"/>
            <w:vAlign w:val="center"/>
          </w:tcPr>
          <w:p w14:paraId="4C870978" w14:textId="43E3FBE2" w:rsidR="00175A04" w:rsidRPr="00FA786A" w:rsidRDefault="00175A04" w:rsidP="00175A04">
            <w:pPr>
              <w:pStyle w:val="Style2"/>
              <w:jc w:val="center"/>
              <w:rPr>
                <w:rFonts w:asciiTheme="minorHAnsi" w:hAnsiTheme="minorHAnsi" w:cstheme="minorHAnsi"/>
                <w:sz w:val="22"/>
                <w:szCs w:val="22"/>
              </w:rPr>
            </w:pPr>
          </w:p>
        </w:tc>
        <w:tc>
          <w:tcPr>
            <w:tcW w:w="833" w:type="dxa"/>
            <w:vAlign w:val="center"/>
          </w:tcPr>
          <w:p w14:paraId="602216FB" w14:textId="1C42EE10" w:rsidR="00175A04" w:rsidRPr="00FA786A" w:rsidRDefault="00175A04" w:rsidP="00175A04">
            <w:pPr>
              <w:pStyle w:val="Style2"/>
              <w:jc w:val="center"/>
              <w:rPr>
                <w:rFonts w:asciiTheme="minorHAnsi" w:hAnsiTheme="minorHAnsi" w:cstheme="minorHAnsi"/>
                <w:sz w:val="22"/>
                <w:szCs w:val="22"/>
              </w:rPr>
            </w:pPr>
          </w:p>
        </w:tc>
        <w:tc>
          <w:tcPr>
            <w:tcW w:w="832" w:type="dxa"/>
            <w:vAlign w:val="center"/>
          </w:tcPr>
          <w:p w14:paraId="17AD221E" w14:textId="4EB390F0" w:rsidR="00175A04" w:rsidRPr="00FA786A" w:rsidRDefault="00175A04" w:rsidP="00175A04">
            <w:pPr>
              <w:pStyle w:val="Style2"/>
              <w:jc w:val="center"/>
              <w:rPr>
                <w:rFonts w:asciiTheme="minorHAnsi" w:hAnsiTheme="minorHAnsi" w:cstheme="minorHAnsi"/>
                <w:sz w:val="22"/>
                <w:szCs w:val="22"/>
              </w:rPr>
            </w:pPr>
          </w:p>
        </w:tc>
        <w:tc>
          <w:tcPr>
            <w:tcW w:w="833" w:type="dxa"/>
            <w:vAlign w:val="center"/>
          </w:tcPr>
          <w:p w14:paraId="16D871E1" w14:textId="59CC18B5" w:rsidR="00175A04" w:rsidRPr="00FA786A" w:rsidRDefault="00175A04" w:rsidP="00175A04">
            <w:pPr>
              <w:pStyle w:val="Style2"/>
              <w:jc w:val="center"/>
              <w:rPr>
                <w:rFonts w:asciiTheme="minorHAnsi" w:hAnsiTheme="minorHAnsi" w:cstheme="minorHAnsi"/>
                <w:sz w:val="22"/>
                <w:szCs w:val="22"/>
              </w:rPr>
            </w:pPr>
          </w:p>
        </w:tc>
      </w:tr>
      <w:tr w:rsidR="00175A04" w:rsidRPr="00030CFD" w14:paraId="28FDB97E" w14:textId="77777777" w:rsidTr="00F634D1">
        <w:tc>
          <w:tcPr>
            <w:tcW w:w="2965" w:type="dxa"/>
            <w:vAlign w:val="center"/>
          </w:tcPr>
          <w:p w14:paraId="6A1A7D2D" w14:textId="77777777" w:rsidR="00175A04" w:rsidRPr="00FA786A" w:rsidRDefault="00175A04" w:rsidP="00175A04">
            <w:pPr>
              <w:pStyle w:val="Style2"/>
              <w:rPr>
                <w:rFonts w:asciiTheme="minorHAnsi" w:hAnsiTheme="minorHAnsi" w:cstheme="minorHAnsi"/>
                <w:sz w:val="22"/>
                <w:szCs w:val="22"/>
              </w:rPr>
            </w:pPr>
            <w:r w:rsidRPr="00FA786A">
              <w:rPr>
                <w:rFonts w:asciiTheme="minorHAnsi" w:hAnsiTheme="minorHAnsi" w:cstheme="minorHAnsi"/>
                <w:sz w:val="22"/>
                <w:szCs w:val="22"/>
              </w:rPr>
              <w:t>0-12</w:t>
            </w:r>
          </w:p>
        </w:tc>
        <w:tc>
          <w:tcPr>
            <w:tcW w:w="832" w:type="dxa"/>
            <w:vAlign w:val="center"/>
          </w:tcPr>
          <w:p w14:paraId="417CF79C"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3</w:t>
            </w:r>
          </w:p>
        </w:tc>
        <w:tc>
          <w:tcPr>
            <w:tcW w:w="833" w:type="dxa"/>
            <w:vAlign w:val="center"/>
          </w:tcPr>
          <w:p w14:paraId="15410C34" w14:textId="6C7965F1"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1%</w:t>
            </w:r>
          </w:p>
        </w:tc>
        <w:tc>
          <w:tcPr>
            <w:tcW w:w="832" w:type="dxa"/>
            <w:vAlign w:val="center"/>
          </w:tcPr>
          <w:p w14:paraId="74252301"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0</w:t>
            </w:r>
          </w:p>
        </w:tc>
        <w:tc>
          <w:tcPr>
            <w:tcW w:w="833" w:type="dxa"/>
            <w:vAlign w:val="center"/>
          </w:tcPr>
          <w:p w14:paraId="7B7DED18" w14:textId="291D8AEC"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0%</w:t>
            </w:r>
          </w:p>
        </w:tc>
      </w:tr>
      <w:tr w:rsidR="00175A04" w:rsidRPr="00030CFD" w14:paraId="1AFD7CA4" w14:textId="77777777" w:rsidTr="00F634D1">
        <w:tc>
          <w:tcPr>
            <w:tcW w:w="2965" w:type="dxa"/>
            <w:vAlign w:val="center"/>
          </w:tcPr>
          <w:p w14:paraId="28C1CF59" w14:textId="77777777" w:rsidR="00175A04" w:rsidRPr="00FA786A" w:rsidRDefault="00175A04" w:rsidP="00175A04">
            <w:pPr>
              <w:pStyle w:val="Style2"/>
              <w:rPr>
                <w:rFonts w:asciiTheme="minorHAnsi" w:hAnsiTheme="minorHAnsi" w:cstheme="minorHAnsi"/>
                <w:sz w:val="22"/>
                <w:szCs w:val="22"/>
              </w:rPr>
            </w:pPr>
            <w:r w:rsidRPr="00FA786A">
              <w:rPr>
                <w:rFonts w:asciiTheme="minorHAnsi" w:hAnsiTheme="minorHAnsi" w:cstheme="minorHAnsi"/>
                <w:sz w:val="22"/>
                <w:szCs w:val="22"/>
              </w:rPr>
              <w:t>13-19</w:t>
            </w:r>
          </w:p>
        </w:tc>
        <w:tc>
          <w:tcPr>
            <w:tcW w:w="832" w:type="dxa"/>
            <w:vAlign w:val="center"/>
          </w:tcPr>
          <w:p w14:paraId="2C343C3E"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14</w:t>
            </w:r>
          </w:p>
        </w:tc>
        <w:tc>
          <w:tcPr>
            <w:tcW w:w="833" w:type="dxa"/>
            <w:vAlign w:val="center"/>
          </w:tcPr>
          <w:p w14:paraId="2E3C4221" w14:textId="0848C145"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3%</w:t>
            </w:r>
          </w:p>
        </w:tc>
        <w:tc>
          <w:tcPr>
            <w:tcW w:w="832" w:type="dxa"/>
            <w:vAlign w:val="center"/>
          </w:tcPr>
          <w:p w14:paraId="320F5051"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10</w:t>
            </w:r>
          </w:p>
        </w:tc>
        <w:tc>
          <w:tcPr>
            <w:tcW w:w="833" w:type="dxa"/>
            <w:vAlign w:val="center"/>
          </w:tcPr>
          <w:p w14:paraId="58C1B9B0" w14:textId="6D675A9F"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2%</w:t>
            </w:r>
          </w:p>
        </w:tc>
      </w:tr>
      <w:tr w:rsidR="00175A04" w:rsidRPr="00030CFD" w14:paraId="4F69736D" w14:textId="77777777" w:rsidTr="00F634D1">
        <w:tc>
          <w:tcPr>
            <w:tcW w:w="2965" w:type="dxa"/>
            <w:vAlign w:val="center"/>
          </w:tcPr>
          <w:p w14:paraId="09A3620B" w14:textId="77777777" w:rsidR="00175A04" w:rsidRPr="00FA786A" w:rsidRDefault="00175A04" w:rsidP="00175A04">
            <w:pPr>
              <w:pStyle w:val="Style2"/>
              <w:rPr>
                <w:rFonts w:asciiTheme="minorHAnsi" w:hAnsiTheme="minorHAnsi" w:cstheme="minorHAnsi"/>
                <w:sz w:val="22"/>
                <w:szCs w:val="22"/>
              </w:rPr>
            </w:pPr>
            <w:r w:rsidRPr="00FA786A">
              <w:rPr>
                <w:rFonts w:asciiTheme="minorHAnsi" w:hAnsiTheme="minorHAnsi" w:cstheme="minorHAnsi"/>
                <w:sz w:val="22"/>
                <w:szCs w:val="22"/>
              </w:rPr>
              <w:t>20-29</w:t>
            </w:r>
          </w:p>
        </w:tc>
        <w:tc>
          <w:tcPr>
            <w:tcW w:w="832" w:type="dxa"/>
            <w:vAlign w:val="center"/>
          </w:tcPr>
          <w:p w14:paraId="70D53DD5"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132</w:t>
            </w:r>
          </w:p>
        </w:tc>
        <w:tc>
          <w:tcPr>
            <w:tcW w:w="833" w:type="dxa"/>
            <w:vAlign w:val="center"/>
          </w:tcPr>
          <w:p w14:paraId="5BF4F7E4" w14:textId="6A2B2B23"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30%</w:t>
            </w:r>
          </w:p>
        </w:tc>
        <w:tc>
          <w:tcPr>
            <w:tcW w:w="832" w:type="dxa"/>
            <w:vAlign w:val="center"/>
          </w:tcPr>
          <w:p w14:paraId="7697A7D0"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148</w:t>
            </w:r>
          </w:p>
        </w:tc>
        <w:tc>
          <w:tcPr>
            <w:tcW w:w="833" w:type="dxa"/>
            <w:vAlign w:val="center"/>
          </w:tcPr>
          <w:p w14:paraId="5FD6D2FF" w14:textId="310C6C44"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34%</w:t>
            </w:r>
          </w:p>
        </w:tc>
      </w:tr>
      <w:tr w:rsidR="00175A04" w:rsidRPr="00030CFD" w14:paraId="7436682C" w14:textId="77777777" w:rsidTr="00F634D1">
        <w:tc>
          <w:tcPr>
            <w:tcW w:w="2965" w:type="dxa"/>
            <w:vAlign w:val="center"/>
          </w:tcPr>
          <w:p w14:paraId="1B7E00EE" w14:textId="77777777" w:rsidR="00175A04" w:rsidRPr="00FA786A" w:rsidRDefault="00175A04" w:rsidP="00175A04">
            <w:pPr>
              <w:pStyle w:val="Style2"/>
              <w:rPr>
                <w:rFonts w:asciiTheme="minorHAnsi" w:hAnsiTheme="minorHAnsi" w:cstheme="minorHAnsi"/>
                <w:sz w:val="22"/>
                <w:szCs w:val="22"/>
              </w:rPr>
            </w:pPr>
            <w:r w:rsidRPr="00FA786A">
              <w:rPr>
                <w:rFonts w:asciiTheme="minorHAnsi" w:hAnsiTheme="minorHAnsi" w:cstheme="minorHAnsi"/>
                <w:sz w:val="22"/>
                <w:szCs w:val="22"/>
              </w:rPr>
              <w:lastRenderedPageBreak/>
              <w:t>30-39</w:t>
            </w:r>
          </w:p>
        </w:tc>
        <w:tc>
          <w:tcPr>
            <w:tcW w:w="832" w:type="dxa"/>
            <w:vAlign w:val="center"/>
          </w:tcPr>
          <w:p w14:paraId="56809B47"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108</w:t>
            </w:r>
          </w:p>
        </w:tc>
        <w:tc>
          <w:tcPr>
            <w:tcW w:w="833" w:type="dxa"/>
            <w:vAlign w:val="center"/>
          </w:tcPr>
          <w:p w14:paraId="4BF66641" w14:textId="1522CAF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24%</w:t>
            </w:r>
          </w:p>
        </w:tc>
        <w:tc>
          <w:tcPr>
            <w:tcW w:w="832" w:type="dxa"/>
            <w:vAlign w:val="center"/>
          </w:tcPr>
          <w:p w14:paraId="04166FE1"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142</w:t>
            </w:r>
          </w:p>
        </w:tc>
        <w:tc>
          <w:tcPr>
            <w:tcW w:w="833" w:type="dxa"/>
            <w:vAlign w:val="center"/>
          </w:tcPr>
          <w:p w14:paraId="46BDA381" w14:textId="44A232C3"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33%</w:t>
            </w:r>
          </w:p>
        </w:tc>
      </w:tr>
      <w:tr w:rsidR="00175A04" w:rsidRPr="00030CFD" w14:paraId="1D2AEFB9" w14:textId="77777777" w:rsidTr="00F634D1">
        <w:tc>
          <w:tcPr>
            <w:tcW w:w="2965" w:type="dxa"/>
            <w:vAlign w:val="center"/>
          </w:tcPr>
          <w:p w14:paraId="664757CB" w14:textId="77777777" w:rsidR="00175A04" w:rsidRPr="00FA786A" w:rsidRDefault="00175A04" w:rsidP="00175A04">
            <w:pPr>
              <w:pStyle w:val="Style2"/>
              <w:rPr>
                <w:rFonts w:asciiTheme="minorHAnsi" w:hAnsiTheme="minorHAnsi" w:cstheme="minorHAnsi"/>
                <w:sz w:val="22"/>
                <w:szCs w:val="22"/>
              </w:rPr>
            </w:pPr>
            <w:r w:rsidRPr="00FA786A">
              <w:rPr>
                <w:rFonts w:asciiTheme="minorHAnsi" w:hAnsiTheme="minorHAnsi" w:cstheme="minorHAnsi"/>
                <w:sz w:val="22"/>
                <w:szCs w:val="22"/>
              </w:rPr>
              <w:t>40-49</w:t>
            </w:r>
          </w:p>
        </w:tc>
        <w:tc>
          <w:tcPr>
            <w:tcW w:w="832" w:type="dxa"/>
            <w:vAlign w:val="center"/>
          </w:tcPr>
          <w:p w14:paraId="5E56A004"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93</w:t>
            </w:r>
          </w:p>
        </w:tc>
        <w:tc>
          <w:tcPr>
            <w:tcW w:w="833" w:type="dxa"/>
            <w:vAlign w:val="center"/>
          </w:tcPr>
          <w:p w14:paraId="59FFF1AB" w14:textId="72D112C2"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21%</w:t>
            </w:r>
          </w:p>
        </w:tc>
        <w:tc>
          <w:tcPr>
            <w:tcW w:w="832" w:type="dxa"/>
            <w:vAlign w:val="center"/>
          </w:tcPr>
          <w:p w14:paraId="1E4B1202"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66</w:t>
            </w:r>
          </w:p>
        </w:tc>
        <w:tc>
          <w:tcPr>
            <w:tcW w:w="833" w:type="dxa"/>
            <w:vAlign w:val="center"/>
          </w:tcPr>
          <w:p w14:paraId="4AE70EAD" w14:textId="1D823650"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15%</w:t>
            </w:r>
          </w:p>
        </w:tc>
      </w:tr>
      <w:tr w:rsidR="00175A04" w:rsidRPr="00030CFD" w14:paraId="30B2FA1D" w14:textId="77777777" w:rsidTr="00F634D1">
        <w:tc>
          <w:tcPr>
            <w:tcW w:w="2965" w:type="dxa"/>
            <w:vAlign w:val="center"/>
          </w:tcPr>
          <w:p w14:paraId="133B3CC3" w14:textId="77777777" w:rsidR="00175A04" w:rsidRPr="00FA786A" w:rsidRDefault="00175A04" w:rsidP="00175A04">
            <w:pPr>
              <w:pStyle w:val="Style2"/>
              <w:rPr>
                <w:rFonts w:asciiTheme="minorHAnsi" w:hAnsiTheme="minorHAnsi" w:cstheme="minorHAnsi"/>
                <w:sz w:val="22"/>
                <w:szCs w:val="22"/>
              </w:rPr>
            </w:pPr>
            <w:r w:rsidRPr="00FA786A">
              <w:rPr>
                <w:rFonts w:asciiTheme="minorHAnsi" w:hAnsiTheme="minorHAnsi" w:cstheme="minorHAnsi"/>
                <w:sz w:val="22"/>
                <w:szCs w:val="22"/>
              </w:rPr>
              <w:t>50-59</w:t>
            </w:r>
          </w:p>
        </w:tc>
        <w:tc>
          <w:tcPr>
            <w:tcW w:w="832" w:type="dxa"/>
            <w:vAlign w:val="center"/>
          </w:tcPr>
          <w:p w14:paraId="412AB7BF"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80</w:t>
            </w:r>
          </w:p>
        </w:tc>
        <w:tc>
          <w:tcPr>
            <w:tcW w:w="833" w:type="dxa"/>
            <w:vAlign w:val="center"/>
          </w:tcPr>
          <w:p w14:paraId="6296D34A" w14:textId="59C9A30C"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18%</w:t>
            </w:r>
          </w:p>
        </w:tc>
        <w:tc>
          <w:tcPr>
            <w:tcW w:w="832" w:type="dxa"/>
            <w:vAlign w:val="center"/>
          </w:tcPr>
          <w:p w14:paraId="57C27AEA"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45</w:t>
            </w:r>
          </w:p>
        </w:tc>
        <w:tc>
          <w:tcPr>
            <w:tcW w:w="833" w:type="dxa"/>
            <w:vAlign w:val="center"/>
          </w:tcPr>
          <w:p w14:paraId="4F349E8A" w14:textId="276A5BE1"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10%</w:t>
            </w:r>
          </w:p>
        </w:tc>
      </w:tr>
      <w:tr w:rsidR="00175A04" w:rsidRPr="00030CFD" w14:paraId="25900FC3" w14:textId="77777777" w:rsidTr="00F634D1">
        <w:tc>
          <w:tcPr>
            <w:tcW w:w="2965" w:type="dxa"/>
            <w:vAlign w:val="center"/>
          </w:tcPr>
          <w:p w14:paraId="5D31E62D" w14:textId="77777777" w:rsidR="00175A04" w:rsidRPr="00FA786A" w:rsidRDefault="00175A04" w:rsidP="00175A04">
            <w:pPr>
              <w:pStyle w:val="Style2"/>
              <w:rPr>
                <w:rFonts w:asciiTheme="minorHAnsi" w:hAnsiTheme="minorHAnsi" w:cstheme="minorHAnsi"/>
                <w:sz w:val="22"/>
                <w:szCs w:val="22"/>
              </w:rPr>
            </w:pPr>
            <w:r w:rsidRPr="00FA786A">
              <w:rPr>
                <w:rFonts w:asciiTheme="minorHAnsi" w:hAnsiTheme="minorHAnsi" w:cstheme="minorHAnsi"/>
                <w:sz w:val="22"/>
                <w:szCs w:val="22"/>
              </w:rPr>
              <w:t>60-69</w:t>
            </w:r>
          </w:p>
        </w:tc>
        <w:tc>
          <w:tcPr>
            <w:tcW w:w="832" w:type="dxa"/>
            <w:vAlign w:val="center"/>
          </w:tcPr>
          <w:p w14:paraId="17653A02"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15</w:t>
            </w:r>
          </w:p>
        </w:tc>
        <w:tc>
          <w:tcPr>
            <w:tcW w:w="833" w:type="dxa"/>
            <w:vAlign w:val="center"/>
          </w:tcPr>
          <w:p w14:paraId="5E583CAA" w14:textId="2780E5E4"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3%</w:t>
            </w:r>
          </w:p>
        </w:tc>
        <w:tc>
          <w:tcPr>
            <w:tcW w:w="832" w:type="dxa"/>
            <w:vAlign w:val="center"/>
          </w:tcPr>
          <w:p w14:paraId="32059983"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17</w:t>
            </w:r>
          </w:p>
        </w:tc>
        <w:tc>
          <w:tcPr>
            <w:tcW w:w="833" w:type="dxa"/>
            <w:vAlign w:val="center"/>
          </w:tcPr>
          <w:p w14:paraId="7A1C2A4F" w14:textId="36537EC9"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4%</w:t>
            </w:r>
          </w:p>
        </w:tc>
      </w:tr>
      <w:tr w:rsidR="00175A04" w:rsidRPr="00030CFD" w14:paraId="58034179" w14:textId="77777777" w:rsidTr="00F634D1">
        <w:tc>
          <w:tcPr>
            <w:tcW w:w="2965" w:type="dxa"/>
            <w:vAlign w:val="center"/>
          </w:tcPr>
          <w:p w14:paraId="22B97772" w14:textId="77777777" w:rsidR="00175A04" w:rsidRPr="00FA786A" w:rsidRDefault="00175A04" w:rsidP="00175A04">
            <w:pPr>
              <w:pStyle w:val="Style2"/>
              <w:rPr>
                <w:rFonts w:asciiTheme="minorHAnsi" w:hAnsiTheme="minorHAnsi" w:cstheme="minorHAnsi"/>
                <w:sz w:val="22"/>
                <w:szCs w:val="22"/>
              </w:rPr>
            </w:pPr>
            <w:r w:rsidRPr="00FA786A">
              <w:rPr>
                <w:rFonts w:asciiTheme="minorHAnsi" w:hAnsiTheme="minorHAnsi" w:cstheme="minorHAnsi"/>
                <w:sz w:val="22"/>
                <w:szCs w:val="22"/>
              </w:rPr>
              <w:t>70+</w:t>
            </w:r>
          </w:p>
        </w:tc>
        <w:tc>
          <w:tcPr>
            <w:tcW w:w="832" w:type="dxa"/>
            <w:vAlign w:val="center"/>
          </w:tcPr>
          <w:p w14:paraId="5A62F061"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2</w:t>
            </w:r>
          </w:p>
        </w:tc>
        <w:tc>
          <w:tcPr>
            <w:tcW w:w="833" w:type="dxa"/>
            <w:vAlign w:val="center"/>
          </w:tcPr>
          <w:p w14:paraId="40280E74" w14:textId="17003033"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&lt;1%</w:t>
            </w:r>
          </w:p>
        </w:tc>
        <w:tc>
          <w:tcPr>
            <w:tcW w:w="832" w:type="dxa"/>
            <w:vAlign w:val="center"/>
          </w:tcPr>
          <w:p w14:paraId="0CD47E55"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4</w:t>
            </w:r>
          </w:p>
        </w:tc>
        <w:tc>
          <w:tcPr>
            <w:tcW w:w="833" w:type="dxa"/>
            <w:vAlign w:val="center"/>
          </w:tcPr>
          <w:p w14:paraId="5BBF6143" w14:textId="3C33B9C4"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1%</w:t>
            </w:r>
          </w:p>
        </w:tc>
      </w:tr>
      <w:tr w:rsidR="00175A04" w:rsidRPr="00030CFD" w14:paraId="72C67F49" w14:textId="77777777" w:rsidTr="00F634D1">
        <w:tc>
          <w:tcPr>
            <w:tcW w:w="2965" w:type="dxa"/>
            <w:vAlign w:val="center"/>
          </w:tcPr>
          <w:p w14:paraId="0FF39BA6" w14:textId="77777777" w:rsidR="00175A04" w:rsidRPr="00FA786A" w:rsidRDefault="00175A04" w:rsidP="00175A04">
            <w:pPr>
              <w:pStyle w:val="Style2"/>
              <w:rPr>
                <w:rFonts w:asciiTheme="minorHAnsi" w:hAnsiTheme="minorHAnsi" w:cstheme="minorHAnsi"/>
                <w:sz w:val="22"/>
                <w:szCs w:val="22"/>
              </w:rPr>
            </w:pPr>
            <w:r w:rsidRPr="00FA786A">
              <w:rPr>
                <w:rFonts w:asciiTheme="minorHAnsi" w:hAnsiTheme="minorHAnsi" w:cstheme="minorHAnsi"/>
                <w:b/>
                <w:bCs/>
                <w:sz w:val="22"/>
                <w:szCs w:val="22"/>
              </w:rPr>
              <w:t>Exposure Mode</w:t>
            </w:r>
          </w:p>
        </w:tc>
        <w:tc>
          <w:tcPr>
            <w:tcW w:w="832" w:type="dxa"/>
            <w:vAlign w:val="center"/>
          </w:tcPr>
          <w:p w14:paraId="5A68A83F" w14:textId="05DCC993" w:rsidR="00175A04" w:rsidRPr="00FA786A" w:rsidRDefault="00175A04" w:rsidP="00175A04">
            <w:pPr>
              <w:pStyle w:val="Style2"/>
              <w:jc w:val="center"/>
              <w:rPr>
                <w:rFonts w:asciiTheme="minorHAnsi" w:hAnsiTheme="minorHAnsi" w:cstheme="minorHAnsi"/>
                <w:sz w:val="22"/>
                <w:szCs w:val="22"/>
              </w:rPr>
            </w:pPr>
          </w:p>
        </w:tc>
        <w:tc>
          <w:tcPr>
            <w:tcW w:w="833" w:type="dxa"/>
            <w:vAlign w:val="center"/>
          </w:tcPr>
          <w:p w14:paraId="0FA6D6DF" w14:textId="022DBC83" w:rsidR="00175A04" w:rsidRPr="00FA786A" w:rsidRDefault="00175A04" w:rsidP="00175A04">
            <w:pPr>
              <w:pStyle w:val="Style2"/>
              <w:jc w:val="center"/>
              <w:rPr>
                <w:rFonts w:asciiTheme="minorHAnsi" w:hAnsiTheme="minorHAnsi" w:cstheme="minorHAnsi"/>
                <w:sz w:val="22"/>
                <w:szCs w:val="22"/>
              </w:rPr>
            </w:pPr>
          </w:p>
        </w:tc>
        <w:tc>
          <w:tcPr>
            <w:tcW w:w="832" w:type="dxa"/>
            <w:vAlign w:val="center"/>
          </w:tcPr>
          <w:p w14:paraId="7B73777A" w14:textId="2FA5923B" w:rsidR="00175A04" w:rsidRPr="00FA786A" w:rsidRDefault="00175A04" w:rsidP="00175A04">
            <w:pPr>
              <w:pStyle w:val="Style2"/>
              <w:jc w:val="center"/>
              <w:rPr>
                <w:rFonts w:asciiTheme="minorHAnsi" w:hAnsiTheme="minorHAnsi" w:cstheme="minorHAnsi"/>
                <w:sz w:val="22"/>
                <w:szCs w:val="22"/>
              </w:rPr>
            </w:pPr>
          </w:p>
        </w:tc>
        <w:tc>
          <w:tcPr>
            <w:tcW w:w="833" w:type="dxa"/>
            <w:vAlign w:val="center"/>
          </w:tcPr>
          <w:p w14:paraId="0E8DD8E5" w14:textId="7DE7B474" w:rsidR="00175A04" w:rsidRPr="00FA786A" w:rsidRDefault="00175A04" w:rsidP="00175A04">
            <w:pPr>
              <w:pStyle w:val="Style2"/>
              <w:jc w:val="center"/>
              <w:rPr>
                <w:rFonts w:asciiTheme="minorHAnsi" w:hAnsiTheme="minorHAnsi" w:cstheme="minorHAnsi"/>
                <w:sz w:val="22"/>
                <w:szCs w:val="22"/>
              </w:rPr>
            </w:pPr>
          </w:p>
        </w:tc>
      </w:tr>
      <w:tr w:rsidR="00175A04" w:rsidRPr="00030CFD" w14:paraId="79ACBF1B" w14:textId="77777777" w:rsidTr="00F634D1">
        <w:tc>
          <w:tcPr>
            <w:tcW w:w="2965" w:type="dxa"/>
            <w:vAlign w:val="center"/>
          </w:tcPr>
          <w:p w14:paraId="440E1944" w14:textId="77777777" w:rsidR="00175A04" w:rsidRPr="00FA786A" w:rsidRDefault="00175A04" w:rsidP="00175A04">
            <w:pPr>
              <w:pStyle w:val="Style2"/>
              <w:rPr>
                <w:rFonts w:asciiTheme="minorHAnsi" w:hAnsiTheme="minorHAnsi" w:cstheme="minorHAnsi"/>
                <w:sz w:val="22"/>
                <w:szCs w:val="22"/>
              </w:rPr>
            </w:pPr>
            <w:r w:rsidRPr="00FA786A">
              <w:rPr>
                <w:rFonts w:asciiTheme="minorHAnsi" w:hAnsiTheme="minorHAnsi" w:cstheme="minorHAnsi"/>
                <w:sz w:val="22"/>
                <w:szCs w:val="22"/>
              </w:rPr>
              <w:t>MSM</w:t>
            </w:r>
          </w:p>
        </w:tc>
        <w:tc>
          <w:tcPr>
            <w:tcW w:w="832" w:type="dxa"/>
            <w:vAlign w:val="center"/>
          </w:tcPr>
          <w:p w14:paraId="18D3954A"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266</w:t>
            </w:r>
          </w:p>
        </w:tc>
        <w:tc>
          <w:tcPr>
            <w:tcW w:w="833" w:type="dxa"/>
            <w:vAlign w:val="center"/>
          </w:tcPr>
          <w:p w14:paraId="6BEC2862" w14:textId="7C1EBD1D"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60%</w:t>
            </w:r>
          </w:p>
        </w:tc>
        <w:tc>
          <w:tcPr>
            <w:tcW w:w="832" w:type="dxa"/>
            <w:vAlign w:val="center"/>
          </w:tcPr>
          <w:p w14:paraId="123E8514"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251</w:t>
            </w:r>
          </w:p>
        </w:tc>
        <w:tc>
          <w:tcPr>
            <w:tcW w:w="833" w:type="dxa"/>
            <w:vAlign w:val="center"/>
          </w:tcPr>
          <w:p w14:paraId="5DD619E8" w14:textId="35CDB30B"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58%</w:t>
            </w:r>
          </w:p>
        </w:tc>
      </w:tr>
      <w:tr w:rsidR="00175A04" w:rsidRPr="00030CFD" w14:paraId="4EDA52B2" w14:textId="77777777" w:rsidTr="00F634D1">
        <w:tc>
          <w:tcPr>
            <w:tcW w:w="2965" w:type="dxa"/>
            <w:vAlign w:val="center"/>
          </w:tcPr>
          <w:p w14:paraId="732C693D" w14:textId="77777777" w:rsidR="00175A04" w:rsidRPr="00FA786A" w:rsidRDefault="00175A04" w:rsidP="00175A04">
            <w:pPr>
              <w:pStyle w:val="Style2"/>
              <w:rPr>
                <w:rFonts w:asciiTheme="minorHAnsi" w:hAnsiTheme="minorHAnsi" w:cstheme="minorHAnsi"/>
                <w:sz w:val="22"/>
                <w:szCs w:val="22"/>
              </w:rPr>
            </w:pPr>
            <w:r w:rsidRPr="00FA786A">
              <w:rPr>
                <w:rFonts w:asciiTheme="minorHAnsi" w:hAnsiTheme="minorHAnsi" w:cstheme="minorHAnsi"/>
                <w:sz w:val="22"/>
                <w:szCs w:val="22"/>
              </w:rPr>
              <w:t>IDU</w:t>
            </w:r>
          </w:p>
        </w:tc>
        <w:tc>
          <w:tcPr>
            <w:tcW w:w="832" w:type="dxa"/>
            <w:vAlign w:val="center"/>
          </w:tcPr>
          <w:p w14:paraId="1183207F"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33</w:t>
            </w:r>
          </w:p>
        </w:tc>
        <w:tc>
          <w:tcPr>
            <w:tcW w:w="833" w:type="dxa"/>
            <w:vAlign w:val="center"/>
          </w:tcPr>
          <w:p w14:paraId="09CE41E0" w14:textId="424A0123"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7%</w:t>
            </w:r>
          </w:p>
        </w:tc>
        <w:tc>
          <w:tcPr>
            <w:tcW w:w="832" w:type="dxa"/>
            <w:vAlign w:val="center"/>
          </w:tcPr>
          <w:p w14:paraId="6412A22E"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24</w:t>
            </w:r>
          </w:p>
        </w:tc>
        <w:tc>
          <w:tcPr>
            <w:tcW w:w="833" w:type="dxa"/>
            <w:vAlign w:val="center"/>
          </w:tcPr>
          <w:p w14:paraId="48C1D377" w14:textId="2F5A881C"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6%</w:t>
            </w:r>
          </w:p>
        </w:tc>
      </w:tr>
      <w:tr w:rsidR="00175A04" w:rsidRPr="00030CFD" w14:paraId="2A2FF5CA" w14:textId="77777777" w:rsidTr="00F634D1">
        <w:tc>
          <w:tcPr>
            <w:tcW w:w="2965" w:type="dxa"/>
            <w:vAlign w:val="center"/>
          </w:tcPr>
          <w:p w14:paraId="28A36808" w14:textId="77777777" w:rsidR="00175A04" w:rsidRPr="00FA786A" w:rsidRDefault="00175A04" w:rsidP="00175A04">
            <w:pPr>
              <w:pStyle w:val="Style2"/>
              <w:rPr>
                <w:rFonts w:asciiTheme="minorHAnsi" w:hAnsiTheme="minorHAnsi" w:cstheme="minorHAnsi"/>
                <w:sz w:val="22"/>
                <w:szCs w:val="22"/>
              </w:rPr>
            </w:pPr>
            <w:r w:rsidRPr="00FA786A">
              <w:rPr>
                <w:rFonts w:asciiTheme="minorHAnsi" w:hAnsiTheme="minorHAnsi" w:cstheme="minorHAnsi"/>
                <w:sz w:val="22"/>
                <w:szCs w:val="22"/>
              </w:rPr>
              <w:t>MSM/IDU</w:t>
            </w:r>
          </w:p>
        </w:tc>
        <w:tc>
          <w:tcPr>
            <w:tcW w:w="832" w:type="dxa"/>
            <w:vAlign w:val="center"/>
          </w:tcPr>
          <w:p w14:paraId="39170EC6"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21</w:t>
            </w:r>
          </w:p>
        </w:tc>
        <w:tc>
          <w:tcPr>
            <w:tcW w:w="833" w:type="dxa"/>
            <w:vAlign w:val="center"/>
          </w:tcPr>
          <w:p w14:paraId="1FDACDEE" w14:textId="2C1A8271"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5%</w:t>
            </w:r>
          </w:p>
        </w:tc>
        <w:tc>
          <w:tcPr>
            <w:tcW w:w="832" w:type="dxa"/>
            <w:vAlign w:val="center"/>
          </w:tcPr>
          <w:p w14:paraId="50AE7E3D"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11</w:t>
            </w:r>
          </w:p>
        </w:tc>
        <w:tc>
          <w:tcPr>
            <w:tcW w:w="833" w:type="dxa"/>
            <w:vAlign w:val="center"/>
          </w:tcPr>
          <w:p w14:paraId="281AE0D4" w14:textId="3F246F3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3%</w:t>
            </w:r>
          </w:p>
        </w:tc>
      </w:tr>
      <w:tr w:rsidR="00175A04" w:rsidRPr="00030CFD" w14:paraId="0FE7B0D8" w14:textId="77777777" w:rsidTr="00F634D1">
        <w:tc>
          <w:tcPr>
            <w:tcW w:w="2965" w:type="dxa"/>
            <w:vAlign w:val="center"/>
          </w:tcPr>
          <w:p w14:paraId="0CF518E2" w14:textId="77777777" w:rsidR="00175A04" w:rsidRPr="00FA786A" w:rsidRDefault="00175A04" w:rsidP="00175A04">
            <w:pPr>
              <w:pStyle w:val="Style2"/>
              <w:rPr>
                <w:rFonts w:asciiTheme="minorHAnsi" w:hAnsiTheme="minorHAnsi" w:cstheme="minorHAnsi"/>
                <w:sz w:val="22"/>
                <w:szCs w:val="22"/>
              </w:rPr>
            </w:pPr>
            <w:r w:rsidRPr="00FA786A">
              <w:rPr>
                <w:rFonts w:asciiTheme="minorHAnsi" w:hAnsiTheme="minorHAnsi" w:cstheme="minorHAnsi"/>
                <w:sz w:val="22"/>
                <w:szCs w:val="22"/>
              </w:rPr>
              <w:t>HTSX</w:t>
            </w:r>
          </w:p>
        </w:tc>
        <w:tc>
          <w:tcPr>
            <w:tcW w:w="832" w:type="dxa"/>
            <w:vAlign w:val="center"/>
          </w:tcPr>
          <w:p w14:paraId="7FB6F69B"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12</w:t>
            </w:r>
          </w:p>
        </w:tc>
        <w:tc>
          <w:tcPr>
            <w:tcW w:w="833" w:type="dxa"/>
            <w:vAlign w:val="center"/>
          </w:tcPr>
          <w:p w14:paraId="31C8490E" w14:textId="100B0404"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3%</w:t>
            </w:r>
          </w:p>
        </w:tc>
        <w:tc>
          <w:tcPr>
            <w:tcW w:w="832" w:type="dxa"/>
            <w:vAlign w:val="center"/>
          </w:tcPr>
          <w:p w14:paraId="7D937214"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13</w:t>
            </w:r>
          </w:p>
        </w:tc>
        <w:tc>
          <w:tcPr>
            <w:tcW w:w="833" w:type="dxa"/>
            <w:vAlign w:val="center"/>
          </w:tcPr>
          <w:p w14:paraId="6BA76557" w14:textId="73CB7109"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3%</w:t>
            </w:r>
          </w:p>
        </w:tc>
      </w:tr>
      <w:tr w:rsidR="00175A04" w:rsidRPr="00030CFD" w14:paraId="1715D707" w14:textId="77777777" w:rsidTr="00F634D1">
        <w:tc>
          <w:tcPr>
            <w:tcW w:w="2965" w:type="dxa"/>
            <w:vAlign w:val="center"/>
          </w:tcPr>
          <w:p w14:paraId="46781A39" w14:textId="77777777" w:rsidR="00175A04" w:rsidRPr="00FA786A" w:rsidRDefault="00175A04" w:rsidP="00175A04">
            <w:pPr>
              <w:pStyle w:val="Style2"/>
              <w:rPr>
                <w:rFonts w:asciiTheme="minorHAnsi" w:hAnsiTheme="minorHAnsi" w:cstheme="minorHAnsi"/>
                <w:sz w:val="22"/>
                <w:szCs w:val="22"/>
              </w:rPr>
            </w:pPr>
            <w:r w:rsidRPr="00FA786A">
              <w:rPr>
                <w:rFonts w:asciiTheme="minorHAnsi" w:hAnsiTheme="minorHAnsi" w:cstheme="minorHAnsi"/>
                <w:sz w:val="22"/>
                <w:szCs w:val="22"/>
              </w:rPr>
              <w:t>Other</w:t>
            </w:r>
            <w:r w:rsidRPr="00FA786A">
              <w:rPr>
                <w:rStyle w:val="FootnoteReference"/>
                <w:rFonts w:asciiTheme="minorHAnsi" w:hAnsiTheme="minorHAnsi" w:cstheme="minorHAnsi"/>
                <w:sz w:val="22"/>
                <w:szCs w:val="22"/>
              </w:rPr>
              <w:footnoteReference w:id="30"/>
            </w:r>
          </w:p>
        </w:tc>
        <w:tc>
          <w:tcPr>
            <w:tcW w:w="832" w:type="dxa"/>
            <w:vAlign w:val="center"/>
          </w:tcPr>
          <w:p w14:paraId="104E87E6"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3</w:t>
            </w:r>
          </w:p>
        </w:tc>
        <w:tc>
          <w:tcPr>
            <w:tcW w:w="833" w:type="dxa"/>
            <w:vAlign w:val="center"/>
          </w:tcPr>
          <w:p w14:paraId="0892C8B0" w14:textId="11A5D490"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1%</w:t>
            </w:r>
          </w:p>
        </w:tc>
        <w:tc>
          <w:tcPr>
            <w:tcW w:w="832" w:type="dxa"/>
            <w:vAlign w:val="center"/>
          </w:tcPr>
          <w:p w14:paraId="0EA1E73A"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0</w:t>
            </w:r>
          </w:p>
        </w:tc>
        <w:tc>
          <w:tcPr>
            <w:tcW w:w="833" w:type="dxa"/>
            <w:vAlign w:val="center"/>
          </w:tcPr>
          <w:p w14:paraId="0229C276" w14:textId="5EBC613A"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0%</w:t>
            </w:r>
          </w:p>
        </w:tc>
      </w:tr>
      <w:tr w:rsidR="00175A04" w:rsidRPr="00030CFD" w14:paraId="23A9DBC7" w14:textId="77777777" w:rsidTr="00F634D1">
        <w:tc>
          <w:tcPr>
            <w:tcW w:w="2965" w:type="dxa"/>
            <w:vAlign w:val="center"/>
          </w:tcPr>
          <w:p w14:paraId="3BE6D6D3" w14:textId="77777777" w:rsidR="00175A04" w:rsidRPr="00FA786A" w:rsidRDefault="00175A04" w:rsidP="00175A04">
            <w:pPr>
              <w:pStyle w:val="Style2"/>
              <w:rPr>
                <w:rFonts w:asciiTheme="minorHAnsi" w:hAnsiTheme="minorHAnsi" w:cstheme="minorHAnsi"/>
                <w:sz w:val="22"/>
                <w:szCs w:val="22"/>
              </w:rPr>
            </w:pPr>
            <w:r w:rsidRPr="00FA786A">
              <w:rPr>
                <w:rFonts w:asciiTheme="minorHAnsi" w:hAnsiTheme="minorHAnsi" w:cstheme="minorHAnsi"/>
                <w:sz w:val="22"/>
                <w:szCs w:val="22"/>
              </w:rPr>
              <w:t>NIR</w:t>
            </w:r>
          </w:p>
        </w:tc>
        <w:tc>
          <w:tcPr>
            <w:tcW w:w="832" w:type="dxa"/>
            <w:vAlign w:val="center"/>
          </w:tcPr>
          <w:p w14:paraId="2110C8FC"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112</w:t>
            </w:r>
          </w:p>
        </w:tc>
        <w:tc>
          <w:tcPr>
            <w:tcW w:w="833" w:type="dxa"/>
            <w:vAlign w:val="center"/>
          </w:tcPr>
          <w:p w14:paraId="21CC3EBC" w14:textId="21D85A40"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25%</w:t>
            </w:r>
          </w:p>
        </w:tc>
        <w:tc>
          <w:tcPr>
            <w:tcW w:w="832" w:type="dxa"/>
            <w:vAlign w:val="center"/>
          </w:tcPr>
          <w:p w14:paraId="18B8513A"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133</w:t>
            </w:r>
          </w:p>
        </w:tc>
        <w:tc>
          <w:tcPr>
            <w:tcW w:w="833" w:type="dxa"/>
            <w:vAlign w:val="center"/>
          </w:tcPr>
          <w:p w14:paraId="338F8338" w14:textId="7BEACAC1"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31%</w:t>
            </w:r>
          </w:p>
        </w:tc>
      </w:tr>
      <w:tr w:rsidR="00175A04" w:rsidRPr="00030CFD" w14:paraId="7F6B4B89" w14:textId="77777777" w:rsidTr="00F634D1">
        <w:tc>
          <w:tcPr>
            <w:tcW w:w="2965" w:type="dxa"/>
            <w:vAlign w:val="center"/>
          </w:tcPr>
          <w:p w14:paraId="4661325E" w14:textId="77777777" w:rsidR="00175A04" w:rsidRPr="00FA786A" w:rsidRDefault="00175A04" w:rsidP="00175A04">
            <w:pPr>
              <w:pStyle w:val="Style2"/>
              <w:rPr>
                <w:rFonts w:asciiTheme="minorHAnsi" w:hAnsiTheme="minorHAnsi" w:cstheme="minorHAnsi"/>
                <w:sz w:val="22"/>
                <w:szCs w:val="22"/>
              </w:rPr>
            </w:pPr>
            <w:r w:rsidRPr="00FA786A">
              <w:rPr>
                <w:rFonts w:asciiTheme="minorHAnsi" w:hAnsiTheme="minorHAnsi" w:cstheme="minorHAnsi"/>
                <w:b/>
                <w:bCs/>
                <w:sz w:val="22"/>
                <w:szCs w:val="22"/>
              </w:rPr>
              <w:t>Place of Birth</w:t>
            </w:r>
          </w:p>
        </w:tc>
        <w:tc>
          <w:tcPr>
            <w:tcW w:w="832" w:type="dxa"/>
            <w:vAlign w:val="center"/>
          </w:tcPr>
          <w:p w14:paraId="63BA1DDC" w14:textId="3D02C0E0" w:rsidR="00175A04" w:rsidRPr="00FA786A" w:rsidRDefault="00175A04" w:rsidP="00175A04">
            <w:pPr>
              <w:pStyle w:val="Style2"/>
              <w:jc w:val="center"/>
              <w:rPr>
                <w:rFonts w:asciiTheme="minorHAnsi" w:hAnsiTheme="minorHAnsi" w:cstheme="minorHAnsi"/>
                <w:sz w:val="22"/>
                <w:szCs w:val="22"/>
              </w:rPr>
            </w:pPr>
          </w:p>
        </w:tc>
        <w:tc>
          <w:tcPr>
            <w:tcW w:w="833" w:type="dxa"/>
            <w:vAlign w:val="center"/>
          </w:tcPr>
          <w:p w14:paraId="19D60828" w14:textId="2DAE193C" w:rsidR="00175A04" w:rsidRPr="00FA786A" w:rsidRDefault="00175A04" w:rsidP="00175A04">
            <w:pPr>
              <w:pStyle w:val="Style2"/>
              <w:jc w:val="center"/>
              <w:rPr>
                <w:rFonts w:asciiTheme="minorHAnsi" w:hAnsiTheme="minorHAnsi" w:cstheme="minorHAnsi"/>
                <w:sz w:val="22"/>
                <w:szCs w:val="22"/>
              </w:rPr>
            </w:pPr>
          </w:p>
        </w:tc>
        <w:tc>
          <w:tcPr>
            <w:tcW w:w="832" w:type="dxa"/>
            <w:vAlign w:val="center"/>
          </w:tcPr>
          <w:p w14:paraId="0A407552" w14:textId="0B0ACDB2" w:rsidR="00175A04" w:rsidRPr="00FA786A" w:rsidRDefault="00175A04" w:rsidP="00175A04">
            <w:pPr>
              <w:pStyle w:val="Style2"/>
              <w:jc w:val="center"/>
              <w:rPr>
                <w:rFonts w:asciiTheme="minorHAnsi" w:hAnsiTheme="minorHAnsi" w:cstheme="minorHAnsi"/>
                <w:sz w:val="22"/>
                <w:szCs w:val="22"/>
              </w:rPr>
            </w:pPr>
          </w:p>
        </w:tc>
        <w:tc>
          <w:tcPr>
            <w:tcW w:w="833" w:type="dxa"/>
            <w:vAlign w:val="center"/>
          </w:tcPr>
          <w:p w14:paraId="4303AF5D" w14:textId="3881D04D" w:rsidR="00175A04" w:rsidRPr="00FA786A" w:rsidRDefault="00175A04" w:rsidP="00175A04">
            <w:pPr>
              <w:pStyle w:val="Style2"/>
              <w:jc w:val="center"/>
              <w:rPr>
                <w:rFonts w:asciiTheme="minorHAnsi" w:hAnsiTheme="minorHAnsi" w:cstheme="minorHAnsi"/>
                <w:sz w:val="22"/>
                <w:szCs w:val="22"/>
              </w:rPr>
            </w:pPr>
          </w:p>
        </w:tc>
      </w:tr>
      <w:tr w:rsidR="00175A04" w:rsidRPr="00030CFD" w14:paraId="328C50F9" w14:textId="77777777" w:rsidTr="00F634D1">
        <w:tc>
          <w:tcPr>
            <w:tcW w:w="2965" w:type="dxa"/>
            <w:vAlign w:val="center"/>
          </w:tcPr>
          <w:p w14:paraId="523DD548" w14:textId="77777777" w:rsidR="00175A04" w:rsidRPr="00FA786A" w:rsidRDefault="00175A04" w:rsidP="00175A04">
            <w:pPr>
              <w:pStyle w:val="Style2"/>
              <w:rPr>
                <w:rFonts w:asciiTheme="minorHAnsi" w:hAnsiTheme="minorHAnsi" w:cstheme="minorHAnsi"/>
                <w:sz w:val="22"/>
                <w:szCs w:val="22"/>
              </w:rPr>
            </w:pPr>
            <w:r w:rsidRPr="00FA786A">
              <w:rPr>
                <w:rFonts w:asciiTheme="minorHAnsi" w:hAnsiTheme="minorHAnsi" w:cstheme="minorHAnsi"/>
                <w:sz w:val="22"/>
                <w:szCs w:val="22"/>
              </w:rPr>
              <w:t>US</w:t>
            </w:r>
          </w:p>
        </w:tc>
        <w:tc>
          <w:tcPr>
            <w:tcW w:w="832" w:type="dxa"/>
            <w:vAlign w:val="center"/>
          </w:tcPr>
          <w:p w14:paraId="77C0EE6F"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276</w:t>
            </w:r>
          </w:p>
        </w:tc>
        <w:tc>
          <w:tcPr>
            <w:tcW w:w="833" w:type="dxa"/>
            <w:vAlign w:val="center"/>
          </w:tcPr>
          <w:p w14:paraId="292C1794" w14:textId="39680560"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62%</w:t>
            </w:r>
          </w:p>
        </w:tc>
        <w:tc>
          <w:tcPr>
            <w:tcW w:w="832" w:type="dxa"/>
            <w:vAlign w:val="center"/>
          </w:tcPr>
          <w:p w14:paraId="05A599AD"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227</w:t>
            </w:r>
          </w:p>
        </w:tc>
        <w:tc>
          <w:tcPr>
            <w:tcW w:w="833" w:type="dxa"/>
            <w:vAlign w:val="center"/>
          </w:tcPr>
          <w:p w14:paraId="1B915C3D" w14:textId="090D3FAA"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53%</w:t>
            </w:r>
          </w:p>
        </w:tc>
      </w:tr>
      <w:tr w:rsidR="00175A04" w:rsidRPr="00030CFD" w14:paraId="7DC3DB73" w14:textId="77777777" w:rsidTr="00F634D1">
        <w:tc>
          <w:tcPr>
            <w:tcW w:w="2965" w:type="dxa"/>
            <w:vAlign w:val="center"/>
          </w:tcPr>
          <w:p w14:paraId="4C0B3EDE" w14:textId="77777777" w:rsidR="00175A04" w:rsidRPr="00FA786A" w:rsidRDefault="00175A04" w:rsidP="00175A04">
            <w:pPr>
              <w:pStyle w:val="Style2"/>
              <w:rPr>
                <w:rFonts w:asciiTheme="minorHAnsi" w:hAnsiTheme="minorHAnsi" w:cstheme="minorHAnsi"/>
                <w:sz w:val="22"/>
                <w:szCs w:val="22"/>
              </w:rPr>
            </w:pPr>
            <w:r w:rsidRPr="00FA786A">
              <w:rPr>
                <w:rFonts w:asciiTheme="minorHAnsi" w:hAnsiTheme="minorHAnsi" w:cstheme="minorHAnsi"/>
                <w:sz w:val="22"/>
                <w:szCs w:val="22"/>
              </w:rPr>
              <w:t>PR/USD</w:t>
            </w:r>
            <w:r w:rsidRPr="00FA786A">
              <w:rPr>
                <w:rStyle w:val="FootnoteReference"/>
                <w:rFonts w:asciiTheme="minorHAnsi" w:hAnsiTheme="minorHAnsi" w:cstheme="minorHAnsi"/>
                <w:sz w:val="22"/>
                <w:szCs w:val="22"/>
              </w:rPr>
              <w:footnoteReference w:id="31"/>
            </w:r>
          </w:p>
        </w:tc>
        <w:tc>
          <w:tcPr>
            <w:tcW w:w="832" w:type="dxa"/>
            <w:vAlign w:val="center"/>
          </w:tcPr>
          <w:p w14:paraId="1C2DCD22"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28</w:t>
            </w:r>
          </w:p>
        </w:tc>
        <w:tc>
          <w:tcPr>
            <w:tcW w:w="833" w:type="dxa"/>
            <w:vAlign w:val="center"/>
          </w:tcPr>
          <w:p w14:paraId="66779F64" w14:textId="66A2FDAD"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6%</w:t>
            </w:r>
          </w:p>
        </w:tc>
        <w:tc>
          <w:tcPr>
            <w:tcW w:w="832" w:type="dxa"/>
            <w:vAlign w:val="center"/>
          </w:tcPr>
          <w:p w14:paraId="56FDBDF6"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9</w:t>
            </w:r>
          </w:p>
        </w:tc>
        <w:tc>
          <w:tcPr>
            <w:tcW w:w="833" w:type="dxa"/>
            <w:vAlign w:val="center"/>
          </w:tcPr>
          <w:p w14:paraId="162AA9E1" w14:textId="5C5012EE"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2%</w:t>
            </w:r>
          </w:p>
        </w:tc>
      </w:tr>
      <w:tr w:rsidR="00175A04" w:rsidRPr="00030CFD" w14:paraId="42959DF3" w14:textId="77777777" w:rsidTr="00F634D1">
        <w:tc>
          <w:tcPr>
            <w:tcW w:w="2965" w:type="dxa"/>
            <w:vAlign w:val="center"/>
          </w:tcPr>
          <w:p w14:paraId="5DC6CC40" w14:textId="77777777" w:rsidR="00175A04" w:rsidRPr="00FA786A" w:rsidRDefault="00175A04" w:rsidP="00175A04">
            <w:pPr>
              <w:pStyle w:val="Style2"/>
              <w:rPr>
                <w:rFonts w:asciiTheme="minorHAnsi" w:hAnsiTheme="minorHAnsi" w:cstheme="minorHAnsi"/>
                <w:sz w:val="22"/>
                <w:szCs w:val="22"/>
              </w:rPr>
            </w:pPr>
            <w:r w:rsidRPr="00FA786A">
              <w:rPr>
                <w:rFonts w:asciiTheme="minorHAnsi" w:hAnsiTheme="minorHAnsi" w:cstheme="minorHAnsi"/>
                <w:sz w:val="22"/>
                <w:szCs w:val="22"/>
              </w:rPr>
              <w:t>Non-US</w:t>
            </w:r>
          </w:p>
        </w:tc>
        <w:tc>
          <w:tcPr>
            <w:tcW w:w="832" w:type="dxa"/>
            <w:vAlign w:val="center"/>
          </w:tcPr>
          <w:p w14:paraId="72DAF9FB"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143</w:t>
            </w:r>
          </w:p>
        </w:tc>
        <w:tc>
          <w:tcPr>
            <w:tcW w:w="833" w:type="dxa"/>
            <w:vAlign w:val="center"/>
          </w:tcPr>
          <w:p w14:paraId="2E96AEA9" w14:textId="15EAD2D5"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32%</w:t>
            </w:r>
          </w:p>
        </w:tc>
        <w:tc>
          <w:tcPr>
            <w:tcW w:w="832" w:type="dxa"/>
            <w:vAlign w:val="center"/>
          </w:tcPr>
          <w:p w14:paraId="75D288CC" w14:textId="77777777"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sz w:val="22"/>
                <w:szCs w:val="22"/>
              </w:rPr>
              <w:t>196</w:t>
            </w:r>
          </w:p>
        </w:tc>
        <w:tc>
          <w:tcPr>
            <w:tcW w:w="833" w:type="dxa"/>
            <w:vAlign w:val="center"/>
          </w:tcPr>
          <w:p w14:paraId="65B74316" w14:textId="06F31AD1" w:rsidR="00175A04" w:rsidRPr="00FA786A" w:rsidRDefault="00175A04" w:rsidP="00175A04">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45%</w:t>
            </w:r>
          </w:p>
        </w:tc>
      </w:tr>
    </w:tbl>
    <w:p w14:paraId="5C7CCD40" w14:textId="77777777" w:rsidR="00930256" w:rsidRPr="00030CFD" w:rsidRDefault="00930256" w:rsidP="00930256">
      <w:pPr>
        <w:pStyle w:val="Style2"/>
        <w:spacing w:after="0" w:line="240" w:lineRule="auto"/>
        <w:rPr>
          <w:rFonts w:asciiTheme="minorHAnsi" w:hAnsiTheme="minorHAnsi" w:cstheme="minorHAnsi"/>
          <w:b/>
          <w:bCs/>
          <w:color w:val="EE0000"/>
          <w:sz w:val="22"/>
          <w:szCs w:val="22"/>
        </w:rPr>
      </w:pPr>
    </w:p>
    <w:p w14:paraId="3ADAF51B" w14:textId="262EACAB" w:rsidR="00930256" w:rsidRPr="00524AEE" w:rsidRDefault="00930256" w:rsidP="6D684EC6">
      <w:pPr>
        <w:pStyle w:val="Style2"/>
        <w:spacing w:after="0" w:line="240" w:lineRule="auto"/>
        <w:rPr>
          <w:rFonts w:asciiTheme="minorHAnsi" w:hAnsiTheme="minorHAnsi" w:cstheme="minorHAnsi"/>
        </w:rPr>
      </w:pPr>
    </w:p>
    <w:tbl>
      <w:tblPr>
        <w:tblStyle w:val="TableGrid"/>
        <w:tblW w:w="0" w:type="auto"/>
        <w:tblLook w:val="04A0" w:firstRow="1" w:lastRow="0" w:firstColumn="1" w:lastColumn="0" w:noHBand="0" w:noVBand="1"/>
      </w:tblPr>
      <w:tblGrid>
        <w:gridCol w:w="2965"/>
        <w:gridCol w:w="855"/>
        <w:gridCol w:w="855"/>
        <w:gridCol w:w="855"/>
        <w:gridCol w:w="855"/>
      </w:tblGrid>
      <w:tr w:rsidR="00C150AC" w:rsidRPr="00524AEE" w14:paraId="05F857B9" w14:textId="77777777" w:rsidTr="00C150AC">
        <w:tc>
          <w:tcPr>
            <w:tcW w:w="2965" w:type="dxa"/>
            <w:vAlign w:val="center"/>
          </w:tcPr>
          <w:p w14:paraId="7CF9D303" w14:textId="26B70381" w:rsidR="00C150AC" w:rsidRPr="00FA786A" w:rsidRDefault="00C150AC" w:rsidP="005873E9">
            <w:pPr>
              <w:pStyle w:val="Style2"/>
              <w:rPr>
                <w:rFonts w:asciiTheme="minorHAnsi" w:hAnsiTheme="minorHAnsi" w:cstheme="minorHAnsi"/>
                <w:sz w:val="22"/>
                <w:szCs w:val="22"/>
              </w:rPr>
            </w:pPr>
            <w:r w:rsidRPr="00FA786A">
              <w:rPr>
                <w:rFonts w:asciiTheme="minorHAnsi" w:hAnsiTheme="minorHAnsi" w:cstheme="minorHAnsi"/>
                <w:b/>
                <w:bCs/>
                <w:sz w:val="22"/>
                <w:szCs w:val="22"/>
              </w:rPr>
              <w:t>Assigned Female at Birth:</w:t>
            </w:r>
          </w:p>
        </w:tc>
        <w:tc>
          <w:tcPr>
            <w:tcW w:w="855" w:type="dxa"/>
            <w:vAlign w:val="center"/>
          </w:tcPr>
          <w:p w14:paraId="4AD8E65B" w14:textId="16FE4E3D" w:rsidR="00C150AC" w:rsidRPr="00FA786A" w:rsidRDefault="00C150AC" w:rsidP="00C150AC">
            <w:pPr>
              <w:pStyle w:val="Style2"/>
              <w:jc w:val="center"/>
              <w:rPr>
                <w:rFonts w:asciiTheme="minorHAnsi" w:hAnsiTheme="minorHAnsi" w:cstheme="minorHAnsi"/>
                <w:b/>
                <w:bCs/>
                <w:sz w:val="22"/>
                <w:szCs w:val="22"/>
              </w:rPr>
            </w:pPr>
            <w:r w:rsidRPr="00FA786A">
              <w:rPr>
                <w:rFonts w:asciiTheme="minorHAnsi" w:hAnsiTheme="minorHAnsi" w:cstheme="minorHAnsi"/>
                <w:b/>
                <w:bCs/>
                <w:sz w:val="22"/>
                <w:szCs w:val="22"/>
              </w:rPr>
              <w:t>2015 N</w:t>
            </w:r>
          </w:p>
        </w:tc>
        <w:tc>
          <w:tcPr>
            <w:tcW w:w="855" w:type="dxa"/>
            <w:vAlign w:val="center"/>
          </w:tcPr>
          <w:p w14:paraId="172121DD" w14:textId="2C96D1E4" w:rsidR="00C150AC" w:rsidRPr="00FA786A" w:rsidRDefault="00C150AC" w:rsidP="00C150AC">
            <w:pPr>
              <w:pStyle w:val="Style2"/>
              <w:jc w:val="center"/>
              <w:rPr>
                <w:rFonts w:asciiTheme="minorHAnsi" w:hAnsiTheme="minorHAnsi" w:cstheme="minorHAnsi"/>
                <w:b/>
                <w:bCs/>
                <w:sz w:val="22"/>
                <w:szCs w:val="22"/>
              </w:rPr>
            </w:pPr>
            <w:r w:rsidRPr="00FA786A">
              <w:rPr>
                <w:rFonts w:asciiTheme="minorHAnsi" w:hAnsiTheme="minorHAnsi" w:cstheme="minorHAnsi"/>
                <w:b/>
                <w:bCs/>
                <w:sz w:val="22"/>
                <w:szCs w:val="22"/>
              </w:rPr>
              <w:t>2015 %</w:t>
            </w:r>
          </w:p>
        </w:tc>
        <w:tc>
          <w:tcPr>
            <w:tcW w:w="855" w:type="dxa"/>
            <w:vAlign w:val="center"/>
          </w:tcPr>
          <w:p w14:paraId="1146CEBD" w14:textId="58FDB7A0" w:rsidR="00C150AC" w:rsidRPr="00FA786A" w:rsidRDefault="00C150AC" w:rsidP="00C150AC">
            <w:pPr>
              <w:pStyle w:val="Style2"/>
              <w:jc w:val="center"/>
              <w:rPr>
                <w:rFonts w:asciiTheme="minorHAnsi" w:hAnsiTheme="minorHAnsi" w:cstheme="minorHAnsi"/>
                <w:b/>
                <w:bCs/>
                <w:sz w:val="22"/>
                <w:szCs w:val="22"/>
              </w:rPr>
            </w:pPr>
            <w:r w:rsidRPr="00FA786A">
              <w:rPr>
                <w:rFonts w:asciiTheme="minorHAnsi" w:hAnsiTheme="minorHAnsi" w:cstheme="minorHAnsi"/>
                <w:b/>
                <w:bCs/>
                <w:sz w:val="22"/>
                <w:szCs w:val="22"/>
              </w:rPr>
              <w:t>2024 N</w:t>
            </w:r>
          </w:p>
        </w:tc>
        <w:tc>
          <w:tcPr>
            <w:tcW w:w="855" w:type="dxa"/>
            <w:vAlign w:val="center"/>
          </w:tcPr>
          <w:p w14:paraId="6D1CD3DB" w14:textId="0C2CCA85" w:rsidR="00C150AC" w:rsidRPr="00FA786A" w:rsidRDefault="00C150AC" w:rsidP="00C150AC">
            <w:pPr>
              <w:pStyle w:val="Style2"/>
              <w:jc w:val="center"/>
              <w:rPr>
                <w:rFonts w:asciiTheme="minorHAnsi" w:hAnsiTheme="minorHAnsi" w:cstheme="minorHAnsi"/>
                <w:b/>
                <w:bCs/>
                <w:sz w:val="22"/>
                <w:szCs w:val="22"/>
              </w:rPr>
            </w:pPr>
            <w:r w:rsidRPr="00FA786A">
              <w:rPr>
                <w:rFonts w:asciiTheme="minorHAnsi" w:hAnsiTheme="minorHAnsi" w:cstheme="minorHAnsi"/>
                <w:b/>
                <w:bCs/>
                <w:sz w:val="22"/>
                <w:szCs w:val="22"/>
              </w:rPr>
              <w:t>2024 %</w:t>
            </w:r>
          </w:p>
        </w:tc>
      </w:tr>
      <w:tr w:rsidR="00FA786A" w:rsidRPr="00524AEE" w14:paraId="562AF993" w14:textId="77777777" w:rsidTr="00C150AC">
        <w:tc>
          <w:tcPr>
            <w:tcW w:w="2965" w:type="dxa"/>
            <w:vAlign w:val="center"/>
          </w:tcPr>
          <w:p w14:paraId="2349FBB2" w14:textId="77777777" w:rsidR="00FA786A" w:rsidRPr="00FA786A" w:rsidRDefault="00FA786A" w:rsidP="00FA786A">
            <w:pPr>
              <w:pStyle w:val="Style2"/>
              <w:rPr>
                <w:rFonts w:asciiTheme="minorHAnsi" w:hAnsiTheme="minorHAnsi" w:cstheme="minorHAnsi"/>
                <w:sz w:val="22"/>
                <w:szCs w:val="22"/>
              </w:rPr>
            </w:pPr>
            <w:r w:rsidRPr="00FA786A">
              <w:rPr>
                <w:rFonts w:asciiTheme="minorHAnsi" w:hAnsiTheme="minorHAnsi" w:cstheme="minorHAnsi"/>
                <w:b/>
                <w:bCs/>
                <w:sz w:val="22"/>
                <w:szCs w:val="22"/>
              </w:rPr>
              <w:t>Total</w:t>
            </w:r>
          </w:p>
        </w:tc>
        <w:tc>
          <w:tcPr>
            <w:tcW w:w="855" w:type="dxa"/>
            <w:vAlign w:val="center"/>
          </w:tcPr>
          <w:p w14:paraId="43EC83D4"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162</w:t>
            </w:r>
          </w:p>
        </w:tc>
        <w:tc>
          <w:tcPr>
            <w:tcW w:w="855" w:type="dxa"/>
            <w:vAlign w:val="center"/>
          </w:tcPr>
          <w:p w14:paraId="6849AAF0" w14:textId="504FC2E1"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100%</w:t>
            </w:r>
          </w:p>
        </w:tc>
        <w:tc>
          <w:tcPr>
            <w:tcW w:w="855" w:type="dxa"/>
            <w:vAlign w:val="center"/>
          </w:tcPr>
          <w:p w14:paraId="424098A9"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170</w:t>
            </w:r>
          </w:p>
        </w:tc>
        <w:tc>
          <w:tcPr>
            <w:tcW w:w="855" w:type="dxa"/>
            <w:vAlign w:val="center"/>
          </w:tcPr>
          <w:p w14:paraId="6D2F99C5" w14:textId="695DF5D1"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100%</w:t>
            </w:r>
          </w:p>
        </w:tc>
      </w:tr>
      <w:tr w:rsidR="00FA786A" w:rsidRPr="00524AEE" w14:paraId="0C15BC11" w14:textId="77777777" w:rsidTr="00C150AC">
        <w:tc>
          <w:tcPr>
            <w:tcW w:w="2965" w:type="dxa"/>
            <w:vAlign w:val="center"/>
          </w:tcPr>
          <w:p w14:paraId="49B56288" w14:textId="77777777" w:rsidR="00FA786A" w:rsidRPr="00FA786A" w:rsidRDefault="00FA786A" w:rsidP="00FA786A">
            <w:pPr>
              <w:pStyle w:val="Style2"/>
              <w:rPr>
                <w:rFonts w:asciiTheme="minorHAnsi" w:hAnsiTheme="minorHAnsi" w:cstheme="minorHAnsi"/>
                <w:sz w:val="22"/>
                <w:szCs w:val="22"/>
              </w:rPr>
            </w:pPr>
            <w:r w:rsidRPr="00FA786A">
              <w:rPr>
                <w:rFonts w:asciiTheme="minorHAnsi" w:hAnsiTheme="minorHAnsi" w:cstheme="minorHAnsi"/>
                <w:b/>
                <w:bCs/>
                <w:sz w:val="22"/>
                <w:szCs w:val="22"/>
              </w:rPr>
              <w:t>Race/Ethnicity</w:t>
            </w:r>
          </w:p>
        </w:tc>
        <w:tc>
          <w:tcPr>
            <w:tcW w:w="855" w:type="dxa"/>
            <w:vAlign w:val="center"/>
          </w:tcPr>
          <w:p w14:paraId="27DFF59B" w14:textId="6492A9D1" w:rsidR="00FA786A" w:rsidRPr="00FA786A" w:rsidRDefault="00FA786A" w:rsidP="00FA786A">
            <w:pPr>
              <w:pStyle w:val="Style2"/>
              <w:jc w:val="center"/>
              <w:rPr>
                <w:rFonts w:asciiTheme="minorHAnsi" w:hAnsiTheme="minorHAnsi" w:cstheme="minorHAnsi"/>
                <w:sz w:val="22"/>
                <w:szCs w:val="22"/>
              </w:rPr>
            </w:pPr>
          </w:p>
        </w:tc>
        <w:tc>
          <w:tcPr>
            <w:tcW w:w="855" w:type="dxa"/>
            <w:vAlign w:val="center"/>
          </w:tcPr>
          <w:p w14:paraId="4E91C4FC" w14:textId="6989AFC8" w:rsidR="00FA786A" w:rsidRPr="00FA786A" w:rsidRDefault="00FA786A" w:rsidP="00FA786A">
            <w:pPr>
              <w:pStyle w:val="Style2"/>
              <w:jc w:val="center"/>
              <w:rPr>
                <w:rFonts w:asciiTheme="minorHAnsi" w:hAnsiTheme="minorHAnsi" w:cstheme="minorHAnsi"/>
                <w:sz w:val="22"/>
                <w:szCs w:val="22"/>
              </w:rPr>
            </w:pPr>
          </w:p>
        </w:tc>
        <w:tc>
          <w:tcPr>
            <w:tcW w:w="855" w:type="dxa"/>
            <w:vAlign w:val="center"/>
          </w:tcPr>
          <w:p w14:paraId="3883BD23" w14:textId="62298B55" w:rsidR="00FA786A" w:rsidRPr="00FA786A" w:rsidRDefault="00FA786A" w:rsidP="00FA786A">
            <w:pPr>
              <w:pStyle w:val="Style2"/>
              <w:jc w:val="center"/>
              <w:rPr>
                <w:rFonts w:asciiTheme="minorHAnsi" w:hAnsiTheme="minorHAnsi" w:cstheme="minorHAnsi"/>
                <w:sz w:val="22"/>
                <w:szCs w:val="22"/>
              </w:rPr>
            </w:pPr>
          </w:p>
        </w:tc>
        <w:tc>
          <w:tcPr>
            <w:tcW w:w="855" w:type="dxa"/>
            <w:vAlign w:val="center"/>
          </w:tcPr>
          <w:p w14:paraId="493EDF9F" w14:textId="6ED3297F" w:rsidR="00FA786A" w:rsidRPr="00FA786A" w:rsidRDefault="00FA786A" w:rsidP="00FA786A">
            <w:pPr>
              <w:pStyle w:val="Style2"/>
              <w:jc w:val="center"/>
              <w:rPr>
                <w:rFonts w:asciiTheme="minorHAnsi" w:hAnsiTheme="minorHAnsi" w:cstheme="minorHAnsi"/>
                <w:sz w:val="22"/>
                <w:szCs w:val="22"/>
              </w:rPr>
            </w:pPr>
          </w:p>
        </w:tc>
      </w:tr>
      <w:tr w:rsidR="00FA786A" w:rsidRPr="00524AEE" w14:paraId="7E7829E1" w14:textId="77777777" w:rsidTr="00C150AC">
        <w:tc>
          <w:tcPr>
            <w:tcW w:w="2965" w:type="dxa"/>
            <w:vAlign w:val="center"/>
          </w:tcPr>
          <w:p w14:paraId="38DCA1D5" w14:textId="77777777" w:rsidR="00FA786A" w:rsidRPr="00FA786A" w:rsidRDefault="00FA786A" w:rsidP="00FA786A">
            <w:pPr>
              <w:pStyle w:val="Style2"/>
              <w:rPr>
                <w:rFonts w:asciiTheme="minorHAnsi" w:hAnsiTheme="minorHAnsi" w:cstheme="minorHAnsi"/>
                <w:sz w:val="22"/>
                <w:szCs w:val="22"/>
              </w:rPr>
            </w:pPr>
            <w:r w:rsidRPr="00FA786A">
              <w:rPr>
                <w:rFonts w:asciiTheme="minorHAnsi" w:hAnsiTheme="minorHAnsi" w:cstheme="minorHAnsi"/>
                <w:sz w:val="22"/>
                <w:szCs w:val="22"/>
              </w:rPr>
              <w:t>White NH</w:t>
            </w:r>
          </w:p>
        </w:tc>
        <w:tc>
          <w:tcPr>
            <w:tcW w:w="855" w:type="dxa"/>
            <w:vAlign w:val="center"/>
          </w:tcPr>
          <w:p w14:paraId="0A274E4A"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41</w:t>
            </w:r>
          </w:p>
        </w:tc>
        <w:tc>
          <w:tcPr>
            <w:tcW w:w="855" w:type="dxa"/>
            <w:vAlign w:val="center"/>
          </w:tcPr>
          <w:p w14:paraId="03393110" w14:textId="16D11762"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25%</w:t>
            </w:r>
          </w:p>
        </w:tc>
        <w:tc>
          <w:tcPr>
            <w:tcW w:w="855" w:type="dxa"/>
            <w:vAlign w:val="center"/>
          </w:tcPr>
          <w:p w14:paraId="0DEF3D67"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32</w:t>
            </w:r>
          </w:p>
        </w:tc>
        <w:tc>
          <w:tcPr>
            <w:tcW w:w="855" w:type="dxa"/>
            <w:vAlign w:val="center"/>
          </w:tcPr>
          <w:p w14:paraId="441BEDA2" w14:textId="6F26AB61"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19%</w:t>
            </w:r>
          </w:p>
        </w:tc>
      </w:tr>
      <w:tr w:rsidR="00FA786A" w:rsidRPr="00524AEE" w14:paraId="40D11E60" w14:textId="77777777" w:rsidTr="00C150AC">
        <w:tc>
          <w:tcPr>
            <w:tcW w:w="2965" w:type="dxa"/>
            <w:vAlign w:val="center"/>
          </w:tcPr>
          <w:p w14:paraId="62EB9F43" w14:textId="77777777" w:rsidR="00FA786A" w:rsidRPr="00FA786A" w:rsidRDefault="00FA786A" w:rsidP="00FA786A">
            <w:pPr>
              <w:pStyle w:val="Style2"/>
              <w:rPr>
                <w:rFonts w:asciiTheme="minorHAnsi" w:hAnsiTheme="minorHAnsi" w:cstheme="minorHAnsi"/>
                <w:sz w:val="22"/>
                <w:szCs w:val="22"/>
              </w:rPr>
            </w:pPr>
            <w:r w:rsidRPr="00FA786A">
              <w:rPr>
                <w:rFonts w:asciiTheme="minorHAnsi" w:hAnsiTheme="minorHAnsi" w:cstheme="minorHAnsi"/>
                <w:sz w:val="22"/>
                <w:szCs w:val="22"/>
              </w:rPr>
              <w:t>Black NH</w:t>
            </w:r>
          </w:p>
        </w:tc>
        <w:tc>
          <w:tcPr>
            <w:tcW w:w="855" w:type="dxa"/>
            <w:vAlign w:val="center"/>
          </w:tcPr>
          <w:p w14:paraId="05A2958A"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84</w:t>
            </w:r>
          </w:p>
        </w:tc>
        <w:tc>
          <w:tcPr>
            <w:tcW w:w="855" w:type="dxa"/>
            <w:vAlign w:val="center"/>
          </w:tcPr>
          <w:p w14:paraId="0449B75E" w14:textId="6E7AD30E"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52%</w:t>
            </w:r>
          </w:p>
        </w:tc>
        <w:tc>
          <w:tcPr>
            <w:tcW w:w="855" w:type="dxa"/>
            <w:vAlign w:val="center"/>
          </w:tcPr>
          <w:p w14:paraId="09AC8D18"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107</w:t>
            </w:r>
          </w:p>
        </w:tc>
        <w:tc>
          <w:tcPr>
            <w:tcW w:w="855" w:type="dxa"/>
            <w:vAlign w:val="center"/>
          </w:tcPr>
          <w:p w14:paraId="1B0C4573" w14:textId="39898872"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63%</w:t>
            </w:r>
          </w:p>
        </w:tc>
      </w:tr>
      <w:tr w:rsidR="00FA786A" w:rsidRPr="00524AEE" w14:paraId="4B41DD1A" w14:textId="77777777" w:rsidTr="00C150AC">
        <w:tc>
          <w:tcPr>
            <w:tcW w:w="2965" w:type="dxa"/>
            <w:vAlign w:val="center"/>
          </w:tcPr>
          <w:p w14:paraId="31871B4C" w14:textId="111B4A41" w:rsidR="00FA786A" w:rsidRPr="00FA786A" w:rsidRDefault="00FA786A" w:rsidP="00FA786A">
            <w:pPr>
              <w:pStyle w:val="Style2"/>
              <w:rPr>
                <w:rFonts w:asciiTheme="minorHAnsi" w:hAnsiTheme="minorHAnsi" w:cstheme="minorHAnsi"/>
                <w:sz w:val="22"/>
                <w:szCs w:val="22"/>
              </w:rPr>
            </w:pPr>
            <w:r w:rsidRPr="00FA786A">
              <w:rPr>
                <w:rFonts w:asciiTheme="minorHAnsi" w:hAnsiTheme="minorHAnsi" w:cstheme="minorHAnsi"/>
                <w:sz w:val="22"/>
                <w:szCs w:val="22"/>
              </w:rPr>
              <w:t>Hispanic/Latinx</w:t>
            </w:r>
          </w:p>
        </w:tc>
        <w:tc>
          <w:tcPr>
            <w:tcW w:w="855" w:type="dxa"/>
            <w:vAlign w:val="center"/>
          </w:tcPr>
          <w:p w14:paraId="77BE50C6"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33</w:t>
            </w:r>
          </w:p>
        </w:tc>
        <w:tc>
          <w:tcPr>
            <w:tcW w:w="855" w:type="dxa"/>
            <w:vAlign w:val="center"/>
          </w:tcPr>
          <w:p w14:paraId="272F04F5" w14:textId="78FFB2B9"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20%</w:t>
            </w:r>
          </w:p>
        </w:tc>
        <w:tc>
          <w:tcPr>
            <w:tcW w:w="855" w:type="dxa"/>
            <w:vAlign w:val="center"/>
          </w:tcPr>
          <w:p w14:paraId="46B4DD22"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28</w:t>
            </w:r>
          </w:p>
        </w:tc>
        <w:tc>
          <w:tcPr>
            <w:tcW w:w="855" w:type="dxa"/>
            <w:vAlign w:val="center"/>
          </w:tcPr>
          <w:p w14:paraId="51DDF662" w14:textId="6C445FF1"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16%</w:t>
            </w:r>
          </w:p>
        </w:tc>
      </w:tr>
      <w:tr w:rsidR="00FA786A" w:rsidRPr="00524AEE" w14:paraId="412CA008" w14:textId="77777777" w:rsidTr="00C150AC">
        <w:tc>
          <w:tcPr>
            <w:tcW w:w="2965" w:type="dxa"/>
            <w:vAlign w:val="center"/>
          </w:tcPr>
          <w:p w14:paraId="38CBFD92" w14:textId="77777777" w:rsidR="00FA786A" w:rsidRPr="00FA786A" w:rsidRDefault="00FA786A" w:rsidP="00FA786A">
            <w:pPr>
              <w:pStyle w:val="Style2"/>
              <w:rPr>
                <w:rFonts w:asciiTheme="minorHAnsi" w:hAnsiTheme="minorHAnsi" w:cstheme="minorHAnsi"/>
                <w:sz w:val="22"/>
                <w:szCs w:val="22"/>
              </w:rPr>
            </w:pPr>
            <w:r w:rsidRPr="00FA786A">
              <w:rPr>
                <w:rFonts w:asciiTheme="minorHAnsi" w:hAnsiTheme="minorHAnsi" w:cstheme="minorHAnsi"/>
                <w:sz w:val="22"/>
                <w:szCs w:val="22"/>
              </w:rPr>
              <w:t>API</w:t>
            </w:r>
          </w:p>
        </w:tc>
        <w:tc>
          <w:tcPr>
            <w:tcW w:w="855" w:type="dxa"/>
            <w:vAlign w:val="center"/>
          </w:tcPr>
          <w:p w14:paraId="7BD3A5CA"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4</w:t>
            </w:r>
          </w:p>
        </w:tc>
        <w:tc>
          <w:tcPr>
            <w:tcW w:w="855" w:type="dxa"/>
            <w:vAlign w:val="center"/>
          </w:tcPr>
          <w:p w14:paraId="04CB9CB0" w14:textId="0478601E"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2%</w:t>
            </w:r>
          </w:p>
        </w:tc>
        <w:tc>
          <w:tcPr>
            <w:tcW w:w="855" w:type="dxa"/>
            <w:vAlign w:val="center"/>
          </w:tcPr>
          <w:p w14:paraId="26D280F7"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2</w:t>
            </w:r>
          </w:p>
        </w:tc>
        <w:tc>
          <w:tcPr>
            <w:tcW w:w="855" w:type="dxa"/>
            <w:vAlign w:val="center"/>
          </w:tcPr>
          <w:p w14:paraId="1246CCD4" w14:textId="16219B49"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1%</w:t>
            </w:r>
          </w:p>
        </w:tc>
      </w:tr>
      <w:tr w:rsidR="00FA786A" w:rsidRPr="00524AEE" w14:paraId="60F9CA64" w14:textId="77777777" w:rsidTr="00C150AC">
        <w:tc>
          <w:tcPr>
            <w:tcW w:w="2965" w:type="dxa"/>
            <w:vAlign w:val="center"/>
          </w:tcPr>
          <w:p w14:paraId="68042387" w14:textId="77777777" w:rsidR="00FA786A" w:rsidRPr="00FA786A" w:rsidRDefault="00FA786A" w:rsidP="00FA786A">
            <w:pPr>
              <w:pStyle w:val="Style2"/>
              <w:rPr>
                <w:rFonts w:asciiTheme="minorHAnsi" w:hAnsiTheme="minorHAnsi" w:cstheme="minorHAnsi"/>
                <w:sz w:val="22"/>
                <w:szCs w:val="22"/>
              </w:rPr>
            </w:pPr>
            <w:r w:rsidRPr="00FA786A">
              <w:rPr>
                <w:rFonts w:asciiTheme="minorHAnsi" w:hAnsiTheme="minorHAnsi" w:cstheme="minorHAnsi"/>
                <w:sz w:val="22"/>
                <w:szCs w:val="22"/>
              </w:rPr>
              <w:t>Other/Unknown</w:t>
            </w:r>
          </w:p>
        </w:tc>
        <w:tc>
          <w:tcPr>
            <w:tcW w:w="855" w:type="dxa"/>
            <w:vAlign w:val="center"/>
          </w:tcPr>
          <w:p w14:paraId="35CD6607"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0</w:t>
            </w:r>
          </w:p>
        </w:tc>
        <w:tc>
          <w:tcPr>
            <w:tcW w:w="855" w:type="dxa"/>
            <w:vAlign w:val="center"/>
          </w:tcPr>
          <w:p w14:paraId="01D3DCF8" w14:textId="190C0A96"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0%</w:t>
            </w:r>
          </w:p>
        </w:tc>
        <w:tc>
          <w:tcPr>
            <w:tcW w:w="855" w:type="dxa"/>
            <w:vAlign w:val="center"/>
          </w:tcPr>
          <w:p w14:paraId="48632561"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1</w:t>
            </w:r>
          </w:p>
        </w:tc>
        <w:tc>
          <w:tcPr>
            <w:tcW w:w="855" w:type="dxa"/>
            <w:vAlign w:val="center"/>
          </w:tcPr>
          <w:p w14:paraId="37D0D14A" w14:textId="224F0761"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1%</w:t>
            </w:r>
          </w:p>
        </w:tc>
      </w:tr>
      <w:tr w:rsidR="00FA786A" w:rsidRPr="00524AEE" w14:paraId="0692E2C9" w14:textId="77777777" w:rsidTr="00C150AC">
        <w:tc>
          <w:tcPr>
            <w:tcW w:w="2965" w:type="dxa"/>
            <w:vAlign w:val="center"/>
          </w:tcPr>
          <w:p w14:paraId="69D64C3F" w14:textId="77777777" w:rsidR="00FA786A" w:rsidRPr="00FA786A" w:rsidRDefault="00FA786A" w:rsidP="00FA786A">
            <w:pPr>
              <w:pStyle w:val="Style2"/>
              <w:rPr>
                <w:rFonts w:asciiTheme="minorHAnsi" w:hAnsiTheme="minorHAnsi" w:cstheme="minorHAnsi"/>
                <w:sz w:val="22"/>
                <w:szCs w:val="22"/>
              </w:rPr>
            </w:pPr>
            <w:r w:rsidRPr="00FA786A">
              <w:rPr>
                <w:rFonts w:asciiTheme="minorHAnsi" w:hAnsiTheme="minorHAnsi" w:cstheme="minorHAnsi"/>
                <w:b/>
                <w:bCs/>
                <w:sz w:val="22"/>
                <w:szCs w:val="22"/>
              </w:rPr>
              <w:t>Age Group (Years)</w:t>
            </w:r>
          </w:p>
        </w:tc>
        <w:tc>
          <w:tcPr>
            <w:tcW w:w="855" w:type="dxa"/>
            <w:vAlign w:val="center"/>
          </w:tcPr>
          <w:p w14:paraId="067D082D" w14:textId="35EBE360" w:rsidR="00FA786A" w:rsidRPr="00FA786A" w:rsidRDefault="00FA786A" w:rsidP="00FA786A">
            <w:pPr>
              <w:pStyle w:val="Style2"/>
              <w:jc w:val="center"/>
              <w:rPr>
                <w:rFonts w:asciiTheme="minorHAnsi" w:hAnsiTheme="minorHAnsi" w:cstheme="minorHAnsi"/>
                <w:sz w:val="22"/>
                <w:szCs w:val="22"/>
              </w:rPr>
            </w:pPr>
          </w:p>
        </w:tc>
        <w:tc>
          <w:tcPr>
            <w:tcW w:w="855" w:type="dxa"/>
            <w:vAlign w:val="center"/>
          </w:tcPr>
          <w:p w14:paraId="5D37F8A2" w14:textId="357EA5A1" w:rsidR="00FA786A" w:rsidRPr="00FA786A" w:rsidRDefault="00FA786A" w:rsidP="00FA786A">
            <w:pPr>
              <w:pStyle w:val="Style2"/>
              <w:jc w:val="center"/>
              <w:rPr>
                <w:rFonts w:asciiTheme="minorHAnsi" w:hAnsiTheme="minorHAnsi" w:cstheme="minorHAnsi"/>
                <w:sz w:val="22"/>
                <w:szCs w:val="22"/>
              </w:rPr>
            </w:pPr>
          </w:p>
        </w:tc>
        <w:tc>
          <w:tcPr>
            <w:tcW w:w="855" w:type="dxa"/>
            <w:vAlign w:val="center"/>
          </w:tcPr>
          <w:p w14:paraId="7FDF61BD" w14:textId="56A4DD77" w:rsidR="00FA786A" w:rsidRPr="00FA786A" w:rsidRDefault="00FA786A" w:rsidP="00FA786A">
            <w:pPr>
              <w:pStyle w:val="Style2"/>
              <w:jc w:val="center"/>
              <w:rPr>
                <w:rFonts w:asciiTheme="minorHAnsi" w:hAnsiTheme="minorHAnsi" w:cstheme="minorHAnsi"/>
                <w:sz w:val="22"/>
                <w:szCs w:val="22"/>
              </w:rPr>
            </w:pPr>
          </w:p>
        </w:tc>
        <w:tc>
          <w:tcPr>
            <w:tcW w:w="855" w:type="dxa"/>
            <w:vAlign w:val="center"/>
          </w:tcPr>
          <w:p w14:paraId="474A4055" w14:textId="0DD0FF1E" w:rsidR="00FA786A" w:rsidRPr="00FA786A" w:rsidRDefault="00FA786A" w:rsidP="00FA786A">
            <w:pPr>
              <w:pStyle w:val="Style2"/>
              <w:jc w:val="center"/>
              <w:rPr>
                <w:rFonts w:asciiTheme="minorHAnsi" w:hAnsiTheme="minorHAnsi" w:cstheme="minorHAnsi"/>
                <w:sz w:val="22"/>
                <w:szCs w:val="22"/>
              </w:rPr>
            </w:pPr>
          </w:p>
        </w:tc>
      </w:tr>
      <w:tr w:rsidR="00FA786A" w:rsidRPr="00524AEE" w14:paraId="30C11553" w14:textId="77777777" w:rsidTr="00C150AC">
        <w:tc>
          <w:tcPr>
            <w:tcW w:w="2965" w:type="dxa"/>
            <w:vAlign w:val="center"/>
          </w:tcPr>
          <w:p w14:paraId="4C12EDB2" w14:textId="77777777" w:rsidR="00FA786A" w:rsidRPr="00FA786A" w:rsidRDefault="00FA786A" w:rsidP="00FA786A">
            <w:pPr>
              <w:pStyle w:val="Style2"/>
              <w:rPr>
                <w:rFonts w:asciiTheme="minorHAnsi" w:hAnsiTheme="minorHAnsi" w:cstheme="minorHAnsi"/>
                <w:sz w:val="22"/>
                <w:szCs w:val="22"/>
              </w:rPr>
            </w:pPr>
            <w:r w:rsidRPr="00FA786A">
              <w:rPr>
                <w:rFonts w:asciiTheme="minorHAnsi" w:hAnsiTheme="minorHAnsi" w:cstheme="minorHAnsi"/>
                <w:sz w:val="22"/>
                <w:szCs w:val="22"/>
              </w:rPr>
              <w:t>0-12</w:t>
            </w:r>
          </w:p>
        </w:tc>
        <w:tc>
          <w:tcPr>
            <w:tcW w:w="855" w:type="dxa"/>
            <w:vAlign w:val="center"/>
          </w:tcPr>
          <w:p w14:paraId="3D66B748"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1</w:t>
            </w:r>
          </w:p>
        </w:tc>
        <w:tc>
          <w:tcPr>
            <w:tcW w:w="855" w:type="dxa"/>
            <w:vAlign w:val="center"/>
          </w:tcPr>
          <w:p w14:paraId="0D3593BE" w14:textId="32E4D59F"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1%</w:t>
            </w:r>
          </w:p>
        </w:tc>
        <w:tc>
          <w:tcPr>
            <w:tcW w:w="855" w:type="dxa"/>
            <w:vAlign w:val="center"/>
          </w:tcPr>
          <w:p w14:paraId="6DF68B30"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1</w:t>
            </w:r>
          </w:p>
        </w:tc>
        <w:tc>
          <w:tcPr>
            <w:tcW w:w="855" w:type="dxa"/>
            <w:vAlign w:val="center"/>
          </w:tcPr>
          <w:p w14:paraId="5B719DD7" w14:textId="01491C5A"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1%</w:t>
            </w:r>
          </w:p>
        </w:tc>
      </w:tr>
      <w:tr w:rsidR="00FA786A" w:rsidRPr="00524AEE" w14:paraId="35F95356" w14:textId="77777777" w:rsidTr="00C150AC">
        <w:tc>
          <w:tcPr>
            <w:tcW w:w="2965" w:type="dxa"/>
            <w:vAlign w:val="center"/>
          </w:tcPr>
          <w:p w14:paraId="7A5BF148" w14:textId="77777777" w:rsidR="00FA786A" w:rsidRPr="00FA786A" w:rsidRDefault="00FA786A" w:rsidP="00FA786A">
            <w:pPr>
              <w:pStyle w:val="Style2"/>
              <w:rPr>
                <w:rFonts w:asciiTheme="minorHAnsi" w:hAnsiTheme="minorHAnsi" w:cstheme="minorHAnsi"/>
                <w:sz w:val="22"/>
                <w:szCs w:val="22"/>
              </w:rPr>
            </w:pPr>
            <w:r w:rsidRPr="00FA786A">
              <w:rPr>
                <w:rFonts w:asciiTheme="minorHAnsi" w:hAnsiTheme="minorHAnsi" w:cstheme="minorHAnsi"/>
                <w:sz w:val="22"/>
                <w:szCs w:val="22"/>
              </w:rPr>
              <w:t>13-19</w:t>
            </w:r>
          </w:p>
        </w:tc>
        <w:tc>
          <w:tcPr>
            <w:tcW w:w="855" w:type="dxa"/>
            <w:vAlign w:val="center"/>
          </w:tcPr>
          <w:p w14:paraId="103E0D60"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9</w:t>
            </w:r>
          </w:p>
        </w:tc>
        <w:tc>
          <w:tcPr>
            <w:tcW w:w="855" w:type="dxa"/>
            <w:vAlign w:val="center"/>
          </w:tcPr>
          <w:p w14:paraId="34445915" w14:textId="0FE402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6%</w:t>
            </w:r>
          </w:p>
        </w:tc>
        <w:tc>
          <w:tcPr>
            <w:tcW w:w="855" w:type="dxa"/>
            <w:vAlign w:val="center"/>
          </w:tcPr>
          <w:p w14:paraId="28AF7A89"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2</w:t>
            </w:r>
          </w:p>
        </w:tc>
        <w:tc>
          <w:tcPr>
            <w:tcW w:w="855" w:type="dxa"/>
            <w:vAlign w:val="center"/>
          </w:tcPr>
          <w:p w14:paraId="3D1A5345" w14:textId="6CD169BB"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1%</w:t>
            </w:r>
          </w:p>
        </w:tc>
      </w:tr>
      <w:tr w:rsidR="00FA786A" w:rsidRPr="00524AEE" w14:paraId="1FF01999" w14:textId="77777777" w:rsidTr="00C150AC">
        <w:tc>
          <w:tcPr>
            <w:tcW w:w="2965" w:type="dxa"/>
            <w:vAlign w:val="center"/>
          </w:tcPr>
          <w:p w14:paraId="38FED8D8" w14:textId="77777777" w:rsidR="00FA786A" w:rsidRPr="00FA786A" w:rsidRDefault="00FA786A" w:rsidP="00FA786A">
            <w:pPr>
              <w:pStyle w:val="Style2"/>
              <w:rPr>
                <w:rFonts w:asciiTheme="minorHAnsi" w:hAnsiTheme="minorHAnsi" w:cstheme="minorHAnsi"/>
                <w:sz w:val="22"/>
                <w:szCs w:val="22"/>
              </w:rPr>
            </w:pPr>
            <w:r w:rsidRPr="00FA786A">
              <w:rPr>
                <w:rFonts w:asciiTheme="minorHAnsi" w:hAnsiTheme="minorHAnsi" w:cstheme="minorHAnsi"/>
                <w:sz w:val="22"/>
                <w:szCs w:val="22"/>
              </w:rPr>
              <w:t>20-29</w:t>
            </w:r>
          </w:p>
        </w:tc>
        <w:tc>
          <w:tcPr>
            <w:tcW w:w="855" w:type="dxa"/>
            <w:vAlign w:val="center"/>
          </w:tcPr>
          <w:p w14:paraId="000DFE96"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38</w:t>
            </w:r>
          </w:p>
        </w:tc>
        <w:tc>
          <w:tcPr>
            <w:tcW w:w="855" w:type="dxa"/>
            <w:vAlign w:val="center"/>
          </w:tcPr>
          <w:p w14:paraId="23D19EB4" w14:textId="393F5092"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23%</w:t>
            </w:r>
          </w:p>
        </w:tc>
        <w:tc>
          <w:tcPr>
            <w:tcW w:w="855" w:type="dxa"/>
            <w:vAlign w:val="center"/>
          </w:tcPr>
          <w:p w14:paraId="1D5885BB"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23</w:t>
            </w:r>
          </w:p>
        </w:tc>
        <w:tc>
          <w:tcPr>
            <w:tcW w:w="855" w:type="dxa"/>
            <w:vAlign w:val="center"/>
          </w:tcPr>
          <w:p w14:paraId="3BC216C3" w14:textId="38D21E40"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14%</w:t>
            </w:r>
          </w:p>
        </w:tc>
      </w:tr>
      <w:tr w:rsidR="00FA786A" w:rsidRPr="00524AEE" w14:paraId="1B8C0BAA" w14:textId="77777777" w:rsidTr="00C150AC">
        <w:tc>
          <w:tcPr>
            <w:tcW w:w="2965" w:type="dxa"/>
            <w:vAlign w:val="center"/>
          </w:tcPr>
          <w:p w14:paraId="5912C57E" w14:textId="77777777" w:rsidR="00FA786A" w:rsidRPr="00FA786A" w:rsidRDefault="00FA786A" w:rsidP="00FA786A">
            <w:pPr>
              <w:pStyle w:val="Style2"/>
              <w:rPr>
                <w:rFonts w:asciiTheme="minorHAnsi" w:hAnsiTheme="minorHAnsi" w:cstheme="minorHAnsi"/>
                <w:sz w:val="22"/>
                <w:szCs w:val="22"/>
              </w:rPr>
            </w:pPr>
            <w:r w:rsidRPr="00FA786A">
              <w:rPr>
                <w:rFonts w:asciiTheme="minorHAnsi" w:hAnsiTheme="minorHAnsi" w:cstheme="minorHAnsi"/>
                <w:sz w:val="22"/>
                <w:szCs w:val="22"/>
              </w:rPr>
              <w:t>30-39</w:t>
            </w:r>
          </w:p>
        </w:tc>
        <w:tc>
          <w:tcPr>
            <w:tcW w:w="855" w:type="dxa"/>
            <w:vAlign w:val="center"/>
          </w:tcPr>
          <w:p w14:paraId="1DBEF145"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41</w:t>
            </w:r>
          </w:p>
        </w:tc>
        <w:tc>
          <w:tcPr>
            <w:tcW w:w="855" w:type="dxa"/>
            <w:vAlign w:val="center"/>
          </w:tcPr>
          <w:p w14:paraId="402F547B" w14:textId="4D02B380"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25%</w:t>
            </w:r>
          </w:p>
        </w:tc>
        <w:tc>
          <w:tcPr>
            <w:tcW w:w="855" w:type="dxa"/>
            <w:vAlign w:val="center"/>
          </w:tcPr>
          <w:p w14:paraId="06A4CCFE"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64</w:t>
            </w:r>
          </w:p>
        </w:tc>
        <w:tc>
          <w:tcPr>
            <w:tcW w:w="855" w:type="dxa"/>
            <w:vAlign w:val="center"/>
          </w:tcPr>
          <w:p w14:paraId="72C8C720" w14:textId="6FDF513E"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38%</w:t>
            </w:r>
          </w:p>
        </w:tc>
      </w:tr>
      <w:tr w:rsidR="00FA786A" w:rsidRPr="00524AEE" w14:paraId="4A5D8433" w14:textId="77777777" w:rsidTr="00C150AC">
        <w:tc>
          <w:tcPr>
            <w:tcW w:w="2965" w:type="dxa"/>
            <w:vAlign w:val="center"/>
          </w:tcPr>
          <w:p w14:paraId="66A8481B" w14:textId="77777777" w:rsidR="00FA786A" w:rsidRPr="00FA786A" w:rsidRDefault="00FA786A" w:rsidP="00FA786A">
            <w:pPr>
              <w:pStyle w:val="Style2"/>
              <w:rPr>
                <w:rFonts w:asciiTheme="minorHAnsi" w:hAnsiTheme="minorHAnsi" w:cstheme="minorHAnsi"/>
                <w:sz w:val="22"/>
                <w:szCs w:val="22"/>
              </w:rPr>
            </w:pPr>
            <w:r w:rsidRPr="00FA786A">
              <w:rPr>
                <w:rFonts w:asciiTheme="minorHAnsi" w:hAnsiTheme="minorHAnsi" w:cstheme="minorHAnsi"/>
                <w:sz w:val="22"/>
                <w:szCs w:val="22"/>
              </w:rPr>
              <w:t>40-49</w:t>
            </w:r>
          </w:p>
        </w:tc>
        <w:tc>
          <w:tcPr>
            <w:tcW w:w="855" w:type="dxa"/>
            <w:vAlign w:val="center"/>
          </w:tcPr>
          <w:p w14:paraId="2C8B5718"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31</w:t>
            </w:r>
          </w:p>
        </w:tc>
        <w:tc>
          <w:tcPr>
            <w:tcW w:w="855" w:type="dxa"/>
            <w:vAlign w:val="center"/>
          </w:tcPr>
          <w:p w14:paraId="60E31B5C" w14:textId="7BAD13C2"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19%</w:t>
            </w:r>
          </w:p>
        </w:tc>
        <w:tc>
          <w:tcPr>
            <w:tcW w:w="855" w:type="dxa"/>
            <w:vAlign w:val="center"/>
          </w:tcPr>
          <w:p w14:paraId="1DFA1A32"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37</w:t>
            </w:r>
          </w:p>
        </w:tc>
        <w:tc>
          <w:tcPr>
            <w:tcW w:w="855" w:type="dxa"/>
            <w:vAlign w:val="center"/>
          </w:tcPr>
          <w:p w14:paraId="039D7350" w14:textId="653CA91D"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22%</w:t>
            </w:r>
          </w:p>
        </w:tc>
      </w:tr>
      <w:tr w:rsidR="00FA786A" w:rsidRPr="00524AEE" w14:paraId="7829A52F" w14:textId="77777777" w:rsidTr="00C150AC">
        <w:tc>
          <w:tcPr>
            <w:tcW w:w="2965" w:type="dxa"/>
            <w:vAlign w:val="center"/>
          </w:tcPr>
          <w:p w14:paraId="00A584F4" w14:textId="77777777" w:rsidR="00FA786A" w:rsidRPr="00FA786A" w:rsidRDefault="00FA786A" w:rsidP="00FA786A">
            <w:pPr>
              <w:pStyle w:val="Style2"/>
              <w:rPr>
                <w:rFonts w:asciiTheme="minorHAnsi" w:hAnsiTheme="minorHAnsi" w:cstheme="minorHAnsi"/>
                <w:sz w:val="22"/>
                <w:szCs w:val="22"/>
              </w:rPr>
            </w:pPr>
            <w:r w:rsidRPr="00FA786A">
              <w:rPr>
                <w:rFonts w:asciiTheme="minorHAnsi" w:hAnsiTheme="minorHAnsi" w:cstheme="minorHAnsi"/>
                <w:sz w:val="22"/>
                <w:szCs w:val="22"/>
              </w:rPr>
              <w:t>50-59</w:t>
            </w:r>
          </w:p>
        </w:tc>
        <w:tc>
          <w:tcPr>
            <w:tcW w:w="855" w:type="dxa"/>
            <w:vAlign w:val="center"/>
          </w:tcPr>
          <w:p w14:paraId="1A73D2C4"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27</w:t>
            </w:r>
          </w:p>
        </w:tc>
        <w:tc>
          <w:tcPr>
            <w:tcW w:w="855" w:type="dxa"/>
            <w:vAlign w:val="center"/>
          </w:tcPr>
          <w:p w14:paraId="68EA31BF" w14:textId="39DBE6A6"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17%</w:t>
            </w:r>
          </w:p>
        </w:tc>
        <w:tc>
          <w:tcPr>
            <w:tcW w:w="855" w:type="dxa"/>
            <w:vAlign w:val="center"/>
          </w:tcPr>
          <w:p w14:paraId="0B6A5260"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23</w:t>
            </w:r>
          </w:p>
        </w:tc>
        <w:tc>
          <w:tcPr>
            <w:tcW w:w="855" w:type="dxa"/>
            <w:vAlign w:val="center"/>
          </w:tcPr>
          <w:p w14:paraId="7B835390" w14:textId="6330A575"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14%</w:t>
            </w:r>
          </w:p>
        </w:tc>
      </w:tr>
      <w:tr w:rsidR="00FA786A" w:rsidRPr="00524AEE" w14:paraId="51B36777" w14:textId="77777777" w:rsidTr="00C150AC">
        <w:tc>
          <w:tcPr>
            <w:tcW w:w="2965" w:type="dxa"/>
            <w:vAlign w:val="center"/>
          </w:tcPr>
          <w:p w14:paraId="70B2EF3D" w14:textId="77777777" w:rsidR="00FA786A" w:rsidRPr="00FA786A" w:rsidRDefault="00FA786A" w:rsidP="00FA786A">
            <w:pPr>
              <w:pStyle w:val="Style2"/>
              <w:rPr>
                <w:rFonts w:asciiTheme="minorHAnsi" w:hAnsiTheme="minorHAnsi" w:cstheme="minorHAnsi"/>
                <w:sz w:val="22"/>
                <w:szCs w:val="22"/>
              </w:rPr>
            </w:pPr>
            <w:r w:rsidRPr="00FA786A">
              <w:rPr>
                <w:rFonts w:asciiTheme="minorHAnsi" w:hAnsiTheme="minorHAnsi" w:cstheme="minorHAnsi"/>
                <w:sz w:val="22"/>
                <w:szCs w:val="22"/>
              </w:rPr>
              <w:t>60-69</w:t>
            </w:r>
          </w:p>
        </w:tc>
        <w:tc>
          <w:tcPr>
            <w:tcW w:w="855" w:type="dxa"/>
            <w:vAlign w:val="center"/>
          </w:tcPr>
          <w:p w14:paraId="035F6CB7"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11</w:t>
            </w:r>
          </w:p>
        </w:tc>
        <w:tc>
          <w:tcPr>
            <w:tcW w:w="855" w:type="dxa"/>
            <w:vAlign w:val="center"/>
          </w:tcPr>
          <w:p w14:paraId="1B90D80C" w14:textId="442C3ACE"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7%</w:t>
            </w:r>
          </w:p>
        </w:tc>
        <w:tc>
          <w:tcPr>
            <w:tcW w:w="855" w:type="dxa"/>
            <w:vAlign w:val="center"/>
          </w:tcPr>
          <w:p w14:paraId="4EB247AA"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14</w:t>
            </w:r>
          </w:p>
        </w:tc>
        <w:tc>
          <w:tcPr>
            <w:tcW w:w="855" w:type="dxa"/>
            <w:vAlign w:val="center"/>
          </w:tcPr>
          <w:p w14:paraId="1EBCF298" w14:textId="5C48773B"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8%</w:t>
            </w:r>
          </w:p>
        </w:tc>
      </w:tr>
      <w:tr w:rsidR="00FA786A" w:rsidRPr="00524AEE" w14:paraId="15CC42C0" w14:textId="77777777" w:rsidTr="00C150AC">
        <w:tc>
          <w:tcPr>
            <w:tcW w:w="2965" w:type="dxa"/>
            <w:vAlign w:val="center"/>
          </w:tcPr>
          <w:p w14:paraId="6A952D8C" w14:textId="77777777" w:rsidR="00FA786A" w:rsidRPr="00FA786A" w:rsidRDefault="00FA786A" w:rsidP="00FA786A">
            <w:pPr>
              <w:pStyle w:val="Style2"/>
              <w:rPr>
                <w:rFonts w:asciiTheme="minorHAnsi" w:hAnsiTheme="minorHAnsi" w:cstheme="minorHAnsi"/>
                <w:sz w:val="22"/>
                <w:szCs w:val="22"/>
              </w:rPr>
            </w:pPr>
            <w:r w:rsidRPr="00FA786A">
              <w:rPr>
                <w:rFonts w:asciiTheme="minorHAnsi" w:hAnsiTheme="minorHAnsi" w:cstheme="minorHAnsi"/>
                <w:sz w:val="22"/>
                <w:szCs w:val="22"/>
              </w:rPr>
              <w:t>70+</w:t>
            </w:r>
          </w:p>
        </w:tc>
        <w:tc>
          <w:tcPr>
            <w:tcW w:w="855" w:type="dxa"/>
            <w:vAlign w:val="center"/>
          </w:tcPr>
          <w:p w14:paraId="05C6BA4A"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4</w:t>
            </w:r>
          </w:p>
        </w:tc>
        <w:tc>
          <w:tcPr>
            <w:tcW w:w="855" w:type="dxa"/>
            <w:vAlign w:val="center"/>
          </w:tcPr>
          <w:p w14:paraId="78015495" w14:textId="6FD8DC21"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2%</w:t>
            </w:r>
          </w:p>
        </w:tc>
        <w:tc>
          <w:tcPr>
            <w:tcW w:w="855" w:type="dxa"/>
            <w:vAlign w:val="center"/>
          </w:tcPr>
          <w:p w14:paraId="3490D57F"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6</w:t>
            </w:r>
          </w:p>
        </w:tc>
        <w:tc>
          <w:tcPr>
            <w:tcW w:w="855" w:type="dxa"/>
            <w:vAlign w:val="center"/>
          </w:tcPr>
          <w:p w14:paraId="6616DA94" w14:textId="63130AB1"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4%</w:t>
            </w:r>
          </w:p>
        </w:tc>
      </w:tr>
      <w:tr w:rsidR="00FA786A" w:rsidRPr="00524AEE" w14:paraId="48C35642" w14:textId="77777777" w:rsidTr="00C150AC">
        <w:tc>
          <w:tcPr>
            <w:tcW w:w="2965" w:type="dxa"/>
            <w:vAlign w:val="center"/>
          </w:tcPr>
          <w:p w14:paraId="58297134" w14:textId="77777777" w:rsidR="00FA786A" w:rsidRPr="00FA786A" w:rsidRDefault="00FA786A" w:rsidP="00FA786A">
            <w:pPr>
              <w:pStyle w:val="Style2"/>
              <w:rPr>
                <w:rFonts w:asciiTheme="minorHAnsi" w:hAnsiTheme="minorHAnsi" w:cstheme="minorHAnsi"/>
                <w:sz w:val="22"/>
                <w:szCs w:val="22"/>
              </w:rPr>
            </w:pPr>
            <w:r w:rsidRPr="00FA786A">
              <w:rPr>
                <w:rFonts w:asciiTheme="minorHAnsi" w:hAnsiTheme="minorHAnsi" w:cstheme="minorHAnsi"/>
                <w:b/>
                <w:bCs/>
                <w:sz w:val="22"/>
                <w:szCs w:val="22"/>
              </w:rPr>
              <w:t>Exposure Mode</w:t>
            </w:r>
          </w:p>
        </w:tc>
        <w:tc>
          <w:tcPr>
            <w:tcW w:w="855" w:type="dxa"/>
            <w:vAlign w:val="center"/>
          </w:tcPr>
          <w:p w14:paraId="5A99A36F" w14:textId="25D7D00E" w:rsidR="00FA786A" w:rsidRPr="00FA786A" w:rsidRDefault="00FA786A" w:rsidP="00FA786A">
            <w:pPr>
              <w:pStyle w:val="Style2"/>
              <w:jc w:val="center"/>
              <w:rPr>
                <w:rFonts w:asciiTheme="minorHAnsi" w:hAnsiTheme="minorHAnsi" w:cstheme="minorHAnsi"/>
                <w:sz w:val="22"/>
                <w:szCs w:val="22"/>
              </w:rPr>
            </w:pPr>
          </w:p>
        </w:tc>
        <w:tc>
          <w:tcPr>
            <w:tcW w:w="855" w:type="dxa"/>
            <w:vAlign w:val="center"/>
          </w:tcPr>
          <w:p w14:paraId="48E8AD3C" w14:textId="63557EBA" w:rsidR="00FA786A" w:rsidRPr="00FA786A" w:rsidRDefault="00FA786A" w:rsidP="00FA786A">
            <w:pPr>
              <w:pStyle w:val="Style2"/>
              <w:jc w:val="center"/>
              <w:rPr>
                <w:rFonts w:asciiTheme="minorHAnsi" w:hAnsiTheme="minorHAnsi" w:cstheme="minorHAnsi"/>
                <w:sz w:val="22"/>
                <w:szCs w:val="22"/>
              </w:rPr>
            </w:pPr>
          </w:p>
        </w:tc>
        <w:tc>
          <w:tcPr>
            <w:tcW w:w="855" w:type="dxa"/>
            <w:vAlign w:val="center"/>
          </w:tcPr>
          <w:p w14:paraId="47CF7344" w14:textId="61EB9703" w:rsidR="00FA786A" w:rsidRPr="00FA786A" w:rsidRDefault="00FA786A" w:rsidP="00FA786A">
            <w:pPr>
              <w:pStyle w:val="Style2"/>
              <w:jc w:val="center"/>
              <w:rPr>
                <w:rFonts w:asciiTheme="minorHAnsi" w:hAnsiTheme="minorHAnsi" w:cstheme="minorHAnsi"/>
                <w:sz w:val="22"/>
                <w:szCs w:val="22"/>
              </w:rPr>
            </w:pPr>
          </w:p>
        </w:tc>
        <w:tc>
          <w:tcPr>
            <w:tcW w:w="855" w:type="dxa"/>
            <w:vAlign w:val="center"/>
          </w:tcPr>
          <w:p w14:paraId="214AAC5E" w14:textId="260D2815" w:rsidR="00FA786A" w:rsidRPr="00FA786A" w:rsidRDefault="00FA786A" w:rsidP="00FA786A">
            <w:pPr>
              <w:pStyle w:val="Style2"/>
              <w:jc w:val="center"/>
              <w:rPr>
                <w:rFonts w:asciiTheme="minorHAnsi" w:hAnsiTheme="minorHAnsi" w:cstheme="minorHAnsi"/>
                <w:sz w:val="22"/>
                <w:szCs w:val="22"/>
              </w:rPr>
            </w:pPr>
          </w:p>
        </w:tc>
      </w:tr>
      <w:tr w:rsidR="00FA786A" w:rsidRPr="00524AEE" w14:paraId="5C3E4A3D" w14:textId="77777777" w:rsidTr="00C150AC">
        <w:tc>
          <w:tcPr>
            <w:tcW w:w="2965" w:type="dxa"/>
            <w:vAlign w:val="center"/>
          </w:tcPr>
          <w:p w14:paraId="08D10017" w14:textId="77777777" w:rsidR="00FA786A" w:rsidRPr="00FA786A" w:rsidRDefault="00FA786A" w:rsidP="00FA786A">
            <w:pPr>
              <w:pStyle w:val="Style2"/>
              <w:rPr>
                <w:rFonts w:asciiTheme="minorHAnsi" w:hAnsiTheme="minorHAnsi" w:cstheme="minorHAnsi"/>
                <w:sz w:val="22"/>
                <w:szCs w:val="22"/>
              </w:rPr>
            </w:pPr>
            <w:r w:rsidRPr="00FA786A">
              <w:rPr>
                <w:rFonts w:asciiTheme="minorHAnsi" w:hAnsiTheme="minorHAnsi" w:cstheme="minorHAnsi"/>
                <w:sz w:val="22"/>
                <w:szCs w:val="22"/>
              </w:rPr>
              <w:t>IDU</w:t>
            </w:r>
          </w:p>
        </w:tc>
        <w:tc>
          <w:tcPr>
            <w:tcW w:w="855" w:type="dxa"/>
            <w:vAlign w:val="center"/>
          </w:tcPr>
          <w:p w14:paraId="56F812E5"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17</w:t>
            </w:r>
          </w:p>
        </w:tc>
        <w:tc>
          <w:tcPr>
            <w:tcW w:w="855" w:type="dxa"/>
            <w:vAlign w:val="center"/>
          </w:tcPr>
          <w:p w14:paraId="54FD2B3A" w14:textId="2AD6C84F"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10%</w:t>
            </w:r>
          </w:p>
        </w:tc>
        <w:tc>
          <w:tcPr>
            <w:tcW w:w="855" w:type="dxa"/>
            <w:vAlign w:val="center"/>
          </w:tcPr>
          <w:p w14:paraId="5B69C98A"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19</w:t>
            </w:r>
          </w:p>
        </w:tc>
        <w:tc>
          <w:tcPr>
            <w:tcW w:w="855" w:type="dxa"/>
            <w:vAlign w:val="center"/>
          </w:tcPr>
          <w:p w14:paraId="0F7024BE" w14:textId="2205AD72"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11%</w:t>
            </w:r>
          </w:p>
        </w:tc>
      </w:tr>
      <w:tr w:rsidR="00FA786A" w:rsidRPr="00524AEE" w14:paraId="28C7D52B" w14:textId="77777777" w:rsidTr="00C150AC">
        <w:tc>
          <w:tcPr>
            <w:tcW w:w="2965" w:type="dxa"/>
            <w:vAlign w:val="center"/>
          </w:tcPr>
          <w:p w14:paraId="5CB2EF5C" w14:textId="77777777" w:rsidR="00FA786A" w:rsidRPr="00FA786A" w:rsidRDefault="00FA786A" w:rsidP="00FA786A">
            <w:pPr>
              <w:pStyle w:val="Style2"/>
              <w:rPr>
                <w:rFonts w:asciiTheme="minorHAnsi" w:hAnsiTheme="minorHAnsi" w:cstheme="minorHAnsi"/>
                <w:sz w:val="22"/>
                <w:szCs w:val="22"/>
              </w:rPr>
            </w:pPr>
            <w:r w:rsidRPr="00FA786A">
              <w:rPr>
                <w:rFonts w:asciiTheme="minorHAnsi" w:hAnsiTheme="minorHAnsi" w:cstheme="minorHAnsi"/>
                <w:sz w:val="22"/>
                <w:szCs w:val="22"/>
              </w:rPr>
              <w:t>HTSX</w:t>
            </w:r>
          </w:p>
        </w:tc>
        <w:tc>
          <w:tcPr>
            <w:tcW w:w="855" w:type="dxa"/>
            <w:vAlign w:val="center"/>
          </w:tcPr>
          <w:p w14:paraId="33C97CE2"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26</w:t>
            </w:r>
          </w:p>
        </w:tc>
        <w:tc>
          <w:tcPr>
            <w:tcW w:w="855" w:type="dxa"/>
            <w:vAlign w:val="center"/>
          </w:tcPr>
          <w:p w14:paraId="57957729" w14:textId="0CCF382C"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16%</w:t>
            </w:r>
          </w:p>
        </w:tc>
        <w:tc>
          <w:tcPr>
            <w:tcW w:w="855" w:type="dxa"/>
            <w:vAlign w:val="center"/>
          </w:tcPr>
          <w:p w14:paraId="4BAB75BC"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13</w:t>
            </w:r>
          </w:p>
        </w:tc>
        <w:tc>
          <w:tcPr>
            <w:tcW w:w="855" w:type="dxa"/>
            <w:vAlign w:val="center"/>
          </w:tcPr>
          <w:p w14:paraId="1C093876" w14:textId="4EDBBB5D"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8%</w:t>
            </w:r>
          </w:p>
        </w:tc>
      </w:tr>
      <w:tr w:rsidR="00FA786A" w:rsidRPr="00524AEE" w14:paraId="434A06A4" w14:textId="77777777" w:rsidTr="00C150AC">
        <w:tc>
          <w:tcPr>
            <w:tcW w:w="2965" w:type="dxa"/>
            <w:vAlign w:val="center"/>
          </w:tcPr>
          <w:p w14:paraId="1549A558" w14:textId="77777777" w:rsidR="00FA786A" w:rsidRPr="00FA786A" w:rsidRDefault="00FA786A" w:rsidP="00FA786A">
            <w:pPr>
              <w:pStyle w:val="Style2"/>
              <w:rPr>
                <w:rFonts w:asciiTheme="minorHAnsi" w:hAnsiTheme="minorHAnsi" w:cstheme="minorHAnsi"/>
                <w:sz w:val="22"/>
                <w:szCs w:val="22"/>
              </w:rPr>
            </w:pPr>
            <w:r w:rsidRPr="00FA786A">
              <w:rPr>
                <w:rFonts w:asciiTheme="minorHAnsi" w:hAnsiTheme="minorHAnsi" w:cstheme="minorHAnsi"/>
                <w:sz w:val="22"/>
                <w:szCs w:val="22"/>
              </w:rPr>
              <w:t>Other</w:t>
            </w:r>
          </w:p>
        </w:tc>
        <w:tc>
          <w:tcPr>
            <w:tcW w:w="855" w:type="dxa"/>
            <w:vAlign w:val="center"/>
          </w:tcPr>
          <w:p w14:paraId="1265C846"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2</w:t>
            </w:r>
          </w:p>
        </w:tc>
        <w:tc>
          <w:tcPr>
            <w:tcW w:w="855" w:type="dxa"/>
            <w:vAlign w:val="center"/>
          </w:tcPr>
          <w:p w14:paraId="4558E8D3" w14:textId="04AAAFAD"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1%</w:t>
            </w:r>
          </w:p>
        </w:tc>
        <w:tc>
          <w:tcPr>
            <w:tcW w:w="855" w:type="dxa"/>
            <w:vAlign w:val="center"/>
          </w:tcPr>
          <w:p w14:paraId="6587C84F"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1</w:t>
            </w:r>
          </w:p>
        </w:tc>
        <w:tc>
          <w:tcPr>
            <w:tcW w:w="855" w:type="dxa"/>
            <w:vAlign w:val="center"/>
          </w:tcPr>
          <w:p w14:paraId="7EE8C7E8" w14:textId="5EAFCD8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1%</w:t>
            </w:r>
          </w:p>
        </w:tc>
      </w:tr>
      <w:tr w:rsidR="00FA786A" w:rsidRPr="00524AEE" w14:paraId="1EAEE1AC" w14:textId="77777777" w:rsidTr="00C150AC">
        <w:tc>
          <w:tcPr>
            <w:tcW w:w="2965" w:type="dxa"/>
            <w:vAlign w:val="center"/>
          </w:tcPr>
          <w:p w14:paraId="09EDA90F" w14:textId="77777777" w:rsidR="00FA786A" w:rsidRPr="00FA786A" w:rsidRDefault="00FA786A" w:rsidP="00FA786A">
            <w:pPr>
              <w:pStyle w:val="Style2"/>
              <w:rPr>
                <w:rFonts w:asciiTheme="minorHAnsi" w:hAnsiTheme="minorHAnsi" w:cstheme="minorHAnsi"/>
                <w:sz w:val="22"/>
                <w:szCs w:val="22"/>
              </w:rPr>
            </w:pPr>
            <w:r w:rsidRPr="00FA786A">
              <w:rPr>
                <w:rFonts w:asciiTheme="minorHAnsi" w:hAnsiTheme="minorHAnsi" w:cstheme="minorHAnsi"/>
                <w:sz w:val="22"/>
                <w:szCs w:val="22"/>
              </w:rPr>
              <w:t>Pres. HTSX</w:t>
            </w:r>
          </w:p>
        </w:tc>
        <w:tc>
          <w:tcPr>
            <w:tcW w:w="855" w:type="dxa"/>
            <w:vAlign w:val="center"/>
          </w:tcPr>
          <w:p w14:paraId="6643C64A"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65</w:t>
            </w:r>
          </w:p>
        </w:tc>
        <w:tc>
          <w:tcPr>
            <w:tcW w:w="855" w:type="dxa"/>
            <w:vAlign w:val="center"/>
          </w:tcPr>
          <w:p w14:paraId="7D7B5201" w14:textId="23224276"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40%</w:t>
            </w:r>
          </w:p>
        </w:tc>
        <w:tc>
          <w:tcPr>
            <w:tcW w:w="855" w:type="dxa"/>
            <w:vAlign w:val="center"/>
          </w:tcPr>
          <w:p w14:paraId="4346E971"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91</w:t>
            </w:r>
          </w:p>
        </w:tc>
        <w:tc>
          <w:tcPr>
            <w:tcW w:w="855" w:type="dxa"/>
            <w:vAlign w:val="center"/>
          </w:tcPr>
          <w:p w14:paraId="7F05DAFC" w14:textId="196C9FB8"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54%</w:t>
            </w:r>
          </w:p>
        </w:tc>
      </w:tr>
      <w:tr w:rsidR="00FA786A" w:rsidRPr="00524AEE" w14:paraId="3CF609C3" w14:textId="77777777" w:rsidTr="00C150AC">
        <w:tc>
          <w:tcPr>
            <w:tcW w:w="2965" w:type="dxa"/>
            <w:vAlign w:val="center"/>
          </w:tcPr>
          <w:p w14:paraId="36143B28" w14:textId="77777777" w:rsidR="00FA786A" w:rsidRPr="00FA786A" w:rsidRDefault="00FA786A" w:rsidP="00FA786A">
            <w:pPr>
              <w:pStyle w:val="Style2"/>
              <w:rPr>
                <w:rFonts w:asciiTheme="minorHAnsi" w:hAnsiTheme="minorHAnsi" w:cstheme="minorHAnsi"/>
                <w:sz w:val="22"/>
                <w:szCs w:val="22"/>
              </w:rPr>
            </w:pPr>
            <w:r w:rsidRPr="00FA786A">
              <w:rPr>
                <w:rFonts w:asciiTheme="minorHAnsi" w:hAnsiTheme="minorHAnsi" w:cstheme="minorHAnsi"/>
                <w:sz w:val="22"/>
                <w:szCs w:val="22"/>
              </w:rPr>
              <w:t>NIR</w:t>
            </w:r>
          </w:p>
        </w:tc>
        <w:tc>
          <w:tcPr>
            <w:tcW w:w="855" w:type="dxa"/>
            <w:vAlign w:val="center"/>
          </w:tcPr>
          <w:p w14:paraId="1E427741"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52</w:t>
            </w:r>
          </w:p>
        </w:tc>
        <w:tc>
          <w:tcPr>
            <w:tcW w:w="855" w:type="dxa"/>
            <w:vAlign w:val="center"/>
          </w:tcPr>
          <w:p w14:paraId="412E45CC" w14:textId="745C6EB3"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32%</w:t>
            </w:r>
          </w:p>
        </w:tc>
        <w:tc>
          <w:tcPr>
            <w:tcW w:w="855" w:type="dxa"/>
            <w:vAlign w:val="center"/>
          </w:tcPr>
          <w:p w14:paraId="420E703C"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46</w:t>
            </w:r>
          </w:p>
        </w:tc>
        <w:tc>
          <w:tcPr>
            <w:tcW w:w="855" w:type="dxa"/>
            <w:vAlign w:val="center"/>
          </w:tcPr>
          <w:p w14:paraId="27387BE7" w14:textId="773809FE"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27%</w:t>
            </w:r>
          </w:p>
        </w:tc>
      </w:tr>
      <w:tr w:rsidR="00FA786A" w:rsidRPr="00524AEE" w14:paraId="52FC6D5A" w14:textId="77777777" w:rsidTr="00C150AC">
        <w:tc>
          <w:tcPr>
            <w:tcW w:w="2965" w:type="dxa"/>
            <w:vAlign w:val="center"/>
          </w:tcPr>
          <w:p w14:paraId="45E14433" w14:textId="77777777" w:rsidR="00FA786A" w:rsidRPr="00FA786A" w:rsidRDefault="00FA786A" w:rsidP="00FA786A">
            <w:pPr>
              <w:pStyle w:val="Style2"/>
              <w:rPr>
                <w:rFonts w:asciiTheme="minorHAnsi" w:hAnsiTheme="minorHAnsi" w:cstheme="minorHAnsi"/>
                <w:sz w:val="22"/>
                <w:szCs w:val="22"/>
              </w:rPr>
            </w:pPr>
            <w:r w:rsidRPr="00FA786A">
              <w:rPr>
                <w:rFonts w:asciiTheme="minorHAnsi" w:hAnsiTheme="minorHAnsi" w:cstheme="minorHAnsi"/>
                <w:b/>
                <w:bCs/>
                <w:sz w:val="22"/>
                <w:szCs w:val="22"/>
              </w:rPr>
              <w:t>Place of Birth</w:t>
            </w:r>
          </w:p>
        </w:tc>
        <w:tc>
          <w:tcPr>
            <w:tcW w:w="855" w:type="dxa"/>
            <w:vAlign w:val="center"/>
          </w:tcPr>
          <w:p w14:paraId="376DE4E0" w14:textId="61C766DF" w:rsidR="00FA786A" w:rsidRPr="00FA786A" w:rsidRDefault="00FA786A" w:rsidP="00FA786A">
            <w:pPr>
              <w:pStyle w:val="Style2"/>
              <w:jc w:val="center"/>
              <w:rPr>
                <w:rFonts w:asciiTheme="minorHAnsi" w:hAnsiTheme="minorHAnsi" w:cstheme="minorHAnsi"/>
                <w:sz w:val="22"/>
                <w:szCs w:val="22"/>
              </w:rPr>
            </w:pPr>
          </w:p>
        </w:tc>
        <w:tc>
          <w:tcPr>
            <w:tcW w:w="855" w:type="dxa"/>
            <w:vAlign w:val="center"/>
          </w:tcPr>
          <w:p w14:paraId="6E022181" w14:textId="39C27086" w:rsidR="00FA786A" w:rsidRPr="00FA786A" w:rsidRDefault="00FA786A" w:rsidP="00FA786A">
            <w:pPr>
              <w:pStyle w:val="Style2"/>
              <w:jc w:val="center"/>
              <w:rPr>
                <w:rFonts w:asciiTheme="minorHAnsi" w:hAnsiTheme="minorHAnsi" w:cstheme="minorHAnsi"/>
                <w:sz w:val="22"/>
                <w:szCs w:val="22"/>
              </w:rPr>
            </w:pPr>
          </w:p>
        </w:tc>
        <w:tc>
          <w:tcPr>
            <w:tcW w:w="855" w:type="dxa"/>
            <w:vAlign w:val="center"/>
          </w:tcPr>
          <w:p w14:paraId="0D4D8AEB" w14:textId="736393A7" w:rsidR="00FA786A" w:rsidRPr="00FA786A" w:rsidRDefault="00FA786A" w:rsidP="00FA786A">
            <w:pPr>
              <w:pStyle w:val="Style2"/>
              <w:jc w:val="center"/>
              <w:rPr>
                <w:rFonts w:asciiTheme="minorHAnsi" w:hAnsiTheme="minorHAnsi" w:cstheme="minorHAnsi"/>
                <w:sz w:val="22"/>
                <w:szCs w:val="22"/>
              </w:rPr>
            </w:pPr>
          </w:p>
        </w:tc>
        <w:tc>
          <w:tcPr>
            <w:tcW w:w="855" w:type="dxa"/>
            <w:vAlign w:val="center"/>
          </w:tcPr>
          <w:p w14:paraId="62CC4EEB" w14:textId="4E2458BD" w:rsidR="00FA786A" w:rsidRPr="00FA786A" w:rsidRDefault="00FA786A" w:rsidP="00FA786A">
            <w:pPr>
              <w:pStyle w:val="Style2"/>
              <w:jc w:val="center"/>
              <w:rPr>
                <w:rFonts w:asciiTheme="minorHAnsi" w:hAnsiTheme="minorHAnsi" w:cstheme="minorHAnsi"/>
                <w:sz w:val="22"/>
                <w:szCs w:val="22"/>
              </w:rPr>
            </w:pPr>
          </w:p>
        </w:tc>
      </w:tr>
      <w:tr w:rsidR="00FA786A" w:rsidRPr="00524AEE" w14:paraId="1F30480B" w14:textId="77777777" w:rsidTr="002829CA">
        <w:tc>
          <w:tcPr>
            <w:tcW w:w="2965" w:type="dxa"/>
            <w:vAlign w:val="center"/>
          </w:tcPr>
          <w:p w14:paraId="38FC09AF" w14:textId="77777777" w:rsidR="00FA786A" w:rsidRPr="00FA786A" w:rsidRDefault="00FA786A" w:rsidP="00FA786A">
            <w:pPr>
              <w:pStyle w:val="Style2"/>
              <w:rPr>
                <w:rFonts w:asciiTheme="minorHAnsi" w:hAnsiTheme="minorHAnsi" w:cstheme="minorHAnsi"/>
                <w:sz w:val="22"/>
                <w:szCs w:val="22"/>
              </w:rPr>
            </w:pPr>
            <w:r w:rsidRPr="00FA786A">
              <w:rPr>
                <w:rFonts w:asciiTheme="minorHAnsi" w:hAnsiTheme="minorHAnsi" w:cstheme="minorHAnsi"/>
                <w:sz w:val="22"/>
                <w:szCs w:val="22"/>
              </w:rPr>
              <w:lastRenderedPageBreak/>
              <w:t>US</w:t>
            </w:r>
          </w:p>
        </w:tc>
        <w:tc>
          <w:tcPr>
            <w:tcW w:w="855" w:type="dxa"/>
            <w:vAlign w:val="center"/>
          </w:tcPr>
          <w:p w14:paraId="0905A39E"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68</w:t>
            </w:r>
          </w:p>
        </w:tc>
        <w:tc>
          <w:tcPr>
            <w:tcW w:w="855" w:type="dxa"/>
            <w:vAlign w:val="center"/>
          </w:tcPr>
          <w:p w14:paraId="380C5F4F" w14:textId="267CE509"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42%</w:t>
            </w:r>
          </w:p>
        </w:tc>
        <w:tc>
          <w:tcPr>
            <w:tcW w:w="855" w:type="dxa"/>
          </w:tcPr>
          <w:p w14:paraId="58B960B5" w14:textId="636D3A3A"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≥5</w:t>
            </w:r>
          </w:p>
        </w:tc>
        <w:tc>
          <w:tcPr>
            <w:tcW w:w="855" w:type="dxa"/>
            <w:vAlign w:val="center"/>
          </w:tcPr>
          <w:p w14:paraId="4DB12048" w14:textId="2D1D6689"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N/A</w:t>
            </w:r>
          </w:p>
        </w:tc>
      </w:tr>
      <w:tr w:rsidR="00FA786A" w:rsidRPr="00524AEE" w14:paraId="4F64D8F5" w14:textId="77777777" w:rsidTr="002829CA">
        <w:tc>
          <w:tcPr>
            <w:tcW w:w="2965" w:type="dxa"/>
            <w:vAlign w:val="center"/>
          </w:tcPr>
          <w:p w14:paraId="1A489854" w14:textId="77777777" w:rsidR="00FA786A" w:rsidRPr="00FA786A" w:rsidRDefault="00FA786A" w:rsidP="00FA786A">
            <w:pPr>
              <w:pStyle w:val="Style2"/>
              <w:rPr>
                <w:rFonts w:asciiTheme="minorHAnsi" w:hAnsiTheme="minorHAnsi" w:cstheme="minorHAnsi"/>
                <w:sz w:val="22"/>
                <w:szCs w:val="22"/>
              </w:rPr>
            </w:pPr>
            <w:r w:rsidRPr="00FA786A">
              <w:rPr>
                <w:rFonts w:asciiTheme="minorHAnsi" w:hAnsiTheme="minorHAnsi" w:cstheme="minorHAnsi"/>
                <w:sz w:val="22"/>
                <w:szCs w:val="22"/>
              </w:rPr>
              <w:t>PR/USD</w:t>
            </w:r>
          </w:p>
        </w:tc>
        <w:tc>
          <w:tcPr>
            <w:tcW w:w="855" w:type="dxa"/>
            <w:vAlign w:val="center"/>
          </w:tcPr>
          <w:p w14:paraId="014E4782"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9</w:t>
            </w:r>
          </w:p>
        </w:tc>
        <w:tc>
          <w:tcPr>
            <w:tcW w:w="855" w:type="dxa"/>
            <w:vAlign w:val="center"/>
          </w:tcPr>
          <w:p w14:paraId="6E08892F" w14:textId="52795D04"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6%</w:t>
            </w:r>
          </w:p>
        </w:tc>
        <w:tc>
          <w:tcPr>
            <w:tcW w:w="855" w:type="dxa"/>
          </w:tcPr>
          <w:p w14:paraId="5D4AD7E2" w14:textId="705FAEAA"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&lt;5</w:t>
            </w:r>
          </w:p>
        </w:tc>
        <w:tc>
          <w:tcPr>
            <w:tcW w:w="855" w:type="dxa"/>
            <w:vAlign w:val="center"/>
          </w:tcPr>
          <w:p w14:paraId="5883B287" w14:textId="226443FF"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N/A</w:t>
            </w:r>
          </w:p>
        </w:tc>
      </w:tr>
      <w:tr w:rsidR="00FA786A" w:rsidRPr="00524AEE" w14:paraId="19371BD3" w14:textId="77777777" w:rsidTr="002829CA">
        <w:tc>
          <w:tcPr>
            <w:tcW w:w="2965" w:type="dxa"/>
            <w:vAlign w:val="center"/>
          </w:tcPr>
          <w:p w14:paraId="6197CC1A" w14:textId="307C0A4A" w:rsidR="00FA786A" w:rsidRPr="00FA786A" w:rsidRDefault="00FA786A" w:rsidP="00FA786A">
            <w:pPr>
              <w:pStyle w:val="Style2"/>
              <w:rPr>
                <w:rFonts w:asciiTheme="minorHAnsi" w:hAnsiTheme="minorHAnsi" w:cstheme="minorHAnsi"/>
                <w:sz w:val="22"/>
                <w:szCs w:val="22"/>
              </w:rPr>
            </w:pPr>
            <w:r w:rsidRPr="00FA786A">
              <w:rPr>
                <w:rFonts w:asciiTheme="minorHAnsi" w:hAnsiTheme="minorHAnsi" w:cstheme="minorHAnsi"/>
                <w:sz w:val="22"/>
                <w:szCs w:val="22"/>
              </w:rPr>
              <w:t>Non-US</w:t>
            </w:r>
          </w:p>
        </w:tc>
        <w:tc>
          <w:tcPr>
            <w:tcW w:w="855" w:type="dxa"/>
            <w:vAlign w:val="center"/>
          </w:tcPr>
          <w:p w14:paraId="19C3DA4C"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85</w:t>
            </w:r>
          </w:p>
        </w:tc>
        <w:tc>
          <w:tcPr>
            <w:tcW w:w="855" w:type="dxa"/>
            <w:vAlign w:val="center"/>
          </w:tcPr>
          <w:p w14:paraId="177DE7E0" w14:textId="2DA3880A"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52%</w:t>
            </w:r>
          </w:p>
        </w:tc>
        <w:tc>
          <w:tcPr>
            <w:tcW w:w="855" w:type="dxa"/>
            <w:vAlign w:val="bottom"/>
          </w:tcPr>
          <w:p w14:paraId="267A6D5E" w14:textId="77777777"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sz w:val="22"/>
                <w:szCs w:val="22"/>
              </w:rPr>
              <w:t>120</w:t>
            </w:r>
          </w:p>
        </w:tc>
        <w:tc>
          <w:tcPr>
            <w:tcW w:w="855" w:type="dxa"/>
            <w:vAlign w:val="center"/>
          </w:tcPr>
          <w:p w14:paraId="54353B77" w14:textId="110E0998" w:rsidR="00FA786A" w:rsidRPr="00FA786A" w:rsidRDefault="00FA786A" w:rsidP="00FA786A">
            <w:pPr>
              <w:pStyle w:val="Style2"/>
              <w:jc w:val="center"/>
              <w:rPr>
                <w:rFonts w:asciiTheme="minorHAnsi" w:hAnsiTheme="minorHAnsi" w:cstheme="minorHAnsi"/>
                <w:sz w:val="22"/>
                <w:szCs w:val="22"/>
              </w:rPr>
            </w:pPr>
            <w:r w:rsidRPr="00FA786A">
              <w:rPr>
                <w:rFonts w:asciiTheme="minorHAnsi" w:hAnsiTheme="minorHAnsi" w:cstheme="minorHAnsi"/>
                <w:color w:val="000000"/>
                <w:sz w:val="22"/>
                <w:szCs w:val="22"/>
              </w:rPr>
              <w:t>71%</w:t>
            </w:r>
          </w:p>
        </w:tc>
      </w:tr>
    </w:tbl>
    <w:p w14:paraId="7AEB67EB" w14:textId="77777777" w:rsidR="0074273B" w:rsidRPr="00030CFD" w:rsidRDefault="0074273B" w:rsidP="00627688">
      <w:pPr>
        <w:spacing w:line="240" w:lineRule="auto"/>
        <w:rPr>
          <w:rFonts w:cstheme="minorHAnsi"/>
          <w:b/>
          <w:bCs/>
          <w:color w:val="EE0000"/>
          <w:szCs w:val="24"/>
        </w:rPr>
      </w:pPr>
    </w:p>
    <w:p w14:paraId="407AD4B5" w14:textId="77777777" w:rsidR="00C010CC" w:rsidRPr="00030CFD" w:rsidRDefault="00C010CC">
      <w:pPr>
        <w:rPr>
          <w:b/>
          <w:bCs/>
          <w:color w:val="EE0000"/>
        </w:rPr>
      </w:pPr>
      <w:r w:rsidRPr="00030CFD">
        <w:rPr>
          <w:b/>
          <w:bCs/>
          <w:color w:val="EE0000"/>
        </w:rPr>
        <w:br w:type="page"/>
      </w:r>
    </w:p>
    <w:p w14:paraId="4D42CC43" w14:textId="012D4348" w:rsidR="003C0F28" w:rsidRPr="00793583" w:rsidRDefault="003C0F28" w:rsidP="00627688">
      <w:pPr>
        <w:spacing w:line="240" w:lineRule="auto"/>
      </w:pPr>
      <w:r w:rsidRPr="00793583">
        <w:rPr>
          <w:b/>
          <w:bCs/>
        </w:rPr>
        <w:lastRenderedPageBreak/>
        <w:t>Race/Ethnicity by Sex Assigned at Birth</w:t>
      </w:r>
    </w:p>
    <w:p w14:paraId="0990CD64" w14:textId="79057D06" w:rsidR="007C4CE2" w:rsidRPr="00793583" w:rsidRDefault="00793583" w:rsidP="007C4CE2">
      <w:r w:rsidRPr="00793583">
        <w:t>From 2015 to 2024</w:t>
      </w:r>
      <w:r w:rsidR="794D15E1" w:rsidRPr="00793583">
        <w:t>,</w:t>
      </w:r>
      <w:r w:rsidR="003C0F28" w:rsidRPr="00793583">
        <w:rPr>
          <w:rStyle w:val="FootnoteReference"/>
        </w:rPr>
        <w:footnoteReference w:id="32"/>
      </w:r>
      <w:r w:rsidR="13D42A03" w:rsidRPr="00793583">
        <w:rPr>
          <w:rFonts w:eastAsiaTheme="minorEastAsia" w:hAnsi="Arial"/>
          <w:kern w:val="24"/>
        </w:rPr>
        <w:t xml:space="preserve"> </w:t>
      </w:r>
      <w:r w:rsidRPr="00793583">
        <w:t>the number of HIV infection diagnoses decreased 36% among White (non-Hispanic) individuals assigned male at birth (AMAB) and 33% among Asian/Pacific Islander individuals AMAB, while it increased 46% among Black (non-Hispanic) individuals AMAB and 15% among Hispanic/Latinx individuals AMAB. Among individuals assigned female at birth (AFAB), the number of diagnoses increased 27% among Black (non-Hispanic) individuals AFAB, while it decreased 22% among White (non-Hispanic) individuals AFAB and 15% among Hispanic/Latinx individuals AFAB</w:t>
      </w:r>
      <w:r w:rsidR="20D00257" w:rsidRPr="00793583">
        <w:t>.</w:t>
      </w:r>
    </w:p>
    <w:p w14:paraId="08C03A10" w14:textId="132428F5" w:rsidR="003C0F28" w:rsidRPr="00793583" w:rsidRDefault="003C0F28" w:rsidP="007C4CE2">
      <w:r w:rsidRPr="00793583">
        <w:rPr>
          <w:b/>
          <w:bCs/>
        </w:rPr>
        <w:t>Exposure Mode by Sex Assigned at Birth</w:t>
      </w:r>
    </w:p>
    <w:p w14:paraId="1755F8D9" w14:textId="6EEB8CA5" w:rsidR="007C4CE2" w:rsidRPr="00793583" w:rsidRDefault="00793583" w:rsidP="007C4CE2">
      <w:pPr>
        <w:spacing w:line="240" w:lineRule="auto"/>
      </w:pPr>
      <w:r w:rsidRPr="00793583">
        <w:t>The number of HIV infection diagnoses decreased among individuals AMAB with MSM, MSM/IDU, and IDU exposure modes, remained relatively stable among those with HTSX exposure mode and increased among those with NIR exposure mode. The number of diagnoses decreased among individuals AFAB with HTSX and NIR exposure modes, remained relatively stable among those with IDU exposure mode, and increased among those with presumed heterosexual exposure mode</w:t>
      </w:r>
      <w:r w:rsidR="6DBD2BF7" w:rsidRPr="00793583">
        <w:t>.  </w:t>
      </w:r>
    </w:p>
    <w:p w14:paraId="48D23410" w14:textId="4B86407E" w:rsidR="003C0F28" w:rsidRPr="00793583" w:rsidRDefault="003C0F28" w:rsidP="00627688">
      <w:pPr>
        <w:spacing w:line="240" w:lineRule="auto"/>
      </w:pPr>
      <w:r w:rsidRPr="00793583">
        <w:rPr>
          <w:b/>
          <w:bCs/>
        </w:rPr>
        <w:t>Place of Birth by Sex Assigned at Birth</w:t>
      </w:r>
    </w:p>
    <w:p w14:paraId="151A1C73" w14:textId="3E91F556" w:rsidR="007C4CE2" w:rsidRPr="00793583" w:rsidRDefault="00793583" w:rsidP="007C4CE2">
      <w:r w:rsidRPr="00793583">
        <w:t>From 2015 to 2024, the number of HIV infection diagnoses among individuals born in the US and Puerto Rico/US Dependencies decreased for individuals AMAB and AFAB, while the number born outside the US increased among individuals AMAB and AFAB</w:t>
      </w:r>
      <w:r w:rsidR="6DBD2BF7" w:rsidRPr="00793583">
        <w:t>.</w:t>
      </w:r>
    </w:p>
    <w:p w14:paraId="5F43A359" w14:textId="479CC583" w:rsidR="002670E6" w:rsidRPr="00030CFD" w:rsidRDefault="002670E6" w:rsidP="0074273B">
      <w:pPr>
        <w:spacing w:line="240" w:lineRule="auto"/>
        <w:rPr>
          <w:color w:val="EE0000"/>
        </w:rPr>
      </w:pPr>
      <w:r w:rsidRPr="00030CFD">
        <w:rPr>
          <w:b/>
          <w:bCs/>
          <w:color w:val="EE0000"/>
        </w:rPr>
        <w:br w:type="page"/>
      </w:r>
    </w:p>
    <w:p w14:paraId="62303EF3" w14:textId="16192F98" w:rsidR="003C0F28" w:rsidRPr="00030CFD" w:rsidRDefault="003C0F28" w:rsidP="009661FA">
      <w:pPr>
        <w:pStyle w:val="Heading1"/>
      </w:pPr>
      <w:bookmarkStart w:id="4" w:name="_Toc168575092"/>
      <w:r w:rsidRPr="00030CFD">
        <w:lastRenderedPageBreak/>
        <w:t>RECENT HIV INFECTION DIAGNOSES</w:t>
      </w:r>
      <w:bookmarkEnd w:id="4"/>
    </w:p>
    <w:p w14:paraId="1F287D1F" w14:textId="77777777" w:rsidR="00501265" w:rsidRPr="008B4E9F" w:rsidRDefault="00501265" w:rsidP="00501265">
      <w:pPr>
        <w:spacing w:line="240" w:lineRule="auto"/>
        <w:rPr>
          <w:i/>
          <w:iCs/>
        </w:rPr>
      </w:pPr>
      <w:r w:rsidRPr="008B4E9F">
        <w:rPr>
          <w:i/>
          <w:iCs/>
        </w:rPr>
        <w:t>Who is most at risk for HIV infection? Recent HIV infection diagnoses are the best available indicator for who is most at risk for HIV infection. Monitoring new diagnoses helps us to determine who is affected and inform effective prevention activities.</w:t>
      </w:r>
    </w:p>
    <w:p w14:paraId="74A5AA40" w14:textId="4F8F695F" w:rsidR="003C0F28" w:rsidRPr="008B4E9F" w:rsidRDefault="794D15E1" w:rsidP="00627688">
      <w:pPr>
        <w:spacing w:line="240" w:lineRule="auto"/>
      </w:pPr>
      <w:r w:rsidRPr="008B4E9F">
        <w:rPr>
          <w:b/>
          <w:bCs/>
        </w:rPr>
        <w:t xml:space="preserve">FIGURE 4. </w:t>
      </w:r>
      <w:r w:rsidRPr="008B4E9F">
        <w:t xml:space="preserve">Percentage of individuals diagnosed with HIV infection by current gender, age, race/ethnicity, and exposure mode, Massachusetts </w:t>
      </w:r>
      <w:r w:rsidR="00793583" w:rsidRPr="008B4E9F">
        <w:t>2022 – 2024</w:t>
      </w:r>
      <w:r w:rsidR="553CA842" w:rsidRPr="008B4E9F">
        <w:t xml:space="preserve"> (N=1,</w:t>
      </w:r>
      <w:r w:rsidR="00793583" w:rsidRPr="008B4E9F">
        <w:t>596</w:t>
      </w:r>
      <w:r w:rsidR="553CA842" w:rsidRPr="008B4E9F">
        <w:t>)</w:t>
      </w:r>
    </w:p>
    <w:p w14:paraId="5A1D9B93" w14:textId="7FFA4441" w:rsidR="002670E6" w:rsidRPr="00030CFD" w:rsidRDefault="009B0F69" w:rsidP="14FE3BCC">
      <w:pPr>
        <w:spacing w:line="240" w:lineRule="auto"/>
        <w:rPr>
          <w:b/>
          <w:bCs/>
          <w:color w:val="EE0000"/>
        </w:rPr>
      </w:pPr>
      <w:r>
        <w:rPr>
          <w:b/>
          <w:bCs/>
          <w:noProof/>
          <w:color w:val="EE0000"/>
        </w:rPr>
        <w:drawing>
          <wp:inline distT="0" distB="0" distL="0" distR="0" wp14:anchorId="57A980D0" wp14:editId="33CABB21">
            <wp:extent cx="6626860" cy="3310255"/>
            <wp:effectExtent l="0" t="0" r="0" b="0"/>
            <wp:docPr id="1117599401" name="Picture 1" descr="The figure is a series of bar charts displaying the distribution of recent HIV diagnoses by current gender, age, race/ethnicity, and exposure mod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599401" name="Picture 1" descr="The figure is a series of bar charts displaying the distribution of recent HIV diagnoses by current gender, age, race/ethnicity, and exposure mode.&#10;&#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6860" cy="3310255"/>
                    </a:xfrm>
                    <a:prstGeom prst="rect">
                      <a:avLst/>
                    </a:prstGeom>
                    <a:noFill/>
                  </pic:spPr>
                </pic:pic>
              </a:graphicData>
            </a:graphic>
          </wp:inline>
        </w:drawing>
      </w:r>
    </w:p>
    <w:p w14:paraId="6E797C29" w14:textId="4AF5E1FD" w:rsidR="002670E6" w:rsidRPr="00660FE8" w:rsidRDefault="00660FE8" w:rsidP="14FE3BCC">
      <w:pPr>
        <w:spacing w:line="240" w:lineRule="auto"/>
        <w:rPr>
          <w:b/>
          <w:bCs/>
        </w:rPr>
      </w:pPr>
      <w:r w:rsidRPr="00660FE8">
        <w:t>Disparities in the number of individuals diagnosed with HIV infection persist by current gender, exposure mode, and race/ethnicity in Massachusetts. Individuals newly diagnosed with HIV infection in Massachusetts during 2022–2024</w:t>
      </w:r>
      <w:r w:rsidR="00EF2351" w:rsidRPr="00660FE8">
        <w:rPr>
          <w:rStyle w:val="FootnoteReference"/>
        </w:rPr>
        <w:footnoteReference w:id="33"/>
      </w:r>
      <w:r w:rsidR="4AF3BAF1" w:rsidRPr="00660FE8">
        <w:rPr>
          <w:rFonts w:eastAsiaTheme="minorEastAsia" w:hAnsi="Arial"/>
          <w:kern w:val="24"/>
          <w:sz w:val="22"/>
        </w:rPr>
        <w:t xml:space="preserve"> </w:t>
      </w:r>
      <w:r w:rsidRPr="00660FE8">
        <w:t>were predominantly male (71%), young (27% 20–29 year-olds and 35% 30–39 year-olds), Black (non-Hispanic) (38%), with an exposure mode of MSM (41%). While MSM was the leading exposure mode, a large percentage of new HIV infection diagnoses had no identified risk (29%).</w:t>
      </w:r>
    </w:p>
    <w:p w14:paraId="31EC2F46" w14:textId="77777777" w:rsidR="00EF42DC" w:rsidRDefault="00EF42DC">
      <w:pPr>
        <w:rPr>
          <w:b/>
          <w:bCs/>
        </w:rPr>
      </w:pPr>
      <w:r>
        <w:rPr>
          <w:b/>
          <w:bCs/>
        </w:rPr>
        <w:br w:type="page"/>
      </w:r>
    </w:p>
    <w:p w14:paraId="1C023CC2" w14:textId="2C00B353" w:rsidR="00C31277" w:rsidRPr="00660FE8" w:rsidRDefault="00C31277" w:rsidP="00627688">
      <w:pPr>
        <w:spacing w:line="240" w:lineRule="auto"/>
      </w:pPr>
      <w:r w:rsidRPr="00660FE8">
        <w:rPr>
          <w:b/>
          <w:bCs/>
        </w:rPr>
        <w:lastRenderedPageBreak/>
        <w:t xml:space="preserve">FIGURE 5. </w:t>
      </w:r>
      <w:r w:rsidRPr="00660FE8">
        <w:t xml:space="preserve">Percentage of individuals diagnosed with HIV infection by race/ethnicity and place of birth, Massachusetts </w:t>
      </w:r>
      <w:r w:rsidR="00793583" w:rsidRPr="00660FE8">
        <w:t>2022 – 2024</w:t>
      </w:r>
    </w:p>
    <w:p w14:paraId="4C875C99" w14:textId="26CEC72E" w:rsidR="260B539A" w:rsidRPr="00030CFD" w:rsidRDefault="00660FE8" w:rsidP="260B539A">
      <w:pPr>
        <w:spacing w:after="0" w:line="240" w:lineRule="auto"/>
        <w:rPr>
          <w:color w:val="EE0000"/>
          <w:sz w:val="20"/>
          <w:szCs w:val="20"/>
        </w:rPr>
      </w:pPr>
      <w:r>
        <w:rPr>
          <w:noProof/>
          <w:color w:val="EE0000"/>
          <w:sz w:val="20"/>
          <w:szCs w:val="20"/>
        </w:rPr>
        <w:drawing>
          <wp:inline distT="0" distB="0" distL="0" distR="0" wp14:anchorId="0C655690" wp14:editId="5FC11F60">
            <wp:extent cx="4645660" cy="2548255"/>
            <wp:effectExtent l="0" t="0" r="0" b="0"/>
            <wp:docPr id="1720611983" name="Picture 2" descr="The figure is a stacked bar chart displaying the distribution of recent HIV diagnoses by place of birth (non-US, Puerto Rico/US Dependency, or US) for each of four racial/ethnic groups: White NH (N=432), Black NH (N=599), Hispanic/Latinx (N=504), and Asian/Pacific Islander (N=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11983" name="Picture 2" descr="The figure is a stacked bar chart displaying the distribution of recent HIV diagnoses by place of birth (non-US, Puerto Rico/US Dependency, or US) for each of four racial/ethnic groups: White NH (N=432), Black NH (N=599), Hispanic/Latinx (N=504), and Asian/Pacific Islander (N=42).&#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5660" cy="2548255"/>
                    </a:xfrm>
                    <a:prstGeom prst="rect">
                      <a:avLst/>
                    </a:prstGeom>
                    <a:noFill/>
                  </pic:spPr>
                </pic:pic>
              </a:graphicData>
            </a:graphic>
          </wp:inline>
        </w:drawing>
      </w:r>
    </w:p>
    <w:p w14:paraId="76D4F892" w14:textId="509836E8" w:rsidR="260B539A" w:rsidRPr="00030CFD" w:rsidRDefault="260B539A" w:rsidP="260B539A">
      <w:pPr>
        <w:spacing w:after="0" w:line="240" w:lineRule="auto"/>
        <w:rPr>
          <w:color w:val="EE0000"/>
          <w:szCs w:val="24"/>
        </w:rPr>
      </w:pPr>
    </w:p>
    <w:p w14:paraId="6B47E6F3" w14:textId="1CF0EA48" w:rsidR="00127EC0" w:rsidRPr="00660FE8" w:rsidRDefault="1D283772" w:rsidP="002418C6">
      <w:pPr>
        <w:spacing w:after="0"/>
        <w:rPr>
          <w:sz w:val="20"/>
          <w:szCs w:val="20"/>
        </w:rPr>
      </w:pPr>
      <w:r w:rsidRPr="00660FE8">
        <w:rPr>
          <w:sz w:val="20"/>
          <w:szCs w:val="20"/>
        </w:rPr>
        <w:t xml:space="preserve">Figure 5 Notes: </w:t>
      </w:r>
      <w:r w:rsidR="5F1BAA76" w:rsidRPr="00660FE8">
        <w:rPr>
          <w:sz w:val="20"/>
          <w:szCs w:val="20"/>
          <w:vertAlign w:val="superscript"/>
        </w:rPr>
        <w:t xml:space="preserve">ii </w:t>
      </w:r>
      <w:r w:rsidR="5F1BAA76" w:rsidRPr="00660FE8">
        <w:rPr>
          <w:sz w:val="20"/>
          <w:szCs w:val="20"/>
        </w:rPr>
        <w:t xml:space="preserve">US born and Puerto Rico/USD categories are combined for </w:t>
      </w:r>
      <w:r w:rsidR="610398D4" w:rsidRPr="00660FE8">
        <w:rPr>
          <w:sz w:val="20"/>
          <w:szCs w:val="20"/>
        </w:rPr>
        <w:t>B</w:t>
      </w:r>
      <w:r w:rsidR="5F1BAA76" w:rsidRPr="00660FE8">
        <w:rPr>
          <w:sz w:val="20"/>
          <w:szCs w:val="20"/>
        </w:rPr>
        <w:t xml:space="preserve">lack </w:t>
      </w:r>
      <w:r w:rsidR="00C93405">
        <w:rPr>
          <w:sz w:val="20"/>
          <w:szCs w:val="20"/>
        </w:rPr>
        <w:t>(</w:t>
      </w:r>
      <w:r w:rsidR="5F1BAA76" w:rsidRPr="00660FE8">
        <w:rPr>
          <w:sz w:val="20"/>
          <w:szCs w:val="20"/>
        </w:rPr>
        <w:t>non-Hispanic</w:t>
      </w:r>
      <w:r w:rsidR="00C93405">
        <w:rPr>
          <w:sz w:val="20"/>
          <w:szCs w:val="20"/>
        </w:rPr>
        <w:t>)</w:t>
      </w:r>
      <w:r w:rsidR="5F1BAA76" w:rsidRPr="00660FE8">
        <w:rPr>
          <w:sz w:val="20"/>
          <w:szCs w:val="20"/>
        </w:rPr>
        <w:t xml:space="preserve"> individuals due to small numbers to adhere to cell suppression rules</w:t>
      </w:r>
    </w:p>
    <w:p w14:paraId="4073E3CD" w14:textId="7846AE85" w:rsidR="00127EC0" w:rsidRPr="00660FE8" w:rsidRDefault="00127EC0" w:rsidP="00127EC0">
      <w:pPr>
        <w:spacing w:after="0" w:line="240" w:lineRule="auto"/>
        <w:rPr>
          <w:sz w:val="20"/>
          <w:szCs w:val="20"/>
          <w:vertAlign w:val="superscript"/>
        </w:rPr>
      </w:pPr>
      <w:r w:rsidRPr="00660FE8">
        <w:rPr>
          <w:sz w:val="20"/>
          <w:szCs w:val="20"/>
          <w:vertAlign w:val="superscript"/>
        </w:rPr>
        <w:t xml:space="preserve"> i</w:t>
      </w:r>
      <w:r w:rsidR="002418C6" w:rsidRPr="00660FE8">
        <w:rPr>
          <w:sz w:val="20"/>
          <w:szCs w:val="20"/>
          <w:vertAlign w:val="superscript"/>
        </w:rPr>
        <w:t>ii</w:t>
      </w:r>
      <w:r w:rsidRPr="00660FE8">
        <w:rPr>
          <w:sz w:val="20"/>
          <w:szCs w:val="20"/>
          <w:vertAlign w:val="superscript"/>
        </w:rPr>
        <w:t xml:space="preserve"> </w:t>
      </w:r>
      <w:r w:rsidR="002418C6" w:rsidRPr="00660FE8">
        <w:rPr>
          <w:sz w:val="20"/>
          <w:szCs w:val="20"/>
        </w:rPr>
        <w:t>9</w:t>
      </w:r>
      <w:r w:rsidR="00660FE8" w:rsidRPr="00660FE8">
        <w:rPr>
          <w:sz w:val="20"/>
          <w:szCs w:val="20"/>
        </w:rPr>
        <w:t>7</w:t>
      </w:r>
      <w:r w:rsidR="002418C6" w:rsidRPr="00660FE8">
        <w:rPr>
          <w:sz w:val="20"/>
          <w:szCs w:val="20"/>
        </w:rPr>
        <w:t xml:space="preserve">% of individuals diagnosed with HIV infection from </w:t>
      </w:r>
      <w:r w:rsidR="00793583" w:rsidRPr="00660FE8">
        <w:rPr>
          <w:sz w:val="20"/>
          <w:szCs w:val="20"/>
        </w:rPr>
        <w:t>2022–2024</w:t>
      </w:r>
      <w:r w:rsidR="002418C6" w:rsidRPr="00660FE8">
        <w:rPr>
          <w:sz w:val="20"/>
          <w:szCs w:val="20"/>
        </w:rPr>
        <w:t xml:space="preserve"> who were born in a US dependency (USD) were born in Puerto Rico (PR</w:t>
      </w:r>
      <w:r w:rsidRPr="00660FE8">
        <w:rPr>
          <w:sz w:val="20"/>
          <w:szCs w:val="20"/>
        </w:rPr>
        <w:t>)</w:t>
      </w:r>
    </w:p>
    <w:p w14:paraId="6F2A7E10" w14:textId="38F6FC20" w:rsidR="00C31277" w:rsidRPr="00030CFD" w:rsidRDefault="00C31277" w:rsidP="00127EC0">
      <w:pPr>
        <w:spacing w:after="0" w:line="240" w:lineRule="auto"/>
        <w:rPr>
          <w:color w:val="EE0000"/>
        </w:rPr>
      </w:pPr>
    </w:p>
    <w:p w14:paraId="7B6C920F" w14:textId="1938383E" w:rsidR="002418C6" w:rsidRPr="00660FE8" w:rsidRDefault="00660FE8" w:rsidP="002418C6">
      <w:r w:rsidRPr="00660FE8">
        <w:t xml:space="preserve">Seventy percent of Black (non-Hispanic) individuals diagnosed with HIV infection during 2022–2024 </w:t>
      </w:r>
      <w:r w:rsidR="002C50C1" w:rsidRPr="00660FE8">
        <w:rPr>
          <w:rStyle w:val="FootnoteReference"/>
        </w:rPr>
        <w:footnoteReference w:id="34"/>
      </w:r>
      <w:r w:rsidR="002C50C1" w:rsidRPr="00660FE8">
        <w:t xml:space="preserve"> </w:t>
      </w:r>
      <w:r w:rsidRPr="00660FE8">
        <w:t>were born outside the US, compared to 67% of Asian/Pacific Islander, 59% of Hispanic/Latinx, and 9% of White (non-Hispanic) individuals</w:t>
      </w:r>
      <w:r w:rsidR="002C50C1" w:rsidRPr="00660FE8">
        <w:t>.</w:t>
      </w:r>
      <w:r w:rsidR="3DD5C4D9" w:rsidRPr="00660FE8">
        <w:t xml:space="preserve"> </w:t>
      </w:r>
    </w:p>
    <w:p w14:paraId="62D8FF4F" w14:textId="77777777" w:rsidR="008F24A4" w:rsidRPr="00030CFD" w:rsidRDefault="008F24A4">
      <w:pPr>
        <w:rPr>
          <w:b/>
          <w:bCs/>
          <w:color w:val="EE0000"/>
        </w:rPr>
      </w:pPr>
      <w:r w:rsidRPr="00030CFD">
        <w:rPr>
          <w:b/>
          <w:bCs/>
          <w:color w:val="EE0000"/>
        </w:rPr>
        <w:br w:type="page"/>
      </w:r>
    </w:p>
    <w:p w14:paraId="085F0B87" w14:textId="5692F73E" w:rsidR="00C31277" w:rsidRPr="005D2CEA" w:rsidRDefault="00C31277" w:rsidP="004D240C">
      <w:r w:rsidRPr="005D2CEA">
        <w:rPr>
          <w:b/>
          <w:bCs/>
        </w:rPr>
        <w:lastRenderedPageBreak/>
        <w:t xml:space="preserve">FIGURE 6. </w:t>
      </w:r>
      <w:r w:rsidRPr="005D2CEA">
        <w:t xml:space="preserve">Percentage of individuals diagnosed with HIV infection by race/ethnicity, age, exposure mode, and place of birth by sex assigned at birth, Massachusetts </w:t>
      </w:r>
      <w:r w:rsidR="00793583" w:rsidRPr="005D2CEA">
        <w:t>2022 – 2024</w:t>
      </w:r>
      <w:r w:rsidRPr="005D2CEA">
        <w:rPr>
          <w:rStyle w:val="FootnoteReference"/>
        </w:rPr>
        <w:footnoteReference w:id="35"/>
      </w:r>
      <w:r w:rsidRPr="005D2CEA">
        <w:t xml:space="preserve">  </w:t>
      </w:r>
    </w:p>
    <w:p w14:paraId="22DC0132" w14:textId="5D3D7EAC" w:rsidR="008F24A4" w:rsidRPr="00030CFD" w:rsidRDefault="008F24A4" w:rsidP="00742D8A">
      <w:pPr>
        <w:spacing w:line="240" w:lineRule="auto"/>
        <w:rPr>
          <w:rFonts w:ascii="Arial" w:eastAsia="Calibri" w:hAnsi="Arial" w:cs="+mn-cs"/>
          <w:color w:val="EE0000"/>
          <w:kern w:val="24"/>
          <w:sz w:val="20"/>
          <w:szCs w:val="20"/>
        </w:rPr>
      </w:pPr>
      <w:r w:rsidRPr="005D2CEA">
        <w:rPr>
          <w:rFonts w:ascii="Arial" w:eastAsia="Calibri" w:hAnsi="Arial" w:cs="+mn-cs"/>
          <w:kern w:val="24"/>
          <w:sz w:val="20"/>
          <w:szCs w:val="20"/>
        </w:rPr>
        <w:t>(</w:t>
      </w:r>
      <w:r w:rsidR="005A0C9A" w:rsidRPr="005D2CEA">
        <w:rPr>
          <w:rFonts w:ascii="Arial" w:eastAsia="Calibri" w:hAnsi="Arial" w:cs="+mn-cs"/>
          <w:b/>
          <w:bCs/>
          <w:color w:val="2F5496" w:themeColor="accent1" w:themeShade="BF"/>
          <w:kern w:val="24"/>
          <w:sz w:val="20"/>
          <w:szCs w:val="20"/>
        </w:rPr>
        <w:t>AMAB, N=1,</w:t>
      </w:r>
      <w:r w:rsidR="005D2CEA" w:rsidRPr="005D2CEA">
        <w:rPr>
          <w:rFonts w:ascii="Arial" w:eastAsia="Calibri" w:hAnsi="Arial" w:cs="+mn-cs"/>
          <w:b/>
          <w:bCs/>
          <w:color w:val="2F5496" w:themeColor="accent1" w:themeShade="BF"/>
          <w:kern w:val="24"/>
          <w:sz w:val="20"/>
          <w:szCs w:val="20"/>
        </w:rPr>
        <w:t>162</w:t>
      </w:r>
      <w:r w:rsidR="005A0C9A" w:rsidRPr="005D2CEA">
        <w:rPr>
          <w:rFonts w:ascii="Arial" w:eastAsia="Calibri" w:hAnsi="Arial" w:cs="+mn-cs"/>
          <w:b/>
          <w:bCs/>
          <w:color w:val="2F5496" w:themeColor="accent1" w:themeShade="BF"/>
          <w:kern w:val="24"/>
          <w:sz w:val="20"/>
          <w:szCs w:val="20"/>
        </w:rPr>
        <w:t xml:space="preserve">; </w:t>
      </w:r>
      <w:r w:rsidR="005A0C9A" w:rsidRPr="005D2CEA">
        <w:rPr>
          <w:rFonts w:ascii="Arial" w:eastAsia="Calibri" w:hAnsi="Arial" w:cs="+mn-cs"/>
          <w:b/>
          <w:bCs/>
          <w:color w:val="538135" w:themeColor="accent6" w:themeShade="BF"/>
          <w:kern w:val="24"/>
          <w:sz w:val="20"/>
          <w:szCs w:val="20"/>
        </w:rPr>
        <w:t>AFAB, N=396</w:t>
      </w:r>
      <w:r w:rsidRPr="005D2CEA">
        <w:rPr>
          <w:rFonts w:ascii="Arial" w:eastAsia="Calibri" w:hAnsi="Arial" w:cs="+mn-cs"/>
          <w:kern w:val="24"/>
          <w:sz w:val="20"/>
          <w:szCs w:val="20"/>
        </w:rPr>
        <w:t>)</w:t>
      </w:r>
    </w:p>
    <w:p w14:paraId="7D32049D" w14:textId="6A0FF2A4" w:rsidR="008F24A4" w:rsidRPr="00030CFD" w:rsidRDefault="005D2CEA" w:rsidP="00742D8A">
      <w:pPr>
        <w:spacing w:line="240" w:lineRule="auto"/>
        <w:rPr>
          <w:rFonts w:ascii="Arial" w:eastAsia="Calibri" w:hAnsi="Arial" w:cs="+mn-cs"/>
          <w:color w:val="EE0000"/>
          <w:kern w:val="24"/>
          <w:sz w:val="20"/>
          <w:szCs w:val="20"/>
        </w:rPr>
      </w:pPr>
      <w:r>
        <w:rPr>
          <w:rFonts w:ascii="Arial" w:eastAsia="Calibri" w:hAnsi="Arial" w:cs="+mn-cs"/>
          <w:noProof/>
          <w:color w:val="EE0000"/>
          <w:kern w:val="24"/>
          <w:sz w:val="20"/>
          <w:szCs w:val="20"/>
        </w:rPr>
        <w:drawing>
          <wp:inline distT="0" distB="0" distL="0" distR="0" wp14:anchorId="70C4D1C6" wp14:editId="218124FC">
            <wp:extent cx="6791325" cy="4090670"/>
            <wp:effectExtent l="0" t="0" r="9525" b="5080"/>
            <wp:docPr id="1338546260" name="Picture 3" descr="The figure is a series of bar charts displaying a comparison of the distribution of recent HIV diagnoses for individuals assigned male at birth (AMAB) and individuals assigned female at birth (AFAB) by race/ethnicity, age, exposure mode, and place of bir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46260" name="Picture 3" descr="The figure is a series of bar charts displaying a comparison of the distribution of recent HIV diagnoses for individuals assigned male at birth (AMAB) and individuals assigned female at birth (AFAB) by race/ethnicity, age, exposure mode, and place of birth.&#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91325" cy="4090670"/>
                    </a:xfrm>
                    <a:prstGeom prst="rect">
                      <a:avLst/>
                    </a:prstGeom>
                    <a:noFill/>
                  </pic:spPr>
                </pic:pic>
              </a:graphicData>
            </a:graphic>
          </wp:inline>
        </w:drawing>
      </w:r>
    </w:p>
    <w:p w14:paraId="4642662E" w14:textId="5006DF76" w:rsidR="008F24A4" w:rsidRPr="00F03AB6" w:rsidRDefault="00F03AB6" w:rsidP="008F24A4">
      <w:r w:rsidRPr="00F03AB6">
        <w:t>The distributions of new HIV infection diagnoses by race/ethnicity, age, exposure mode, and place of birth varied by sex assigned at birth: the largest proportion of individuals assigned male at birth (AMAB) was Hispanic/Latinx (36%), while the largest proportion of individuals assigned female at birth (AFAB) was Black (non-Hispanic) (60%). A larger proportion of individuals AMAB (31%) than AFAB (14%) was diagnosed between the ages of 20 and 29 years. MSM was the predominant exposure mode among individuals AMAB (56%), while presumed heterosexual sex was the predominant exposure mode among individuals AFAB (53%). A larger proportion of individuals AFAB (67%) than AMAB (43%) was born outside the US</w:t>
      </w:r>
      <w:r w:rsidR="500123C1" w:rsidRPr="00F03AB6">
        <w:t>.</w:t>
      </w:r>
    </w:p>
    <w:p w14:paraId="64A11450" w14:textId="77777777" w:rsidR="00CE0A84" w:rsidRPr="00030CFD" w:rsidRDefault="00CE0A84">
      <w:pPr>
        <w:rPr>
          <w:b/>
          <w:bCs/>
          <w:color w:val="EE0000"/>
        </w:rPr>
      </w:pPr>
      <w:r w:rsidRPr="00030CFD">
        <w:rPr>
          <w:b/>
          <w:bCs/>
          <w:color w:val="EE0000"/>
        </w:rPr>
        <w:br w:type="page"/>
      </w:r>
    </w:p>
    <w:p w14:paraId="3D98E89B" w14:textId="00B807E1" w:rsidR="002A6BA0" w:rsidRPr="00F03AB6" w:rsidRDefault="002A6BA0" w:rsidP="00627688">
      <w:pPr>
        <w:spacing w:line="240" w:lineRule="auto"/>
      </w:pPr>
      <w:r w:rsidRPr="00F03AB6">
        <w:rPr>
          <w:b/>
          <w:bCs/>
        </w:rPr>
        <w:lastRenderedPageBreak/>
        <w:t xml:space="preserve">FIGURE 7. </w:t>
      </w:r>
      <w:r w:rsidRPr="00F03AB6">
        <w:t xml:space="preserve">Percentage of individuals diagnosed with HIV infection by exposure mode and race/ethnicity, Massachusetts </w:t>
      </w:r>
      <w:r w:rsidR="00793583" w:rsidRPr="00F03AB6">
        <w:t>2022 – 2024</w:t>
      </w:r>
      <w:r w:rsidR="004B44BE" w:rsidRPr="00F03AB6">
        <w:rPr>
          <w:rStyle w:val="FootnoteReference"/>
        </w:rPr>
        <w:footnoteReference w:id="36"/>
      </w:r>
    </w:p>
    <w:p w14:paraId="585F89BD" w14:textId="7CBA8940" w:rsidR="002A6BA0" w:rsidRPr="00030CFD" w:rsidRDefault="00F03AB6" w:rsidP="00627688">
      <w:pPr>
        <w:spacing w:line="240" w:lineRule="auto"/>
        <w:rPr>
          <w:color w:val="EE0000"/>
        </w:rPr>
      </w:pPr>
      <w:r>
        <w:rPr>
          <w:noProof/>
          <w:color w:val="EE0000"/>
        </w:rPr>
        <w:drawing>
          <wp:inline distT="0" distB="0" distL="0" distR="0" wp14:anchorId="36F65C41" wp14:editId="7ABC736D">
            <wp:extent cx="4791710" cy="2451100"/>
            <wp:effectExtent l="0" t="0" r="8890" b="6350"/>
            <wp:docPr id="1238433475" name="Picture 4" descr="The figure is a bar chart displaying the distribution of recent HIV diagnoses by exposure mode for each of three racial/ethnic groups: White NH (N=432), Black NH (N=599), Hispanic/Latinx (N=5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33475" name="Picture 4" descr="The figure is a bar chart displaying the distribution of recent HIV diagnoses by exposure mode for each of three racial/ethnic groups: White NH (N=432), Black NH (N=599), Hispanic/Latinx (N=504).&#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1710" cy="2451100"/>
                    </a:xfrm>
                    <a:prstGeom prst="rect">
                      <a:avLst/>
                    </a:prstGeom>
                    <a:noFill/>
                  </pic:spPr>
                </pic:pic>
              </a:graphicData>
            </a:graphic>
          </wp:inline>
        </w:drawing>
      </w:r>
    </w:p>
    <w:p w14:paraId="769D89C4" w14:textId="52A141FA" w:rsidR="008F24A4" w:rsidRPr="0029337F" w:rsidRDefault="00F03AB6" w:rsidP="76A1F2CA">
      <w:pPr>
        <w:rPr>
          <w:i/>
          <w:iCs/>
          <w:color w:val="EE0000"/>
        </w:rPr>
      </w:pPr>
      <w:r w:rsidRPr="00F03AB6">
        <w:t xml:space="preserve">While the predominant exposure mode among White (non-Hispanic) and Hispanic/Latinx individuals recently diagnosed with HIV infection was MSM (48% and 55%, respectively), the largest proportion of Black (non-Hispanic) individuals was assigned no identified risk for exposure mode (40%). </w:t>
      </w:r>
      <w:r w:rsidR="535E1426" w:rsidRPr="00FE4E8C">
        <w:t xml:space="preserve">Of the Black </w:t>
      </w:r>
      <w:r w:rsidR="00C93405">
        <w:t>(non-Hispanic)</w:t>
      </w:r>
      <w:r w:rsidR="535E1426" w:rsidRPr="00FE4E8C">
        <w:t xml:space="preserve"> individuals assigned NIR, </w:t>
      </w:r>
      <w:r w:rsidR="00FE4E8C" w:rsidRPr="00FE4E8C">
        <w:t>79% (N=190/239) were non-US born</w:t>
      </w:r>
      <w:r w:rsidR="1A5197A6" w:rsidRPr="00FE4E8C">
        <w:t>.</w:t>
      </w:r>
      <w:r w:rsidR="0029337F">
        <w:t xml:space="preserve"> </w:t>
      </w:r>
      <w:r w:rsidR="0029337F" w:rsidRPr="0029337F">
        <w:rPr>
          <w:i/>
          <w:iCs/>
        </w:rPr>
        <w:t>Please note that although field epidemiologists offer additional support in the collection of risk information, some of the information doesn’t meet the CDC-defined exposure mode categories. For example, risks occurring outside the US, such as transfusion/transplant risk (blood product), are not assigned as a primary exposure mode because it is not possible to verify the information internationally, so these cases would be assigned no identified risk.</w:t>
      </w:r>
    </w:p>
    <w:p w14:paraId="027CE4D0" w14:textId="77777777" w:rsidR="00CE0A84" w:rsidRPr="00030CFD" w:rsidRDefault="00CE0A84">
      <w:pPr>
        <w:rPr>
          <w:i/>
          <w:iCs/>
          <w:color w:val="EE0000"/>
        </w:rPr>
      </w:pPr>
      <w:r w:rsidRPr="00030CFD">
        <w:rPr>
          <w:i/>
          <w:iCs/>
          <w:color w:val="EE0000"/>
        </w:rPr>
        <w:br w:type="page"/>
      </w:r>
    </w:p>
    <w:p w14:paraId="2A465F94" w14:textId="77777777" w:rsidR="005121AA" w:rsidRPr="00EF5B20" w:rsidRDefault="005121AA" w:rsidP="00627688">
      <w:pPr>
        <w:spacing w:line="240" w:lineRule="auto"/>
        <w:rPr>
          <w:i/>
          <w:iCs/>
        </w:rPr>
      </w:pPr>
      <w:r w:rsidRPr="00EF5B20">
        <w:rPr>
          <w:i/>
          <w:iCs/>
        </w:rPr>
        <w:lastRenderedPageBreak/>
        <w:t>HIV does not affect all Massachusetts residents equally. One way to understand which populations are experiencing differential impacts is to compare rates of HIV diagnosis per 100,000 population.</w:t>
      </w:r>
    </w:p>
    <w:p w14:paraId="67C8398E" w14:textId="078F8917" w:rsidR="002A6BA0" w:rsidRPr="00EF5B20" w:rsidRDefault="004B44BE" w:rsidP="00627688">
      <w:pPr>
        <w:spacing w:line="240" w:lineRule="auto"/>
      </w:pPr>
      <w:r w:rsidRPr="00EF5B20">
        <w:rPr>
          <w:b/>
          <w:bCs/>
        </w:rPr>
        <w:t>FIGURE 8.</w:t>
      </w:r>
      <w:r w:rsidRPr="00EF5B20">
        <w:t xml:space="preserve"> Average annual age-adjusted HIV diagnosis rates per 100,000 population</w:t>
      </w:r>
      <w:r w:rsidRPr="00EF5B20">
        <w:rPr>
          <w:rStyle w:val="FootnoteReference"/>
        </w:rPr>
        <w:footnoteReference w:id="37"/>
      </w:r>
      <w:r w:rsidRPr="00EF5B20">
        <w:t xml:space="preserve"> by sex assigned at birth and race/ethnicity, Massachusetts </w:t>
      </w:r>
      <w:r w:rsidR="00793583" w:rsidRPr="00EF5B20">
        <w:t>2022 – 2024</w:t>
      </w:r>
      <w:r w:rsidR="005121AA" w:rsidRPr="00EF5B20">
        <w:t xml:space="preserve"> (N=1,</w:t>
      </w:r>
      <w:r w:rsidR="00EF5B20" w:rsidRPr="00EF5B20">
        <w:t>596</w:t>
      </w:r>
      <w:r w:rsidR="005121AA" w:rsidRPr="00EF5B20">
        <w:t>)</w:t>
      </w:r>
    </w:p>
    <w:p w14:paraId="55A509D5" w14:textId="5E84A30E" w:rsidR="0CE87E80" w:rsidRPr="00030CFD" w:rsidRDefault="00EF5B20" w:rsidP="6CDE2649">
      <w:pPr>
        <w:rPr>
          <w:color w:val="EE0000"/>
        </w:rPr>
      </w:pPr>
      <w:r>
        <w:rPr>
          <w:noProof/>
          <w:color w:val="EE0000"/>
        </w:rPr>
        <w:drawing>
          <wp:inline distT="0" distB="0" distL="0" distR="0" wp14:anchorId="66709FA7" wp14:editId="1B5C31E0">
            <wp:extent cx="6797675" cy="3749675"/>
            <wp:effectExtent l="0" t="0" r="3175" b="3175"/>
            <wp:docPr id="1893230444" name="Picture 1" descr="The figure is a bar chart displaying the average annual HIV diagnosis rates per 100,000 among individuals assigned male at birth, individuals assigned female at birth, and the Massachusetts total population for four racial/ethnic groups: White NH, Black NH, Hispanic/Latinx, and Asian/Pacific Islan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30444" name="Picture 1" descr="The figure is a bar chart displaying the average annual HIV diagnosis rates per 100,000 among individuals assigned male at birth, individuals assigned female at birth, and the Massachusetts total population for four racial/ethnic groups: White NH, Black NH, Hispanic/Latinx, and Asian/Pacific Islander.&#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97675" cy="3749675"/>
                    </a:xfrm>
                    <a:prstGeom prst="rect">
                      <a:avLst/>
                    </a:prstGeom>
                    <a:noFill/>
                  </pic:spPr>
                </pic:pic>
              </a:graphicData>
            </a:graphic>
          </wp:inline>
        </w:drawing>
      </w:r>
    </w:p>
    <w:p w14:paraId="36AE74F2" w14:textId="0A41285A" w:rsidR="009F43DC" w:rsidRPr="00EF5B20" w:rsidRDefault="009F43DC" w:rsidP="009F43DC">
      <w:pPr>
        <w:rPr>
          <w:sz w:val="20"/>
          <w:szCs w:val="20"/>
        </w:rPr>
      </w:pPr>
      <w:r w:rsidRPr="00EF5B20">
        <w:rPr>
          <w:sz w:val="20"/>
          <w:szCs w:val="20"/>
        </w:rPr>
        <w:t xml:space="preserve">Figure 8 Note: </w:t>
      </w:r>
      <w:r w:rsidR="00DC3A8E" w:rsidRPr="00EF5B20">
        <w:rPr>
          <w:sz w:val="20"/>
          <w:szCs w:val="20"/>
        </w:rPr>
        <w:t>*</w:t>
      </w:r>
      <w:r w:rsidRPr="00EF5B20">
        <w:rPr>
          <w:sz w:val="20"/>
          <w:szCs w:val="20"/>
        </w:rPr>
        <w:t>*Rates based on numerators &lt;12 are marked with an asterisk (</w:t>
      </w:r>
      <w:r w:rsidR="00DC3A8E" w:rsidRPr="00EF5B20">
        <w:rPr>
          <w:sz w:val="20"/>
          <w:szCs w:val="20"/>
        </w:rPr>
        <w:t>*</w:t>
      </w:r>
      <w:r w:rsidRPr="00EF5B20">
        <w:rPr>
          <w:sz w:val="20"/>
          <w:szCs w:val="20"/>
        </w:rPr>
        <w:t>*) and should be interpreted with caution.</w:t>
      </w:r>
    </w:p>
    <w:p w14:paraId="2C4F8528" w14:textId="5FF58335" w:rsidR="00EF5B20" w:rsidRPr="00EF5B20" w:rsidRDefault="004B44BE" w:rsidP="00EF5B20">
      <w:r w:rsidRPr="00EF5B20">
        <w:t xml:space="preserve">In </w:t>
      </w:r>
      <w:r w:rsidR="00793583" w:rsidRPr="00EF5B20">
        <w:t>2022 – 2024</w:t>
      </w:r>
      <w:r w:rsidRPr="00EF5B20">
        <w:t>,</w:t>
      </w:r>
      <w:r w:rsidR="00B52799" w:rsidRPr="00EF5B20">
        <w:rPr>
          <w:rStyle w:val="FootnoteReference"/>
        </w:rPr>
        <w:footnoteReference w:id="38"/>
      </w:r>
      <w:r w:rsidRPr="00EF5B20">
        <w:t xml:space="preserve"> </w:t>
      </w:r>
      <w:r w:rsidR="00EF5B20" w:rsidRPr="00EF5B20">
        <w:t>the average annual age-adjusted HIV diagnosis rate per 100,000 population of individuals assigned male at birth (AMAB) was nearly three times that of individuals assigned female at birth (AFAB). There were large disparities in average annual age-adjusted HIV diagnosis rates for 202</w:t>
      </w:r>
      <w:r w:rsidR="003042D3">
        <w:t>2</w:t>
      </w:r>
      <w:r w:rsidR="00EF5B20" w:rsidRPr="00EF5B20">
        <w:t xml:space="preserve"> to 202</w:t>
      </w:r>
      <w:r w:rsidR="003042D3">
        <w:t>4</w:t>
      </w:r>
      <w:r w:rsidR="00EF5B20" w:rsidRPr="00EF5B20">
        <w:t xml:space="preserve"> by race/ethnicity. Compared to the rate among White (non-Hispanic) individuals, the rate among: </w:t>
      </w:r>
    </w:p>
    <w:p w14:paraId="01B40974" w14:textId="77777777" w:rsidR="00EF5B20" w:rsidRPr="00EF5B20" w:rsidRDefault="00EF5B20" w:rsidP="00EF5B20">
      <w:pPr>
        <w:numPr>
          <w:ilvl w:val="0"/>
          <w:numId w:val="62"/>
        </w:numPr>
      </w:pPr>
      <w:r w:rsidRPr="00EF5B20">
        <w:t xml:space="preserve">Black (non-Hispanic) individuals was 13 times greater, and </w:t>
      </w:r>
    </w:p>
    <w:p w14:paraId="72DB6A46" w14:textId="77777777" w:rsidR="00EF5B20" w:rsidRPr="00EF5B20" w:rsidRDefault="00EF5B20" w:rsidP="00EF5B20">
      <w:pPr>
        <w:numPr>
          <w:ilvl w:val="0"/>
          <w:numId w:val="62"/>
        </w:numPr>
      </w:pPr>
      <w:r w:rsidRPr="00EF5B20">
        <w:t>Hispanic/Latinx individuals was six times greater.</w:t>
      </w:r>
    </w:p>
    <w:p w14:paraId="6688F60B" w14:textId="77777777" w:rsidR="00EF5B20" w:rsidRPr="00EF5B20" w:rsidRDefault="00EF5B20" w:rsidP="00EF5B20">
      <w:r w:rsidRPr="00EF5B20">
        <w:lastRenderedPageBreak/>
        <w:t>With respect to differences based on race/ethnicity and sex assigned at birth, the average annual age-adjusted HIV diagnosis rate for 2022 to 2024 among:</w:t>
      </w:r>
    </w:p>
    <w:p w14:paraId="2F53E315" w14:textId="77777777" w:rsidR="00EF5B20" w:rsidRPr="00EF5B20" w:rsidRDefault="00EF5B20" w:rsidP="00EF5B20">
      <w:pPr>
        <w:numPr>
          <w:ilvl w:val="0"/>
          <w:numId w:val="63"/>
        </w:numPr>
      </w:pPr>
      <w:r w:rsidRPr="00EF5B20">
        <w:t xml:space="preserve">Black (non-Hispanic) individuals assigned male at birth (AMAB) was nine times that of White (non-Hispanic) individuals AMAB, </w:t>
      </w:r>
    </w:p>
    <w:p w14:paraId="403B635D" w14:textId="77777777" w:rsidR="00EF5B20" w:rsidRPr="00EF5B20" w:rsidRDefault="00EF5B20" w:rsidP="00EF5B20">
      <w:pPr>
        <w:numPr>
          <w:ilvl w:val="0"/>
          <w:numId w:val="63"/>
        </w:numPr>
      </w:pPr>
      <w:r w:rsidRPr="00EF5B20">
        <w:t>Hispanic/Latinx individuals AMAB was six times that of White (non-Hispanic) individuals AMAB,</w:t>
      </w:r>
    </w:p>
    <w:p w14:paraId="415FAC3E" w14:textId="77777777" w:rsidR="00EF5B20" w:rsidRPr="00EF5B20" w:rsidRDefault="00EF5B20" w:rsidP="00EF5B20">
      <w:pPr>
        <w:numPr>
          <w:ilvl w:val="0"/>
          <w:numId w:val="63"/>
        </w:numPr>
      </w:pPr>
      <w:r w:rsidRPr="00EF5B20">
        <w:t>Black (non-Hispanic) individuals assigned female at birth (AFAB) was 28 times that of White (non-Hispanic) individuals AFAB, and</w:t>
      </w:r>
    </w:p>
    <w:p w14:paraId="50E88738" w14:textId="3564A577" w:rsidR="00796C22" w:rsidRPr="00EF5B20" w:rsidRDefault="00EF5B20" w:rsidP="00EF5B20">
      <w:pPr>
        <w:numPr>
          <w:ilvl w:val="0"/>
          <w:numId w:val="63"/>
        </w:numPr>
      </w:pPr>
      <w:r w:rsidRPr="00EF5B20">
        <w:t>Hispanic/Latinx individuals AFAB was five times that of White (non-Hispanic) individuals AFAB.</w:t>
      </w:r>
    </w:p>
    <w:p w14:paraId="7A791752" w14:textId="1AC8A486" w:rsidR="00541B4E" w:rsidRPr="00030CFD" w:rsidRDefault="00541B4E" w:rsidP="00DC3A8E">
      <w:pPr>
        <w:spacing w:after="0" w:line="240" w:lineRule="auto"/>
        <w:rPr>
          <w:color w:val="EE0000"/>
        </w:rPr>
      </w:pPr>
      <w:r w:rsidRPr="00030CFD">
        <w:rPr>
          <w:b/>
          <w:bCs/>
          <w:color w:val="EE0000"/>
        </w:rPr>
        <w:br w:type="page"/>
      </w:r>
    </w:p>
    <w:p w14:paraId="4054AFF1" w14:textId="6C685B07" w:rsidR="00F710D2" w:rsidRPr="00030CFD" w:rsidRDefault="00F710D2" w:rsidP="009661FA">
      <w:pPr>
        <w:pStyle w:val="Heading1"/>
      </w:pPr>
      <w:bookmarkStart w:id="5" w:name="_Toc168575093"/>
      <w:r w:rsidRPr="00030CFD">
        <w:lastRenderedPageBreak/>
        <w:t>PERSONS LIVING WITH HIV INFECTION</w:t>
      </w:r>
      <w:bookmarkEnd w:id="5"/>
    </w:p>
    <w:p w14:paraId="2E813BDC" w14:textId="77777777" w:rsidR="00770CB7" w:rsidRPr="001B2895" w:rsidRDefault="00770CB7" w:rsidP="00770CB7">
      <w:pPr>
        <w:spacing w:line="240" w:lineRule="auto"/>
        <w:rPr>
          <w:i/>
          <w:iCs/>
        </w:rPr>
      </w:pPr>
      <w:r w:rsidRPr="001B2895">
        <w:rPr>
          <w:i/>
          <w:iCs/>
        </w:rPr>
        <w:t>Who is currently living with HIV infection? The number of persons living with HIV infection (PLWH) reflects the impact of HIV in Massachusetts.</w:t>
      </w:r>
    </w:p>
    <w:p w14:paraId="6150A28B" w14:textId="7560E7FF" w:rsidR="009127C1" w:rsidRPr="001B2895" w:rsidRDefault="009127C1" w:rsidP="00627688">
      <w:pPr>
        <w:spacing w:line="240" w:lineRule="auto"/>
      </w:pPr>
      <w:r w:rsidRPr="001B2895">
        <w:rPr>
          <w:b/>
          <w:bCs/>
        </w:rPr>
        <w:t xml:space="preserve">FIGURE 9. </w:t>
      </w:r>
      <w:r w:rsidRPr="001B2895">
        <w:t>Percentage of PLWH by current gender, age, race/ethnicity, and exposure mode, Massachusetts 202</w:t>
      </w:r>
      <w:r w:rsidR="002C37D1" w:rsidRPr="001B2895">
        <w:t>4</w:t>
      </w:r>
      <w:r w:rsidRPr="001B2895">
        <w:rPr>
          <w:rStyle w:val="FootnoteReference"/>
        </w:rPr>
        <w:footnoteReference w:id="39"/>
      </w:r>
      <w:r w:rsidRPr="001B2895">
        <w:t xml:space="preserve"> (N=2</w:t>
      </w:r>
      <w:r w:rsidR="00A24496" w:rsidRPr="001B2895">
        <w:t>4,</w:t>
      </w:r>
      <w:r w:rsidR="001B2895" w:rsidRPr="001B2895">
        <w:t>838</w:t>
      </w:r>
      <w:r w:rsidRPr="001B2895">
        <w:t>)</w:t>
      </w:r>
    </w:p>
    <w:p w14:paraId="696BDA26" w14:textId="42DAC6FE" w:rsidR="004B44BE" w:rsidRPr="00030CFD" w:rsidRDefault="002C37D1" w:rsidP="00627688">
      <w:pPr>
        <w:spacing w:line="240" w:lineRule="auto"/>
        <w:rPr>
          <w:color w:val="EE0000"/>
        </w:rPr>
      </w:pPr>
      <w:r>
        <w:rPr>
          <w:noProof/>
          <w:color w:val="EE0000"/>
        </w:rPr>
        <w:drawing>
          <wp:inline distT="0" distB="0" distL="0" distR="0" wp14:anchorId="16DED6A4" wp14:editId="46F3413C">
            <wp:extent cx="6651625" cy="3444240"/>
            <wp:effectExtent l="0" t="0" r="0" b="0"/>
            <wp:docPr id="1516555210" name="Picture 5" descr="The figure is a series of bar charts displaying the distribution of persons living with HIV infection by current gender, age, race/ethnicity, and exposure m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55210" name="Picture 5" descr="The figure is a series of bar charts displaying the distribution of persons living with HIV infection by current gender, age, race/ethnicity, and exposure mode.&#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1625" cy="3444240"/>
                    </a:xfrm>
                    <a:prstGeom prst="rect">
                      <a:avLst/>
                    </a:prstGeom>
                    <a:noFill/>
                  </pic:spPr>
                </pic:pic>
              </a:graphicData>
            </a:graphic>
          </wp:inline>
        </w:drawing>
      </w:r>
    </w:p>
    <w:p w14:paraId="079318FC" w14:textId="7AB081FD" w:rsidR="002C43DD" w:rsidRPr="001B2895" w:rsidRDefault="001B2895" w:rsidP="002C43DD">
      <w:pPr>
        <w:spacing w:line="240" w:lineRule="auto"/>
      </w:pPr>
      <w:r w:rsidRPr="001B2895">
        <w:t>Racial/ethnic disparities persist among PLWH, and marked differences exist by current gender, age, and exposure mode. PLWH in Massachusetts are predominantly male (70%), older (38% aged 60+ years), and White non-Hispanic (36%). Male-to-male sex was the most frequently reported exposure mode, at 40%</w:t>
      </w:r>
      <w:r w:rsidR="002C43DD" w:rsidRPr="001B2895">
        <w:t>.</w:t>
      </w:r>
    </w:p>
    <w:p w14:paraId="3586EB6E" w14:textId="77777777" w:rsidR="002670E6" w:rsidRPr="00030CFD" w:rsidRDefault="002670E6" w:rsidP="00627688">
      <w:pPr>
        <w:spacing w:line="240" w:lineRule="auto"/>
        <w:rPr>
          <w:b/>
          <w:bCs/>
          <w:color w:val="EE0000"/>
        </w:rPr>
      </w:pPr>
      <w:r w:rsidRPr="00030CFD">
        <w:rPr>
          <w:b/>
          <w:bCs/>
          <w:color w:val="EE0000"/>
        </w:rPr>
        <w:br w:type="page"/>
      </w:r>
    </w:p>
    <w:p w14:paraId="15285EC3" w14:textId="5B62F211" w:rsidR="009127C1" w:rsidRPr="008F45BA" w:rsidRDefault="009127C1" w:rsidP="00627688">
      <w:pPr>
        <w:spacing w:line="240" w:lineRule="auto"/>
      </w:pPr>
      <w:r w:rsidRPr="008F45BA">
        <w:rPr>
          <w:b/>
          <w:bCs/>
        </w:rPr>
        <w:lastRenderedPageBreak/>
        <w:t xml:space="preserve">FIGURE 10. </w:t>
      </w:r>
      <w:r w:rsidRPr="008F45BA">
        <w:t>Percentage of PLWH by race/ethnicity and place of birth, Massachusetts 202</w:t>
      </w:r>
      <w:r w:rsidR="008F45BA" w:rsidRPr="008F45BA">
        <w:t>4</w:t>
      </w:r>
    </w:p>
    <w:p w14:paraId="67BF666E" w14:textId="3F39833E" w:rsidR="260B539A" w:rsidRPr="00030CFD" w:rsidRDefault="008F45BA" w:rsidP="260B539A">
      <w:pPr>
        <w:spacing w:after="0" w:line="240" w:lineRule="auto"/>
        <w:rPr>
          <w:color w:val="EE0000"/>
          <w:szCs w:val="24"/>
        </w:rPr>
      </w:pPr>
      <w:r>
        <w:rPr>
          <w:noProof/>
          <w:color w:val="EE0000"/>
          <w:szCs w:val="24"/>
        </w:rPr>
        <w:drawing>
          <wp:inline distT="0" distB="0" distL="0" distR="0" wp14:anchorId="13E63FB7" wp14:editId="7866E311">
            <wp:extent cx="4700270" cy="2548255"/>
            <wp:effectExtent l="0" t="0" r="0" b="0"/>
            <wp:docPr id="182796366" name="Picture 6" descr="The figure is a stacked bar chart displaying the distribution of persons living with HIV infection by place of birth (non-US, Puerto Rico/US Dependency, or US) for each of four racial/ethnic groups: White NH (N=9,033), Black NH (N=7,782), Hispanic/Latinx (N=7,052) and Asian/Pacific Islander (N=6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6366" name="Picture 6" descr="The figure is a stacked bar chart displaying the distribution of persons living with HIV infection by place of birth (non-US, Puerto Rico/US Dependency, or US) for each of four racial/ethnic groups: White NH (N=9,033), Black NH (N=7,782), Hispanic/Latinx (N=7,052) and Asian/Pacific Islander (N=632).&#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0270" cy="2548255"/>
                    </a:xfrm>
                    <a:prstGeom prst="rect">
                      <a:avLst/>
                    </a:prstGeom>
                    <a:noFill/>
                  </pic:spPr>
                </pic:pic>
              </a:graphicData>
            </a:graphic>
          </wp:inline>
        </w:drawing>
      </w:r>
    </w:p>
    <w:p w14:paraId="253CBD65" w14:textId="1D5C4C96" w:rsidR="260B539A" w:rsidRPr="00030CFD" w:rsidRDefault="260B539A" w:rsidP="260B539A">
      <w:pPr>
        <w:spacing w:after="0" w:line="240" w:lineRule="auto"/>
        <w:rPr>
          <w:color w:val="EE0000"/>
          <w:sz w:val="20"/>
          <w:szCs w:val="20"/>
        </w:rPr>
      </w:pPr>
    </w:p>
    <w:p w14:paraId="58A34AF2" w14:textId="41A6A223" w:rsidR="009127C1" w:rsidRPr="008F45BA" w:rsidRDefault="009127C1" w:rsidP="00627688">
      <w:pPr>
        <w:spacing w:after="0" w:line="240" w:lineRule="auto"/>
        <w:rPr>
          <w:sz w:val="20"/>
          <w:szCs w:val="20"/>
        </w:rPr>
      </w:pPr>
      <w:r w:rsidRPr="008F45BA">
        <w:rPr>
          <w:sz w:val="20"/>
          <w:szCs w:val="20"/>
        </w:rPr>
        <w:t xml:space="preserve">Figure 10 Note: </w:t>
      </w:r>
      <w:r w:rsidRPr="008F45BA">
        <w:rPr>
          <w:sz w:val="20"/>
          <w:szCs w:val="20"/>
          <w:vertAlign w:val="superscript"/>
        </w:rPr>
        <w:t>ii</w:t>
      </w:r>
      <w:r w:rsidRPr="008F45BA">
        <w:rPr>
          <w:sz w:val="20"/>
          <w:szCs w:val="20"/>
        </w:rPr>
        <w:t xml:space="preserve"> 98% of PLWH on 12/31/202</w:t>
      </w:r>
      <w:r w:rsidR="008F45BA" w:rsidRPr="008F45BA">
        <w:rPr>
          <w:sz w:val="20"/>
          <w:szCs w:val="20"/>
        </w:rPr>
        <w:t>4</w:t>
      </w:r>
      <w:r w:rsidRPr="008F45BA">
        <w:rPr>
          <w:sz w:val="20"/>
          <w:szCs w:val="20"/>
        </w:rPr>
        <w:t xml:space="preserve"> who were born in a US dependency were born in Puerto Rico</w:t>
      </w:r>
    </w:p>
    <w:p w14:paraId="2C5FACC1" w14:textId="77777777" w:rsidR="004A4B43" w:rsidRPr="008F45BA" w:rsidRDefault="004A4B43" w:rsidP="004A4B43">
      <w:pPr>
        <w:spacing w:line="240" w:lineRule="auto"/>
      </w:pPr>
    </w:p>
    <w:p w14:paraId="172779F7" w14:textId="2A7BA27D" w:rsidR="000F4867" w:rsidRPr="008F45BA" w:rsidRDefault="008F45BA" w:rsidP="000F4867">
      <w:pPr>
        <w:spacing w:line="240" w:lineRule="auto"/>
      </w:pPr>
      <w:r w:rsidRPr="008F45BA">
        <w:t>A total of 77% of Asian/Pacific Islander PLWH in Massachusetts in 2024 were born outside the US, compared to 56% of Black (non-Hispanic), 39% of Hispanic/Latinx, and 9% of White (non-Hispanic) PLWH. An additional 30% of Hispanic/Latinx PLWH were born in Puerto Rico/US Dependencies</w:t>
      </w:r>
      <w:r w:rsidR="000F4867" w:rsidRPr="008F45BA">
        <w:t xml:space="preserve">.    </w:t>
      </w:r>
    </w:p>
    <w:p w14:paraId="705A732B" w14:textId="1ADC7955" w:rsidR="00CE0A84" w:rsidRPr="00030CFD" w:rsidRDefault="00CE0A84" w:rsidP="00223EE9">
      <w:pPr>
        <w:spacing w:line="240" w:lineRule="auto"/>
        <w:rPr>
          <w:b/>
          <w:bCs/>
          <w:color w:val="EE0000"/>
        </w:rPr>
      </w:pPr>
      <w:r w:rsidRPr="00030CFD">
        <w:rPr>
          <w:b/>
          <w:bCs/>
          <w:color w:val="EE0000"/>
        </w:rPr>
        <w:br w:type="page"/>
      </w:r>
    </w:p>
    <w:p w14:paraId="7345B4CA" w14:textId="33618D8A" w:rsidR="009127C1" w:rsidRPr="00B045EC" w:rsidRDefault="009127C1" w:rsidP="00627688">
      <w:pPr>
        <w:spacing w:line="240" w:lineRule="auto"/>
      </w:pPr>
      <w:r w:rsidRPr="00B045EC">
        <w:rPr>
          <w:b/>
          <w:bCs/>
        </w:rPr>
        <w:lastRenderedPageBreak/>
        <w:t xml:space="preserve">FIGURE 11. </w:t>
      </w:r>
      <w:r w:rsidRPr="00B045EC">
        <w:t>Percentage of persons living with HIV infection (PLWH) by race/ethnicity, age, exposure mode, and place of birth by sex assigned at birth, Massachusetts 202</w:t>
      </w:r>
      <w:r w:rsidR="0070613D" w:rsidRPr="00B045EC">
        <w:t>4</w:t>
      </w:r>
      <w:r w:rsidR="00AE1B30" w:rsidRPr="00B045EC">
        <w:rPr>
          <w:rStyle w:val="FootnoteReference"/>
        </w:rPr>
        <w:footnoteReference w:id="40"/>
      </w:r>
      <w:r w:rsidRPr="00B045EC">
        <w:rPr>
          <w:vertAlign w:val="superscript"/>
        </w:rPr>
        <w:t xml:space="preserve"> </w:t>
      </w:r>
    </w:p>
    <w:p w14:paraId="12F5FEF3" w14:textId="64D1B649" w:rsidR="00E85535" w:rsidRPr="00030CFD" w:rsidRDefault="00E85535" w:rsidP="00E85535">
      <w:pPr>
        <w:pStyle w:val="NormalWeb"/>
        <w:spacing w:before="0" w:beforeAutospacing="0" w:after="0" w:afterAutospacing="0"/>
        <w:rPr>
          <w:color w:val="EE0000"/>
        </w:rPr>
      </w:pPr>
      <w:r w:rsidRPr="00B045EC">
        <w:rPr>
          <w:rFonts w:ascii="Arial" w:eastAsia="Calibri" w:hAnsi="Arial" w:cs="+mn-cs"/>
          <w:kern w:val="24"/>
          <w:sz w:val="20"/>
          <w:szCs w:val="20"/>
        </w:rPr>
        <w:t>(</w:t>
      </w:r>
      <w:r w:rsidRPr="00B045EC">
        <w:rPr>
          <w:rFonts w:ascii="Arial" w:eastAsia="Calibri" w:hAnsi="Arial" w:cs="+mn-cs"/>
          <w:b/>
          <w:bCs/>
          <w:color w:val="538135" w:themeColor="accent6" w:themeShade="BF"/>
          <w:kern w:val="24"/>
          <w:sz w:val="20"/>
          <w:szCs w:val="20"/>
        </w:rPr>
        <w:t>Assigned Male at Birth, N= 17,</w:t>
      </w:r>
      <w:r w:rsidR="00B045EC" w:rsidRPr="00B045EC">
        <w:rPr>
          <w:rFonts w:ascii="Arial" w:eastAsia="Calibri" w:hAnsi="Arial" w:cs="+mn-cs"/>
          <w:b/>
          <w:bCs/>
          <w:color w:val="538135" w:themeColor="accent6" w:themeShade="BF"/>
          <w:kern w:val="24"/>
          <w:sz w:val="20"/>
          <w:szCs w:val="20"/>
        </w:rPr>
        <w:t>591</w:t>
      </w:r>
      <w:r w:rsidRPr="00B045EC">
        <w:rPr>
          <w:rFonts w:ascii="Arial" w:eastAsia="Calibri" w:hAnsi="Arial" w:cs="+mn-cs"/>
          <w:b/>
          <w:bCs/>
          <w:color w:val="538135" w:themeColor="accent6" w:themeShade="BF"/>
          <w:kern w:val="24"/>
          <w:sz w:val="20"/>
          <w:szCs w:val="20"/>
        </w:rPr>
        <w:t xml:space="preserve">; </w:t>
      </w:r>
      <w:r w:rsidRPr="00B045EC">
        <w:rPr>
          <w:rFonts w:ascii="Arial" w:eastAsia="Calibri" w:hAnsi="Arial" w:cs="+mn-cs"/>
          <w:b/>
          <w:bCs/>
          <w:color w:val="2F5496" w:themeColor="accent1" w:themeShade="BF"/>
          <w:kern w:val="24"/>
          <w:sz w:val="20"/>
          <w:szCs w:val="20"/>
        </w:rPr>
        <w:t>Assigned Female at Birth, N= 7,</w:t>
      </w:r>
      <w:r w:rsidR="00B045EC" w:rsidRPr="00B045EC">
        <w:rPr>
          <w:rFonts w:ascii="Arial" w:eastAsia="Calibri" w:hAnsi="Arial" w:cs="+mn-cs"/>
          <w:b/>
          <w:bCs/>
          <w:color w:val="2F5496" w:themeColor="accent1" w:themeShade="BF"/>
          <w:kern w:val="24"/>
          <w:sz w:val="20"/>
          <w:szCs w:val="20"/>
        </w:rPr>
        <w:t>247</w:t>
      </w:r>
      <w:r w:rsidRPr="00B045EC">
        <w:rPr>
          <w:rFonts w:ascii="Arial" w:eastAsia="Calibri" w:hAnsi="Arial" w:cs="+mn-cs"/>
          <w:kern w:val="24"/>
          <w:sz w:val="20"/>
          <w:szCs w:val="20"/>
        </w:rPr>
        <w:t>)</w:t>
      </w:r>
    </w:p>
    <w:p w14:paraId="24E81AFC" w14:textId="331C2531" w:rsidR="004A4B43" w:rsidRPr="00030CFD" w:rsidRDefault="004A4B43" w:rsidP="004A4B43">
      <w:pPr>
        <w:pStyle w:val="NormalWeb"/>
        <w:spacing w:before="0" w:beforeAutospacing="0" w:after="0" w:afterAutospacing="0"/>
        <w:rPr>
          <w:color w:val="EE0000"/>
        </w:rPr>
      </w:pPr>
    </w:p>
    <w:p w14:paraId="2A01D63F" w14:textId="52EEFA4C" w:rsidR="009127C1" w:rsidRPr="00030CFD" w:rsidRDefault="00073929" w:rsidP="00627688">
      <w:pPr>
        <w:spacing w:line="240" w:lineRule="auto"/>
        <w:rPr>
          <w:color w:val="EE0000"/>
        </w:rPr>
      </w:pPr>
      <w:r>
        <w:rPr>
          <w:noProof/>
          <w:color w:val="EE0000"/>
        </w:rPr>
        <w:drawing>
          <wp:inline distT="0" distB="0" distL="0" distR="0" wp14:anchorId="7ED2FA54" wp14:editId="2BE73D0C">
            <wp:extent cx="6760845" cy="4255135"/>
            <wp:effectExtent l="0" t="0" r="1905" b="0"/>
            <wp:docPr id="1464156167" name="Picture 7" descr="The figure is a series of bar charts displaying a comparison of the distribution of persons living with HIV infection for individuals assigned male at birth (AMAB) and individuals assigned female at birth (AFAB) by race/ethnicity, age, exposure mode, and place of bir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56167" name="Picture 7" descr="The figure is a series of bar charts displaying a comparison of the distribution of persons living with HIV infection for individuals assigned male at birth (AMAB) and individuals assigned female at birth (AFAB) by race/ethnicity, age, exposure mode, and place of birth.&#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60845" cy="4255135"/>
                    </a:xfrm>
                    <a:prstGeom prst="rect">
                      <a:avLst/>
                    </a:prstGeom>
                    <a:noFill/>
                  </pic:spPr>
                </pic:pic>
              </a:graphicData>
            </a:graphic>
          </wp:inline>
        </w:drawing>
      </w:r>
    </w:p>
    <w:p w14:paraId="797763A1" w14:textId="75B02A77" w:rsidR="0002127F" w:rsidRPr="006C6FC5" w:rsidRDefault="006C6FC5" w:rsidP="0002127F">
      <w:r w:rsidRPr="006C6FC5">
        <w:t>The distributions of PLWH by race/ethnicity, exposure mode, and place of birth varied by sex assigned at birth: the largest proportion of individuals assigned male at birth (AMAB) living with HIV infection was White (non-Hispanic) (43%), while the largest proportion of individuals assigned female at birth (AFAB) was Black (non-Hispanic) (49%). MSM (57%) was the predominant exposure mode among individuals AMAB compared to heterosexual sex and presumed heterosexual sex (both 33%) among individuals AFAB. A larger proportion of individuals AFAB (47%) than AMAB (29%) was born outside the US</w:t>
      </w:r>
      <w:r w:rsidR="0002127F" w:rsidRPr="006C6FC5">
        <w:t>.</w:t>
      </w:r>
    </w:p>
    <w:p w14:paraId="1F8341AD" w14:textId="77777777" w:rsidR="00CE0A84" w:rsidRPr="00030CFD" w:rsidRDefault="00CE0A84">
      <w:pPr>
        <w:rPr>
          <w:b/>
          <w:bCs/>
          <w:color w:val="EE0000"/>
        </w:rPr>
      </w:pPr>
      <w:r w:rsidRPr="00030CFD">
        <w:rPr>
          <w:b/>
          <w:bCs/>
          <w:color w:val="EE0000"/>
        </w:rPr>
        <w:br w:type="page"/>
      </w:r>
    </w:p>
    <w:p w14:paraId="301AC099" w14:textId="0E84C962" w:rsidR="009127C1" w:rsidRPr="00A132D6" w:rsidRDefault="009127C1" w:rsidP="00627688">
      <w:pPr>
        <w:spacing w:line="240" w:lineRule="auto"/>
      </w:pPr>
      <w:r w:rsidRPr="00A132D6">
        <w:rPr>
          <w:b/>
          <w:bCs/>
        </w:rPr>
        <w:lastRenderedPageBreak/>
        <w:t xml:space="preserve">FIGURE 12. </w:t>
      </w:r>
      <w:r w:rsidRPr="00A132D6">
        <w:t>Percentage of PLWH by exposure mode and race/ethnicity, Massachusetts 202</w:t>
      </w:r>
      <w:r w:rsidR="00A132D6" w:rsidRPr="00A132D6">
        <w:t>4</w:t>
      </w:r>
      <w:r w:rsidR="00F012AE" w:rsidRPr="00A132D6">
        <w:rPr>
          <w:rStyle w:val="FootnoteReference"/>
        </w:rPr>
        <w:footnoteReference w:id="41"/>
      </w:r>
    </w:p>
    <w:p w14:paraId="099AD04C" w14:textId="55133359" w:rsidR="009127C1" w:rsidRPr="00030CFD" w:rsidRDefault="00A132D6" w:rsidP="00627688">
      <w:pPr>
        <w:spacing w:line="240" w:lineRule="auto"/>
        <w:rPr>
          <w:color w:val="EE0000"/>
        </w:rPr>
      </w:pPr>
      <w:r>
        <w:rPr>
          <w:noProof/>
          <w:color w:val="EE0000"/>
        </w:rPr>
        <w:drawing>
          <wp:inline distT="0" distB="0" distL="0" distR="0" wp14:anchorId="03BE6EE8" wp14:editId="6220726F">
            <wp:extent cx="4737100" cy="2334895"/>
            <wp:effectExtent l="0" t="0" r="6350" b="8255"/>
            <wp:docPr id="2013144986" name="Picture 8" descr="The figure is a bar chart displaying the distribution of persons living with HIV infection by exposure mode for each of three racial/ethnic groups: White NH (N=9,033), Black NH (N=7,782), Hispanic/Latinx (N=7,0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44986" name="Picture 8" descr="The figure is a bar chart displaying the distribution of persons living with HIV infection by exposure mode for each of three racial/ethnic groups: White NH (N=9,033), Black NH (N=7,782), Hispanic/Latinx (N=7,052).&#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7100" cy="2334895"/>
                    </a:xfrm>
                    <a:prstGeom prst="rect">
                      <a:avLst/>
                    </a:prstGeom>
                    <a:noFill/>
                  </pic:spPr>
                </pic:pic>
              </a:graphicData>
            </a:graphic>
          </wp:inline>
        </w:drawing>
      </w:r>
    </w:p>
    <w:p w14:paraId="23BCA581" w14:textId="65485903" w:rsidR="00375ADA" w:rsidRPr="00B3264E" w:rsidRDefault="000C301D" w:rsidP="00375ADA">
      <w:pPr>
        <w:spacing w:line="240" w:lineRule="auto"/>
      </w:pPr>
      <w:r w:rsidRPr="000C301D">
        <w:t xml:space="preserve">The predominant exposure mode among White (non-Hispanic) PLWH was MSM (60%). Among Black (non-Hispanic) PLWH, the largest proportion was reported with no identified risk (28%), followed by heterosexual sex (20%), presumed heterosexual sex (20%), and MSM (19%). Among Hispanic/Latinx </w:t>
      </w:r>
      <w:r w:rsidRPr="00B3264E">
        <w:t xml:space="preserve">PLWH, the largest proportion was MSM (36%), followed by IDU </w:t>
      </w:r>
      <w:r w:rsidR="0014689F">
        <w:t>(</w:t>
      </w:r>
      <w:r w:rsidRPr="00B3264E">
        <w:t>19%)</w:t>
      </w:r>
      <w:r w:rsidR="00375ADA" w:rsidRPr="00B3264E">
        <w:t xml:space="preserve">. </w:t>
      </w:r>
    </w:p>
    <w:p w14:paraId="2174F291" w14:textId="11DE45B9" w:rsidR="00973165" w:rsidRPr="00B3264E" w:rsidRDefault="00973165" w:rsidP="00627688">
      <w:pPr>
        <w:spacing w:line="240" w:lineRule="auto"/>
      </w:pPr>
      <w:r w:rsidRPr="00B3264E">
        <w:rPr>
          <w:b/>
          <w:bCs/>
        </w:rPr>
        <w:t>FIGURE 13.</w:t>
      </w:r>
      <w:r w:rsidRPr="00B3264E">
        <w:t xml:space="preserve"> Age-adjusted HIV prevalence rates per 100,000 population</w:t>
      </w:r>
      <w:r w:rsidRPr="00B3264E">
        <w:rPr>
          <w:rStyle w:val="FootnoteReference"/>
        </w:rPr>
        <w:footnoteReference w:id="42"/>
      </w:r>
      <w:r w:rsidRPr="00B3264E">
        <w:t xml:space="preserve"> by sex assigned at birth and race/ethnicity, Massachusetts </w:t>
      </w:r>
      <w:r w:rsidR="00F35004" w:rsidRPr="00B3264E">
        <w:t>202</w:t>
      </w:r>
      <w:r w:rsidR="008E2FBF">
        <w:t>4</w:t>
      </w:r>
      <w:r w:rsidR="00F35004" w:rsidRPr="00B3264E">
        <w:t xml:space="preserve"> (N=2</w:t>
      </w:r>
      <w:r w:rsidR="00375ADA" w:rsidRPr="00B3264E">
        <w:t>4,</w:t>
      </w:r>
      <w:r w:rsidR="00B3264E" w:rsidRPr="00B3264E">
        <w:t>838</w:t>
      </w:r>
      <w:r w:rsidR="00F35004" w:rsidRPr="00B3264E">
        <w:t>)</w:t>
      </w:r>
    </w:p>
    <w:p w14:paraId="3FC9AEF8" w14:textId="38F55B58" w:rsidR="009127C1" w:rsidRPr="00030CFD" w:rsidRDefault="008E2FBF" w:rsidP="00627688">
      <w:pPr>
        <w:spacing w:line="240" w:lineRule="auto"/>
        <w:rPr>
          <w:color w:val="EE0000"/>
        </w:rPr>
      </w:pPr>
      <w:r>
        <w:rPr>
          <w:noProof/>
          <w:color w:val="EE0000"/>
        </w:rPr>
        <w:drawing>
          <wp:inline distT="0" distB="0" distL="0" distR="0" wp14:anchorId="35335A7B" wp14:editId="5B110811">
            <wp:extent cx="5082540" cy="2803587"/>
            <wp:effectExtent l="0" t="0" r="3810" b="0"/>
            <wp:docPr id="982783272" name="Picture 3" descr="The figure is a bar chart displaying the age-adjusted HIV prevalence rates per 100,000 population among individuals assigned male at birth, individuals assigned female at birth, and the Massachusetts total population for four racial/ethnic groups: White NH, Black NH, Hispanic/Latinx, and Asian/Pacific Islan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783272" name="Picture 3" descr="The figure is a bar chart displaying the age-adjusted HIV prevalence rates per 100,000 population among individuals assigned male at birth, individuals assigned female at birth, and the Massachusetts total population for four racial/ethnic groups: White NH, Black NH, Hispanic/Latinx, and Asian/Pacific Islander.&#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8840" cy="2812578"/>
                    </a:xfrm>
                    <a:prstGeom prst="rect">
                      <a:avLst/>
                    </a:prstGeom>
                    <a:noFill/>
                  </pic:spPr>
                </pic:pic>
              </a:graphicData>
            </a:graphic>
          </wp:inline>
        </w:drawing>
      </w:r>
    </w:p>
    <w:p w14:paraId="519240D5" w14:textId="5682677A" w:rsidR="69F13C73" w:rsidRPr="00844C81" w:rsidRDefault="69F13C73" w:rsidP="6CDE2649">
      <w:pPr>
        <w:spacing w:line="240" w:lineRule="auto"/>
      </w:pPr>
    </w:p>
    <w:p w14:paraId="73E41AC1" w14:textId="77777777" w:rsidR="00E108BE" w:rsidRPr="00E108BE" w:rsidRDefault="1B379F8D" w:rsidP="00E108BE">
      <w:pPr>
        <w:spacing w:line="240" w:lineRule="auto"/>
      </w:pPr>
      <w:r w:rsidRPr="00844C81">
        <w:t>In 202</w:t>
      </w:r>
      <w:r w:rsidR="006A0518" w:rsidRPr="00844C81">
        <w:t>4</w:t>
      </w:r>
      <w:r w:rsidRPr="00844C81">
        <w:t>,</w:t>
      </w:r>
      <w:r w:rsidRPr="00844C81">
        <w:rPr>
          <w:rStyle w:val="FootnoteReference"/>
        </w:rPr>
        <w:t xml:space="preserve"> </w:t>
      </w:r>
      <w:r w:rsidR="00973165" w:rsidRPr="00844C81">
        <w:rPr>
          <w:rStyle w:val="FootnoteReference"/>
        </w:rPr>
        <w:footnoteReference w:id="43"/>
      </w:r>
      <w:r w:rsidRPr="00844C81">
        <w:t xml:space="preserve"> </w:t>
      </w:r>
      <w:r w:rsidR="00E108BE" w:rsidRPr="00E108BE">
        <w:t xml:space="preserve">the age-adjusted HIV prevalence rate per 100,000 population of individuals assigned male at birth (AMAB) was nearly three times that of individuals assigned female at birth (AFAB). There were large disparities in age-adjusted prevalence rates by race/ethnicity. Compared to the rate among White (non-Hispanic) individuals, the rate among: </w:t>
      </w:r>
    </w:p>
    <w:p w14:paraId="10E36536" w14:textId="77777777" w:rsidR="00E108BE" w:rsidRPr="00E108BE" w:rsidRDefault="00E108BE" w:rsidP="00E108BE">
      <w:pPr>
        <w:numPr>
          <w:ilvl w:val="0"/>
          <w:numId w:val="66"/>
        </w:numPr>
        <w:spacing w:line="240" w:lineRule="auto"/>
      </w:pPr>
      <w:r w:rsidRPr="00E108BE">
        <w:t>Black (non-Hispanic) individuals was 11 times greater, and</w:t>
      </w:r>
    </w:p>
    <w:p w14:paraId="7EAE8F45" w14:textId="77777777" w:rsidR="00E108BE" w:rsidRPr="00E108BE" w:rsidRDefault="00E108BE" w:rsidP="00E108BE">
      <w:pPr>
        <w:numPr>
          <w:ilvl w:val="0"/>
          <w:numId w:val="66"/>
        </w:numPr>
        <w:spacing w:line="240" w:lineRule="auto"/>
      </w:pPr>
      <w:r w:rsidRPr="00E108BE">
        <w:t xml:space="preserve">Hispanic/Latinx individuals was seven times greater. </w:t>
      </w:r>
    </w:p>
    <w:p w14:paraId="09BB5549" w14:textId="77777777" w:rsidR="00E108BE" w:rsidRPr="00E108BE" w:rsidRDefault="00E108BE" w:rsidP="00E108BE">
      <w:pPr>
        <w:spacing w:line="240" w:lineRule="auto"/>
      </w:pPr>
      <w:r w:rsidRPr="00E108BE">
        <w:t xml:space="preserve">With respect to differences based on race/ethnicity and sex assigned at birth, the age-adjusted HIV prevalence rate among: </w:t>
      </w:r>
    </w:p>
    <w:p w14:paraId="72C397E0" w14:textId="77777777" w:rsidR="00E108BE" w:rsidRPr="00E108BE" w:rsidRDefault="00E108BE" w:rsidP="00E108BE">
      <w:pPr>
        <w:numPr>
          <w:ilvl w:val="0"/>
          <w:numId w:val="67"/>
        </w:numPr>
        <w:spacing w:line="240" w:lineRule="auto"/>
      </w:pPr>
      <w:r w:rsidRPr="00E108BE">
        <w:t>Black (non-Hispanic) individuals AMAB was seven times that of White (non-Hispanic) individuals AMAB,</w:t>
      </w:r>
    </w:p>
    <w:p w14:paraId="54A65BB8" w14:textId="77777777" w:rsidR="00E108BE" w:rsidRPr="00E108BE" w:rsidRDefault="00E108BE" w:rsidP="00E108BE">
      <w:pPr>
        <w:numPr>
          <w:ilvl w:val="0"/>
          <w:numId w:val="67"/>
        </w:numPr>
        <w:spacing w:line="240" w:lineRule="auto"/>
      </w:pPr>
      <w:r w:rsidRPr="00E108BE">
        <w:t>Hispanic/Latinx individuals AMAB was six times that of White (non-Hispanic) individuals AMAB,</w:t>
      </w:r>
      <w:r w:rsidRPr="00E108BE">
        <w:t> </w:t>
      </w:r>
    </w:p>
    <w:p w14:paraId="0D1978B0" w14:textId="77777777" w:rsidR="00E108BE" w:rsidRPr="00E108BE" w:rsidRDefault="00E108BE" w:rsidP="00E108BE">
      <w:pPr>
        <w:numPr>
          <w:ilvl w:val="0"/>
          <w:numId w:val="67"/>
        </w:numPr>
        <w:spacing w:line="240" w:lineRule="auto"/>
      </w:pPr>
      <w:r w:rsidRPr="00E108BE">
        <w:t>Black (non-Hispanic) individuals AFAB was 29 times that of White (non-Hispanic) individuals AFAB, and</w:t>
      </w:r>
    </w:p>
    <w:p w14:paraId="1A104C4D" w14:textId="2537BF6C" w:rsidR="00844C81" w:rsidRPr="00844C81" w:rsidRDefault="00E108BE" w:rsidP="00E108BE">
      <w:pPr>
        <w:pStyle w:val="ListParagraph"/>
        <w:numPr>
          <w:ilvl w:val="0"/>
          <w:numId w:val="67"/>
        </w:numPr>
        <w:spacing w:line="240" w:lineRule="auto"/>
      </w:pPr>
      <w:r w:rsidRPr="00E108BE">
        <w:t>Hispanic/Latinx individuals AFAB was 11 times that of White (non-Hispanic) individuals AFAB</w:t>
      </w:r>
      <w:r w:rsidR="006A0518" w:rsidRPr="00844C81">
        <w:t>.</w:t>
      </w:r>
    </w:p>
    <w:p w14:paraId="5BC1AB35" w14:textId="38B53072" w:rsidR="00282D41" w:rsidRPr="00844C81" w:rsidRDefault="00282D41" w:rsidP="00844C81">
      <w:r w:rsidRPr="00844C81">
        <w:rPr>
          <w:b/>
          <w:bCs/>
        </w:rPr>
        <w:br w:type="page"/>
      </w:r>
    </w:p>
    <w:p w14:paraId="465D0754" w14:textId="6A30588B" w:rsidR="005303E3" w:rsidRPr="00030CFD" w:rsidRDefault="005303E3" w:rsidP="009661FA">
      <w:pPr>
        <w:pStyle w:val="Heading1"/>
      </w:pPr>
      <w:bookmarkStart w:id="6" w:name="_Toc168575094"/>
      <w:r w:rsidRPr="00030CFD">
        <w:lastRenderedPageBreak/>
        <w:t>MORTALITY AMONG INDIVIDUALS WITH HIV</w:t>
      </w:r>
      <w:bookmarkEnd w:id="6"/>
    </w:p>
    <w:p w14:paraId="30BABE71" w14:textId="77777777" w:rsidR="005303E3" w:rsidRPr="009F241E" w:rsidRDefault="005303E3" w:rsidP="00627688">
      <w:pPr>
        <w:spacing w:line="240" w:lineRule="auto"/>
      </w:pPr>
      <w:r w:rsidRPr="009F241E">
        <w:rPr>
          <w:i/>
          <w:iCs/>
        </w:rPr>
        <w:t>Who is dying with HIV and how has this changed over time?</w:t>
      </w:r>
    </w:p>
    <w:p w14:paraId="3287C146" w14:textId="4E4870EF" w:rsidR="005303E3" w:rsidRPr="00030CFD" w:rsidRDefault="5573C04A" w:rsidP="00627688">
      <w:pPr>
        <w:spacing w:line="240" w:lineRule="auto"/>
        <w:rPr>
          <w:color w:val="EE0000"/>
        </w:rPr>
      </w:pPr>
      <w:r w:rsidRPr="009F241E">
        <w:t>In 202</w:t>
      </w:r>
      <w:r w:rsidR="00013D94" w:rsidRPr="009F241E">
        <w:t>3</w:t>
      </w:r>
      <w:r w:rsidRPr="009F241E">
        <w:t>,</w:t>
      </w:r>
      <w:r w:rsidR="005303E3" w:rsidRPr="009F241E">
        <w:rPr>
          <w:rStyle w:val="FootnoteReference"/>
        </w:rPr>
        <w:footnoteReference w:id="44"/>
      </w:r>
      <w:r w:rsidRPr="009F241E">
        <w:t xml:space="preserve"> </w:t>
      </w:r>
      <w:r w:rsidR="00013D94" w:rsidRPr="009F241E">
        <w:t xml:space="preserve">53 deaths among Massachusetts residents were attributed to HIV-related causes (generally, opportunistic illnesses, for a full list of stage-3 defining opportunistic illnesses, see: </w:t>
      </w:r>
      <w:hyperlink r:id="rId31" w:history="1">
        <w:r w:rsidR="00013D94" w:rsidRPr="00662D09">
          <w:rPr>
            <w:rStyle w:val="Hyperlink"/>
            <w:color w:val="3333FF"/>
          </w:rPr>
          <w:t>https://www.cdc.gov/mmwr/preview/mmwrhtml/rr6303a1.htm#</w:t>
        </w:r>
      </w:hyperlink>
      <w:hyperlink r:id="rId32" w:history="1">
        <w:r w:rsidR="00013D94" w:rsidRPr="00662D09">
          <w:rPr>
            <w:rStyle w:val="Hyperlink"/>
            <w:color w:val="3333FF"/>
          </w:rPr>
          <w:t>Appendix</w:t>
        </w:r>
      </w:hyperlink>
      <w:r w:rsidR="00013D94" w:rsidRPr="00D92D0D">
        <w:t>). Forty-three percent (N=23/53) of HIV-related deaths were among White (non-Hispanic) individuals, 26% (N=14/53) were among both Hispanic/Latinx and Black (non-Hispanic) individuals. Hispanic/Latinx and Black (non-Hispanic) Massachusetts residents died from HIV-related causes at younger ages (average ages of death were 56.2 and 56.7, respectively) compared to White non-Hispanic residents (average age of death was 63.5 years)</w:t>
      </w:r>
      <w:r w:rsidR="128AF6B7" w:rsidRPr="00D92D0D">
        <w:t>.</w:t>
      </w:r>
      <w:r w:rsidR="005303E3" w:rsidRPr="00D92D0D">
        <w:rPr>
          <w:rStyle w:val="FootnoteReference"/>
        </w:rPr>
        <w:footnoteReference w:id="45"/>
      </w:r>
    </w:p>
    <w:p w14:paraId="0B0B830C" w14:textId="6D971647" w:rsidR="005303E3" w:rsidRPr="00E70CD3" w:rsidRDefault="00D872BE" w:rsidP="00627688">
      <w:pPr>
        <w:spacing w:line="240" w:lineRule="auto"/>
      </w:pPr>
      <w:r w:rsidRPr="00E70CD3">
        <w:rPr>
          <w:b/>
          <w:bCs/>
        </w:rPr>
        <w:t>FIGURE 14.</w:t>
      </w:r>
      <w:r w:rsidRPr="00E70CD3">
        <w:t xml:space="preserve"> Average annual age-adjusted death rates among individuals reported with HIV per 100,000 population</w:t>
      </w:r>
      <w:r w:rsidRPr="00E70CD3">
        <w:rPr>
          <w:rStyle w:val="FootnoteReference"/>
        </w:rPr>
        <w:footnoteReference w:id="46"/>
      </w:r>
      <w:r w:rsidRPr="00E70CD3">
        <w:t xml:space="preserve"> by sex assigned at birth and race/ethnicity, Massachusetts </w:t>
      </w:r>
      <w:r w:rsidR="00793583" w:rsidRPr="00E70CD3">
        <w:t>2022–2024</w:t>
      </w:r>
      <w:r w:rsidR="0079139F" w:rsidRPr="00E70CD3">
        <w:t xml:space="preserve"> (Total number of deaths among individuals reported with HIV from </w:t>
      </w:r>
      <w:r w:rsidR="00793583" w:rsidRPr="00E70CD3">
        <w:t>2022–2024</w:t>
      </w:r>
      <w:r w:rsidR="0079139F" w:rsidRPr="00E70CD3">
        <w:t>=1,0</w:t>
      </w:r>
      <w:r w:rsidR="00E70CD3" w:rsidRPr="00E70CD3">
        <w:t>15</w:t>
      </w:r>
      <w:r w:rsidR="0079139F" w:rsidRPr="00E70CD3">
        <w:t>)</w:t>
      </w:r>
    </w:p>
    <w:p w14:paraId="1FBF4CCA" w14:textId="7E9FF072" w:rsidR="00D95B34" w:rsidRPr="00030CFD" w:rsidRDefault="00E70CD3" w:rsidP="00627688">
      <w:pPr>
        <w:spacing w:line="240" w:lineRule="auto"/>
        <w:rPr>
          <w:b/>
          <w:bCs/>
          <w:color w:val="EE0000"/>
        </w:rPr>
      </w:pPr>
      <w:r>
        <w:rPr>
          <w:b/>
          <w:bCs/>
          <w:noProof/>
          <w:color w:val="EE0000"/>
        </w:rPr>
        <w:drawing>
          <wp:inline distT="0" distB="0" distL="0" distR="0" wp14:anchorId="40E6AABF" wp14:editId="231A41B6">
            <wp:extent cx="4861560" cy="2345241"/>
            <wp:effectExtent l="0" t="0" r="0" b="0"/>
            <wp:docPr id="1462693114" name="Picture 9" descr="The figure is a bar chart displaying the average annual age-adjusted death rate (2022-2024) among individuals reported with HIV per 100,000 for Massachusetts total, individuals assigned male at birth, individuals assigned female at birth, White NH individuals, Black NH individuals, and Hispanic/Latinx individu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93114" name="Picture 9" descr="The figure is a bar chart displaying the average annual age-adjusted death rate (2022-2024) among individuals reported with HIV per 100,000 for Massachusetts total, individuals assigned male at birth, individuals assigned female at birth, White NH individuals, Black NH individuals, and Hispanic/Latinx individuals.&#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86840" cy="2357436"/>
                    </a:xfrm>
                    <a:prstGeom prst="rect">
                      <a:avLst/>
                    </a:prstGeom>
                    <a:noFill/>
                  </pic:spPr>
                </pic:pic>
              </a:graphicData>
            </a:graphic>
          </wp:inline>
        </w:drawing>
      </w:r>
    </w:p>
    <w:p w14:paraId="25636283" w14:textId="0DF233F1" w:rsidR="00F94121" w:rsidRPr="00E70CD3" w:rsidRDefault="00F94121" w:rsidP="00627688">
      <w:pPr>
        <w:spacing w:line="240" w:lineRule="auto"/>
      </w:pPr>
      <w:r w:rsidRPr="00E70CD3">
        <w:rPr>
          <w:b/>
          <w:bCs/>
        </w:rPr>
        <w:t>Age-Adjusted Rates</w:t>
      </w:r>
    </w:p>
    <w:p w14:paraId="7008A759" w14:textId="409EF82E" w:rsidR="00CE0A84" w:rsidRPr="00030CFD" w:rsidRDefault="5FEE0AED">
      <w:pPr>
        <w:rPr>
          <w:color w:val="EE0000"/>
        </w:rPr>
      </w:pPr>
      <w:r w:rsidRPr="00E70CD3">
        <w:t xml:space="preserve">In </w:t>
      </w:r>
      <w:r w:rsidR="00793583" w:rsidRPr="00E70CD3">
        <w:t>2022 – 2024</w:t>
      </w:r>
      <w:r w:rsidRPr="00E70CD3">
        <w:t xml:space="preserve">, </w:t>
      </w:r>
      <w:r w:rsidR="00E70CD3" w:rsidRPr="00E70CD3">
        <w:t>the average annual age-adjusted death rate per 100,000 population for individuals assigned male at birth reported with HIV was three times that for individuals assigned female at birth. There were also large disparities in death rates by race/ethnicity: the rates among Black (non-Hispanic) individuals and Hispanic/Latinx individuals were seven and five times that of White (non-Hispanic) individuals, respectively</w:t>
      </w:r>
      <w:r w:rsidRPr="00E70CD3">
        <w:t xml:space="preserve">. </w:t>
      </w:r>
      <w:r w:rsidR="00D95B34" w:rsidRPr="00030CFD">
        <w:rPr>
          <w:b/>
          <w:bCs/>
          <w:color w:val="EE0000"/>
        </w:rPr>
        <w:br w:type="page"/>
      </w:r>
    </w:p>
    <w:p w14:paraId="1FF5957D" w14:textId="5B47E428" w:rsidR="00F94121" w:rsidRPr="008A4A81" w:rsidRDefault="00F94121" w:rsidP="00627688">
      <w:pPr>
        <w:spacing w:line="240" w:lineRule="auto"/>
      </w:pPr>
      <w:r w:rsidRPr="008A4A81">
        <w:rPr>
          <w:b/>
          <w:bCs/>
        </w:rPr>
        <w:lastRenderedPageBreak/>
        <w:t>Age at Death</w:t>
      </w:r>
    </w:p>
    <w:p w14:paraId="2B74AA1D" w14:textId="21654D09" w:rsidR="00F94121" w:rsidRPr="00030CFD" w:rsidRDefault="008A4A81" w:rsidP="00627688">
      <w:pPr>
        <w:spacing w:line="240" w:lineRule="auto"/>
        <w:rPr>
          <w:color w:val="EE0000"/>
        </w:rPr>
      </w:pPr>
      <w:r w:rsidRPr="008A4A81">
        <w:t>The average age at death among individuals reported with HIV increased by 4.5 years, from 56.5 years in 2015 to 61.0 years in 2024</w:t>
      </w:r>
      <w:r w:rsidR="00414785" w:rsidRPr="008A4A81">
        <w:t>.</w:t>
      </w:r>
      <w:r w:rsidR="00C51C3C" w:rsidRPr="008A4A81">
        <w:rPr>
          <w:rStyle w:val="FootnoteReference"/>
        </w:rPr>
        <w:footnoteReference w:id="47"/>
      </w:r>
      <w:r w:rsidR="00414785" w:rsidRPr="008A4A81">
        <w:t xml:space="preserve"> </w:t>
      </w:r>
      <w:r w:rsidR="00414785" w:rsidRPr="004975D8">
        <w:t>For comparison, the average age at death of the general Massachusetts population remained between 75.1 and 76.8 from 201</w:t>
      </w:r>
      <w:r w:rsidR="00D628FA" w:rsidRPr="004975D8">
        <w:t>4</w:t>
      </w:r>
      <w:r w:rsidR="00414785" w:rsidRPr="004975D8">
        <w:t xml:space="preserve"> to 202</w:t>
      </w:r>
      <w:r w:rsidR="00D628FA" w:rsidRPr="004975D8">
        <w:t>3</w:t>
      </w:r>
      <w:r w:rsidR="00414785" w:rsidRPr="004975D8">
        <w:t>.</w:t>
      </w:r>
      <w:r w:rsidR="00F94121" w:rsidRPr="004975D8">
        <w:rPr>
          <w:rStyle w:val="FootnoteReference"/>
        </w:rPr>
        <w:footnoteReference w:id="48"/>
      </w:r>
    </w:p>
    <w:p w14:paraId="51869E65" w14:textId="6159AB3E" w:rsidR="00AF6D62" w:rsidRPr="00853CDF" w:rsidRDefault="2E7EF7D2" w:rsidP="00627688">
      <w:pPr>
        <w:spacing w:line="240" w:lineRule="auto"/>
      </w:pPr>
      <w:r w:rsidRPr="00853CDF">
        <w:rPr>
          <w:b/>
          <w:bCs/>
        </w:rPr>
        <w:t xml:space="preserve">FIGURE 15. </w:t>
      </w:r>
      <w:r w:rsidRPr="00853CDF">
        <w:t xml:space="preserve">Deaths among individuals reported with HIV by exposure mode, Massachusetts </w:t>
      </w:r>
      <w:r w:rsidR="2FF52576" w:rsidRPr="00853CDF">
        <w:t>202</w:t>
      </w:r>
      <w:r w:rsidR="00A12272" w:rsidRPr="00853CDF">
        <w:t>4</w:t>
      </w:r>
      <w:r w:rsidR="2FF52576" w:rsidRPr="00853CDF">
        <w:t xml:space="preserve"> (N=3</w:t>
      </w:r>
      <w:r w:rsidR="00853CDF" w:rsidRPr="00853CDF">
        <w:t>30</w:t>
      </w:r>
      <w:r w:rsidR="2FF52576" w:rsidRPr="00853CDF">
        <w:t>)</w:t>
      </w:r>
    </w:p>
    <w:p w14:paraId="346E53F4" w14:textId="2ECCC587" w:rsidR="00E157D3" w:rsidRPr="00030CFD" w:rsidRDefault="00A12272" w:rsidP="000C0ABF">
      <w:pPr>
        <w:spacing w:line="240" w:lineRule="auto"/>
        <w:jc w:val="center"/>
        <w:rPr>
          <w:color w:val="EE0000"/>
        </w:rPr>
      </w:pPr>
      <w:r>
        <w:rPr>
          <w:noProof/>
          <w:color w:val="EE0000"/>
        </w:rPr>
        <w:drawing>
          <wp:inline distT="0" distB="0" distL="0" distR="0" wp14:anchorId="08D706E1" wp14:editId="58105CC6">
            <wp:extent cx="3769418" cy="3200400"/>
            <wp:effectExtent l="0" t="0" r="0" b="0"/>
            <wp:docPr id="1570044922" name="Picture 10" descr="The figure is an open pie chart which displays the distribution by exposure mode of deaths among individuals reported with HIV/AIDS for 2024. A text box in the center of the pie chart reads, “38% reported IDU&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44922" name="Picture 10" descr="The figure is an open pie chart which displays the distribution by exposure mode of deaths among individuals reported with HIV/AIDS for 2024. A text box in the center of the pie chart reads, “38% reported IDU&quot;.&#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74619" cy="3204816"/>
                    </a:xfrm>
                    <a:prstGeom prst="rect">
                      <a:avLst/>
                    </a:prstGeom>
                    <a:noFill/>
                  </pic:spPr>
                </pic:pic>
              </a:graphicData>
            </a:graphic>
          </wp:inline>
        </w:drawing>
      </w:r>
    </w:p>
    <w:p w14:paraId="38BBCBC5" w14:textId="5E72AE6C" w:rsidR="00E157D3" w:rsidRPr="00853CDF" w:rsidRDefault="376DF094" w:rsidP="362E252F">
      <w:pPr>
        <w:spacing w:line="240" w:lineRule="auto"/>
        <w:rPr>
          <w:b/>
          <w:bCs/>
        </w:rPr>
      </w:pPr>
      <w:r w:rsidRPr="00853CDF">
        <w:rPr>
          <w:b/>
          <w:bCs/>
        </w:rPr>
        <w:t>E</w:t>
      </w:r>
      <w:r w:rsidR="49DC24E1" w:rsidRPr="00853CDF">
        <w:rPr>
          <w:b/>
          <w:bCs/>
        </w:rPr>
        <w:t>xposure Mode</w:t>
      </w:r>
    </w:p>
    <w:p w14:paraId="6B83F9AF" w14:textId="22E36815" w:rsidR="00574E67" w:rsidRPr="00030CFD" w:rsidRDefault="00853CDF" w:rsidP="00811BF2">
      <w:pPr>
        <w:spacing w:line="240" w:lineRule="auto"/>
        <w:rPr>
          <w:color w:val="EE0000"/>
        </w:rPr>
      </w:pPr>
      <w:r w:rsidRPr="00853CDF">
        <w:t>Individuals with IDU exposure mode accounted for the largest proportion of deaths among individuals reported with HIV. In 2024, 33% of deaths among individuals with HIV were reported with an exposure mode of IDU and an additional 5% were reported with an exposure mode of MSM/IDU, compared to 7% and 2%, respectively, of 2024 HIV infection diagnoses</w:t>
      </w:r>
      <w:r w:rsidR="00A064FF" w:rsidRPr="00853CDF">
        <w:t xml:space="preserve">. </w:t>
      </w:r>
      <w:r w:rsidR="008A4A81" w:rsidRPr="008A4A81">
        <w:t>The leading causes of death among individuals reported with HIV infection with IDU and IDU/MSM exposure mode who died in 2023 (with a known cause) were external causes of injuries</w:t>
      </w:r>
      <w:r w:rsidR="00025CE5" w:rsidRPr="008A4A81">
        <w:rPr>
          <w:rStyle w:val="FootnoteReference"/>
        </w:rPr>
        <w:footnoteReference w:id="49"/>
      </w:r>
      <w:r w:rsidR="00025CE5" w:rsidRPr="008A4A81">
        <w:t xml:space="preserve"> </w:t>
      </w:r>
      <w:r w:rsidR="008A4A81" w:rsidRPr="008A4A81">
        <w:t>and poisonings (which includes opioid overdoses) which accounted for 37% (N=45/122) of deaths, cancer which accounted for 17% (N=21/122) of deaths, and HIV which accounted for 13% (N=16/122) of deaths</w:t>
      </w:r>
      <w:r w:rsidR="00962BE0">
        <w:t>.</w:t>
      </w:r>
      <w:r w:rsidR="00FE1A63">
        <w:rPr>
          <w:rStyle w:val="FootnoteReference"/>
        </w:rPr>
        <w:footnoteReference w:id="50"/>
      </w:r>
      <w:r w:rsidR="00574E67" w:rsidRPr="00030CFD">
        <w:rPr>
          <w:b/>
          <w:bCs/>
          <w:color w:val="EE0000"/>
        </w:rPr>
        <w:br w:type="page"/>
      </w:r>
    </w:p>
    <w:p w14:paraId="58487CB0" w14:textId="0C9C8416" w:rsidR="00E157D3" w:rsidRPr="003D3963" w:rsidRDefault="00E157D3" w:rsidP="11AD1994">
      <w:pPr>
        <w:rPr>
          <w:b/>
          <w:bCs/>
        </w:rPr>
      </w:pPr>
      <w:r w:rsidRPr="003D3963">
        <w:rPr>
          <w:b/>
          <w:bCs/>
        </w:rPr>
        <w:lastRenderedPageBreak/>
        <w:t>Survival among individuals diagnosed with AIDS</w:t>
      </w:r>
    </w:p>
    <w:p w14:paraId="4233507E" w14:textId="0E695C6B" w:rsidR="00131A9D" w:rsidRPr="003D3963" w:rsidRDefault="006F0ACA" w:rsidP="11AD1994">
      <w:r w:rsidRPr="003D3963">
        <w:rPr>
          <w:b/>
          <w:bCs/>
        </w:rPr>
        <w:t xml:space="preserve">FIGURE 16. </w:t>
      </w:r>
      <w:r w:rsidRPr="003D3963">
        <w:t xml:space="preserve">Five-year survival among individuals with AIDS by year of diagnosis, Massachusetts </w:t>
      </w:r>
      <w:r w:rsidR="00131A9D" w:rsidRPr="003D3963">
        <w:t>19</w:t>
      </w:r>
      <w:r w:rsidR="003D3963" w:rsidRPr="003D3963">
        <w:t>90</w:t>
      </w:r>
      <w:r w:rsidR="00131A9D" w:rsidRPr="003D3963">
        <w:t>–202</w:t>
      </w:r>
      <w:r w:rsidR="003D3963" w:rsidRPr="003D3963">
        <w:t>4</w:t>
      </w:r>
      <w:r w:rsidR="00131A9D" w:rsidRPr="003D3963">
        <w:t xml:space="preserve"> (Total number of AIDS diagnoses from </w:t>
      </w:r>
      <w:r w:rsidR="003D3963" w:rsidRPr="003D3963">
        <w:t>1990–2024</w:t>
      </w:r>
      <w:r w:rsidR="006C6E04" w:rsidRPr="003D3963">
        <w:t>, N=23,</w:t>
      </w:r>
      <w:r w:rsidR="003D3963" w:rsidRPr="003D3963">
        <w:t>237</w:t>
      </w:r>
      <w:r w:rsidR="00131A9D" w:rsidRPr="003D3963">
        <w:t>)</w:t>
      </w:r>
    </w:p>
    <w:p w14:paraId="0F142E79" w14:textId="7BDBDA25" w:rsidR="00C51C3C" w:rsidRPr="00FB30DF" w:rsidRDefault="003D3963" w:rsidP="00C51C3C">
      <w:r w:rsidRPr="00FB30DF">
        <w:rPr>
          <w:noProof/>
        </w:rPr>
        <w:drawing>
          <wp:inline distT="0" distB="0" distL="0" distR="0" wp14:anchorId="35AF45B4" wp14:editId="30C15E11">
            <wp:extent cx="6431915" cy="2840990"/>
            <wp:effectExtent l="0" t="0" r="0" b="0"/>
            <wp:docPr id="305533781" name="Picture 4" descr="The figure is a trendline that displays the percent of individuals alive less than 1, 1, 2, 3, 4, and 5 years after AIDS diagnosis for 7 cohorts by year of AIDS diagnosis: 1990-1994, 1995-1999, 2000-2004, 2005-2009, 2010-2014, 2015-2010, 2020-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33781" name="Picture 4" descr="The figure is a trendline that displays the percent of individuals alive less than 1, 1, 2, 3, 4, and 5 years after AIDS diagnosis for 7 cohorts by year of AIDS diagnosis: 1990-1994, 1995-1999, 2000-2004, 2005-2009, 2010-2014, 2015-2010, 2020-2024.&#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31915" cy="2840990"/>
                    </a:xfrm>
                    <a:prstGeom prst="rect">
                      <a:avLst/>
                    </a:prstGeom>
                    <a:noFill/>
                  </pic:spPr>
                </pic:pic>
              </a:graphicData>
            </a:graphic>
          </wp:inline>
        </w:drawing>
      </w:r>
    </w:p>
    <w:p w14:paraId="7E5C6EDB" w14:textId="17036B51" w:rsidR="00025CE5" w:rsidRPr="00FB30DF" w:rsidRDefault="00FB30DF" w:rsidP="00025CE5">
      <w:pPr>
        <w:spacing w:line="240" w:lineRule="auto"/>
      </w:pPr>
      <w:r w:rsidRPr="00FB30DF">
        <w:t>Survival of individuals diagnosed with AIDS has increased over time. In the earliest cohort of AIDS diagnoses (1990–1994), estimated survival at five years after AIDS diagnosis was 32%, compared to 89% in the most recent cohort (20</w:t>
      </w:r>
      <w:r w:rsidR="0014689F">
        <w:t>20</w:t>
      </w:r>
      <w:r w:rsidRPr="00FB30DF">
        <w:t>–202</w:t>
      </w:r>
      <w:r w:rsidR="0014689F">
        <w:t>4</w:t>
      </w:r>
      <w:r w:rsidRPr="00FB30DF">
        <w:t>)</w:t>
      </w:r>
      <w:r w:rsidR="00025CE5" w:rsidRPr="00FB30DF">
        <w:t>.</w:t>
      </w:r>
      <w:r w:rsidR="00CE0A84" w:rsidRPr="00FB30DF">
        <w:rPr>
          <w:rStyle w:val="FootnoteReference"/>
        </w:rPr>
        <w:t xml:space="preserve"> </w:t>
      </w:r>
      <w:r w:rsidR="00CE0A84" w:rsidRPr="00FB30DF">
        <w:rPr>
          <w:rStyle w:val="FootnoteReference"/>
        </w:rPr>
        <w:footnoteReference w:id="51"/>
      </w:r>
    </w:p>
    <w:p w14:paraId="5F403A1A" w14:textId="460CA1FC" w:rsidR="007156A8" w:rsidRPr="00FB30DF" w:rsidRDefault="007156A8" w:rsidP="004A6587">
      <w:r w:rsidRPr="00FB30DF">
        <w:rPr>
          <w:b/>
          <w:bCs/>
        </w:rPr>
        <w:t xml:space="preserve">Trends in Age-Adjusted Rates of Death </w:t>
      </w:r>
    </w:p>
    <w:p w14:paraId="6661231E" w14:textId="665EF303" w:rsidR="007156A8" w:rsidRPr="00FB30DF" w:rsidRDefault="007156A8" w:rsidP="00627688">
      <w:pPr>
        <w:spacing w:line="240" w:lineRule="auto"/>
      </w:pPr>
      <w:r w:rsidRPr="00FB30DF">
        <w:rPr>
          <w:b/>
          <w:bCs/>
        </w:rPr>
        <w:t xml:space="preserve">FIGURE 17. </w:t>
      </w:r>
      <w:r w:rsidRPr="00FB30DF">
        <w:t>Age-adjusted rate of death per 100,000 population</w:t>
      </w:r>
      <w:r w:rsidRPr="00FB30DF">
        <w:rPr>
          <w:rStyle w:val="FootnoteReference"/>
        </w:rPr>
        <w:footnoteReference w:id="52"/>
      </w:r>
      <w:r w:rsidRPr="00FB30DF">
        <w:t xml:space="preserve"> among individuals reported with HIV by sex assigned at birth, Massachusetts </w:t>
      </w:r>
      <w:r w:rsidR="005E161C" w:rsidRPr="00FB30DF">
        <w:t>2015–2024</w:t>
      </w:r>
      <w:r w:rsidR="00FC6DFF" w:rsidRPr="00FB30DF">
        <w:t xml:space="preserve"> (Total number of deaths among individuals reported with HIV from </w:t>
      </w:r>
      <w:r w:rsidR="005E161C" w:rsidRPr="00FB30DF">
        <w:t>2015–2024</w:t>
      </w:r>
      <w:r w:rsidR="00FC6DFF" w:rsidRPr="00FB30DF">
        <w:t>=3,</w:t>
      </w:r>
      <w:r w:rsidR="00FB30DF" w:rsidRPr="00FB30DF">
        <w:t>244</w:t>
      </w:r>
      <w:r w:rsidR="00FC6DFF" w:rsidRPr="00FB30DF">
        <w:t>)</w:t>
      </w:r>
    </w:p>
    <w:p w14:paraId="76280D8E" w14:textId="6342D466" w:rsidR="00025CE5" w:rsidRPr="00030CFD" w:rsidRDefault="00FB30DF" w:rsidP="00AF29BA">
      <w:pPr>
        <w:spacing w:line="240" w:lineRule="auto"/>
        <w:rPr>
          <w:b/>
          <w:bCs/>
          <w:color w:val="EE0000"/>
        </w:rPr>
      </w:pPr>
      <w:r>
        <w:rPr>
          <w:b/>
          <w:bCs/>
          <w:noProof/>
          <w:color w:val="EE0000"/>
        </w:rPr>
        <w:lastRenderedPageBreak/>
        <w:drawing>
          <wp:inline distT="0" distB="0" distL="0" distR="0" wp14:anchorId="4B7ECCC7" wp14:editId="0DBE27ED">
            <wp:extent cx="6431915" cy="2712720"/>
            <wp:effectExtent l="0" t="0" r="0" b="0"/>
            <wp:docPr id="952439784" name="Picture 5" descr="The figure is a trendline displaying the age-adjusted rate of death per 100,000 population among individuals reported with HIV/AIDS for 2015 to 2024 for three groups: individuals assigned male at birth, individuals assigned female at birth, and the total popul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39784" name="Picture 5" descr="The figure is a trendline displaying the age-adjusted rate of death per 100,000 population among individuals reported with HIV/AIDS for 2015 to 2024 for three groups: individuals assigned male at birth, individuals assigned female at birth, and the total population.&#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31915" cy="2712720"/>
                    </a:xfrm>
                    <a:prstGeom prst="rect">
                      <a:avLst/>
                    </a:prstGeom>
                    <a:noFill/>
                  </pic:spPr>
                </pic:pic>
              </a:graphicData>
            </a:graphic>
          </wp:inline>
        </w:drawing>
      </w:r>
    </w:p>
    <w:p w14:paraId="0C579366" w14:textId="17129E1F" w:rsidR="00BA5E7C" w:rsidRPr="00385620" w:rsidRDefault="00385620" w:rsidP="00BA5E7C">
      <w:pPr>
        <w:spacing w:line="240" w:lineRule="auto"/>
      </w:pPr>
      <w:r w:rsidRPr="00385620">
        <w:t>Over the last 10 years of available data, the age-adjusted rate of death per 100,000 population of individuals assigned male at birth (AMAB) reported with HIV has remained 2.6 to 3.4 times that of individuals assigned female at birth (AFAB). In 2024,</w:t>
      </w:r>
      <w:r w:rsidRPr="00385620">
        <w:rPr>
          <w:rStyle w:val="FootnoteReference"/>
        </w:rPr>
        <w:footnoteReference w:id="53"/>
      </w:r>
      <w:r w:rsidRPr="00385620">
        <w:t xml:space="preserve"> the age-adjusted rate of individuals AMAB (5.8 per 100,000) was 2.8 times the rate of individuals AFAB (2.0 per 100,000).</w:t>
      </w:r>
      <w:r w:rsidR="00BA5E7C" w:rsidRPr="00385620">
        <w:t xml:space="preserve"> </w:t>
      </w:r>
    </w:p>
    <w:p w14:paraId="24B8198E" w14:textId="2E8346B3" w:rsidR="007156A8" w:rsidRPr="00385620" w:rsidRDefault="007156A8" w:rsidP="002A32A6">
      <w:pPr>
        <w:spacing w:line="240" w:lineRule="auto"/>
        <w:rPr>
          <w:b/>
          <w:bCs/>
        </w:rPr>
      </w:pPr>
      <w:r w:rsidRPr="00385620">
        <w:rPr>
          <w:b/>
          <w:bCs/>
        </w:rPr>
        <w:t>TRENDS IN DEATHS AMONG INDIVIDUALS WITH HIV</w:t>
      </w:r>
    </w:p>
    <w:p w14:paraId="6C33508D" w14:textId="4CE599D3" w:rsidR="00385620" w:rsidRPr="00385620" w:rsidRDefault="00385620" w:rsidP="00385620">
      <w:pPr>
        <w:spacing w:line="240" w:lineRule="auto"/>
      </w:pPr>
      <w:r w:rsidRPr="00385620">
        <w:t>The leading non</w:t>
      </w:r>
      <w:r w:rsidR="00A10345">
        <w:t>-</w:t>
      </w:r>
      <w:r w:rsidRPr="00385620">
        <w:t>HIV</w:t>
      </w:r>
      <w:r w:rsidR="00CD2484">
        <w:t xml:space="preserve"> </w:t>
      </w:r>
      <w:r w:rsidRPr="00385620">
        <w:t>related causes of death among individuals reported with HIV infection who died in 2023 (with a known cause) were external causes of injuries</w:t>
      </w:r>
      <w:r w:rsidRPr="00385620">
        <w:rPr>
          <w:rStyle w:val="FootnoteReference"/>
        </w:rPr>
        <w:footnoteReference w:id="54"/>
      </w:r>
      <w:r w:rsidRPr="00385620">
        <w:t>and poisonings (which includes opioid overdoses) and cancer which both accounted for 22% (N=67/307) of deaths and heart disease which accounted for 9% (N=26/307) of deaths.</w:t>
      </w:r>
      <w:r w:rsidR="00865393" w:rsidRPr="00865393">
        <w:rPr>
          <w:rStyle w:val="FootnoteReference"/>
        </w:rPr>
        <w:t xml:space="preserve"> </w:t>
      </w:r>
      <w:r w:rsidR="00865393">
        <w:rPr>
          <w:rStyle w:val="FootnoteReference"/>
        </w:rPr>
        <w:footnoteReference w:id="55"/>
      </w:r>
      <w:r w:rsidRPr="00385620">
        <w:t xml:space="preserve"> </w:t>
      </w:r>
    </w:p>
    <w:p w14:paraId="0427BC1C" w14:textId="77777777" w:rsidR="002A32A6" w:rsidRPr="00385620" w:rsidRDefault="002A32A6">
      <w:pPr>
        <w:rPr>
          <w:b/>
          <w:bCs/>
        </w:rPr>
      </w:pPr>
      <w:r w:rsidRPr="00385620">
        <w:rPr>
          <w:b/>
          <w:bCs/>
        </w:rPr>
        <w:br w:type="page"/>
      </w:r>
    </w:p>
    <w:p w14:paraId="6753E667" w14:textId="705347B8" w:rsidR="007156A8" w:rsidRPr="007A2AE2" w:rsidRDefault="007156A8" w:rsidP="00627688">
      <w:pPr>
        <w:spacing w:line="240" w:lineRule="auto"/>
      </w:pPr>
      <w:r w:rsidRPr="007A2AE2">
        <w:rPr>
          <w:b/>
          <w:bCs/>
        </w:rPr>
        <w:lastRenderedPageBreak/>
        <w:t xml:space="preserve">FIGURE 18. </w:t>
      </w:r>
      <w:r w:rsidRPr="007A2AE2">
        <w:t xml:space="preserve">Trends in all-cause deaths among individuals reported with HIV, Massachusetts </w:t>
      </w:r>
      <w:r w:rsidR="005E161C" w:rsidRPr="007A2AE2">
        <w:t>2015–2024</w:t>
      </w:r>
      <w:r w:rsidRPr="007A2AE2">
        <w:t xml:space="preserve"> </w:t>
      </w:r>
    </w:p>
    <w:tbl>
      <w:tblPr>
        <w:tblStyle w:val="TableGrid"/>
        <w:tblW w:w="0" w:type="auto"/>
        <w:tblLook w:val="04A0" w:firstRow="1" w:lastRow="0" w:firstColumn="1" w:lastColumn="0" w:noHBand="0" w:noVBand="1"/>
      </w:tblPr>
      <w:tblGrid>
        <w:gridCol w:w="3356"/>
        <w:gridCol w:w="982"/>
        <w:gridCol w:w="982"/>
        <w:gridCol w:w="982"/>
        <w:gridCol w:w="983"/>
      </w:tblGrid>
      <w:tr w:rsidR="00326D32" w:rsidRPr="007A2AE2" w14:paraId="6B496803" w14:textId="77777777" w:rsidTr="00326D32">
        <w:tc>
          <w:tcPr>
            <w:tcW w:w="3356" w:type="dxa"/>
          </w:tcPr>
          <w:p w14:paraId="6909B1CE" w14:textId="77777777" w:rsidR="00326D32" w:rsidRPr="007A2AE2" w:rsidRDefault="00326D32" w:rsidP="005873E9">
            <w:pPr>
              <w:pStyle w:val="Style2"/>
              <w:rPr>
                <w:rFonts w:asciiTheme="minorHAnsi" w:hAnsiTheme="minorHAnsi" w:cstheme="minorHAnsi"/>
                <w:sz w:val="22"/>
                <w:szCs w:val="22"/>
              </w:rPr>
            </w:pPr>
            <w:r w:rsidRPr="007A2AE2">
              <w:rPr>
                <w:rFonts w:asciiTheme="minorHAnsi" w:hAnsiTheme="minorHAnsi" w:cstheme="minorHAnsi"/>
                <w:b/>
                <w:bCs/>
                <w:sz w:val="22"/>
                <w:szCs w:val="22"/>
              </w:rPr>
              <w:t>All-Cause Deaths</w:t>
            </w:r>
          </w:p>
        </w:tc>
        <w:tc>
          <w:tcPr>
            <w:tcW w:w="982" w:type="dxa"/>
          </w:tcPr>
          <w:p w14:paraId="313D98D3" w14:textId="42210ABB"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b/>
                <w:bCs/>
                <w:sz w:val="22"/>
                <w:szCs w:val="22"/>
              </w:rPr>
              <w:t>2015 N</w:t>
            </w:r>
          </w:p>
        </w:tc>
        <w:tc>
          <w:tcPr>
            <w:tcW w:w="982" w:type="dxa"/>
          </w:tcPr>
          <w:p w14:paraId="33F71C14" w14:textId="58315A76"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b/>
                <w:bCs/>
                <w:sz w:val="22"/>
                <w:szCs w:val="22"/>
              </w:rPr>
              <w:t>2015 %</w:t>
            </w:r>
          </w:p>
        </w:tc>
        <w:tc>
          <w:tcPr>
            <w:tcW w:w="982" w:type="dxa"/>
          </w:tcPr>
          <w:p w14:paraId="48CC8D33"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b/>
                <w:bCs/>
                <w:sz w:val="22"/>
                <w:szCs w:val="22"/>
              </w:rPr>
              <w:t>2024</w:t>
            </w:r>
          </w:p>
        </w:tc>
        <w:tc>
          <w:tcPr>
            <w:tcW w:w="983" w:type="dxa"/>
          </w:tcPr>
          <w:p w14:paraId="29FD08DA" w14:textId="2A48BF4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b/>
                <w:bCs/>
                <w:sz w:val="22"/>
                <w:szCs w:val="22"/>
              </w:rPr>
              <w:t>2024 %</w:t>
            </w:r>
          </w:p>
        </w:tc>
      </w:tr>
      <w:tr w:rsidR="00326D32" w:rsidRPr="007A2AE2" w14:paraId="71F5DE28" w14:textId="77777777" w:rsidTr="00326D32">
        <w:tc>
          <w:tcPr>
            <w:tcW w:w="3356" w:type="dxa"/>
          </w:tcPr>
          <w:p w14:paraId="7A282C9A" w14:textId="77777777" w:rsidR="00326D32" w:rsidRPr="007A2AE2" w:rsidRDefault="00326D32" w:rsidP="00326D32">
            <w:pPr>
              <w:pStyle w:val="Style2"/>
              <w:rPr>
                <w:rFonts w:asciiTheme="minorHAnsi" w:hAnsiTheme="minorHAnsi" w:cstheme="minorHAnsi"/>
                <w:sz w:val="22"/>
                <w:szCs w:val="22"/>
              </w:rPr>
            </w:pPr>
            <w:r w:rsidRPr="007A2AE2">
              <w:rPr>
                <w:rFonts w:asciiTheme="minorHAnsi" w:hAnsiTheme="minorHAnsi" w:cstheme="minorHAnsi"/>
                <w:b/>
                <w:bCs/>
                <w:sz w:val="22"/>
                <w:szCs w:val="22"/>
              </w:rPr>
              <w:t>Total</w:t>
            </w:r>
          </w:p>
        </w:tc>
        <w:tc>
          <w:tcPr>
            <w:tcW w:w="982" w:type="dxa"/>
            <w:vAlign w:val="center"/>
          </w:tcPr>
          <w:p w14:paraId="523C22C9"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325</w:t>
            </w:r>
          </w:p>
        </w:tc>
        <w:tc>
          <w:tcPr>
            <w:tcW w:w="982" w:type="dxa"/>
            <w:vAlign w:val="center"/>
          </w:tcPr>
          <w:p w14:paraId="72441757" w14:textId="50C7B300"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100%</w:t>
            </w:r>
          </w:p>
        </w:tc>
        <w:tc>
          <w:tcPr>
            <w:tcW w:w="982" w:type="dxa"/>
            <w:vAlign w:val="center"/>
          </w:tcPr>
          <w:p w14:paraId="751DAB42"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330</w:t>
            </w:r>
          </w:p>
        </w:tc>
        <w:tc>
          <w:tcPr>
            <w:tcW w:w="983" w:type="dxa"/>
            <w:vAlign w:val="center"/>
          </w:tcPr>
          <w:p w14:paraId="39404723" w14:textId="6E1941AC"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100%</w:t>
            </w:r>
          </w:p>
        </w:tc>
      </w:tr>
      <w:tr w:rsidR="00326D32" w:rsidRPr="007A2AE2" w14:paraId="20B1873B" w14:textId="77777777" w:rsidTr="00326D32">
        <w:tc>
          <w:tcPr>
            <w:tcW w:w="3356" w:type="dxa"/>
          </w:tcPr>
          <w:p w14:paraId="00589993" w14:textId="77777777" w:rsidR="00326D32" w:rsidRPr="007A2AE2" w:rsidRDefault="00326D32" w:rsidP="00326D32">
            <w:pPr>
              <w:pStyle w:val="Style2"/>
              <w:rPr>
                <w:rFonts w:asciiTheme="minorHAnsi" w:hAnsiTheme="minorHAnsi" w:cstheme="minorHAnsi"/>
                <w:sz w:val="22"/>
                <w:szCs w:val="22"/>
              </w:rPr>
            </w:pPr>
            <w:r w:rsidRPr="007A2AE2">
              <w:rPr>
                <w:rFonts w:asciiTheme="minorHAnsi" w:hAnsiTheme="minorHAnsi" w:cstheme="minorHAnsi"/>
                <w:b/>
                <w:bCs/>
                <w:sz w:val="22"/>
                <w:szCs w:val="22"/>
              </w:rPr>
              <w:t>Sex Assigned at Birth</w:t>
            </w:r>
          </w:p>
        </w:tc>
        <w:tc>
          <w:tcPr>
            <w:tcW w:w="982" w:type="dxa"/>
            <w:vAlign w:val="center"/>
          </w:tcPr>
          <w:p w14:paraId="2098B053" w14:textId="39844642" w:rsidR="00326D32" w:rsidRPr="00326D32" w:rsidRDefault="00326D32" w:rsidP="00326D32">
            <w:pPr>
              <w:pStyle w:val="Style2"/>
              <w:jc w:val="center"/>
              <w:rPr>
                <w:rFonts w:asciiTheme="minorHAnsi" w:hAnsiTheme="minorHAnsi" w:cstheme="minorHAnsi"/>
                <w:sz w:val="22"/>
                <w:szCs w:val="22"/>
              </w:rPr>
            </w:pPr>
          </w:p>
        </w:tc>
        <w:tc>
          <w:tcPr>
            <w:tcW w:w="982" w:type="dxa"/>
            <w:vAlign w:val="center"/>
          </w:tcPr>
          <w:p w14:paraId="62084563" w14:textId="22882CDE" w:rsidR="00326D32" w:rsidRPr="00326D32" w:rsidRDefault="00326D32" w:rsidP="00326D32">
            <w:pPr>
              <w:pStyle w:val="Style2"/>
              <w:jc w:val="center"/>
              <w:rPr>
                <w:rFonts w:asciiTheme="minorHAnsi" w:hAnsiTheme="minorHAnsi" w:cstheme="minorHAnsi"/>
                <w:sz w:val="22"/>
                <w:szCs w:val="22"/>
              </w:rPr>
            </w:pPr>
          </w:p>
        </w:tc>
        <w:tc>
          <w:tcPr>
            <w:tcW w:w="982" w:type="dxa"/>
            <w:vAlign w:val="center"/>
          </w:tcPr>
          <w:p w14:paraId="31AE624E" w14:textId="5D2E00C9" w:rsidR="00326D32" w:rsidRPr="00326D32" w:rsidRDefault="00326D32" w:rsidP="00326D32">
            <w:pPr>
              <w:pStyle w:val="Style2"/>
              <w:jc w:val="center"/>
              <w:rPr>
                <w:rFonts w:asciiTheme="minorHAnsi" w:hAnsiTheme="minorHAnsi" w:cstheme="minorHAnsi"/>
                <w:sz w:val="22"/>
                <w:szCs w:val="22"/>
              </w:rPr>
            </w:pPr>
          </w:p>
        </w:tc>
        <w:tc>
          <w:tcPr>
            <w:tcW w:w="983" w:type="dxa"/>
            <w:vAlign w:val="center"/>
          </w:tcPr>
          <w:p w14:paraId="725ACE84" w14:textId="48E10B71" w:rsidR="00326D32" w:rsidRPr="00326D32" w:rsidRDefault="00326D32" w:rsidP="00326D32">
            <w:pPr>
              <w:pStyle w:val="Style2"/>
              <w:jc w:val="center"/>
              <w:rPr>
                <w:rFonts w:asciiTheme="minorHAnsi" w:hAnsiTheme="minorHAnsi" w:cstheme="minorHAnsi"/>
                <w:sz w:val="22"/>
                <w:szCs w:val="22"/>
              </w:rPr>
            </w:pPr>
          </w:p>
        </w:tc>
      </w:tr>
      <w:tr w:rsidR="00326D32" w:rsidRPr="007A2AE2" w14:paraId="780366A4" w14:textId="77777777" w:rsidTr="00326D32">
        <w:tc>
          <w:tcPr>
            <w:tcW w:w="3356" w:type="dxa"/>
          </w:tcPr>
          <w:p w14:paraId="559D9DDA" w14:textId="519E8C7E" w:rsidR="00326D32" w:rsidRPr="007A2AE2" w:rsidRDefault="00326D32" w:rsidP="00326D32">
            <w:pPr>
              <w:pStyle w:val="Style2"/>
              <w:rPr>
                <w:rFonts w:asciiTheme="minorHAnsi" w:hAnsiTheme="minorHAnsi" w:cstheme="minorHAnsi"/>
                <w:sz w:val="22"/>
                <w:szCs w:val="22"/>
              </w:rPr>
            </w:pPr>
            <w:r w:rsidRPr="007A2AE2">
              <w:rPr>
                <w:rFonts w:asciiTheme="minorHAnsi" w:hAnsiTheme="minorHAnsi" w:cstheme="minorHAnsi"/>
                <w:sz w:val="22"/>
                <w:szCs w:val="22"/>
              </w:rPr>
              <w:t>Assigned Male Sex</w:t>
            </w:r>
          </w:p>
        </w:tc>
        <w:tc>
          <w:tcPr>
            <w:tcW w:w="982" w:type="dxa"/>
            <w:vAlign w:val="center"/>
          </w:tcPr>
          <w:p w14:paraId="1E831860"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243</w:t>
            </w:r>
          </w:p>
        </w:tc>
        <w:tc>
          <w:tcPr>
            <w:tcW w:w="982" w:type="dxa"/>
            <w:vAlign w:val="center"/>
          </w:tcPr>
          <w:p w14:paraId="1ABD8F9C" w14:textId="3FA18E0C"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75%</w:t>
            </w:r>
          </w:p>
        </w:tc>
        <w:tc>
          <w:tcPr>
            <w:tcW w:w="982" w:type="dxa"/>
            <w:vAlign w:val="center"/>
          </w:tcPr>
          <w:p w14:paraId="5862FDB7"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241</w:t>
            </w:r>
          </w:p>
        </w:tc>
        <w:tc>
          <w:tcPr>
            <w:tcW w:w="983" w:type="dxa"/>
            <w:vAlign w:val="center"/>
          </w:tcPr>
          <w:p w14:paraId="753B1E39" w14:textId="4EF68E2B"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73%</w:t>
            </w:r>
          </w:p>
        </w:tc>
      </w:tr>
      <w:tr w:rsidR="00326D32" w:rsidRPr="007A2AE2" w14:paraId="4FFD04AA" w14:textId="77777777" w:rsidTr="00326D32">
        <w:tc>
          <w:tcPr>
            <w:tcW w:w="3356" w:type="dxa"/>
          </w:tcPr>
          <w:p w14:paraId="35859E2F" w14:textId="4D9F214B" w:rsidR="00326D32" w:rsidRPr="007A2AE2" w:rsidRDefault="00326D32" w:rsidP="00326D32">
            <w:pPr>
              <w:pStyle w:val="Style2"/>
              <w:rPr>
                <w:rFonts w:asciiTheme="minorHAnsi" w:hAnsiTheme="minorHAnsi" w:cstheme="minorHAnsi"/>
                <w:sz w:val="22"/>
                <w:szCs w:val="22"/>
              </w:rPr>
            </w:pPr>
            <w:r w:rsidRPr="007A2AE2">
              <w:rPr>
                <w:rFonts w:asciiTheme="minorHAnsi" w:hAnsiTheme="minorHAnsi" w:cstheme="minorHAnsi"/>
                <w:sz w:val="22"/>
                <w:szCs w:val="22"/>
              </w:rPr>
              <w:t>Assigned Female Sex</w:t>
            </w:r>
          </w:p>
        </w:tc>
        <w:tc>
          <w:tcPr>
            <w:tcW w:w="982" w:type="dxa"/>
            <w:vAlign w:val="center"/>
          </w:tcPr>
          <w:p w14:paraId="2F8C5034"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82</w:t>
            </w:r>
          </w:p>
        </w:tc>
        <w:tc>
          <w:tcPr>
            <w:tcW w:w="982" w:type="dxa"/>
            <w:vAlign w:val="center"/>
          </w:tcPr>
          <w:p w14:paraId="62124D9C" w14:textId="33D32A4B"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25%</w:t>
            </w:r>
          </w:p>
        </w:tc>
        <w:tc>
          <w:tcPr>
            <w:tcW w:w="982" w:type="dxa"/>
            <w:vAlign w:val="center"/>
          </w:tcPr>
          <w:p w14:paraId="3CA0942A"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89</w:t>
            </w:r>
          </w:p>
        </w:tc>
        <w:tc>
          <w:tcPr>
            <w:tcW w:w="983" w:type="dxa"/>
            <w:vAlign w:val="center"/>
          </w:tcPr>
          <w:p w14:paraId="73384005" w14:textId="63B8F8C3"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27%</w:t>
            </w:r>
          </w:p>
        </w:tc>
      </w:tr>
      <w:tr w:rsidR="00326D32" w:rsidRPr="007A2AE2" w14:paraId="5243CEDC" w14:textId="77777777" w:rsidTr="00326D32">
        <w:tc>
          <w:tcPr>
            <w:tcW w:w="3356" w:type="dxa"/>
          </w:tcPr>
          <w:p w14:paraId="38A8C98C" w14:textId="77777777" w:rsidR="00326D32" w:rsidRPr="007A2AE2" w:rsidRDefault="00326D32" w:rsidP="00326D32">
            <w:pPr>
              <w:pStyle w:val="Style2"/>
              <w:rPr>
                <w:rFonts w:asciiTheme="minorHAnsi" w:hAnsiTheme="minorHAnsi" w:cstheme="minorHAnsi"/>
                <w:sz w:val="22"/>
                <w:szCs w:val="22"/>
              </w:rPr>
            </w:pPr>
            <w:r w:rsidRPr="007A2AE2">
              <w:rPr>
                <w:rFonts w:asciiTheme="minorHAnsi" w:hAnsiTheme="minorHAnsi" w:cstheme="minorHAnsi"/>
                <w:b/>
                <w:bCs/>
                <w:sz w:val="22"/>
                <w:szCs w:val="22"/>
              </w:rPr>
              <w:t>Race/Ethnicity</w:t>
            </w:r>
          </w:p>
        </w:tc>
        <w:tc>
          <w:tcPr>
            <w:tcW w:w="982" w:type="dxa"/>
            <w:vAlign w:val="center"/>
          </w:tcPr>
          <w:p w14:paraId="187439D7" w14:textId="7C80C184" w:rsidR="00326D32" w:rsidRPr="00326D32" w:rsidRDefault="00326D32" w:rsidP="00326D32">
            <w:pPr>
              <w:pStyle w:val="Style2"/>
              <w:jc w:val="center"/>
              <w:rPr>
                <w:rFonts w:asciiTheme="minorHAnsi" w:hAnsiTheme="minorHAnsi" w:cstheme="minorHAnsi"/>
                <w:sz w:val="22"/>
                <w:szCs w:val="22"/>
              </w:rPr>
            </w:pPr>
          </w:p>
        </w:tc>
        <w:tc>
          <w:tcPr>
            <w:tcW w:w="982" w:type="dxa"/>
            <w:vAlign w:val="center"/>
          </w:tcPr>
          <w:p w14:paraId="3E48C6E4" w14:textId="728CF27D" w:rsidR="00326D32" w:rsidRPr="00326D32" w:rsidRDefault="00326D32" w:rsidP="00326D32">
            <w:pPr>
              <w:pStyle w:val="Style2"/>
              <w:jc w:val="center"/>
              <w:rPr>
                <w:rFonts w:asciiTheme="minorHAnsi" w:hAnsiTheme="minorHAnsi" w:cstheme="minorHAnsi"/>
                <w:sz w:val="22"/>
                <w:szCs w:val="22"/>
              </w:rPr>
            </w:pPr>
          </w:p>
        </w:tc>
        <w:tc>
          <w:tcPr>
            <w:tcW w:w="982" w:type="dxa"/>
            <w:vAlign w:val="center"/>
          </w:tcPr>
          <w:p w14:paraId="44C890D9" w14:textId="243FAA43" w:rsidR="00326D32" w:rsidRPr="00326D32" w:rsidRDefault="00326D32" w:rsidP="00326D32">
            <w:pPr>
              <w:pStyle w:val="Style2"/>
              <w:jc w:val="center"/>
              <w:rPr>
                <w:rFonts w:asciiTheme="minorHAnsi" w:hAnsiTheme="minorHAnsi" w:cstheme="minorHAnsi"/>
                <w:sz w:val="22"/>
                <w:szCs w:val="22"/>
              </w:rPr>
            </w:pPr>
          </w:p>
        </w:tc>
        <w:tc>
          <w:tcPr>
            <w:tcW w:w="983" w:type="dxa"/>
            <w:vAlign w:val="center"/>
          </w:tcPr>
          <w:p w14:paraId="0902FA2A" w14:textId="397381C4" w:rsidR="00326D32" w:rsidRPr="00326D32" w:rsidRDefault="00326D32" w:rsidP="00326D32">
            <w:pPr>
              <w:pStyle w:val="Style2"/>
              <w:jc w:val="center"/>
              <w:rPr>
                <w:rFonts w:asciiTheme="minorHAnsi" w:hAnsiTheme="minorHAnsi" w:cstheme="minorHAnsi"/>
                <w:sz w:val="22"/>
                <w:szCs w:val="22"/>
              </w:rPr>
            </w:pPr>
          </w:p>
        </w:tc>
      </w:tr>
      <w:tr w:rsidR="00326D32" w:rsidRPr="007A2AE2" w14:paraId="027853F6" w14:textId="77777777" w:rsidTr="00326D32">
        <w:tc>
          <w:tcPr>
            <w:tcW w:w="3356" w:type="dxa"/>
          </w:tcPr>
          <w:p w14:paraId="0E63B135" w14:textId="77777777" w:rsidR="00326D32" w:rsidRPr="007A2AE2" w:rsidRDefault="00326D32" w:rsidP="00326D32">
            <w:pPr>
              <w:pStyle w:val="Style2"/>
              <w:rPr>
                <w:rFonts w:asciiTheme="minorHAnsi" w:hAnsiTheme="minorHAnsi" w:cstheme="minorHAnsi"/>
                <w:sz w:val="22"/>
                <w:szCs w:val="22"/>
              </w:rPr>
            </w:pPr>
            <w:r w:rsidRPr="007A2AE2">
              <w:rPr>
                <w:rFonts w:asciiTheme="minorHAnsi" w:hAnsiTheme="minorHAnsi" w:cstheme="minorHAnsi"/>
                <w:sz w:val="22"/>
                <w:szCs w:val="22"/>
              </w:rPr>
              <w:t>White NH</w:t>
            </w:r>
          </w:p>
        </w:tc>
        <w:tc>
          <w:tcPr>
            <w:tcW w:w="982" w:type="dxa"/>
            <w:vAlign w:val="center"/>
          </w:tcPr>
          <w:p w14:paraId="291F76FE"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151</w:t>
            </w:r>
          </w:p>
        </w:tc>
        <w:tc>
          <w:tcPr>
            <w:tcW w:w="982" w:type="dxa"/>
            <w:vAlign w:val="center"/>
          </w:tcPr>
          <w:p w14:paraId="2191E538" w14:textId="6F709C0C"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46%</w:t>
            </w:r>
          </w:p>
        </w:tc>
        <w:tc>
          <w:tcPr>
            <w:tcW w:w="982" w:type="dxa"/>
            <w:vAlign w:val="center"/>
          </w:tcPr>
          <w:p w14:paraId="45BA251D"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170</w:t>
            </w:r>
          </w:p>
        </w:tc>
        <w:tc>
          <w:tcPr>
            <w:tcW w:w="983" w:type="dxa"/>
            <w:vAlign w:val="center"/>
          </w:tcPr>
          <w:p w14:paraId="75135A33" w14:textId="1D065485"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52%</w:t>
            </w:r>
          </w:p>
        </w:tc>
      </w:tr>
      <w:tr w:rsidR="00326D32" w:rsidRPr="007A2AE2" w14:paraId="6124526A" w14:textId="77777777" w:rsidTr="00326D32">
        <w:tc>
          <w:tcPr>
            <w:tcW w:w="3356" w:type="dxa"/>
          </w:tcPr>
          <w:p w14:paraId="5D39BA8A" w14:textId="77777777" w:rsidR="00326D32" w:rsidRPr="007A2AE2" w:rsidRDefault="00326D32" w:rsidP="00326D32">
            <w:pPr>
              <w:pStyle w:val="Style2"/>
              <w:rPr>
                <w:rFonts w:asciiTheme="minorHAnsi" w:hAnsiTheme="minorHAnsi" w:cstheme="minorHAnsi"/>
                <w:sz w:val="22"/>
                <w:szCs w:val="22"/>
              </w:rPr>
            </w:pPr>
            <w:r w:rsidRPr="007A2AE2">
              <w:rPr>
                <w:rFonts w:asciiTheme="minorHAnsi" w:hAnsiTheme="minorHAnsi" w:cstheme="minorHAnsi"/>
                <w:sz w:val="22"/>
                <w:szCs w:val="22"/>
              </w:rPr>
              <w:t>Black NH</w:t>
            </w:r>
          </w:p>
        </w:tc>
        <w:tc>
          <w:tcPr>
            <w:tcW w:w="982" w:type="dxa"/>
            <w:vAlign w:val="center"/>
          </w:tcPr>
          <w:p w14:paraId="2C9D5C85"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96</w:t>
            </w:r>
          </w:p>
        </w:tc>
        <w:tc>
          <w:tcPr>
            <w:tcW w:w="982" w:type="dxa"/>
            <w:vAlign w:val="center"/>
          </w:tcPr>
          <w:p w14:paraId="0AB6267E" w14:textId="4E1F6022"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30%</w:t>
            </w:r>
          </w:p>
        </w:tc>
        <w:tc>
          <w:tcPr>
            <w:tcW w:w="982" w:type="dxa"/>
            <w:vAlign w:val="center"/>
          </w:tcPr>
          <w:p w14:paraId="49642F7C"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78</w:t>
            </w:r>
          </w:p>
        </w:tc>
        <w:tc>
          <w:tcPr>
            <w:tcW w:w="983" w:type="dxa"/>
            <w:vAlign w:val="center"/>
          </w:tcPr>
          <w:p w14:paraId="08EF588A" w14:textId="16E541F8"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24%</w:t>
            </w:r>
          </w:p>
        </w:tc>
      </w:tr>
      <w:tr w:rsidR="00326D32" w:rsidRPr="007A2AE2" w14:paraId="343E77A2" w14:textId="77777777" w:rsidTr="00326D32">
        <w:tc>
          <w:tcPr>
            <w:tcW w:w="3356" w:type="dxa"/>
          </w:tcPr>
          <w:p w14:paraId="497A93C2" w14:textId="1FD52681" w:rsidR="00326D32" w:rsidRPr="007A2AE2" w:rsidRDefault="00326D32" w:rsidP="00326D32">
            <w:pPr>
              <w:pStyle w:val="Style2"/>
              <w:rPr>
                <w:rFonts w:asciiTheme="minorHAnsi" w:hAnsiTheme="minorHAnsi" w:cstheme="minorHAnsi"/>
                <w:sz w:val="22"/>
                <w:szCs w:val="22"/>
              </w:rPr>
            </w:pPr>
            <w:r w:rsidRPr="007A2AE2">
              <w:rPr>
                <w:rFonts w:asciiTheme="minorHAnsi" w:hAnsiTheme="minorHAnsi" w:cstheme="minorHAnsi"/>
                <w:sz w:val="22"/>
                <w:szCs w:val="22"/>
              </w:rPr>
              <w:t>Hispanic/Latinx</w:t>
            </w:r>
          </w:p>
        </w:tc>
        <w:tc>
          <w:tcPr>
            <w:tcW w:w="982" w:type="dxa"/>
            <w:vAlign w:val="center"/>
          </w:tcPr>
          <w:p w14:paraId="7E995166"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73</w:t>
            </w:r>
          </w:p>
        </w:tc>
        <w:tc>
          <w:tcPr>
            <w:tcW w:w="982" w:type="dxa"/>
            <w:vAlign w:val="center"/>
          </w:tcPr>
          <w:p w14:paraId="7E835EDA" w14:textId="24B7E839"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22%</w:t>
            </w:r>
          </w:p>
        </w:tc>
        <w:tc>
          <w:tcPr>
            <w:tcW w:w="982" w:type="dxa"/>
            <w:vAlign w:val="center"/>
          </w:tcPr>
          <w:p w14:paraId="56DC831F"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76</w:t>
            </w:r>
          </w:p>
        </w:tc>
        <w:tc>
          <w:tcPr>
            <w:tcW w:w="983" w:type="dxa"/>
            <w:vAlign w:val="center"/>
          </w:tcPr>
          <w:p w14:paraId="10DAC82F" w14:textId="74207DCA"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23%</w:t>
            </w:r>
          </w:p>
        </w:tc>
      </w:tr>
      <w:tr w:rsidR="00326D32" w:rsidRPr="007A2AE2" w14:paraId="19E892F2" w14:textId="77777777" w:rsidTr="00326D32">
        <w:tc>
          <w:tcPr>
            <w:tcW w:w="3356" w:type="dxa"/>
          </w:tcPr>
          <w:p w14:paraId="5B806368" w14:textId="77777777" w:rsidR="00326D32" w:rsidRPr="007A2AE2" w:rsidRDefault="00326D32" w:rsidP="00326D32">
            <w:pPr>
              <w:pStyle w:val="Style2"/>
              <w:rPr>
                <w:rFonts w:asciiTheme="minorHAnsi" w:hAnsiTheme="minorHAnsi" w:cstheme="minorHAnsi"/>
                <w:sz w:val="22"/>
                <w:szCs w:val="22"/>
              </w:rPr>
            </w:pPr>
            <w:r w:rsidRPr="007A2AE2">
              <w:rPr>
                <w:rFonts w:asciiTheme="minorHAnsi" w:hAnsiTheme="minorHAnsi" w:cstheme="minorHAnsi"/>
                <w:sz w:val="22"/>
                <w:szCs w:val="22"/>
              </w:rPr>
              <w:t>API</w:t>
            </w:r>
          </w:p>
        </w:tc>
        <w:tc>
          <w:tcPr>
            <w:tcW w:w="982" w:type="dxa"/>
            <w:vAlign w:val="center"/>
          </w:tcPr>
          <w:p w14:paraId="5AB86AFD"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1</w:t>
            </w:r>
          </w:p>
        </w:tc>
        <w:tc>
          <w:tcPr>
            <w:tcW w:w="982" w:type="dxa"/>
            <w:vAlign w:val="center"/>
          </w:tcPr>
          <w:p w14:paraId="677279A6" w14:textId="3E548D74"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&lt;1%</w:t>
            </w:r>
          </w:p>
        </w:tc>
        <w:tc>
          <w:tcPr>
            <w:tcW w:w="982" w:type="dxa"/>
            <w:vAlign w:val="center"/>
          </w:tcPr>
          <w:p w14:paraId="4C9BEBC4"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4</w:t>
            </w:r>
          </w:p>
        </w:tc>
        <w:tc>
          <w:tcPr>
            <w:tcW w:w="983" w:type="dxa"/>
            <w:vAlign w:val="center"/>
          </w:tcPr>
          <w:p w14:paraId="2DB1D296" w14:textId="1D869F2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1%</w:t>
            </w:r>
          </w:p>
        </w:tc>
      </w:tr>
      <w:tr w:rsidR="00326D32" w:rsidRPr="007A2AE2" w14:paraId="5C91E501" w14:textId="77777777" w:rsidTr="00326D32">
        <w:tc>
          <w:tcPr>
            <w:tcW w:w="3356" w:type="dxa"/>
          </w:tcPr>
          <w:p w14:paraId="0A5A0836" w14:textId="77777777" w:rsidR="00326D32" w:rsidRPr="007A2AE2" w:rsidRDefault="00326D32" w:rsidP="00326D32">
            <w:pPr>
              <w:pStyle w:val="Style2"/>
              <w:rPr>
                <w:rFonts w:asciiTheme="minorHAnsi" w:hAnsiTheme="minorHAnsi" w:cstheme="minorHAnsi"/>
                <w:sz w:val="22"/>
                <w:szCs w:val="22"/>
              </w:rPr>
            </w:pPr>
            <w:r w:rsidRPr="007A2AE2">
              <w:rPr>
                <w:rFonts w:asciiTheme="minorHAnsi" w:hAnsiTheme="minorHAnsi" w:cstheme="minorHAnsi"/>
                <w:sz w:val="22"/>
                <w:szCs w:val="22"/>
              </w:rPr>
              <w:t>Other/Unknown</w:t>
            </w:r>
          </w:p>
        </w:tc>
        <w:tc>
          <w:tcPr>
            <w:tcW w:w="982" w:type="dxa"/>
            <w:vAlign w:val="center"/>
          </w:tcPr>
          <w:p w14:paraId="33E7BA82"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4</w:t>
            </w:r>
          </w:p>
        </w:tc>
        <w:tc>
          <w:tcPr>
            <w:tcW w:w="982" w:type="dxa"/>
            <w:vAlign w:val="center"/>
          </w:tcPr>
          <w:p w14:paraId="3AF9BF3B" w14:textId="4CC35E33"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1%</w:t>
            </w:r>
          </w:p>
        </w:tc>
        <w:tc>
          <w:tcPr>
            <w:tcW w:w="982" w:type="dxa"/>
            <w:vAlign w:val="center"/>
          </w:tcPr>
          <w:p w14:paraId="50DD4A27"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2</w:t>
            </w:r>
          </w:p>
        </w:tc>
        <w:tc>
          <w:tcPr>
            <w:tcW w:w="983" w:type="dxa"/>
            <w:vAlign w:val="center"/>
          </w:tcPr>
          <w:p w14:paraId="1A2A1C71" w14:textId="50945CE1"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1%</w:t>
            </w:r>
          </w:p>
        </w:tc>
      </w:tr>
      <w:tr w:rsidR="00326D32" w:rsidRPr="007A2AE2" w14:paraId="5E529E9C" w14:textId="77777777" w:rsidTr="00326D32">
        <w:tc>
          <w:tcPr>
            <w:tcW w:w="3356" w:type="dxa"/>
          </w:tcPr>
          <w:p w14:paraId="640B3BEA" w14:textId="77777777" w:rsidR="00326D32" w:rsidRPr="007A2AE2" w:rsidRDefault="00326D32" w:rsidP="00326D32">
            <w:pPr>
              <w:pStyle w:val="Style2"/>
              <w:rPr>
                <w:rFonts w:asciiTheme="minorHAnsi" w:hAnsiTheme="minorHAnsi" w:cstheme="minorHAnsi"/>
                <w:sz w:val="22"/>
                <w:szCs w:val="22"/>
              </w:rPr>
            </w:pPr>
            <w:r w:rsidRPr="007A2AE2">
              <w:rPr>
                <w:rFonts w:asciiTheme="minorHAnsi" w:hAnsiTheme="minorHAnsi" w:cstheme="minorHAnsi"/>
                <w:b/>
                <w:bCs/>
                <w:sz w:val="22"/>
                <w:szCs w:val="22"/>
              </w:rPr>
              <w:t>Age Group (Years)</w:t>
            </w:r>
          </w:p>
        </w:tc>
        <w:tc>
          <w:tcPr>
            <w:tcW w:w="982" w:type="dxa"/>
            <w:vAlign w:val="center"/>
          </w:tcPr>
          <w:p w14:paraId="5332AE3A" w14:textId="1F46033D" w:rsidR="00326D32" w:rsidRPr="00326D32" w:rsidRDefault="00326D32" w:rsidP="00326D32">
            <w:pPr>
              <w:pStyle w:val="Style2"/>
              <w:jc w:val="center"/>
              <w:rPr>
                <w:rFonts w:asciiTheme="minorHAnsi" w:hAnsiTheme="minorHAnsi" w:cstheme="minorHAnsi"/>
                <w:sz w:val="22"/>
                <w:szCs w:val="22"/>
              </w:rPr>
            </w:pPr>
          </w:p>
        </w:tc>
        <w:tc>
          <w:tcPr>
            <w:tcW w:w="982" w:type="dxa"/>
            <w:vAlign w:val="center"/>
          </w:tcPr>
          <w:p w14:paraId="1E067712" w14:textId="5BF6F621" w:rsidR="00326D32" w:rsidRPr="00326D32" w:rsidRDefault="00326D32" w:rsidP="00326D32">
            <w:pPr>
              <w:pStyle w:val="Style2"/>
              <w:jc w:val="center"/>
              <w:rPr>
                <w:rFonts w:asciiTheme="minorHAnsi" w:hAnsiTheme="minorHAnsi" w:cstheme="minorHAnsi"/>
                <w:sz w:val="22"/>
                <w:szCs w:val="22"/>
              </w:rPr>
            </w:pPr>
          </w:p>
        </w:tc>
        <w:tc>
          <w:tcPr>
            <w:tcW w:w="982" w:type="dxa"/>
            <w:vAlign w:val="center"/>
          </w:tcPr>
          <w:p w14:paraId="6CFF5409" w14:textId="2C4D27F5" w:rsidR="00326D32" w:rsidRPr="00326D32" w:rsidRDefault="00326D32" w:rsidP="00326D32">
            <w:pPr>
              <w:pStyle w:val="Style2"/>
              <w:jc w:val="center"/>
              <w:rPr>
                <w:rFonts w:asciiTheme="minorHAnsi" w:hAnsiTheme="minorHAnsi" w:cstheme="minorHAnsi"/>
                <w:sz w:val="22"/>
                <w:szCs w:val="22"/>
              </w:rPr>
            </w:pPr>
          </w:p>
        </w:tc>
        <w:tc>
          <w:tcPr>
            <w:tcW w:w="983" w:type="dxa"/>
            <w:vAlign w:val="center"/>
          </w:tcPr>
          <w:p w14:paraId="7912B910" w14:textId="27029EEC" w:rsidR="00326D32" w:rsidRPr="00326D32" w:rsidRDefault="00326D32" w:rsidP="00326D32">
            <w:pPr>
              <w:pStyle w:val="Style2"/>
              <w:jc w:val="center"/>
              <w:rPr>
                <w:rFonts w:asciiTheme="minorHAnsi" w:hAnsiTheme="minorHAnsi" w:cstheme="minorHAnsi"/>
                <w:sz w:val="22"/>
                <w:szCs w:val="22"/>
              </w:rPr>
            </w:pPr>
          </w:p>
        </w:tc>
      </w:tr>
      <w:tr w:rsidR="00326D32" w:rsidRPr="007A2AE2" w14:paraId="62182AE0" w14:textId="77777777" w:rsidTr="00326D32">
        <w:tc>
          <w:tcPr>
            <w:tcW w:w="3356" w:type="dxa"/>
          </w:tcPr>
          <w:p w14:paraId="229BB3FF" w14:textId="77777777" w:rsidR="00326D32" w:rsidRPr="007A2AE2" w:rsidRDefault="00326D32" w:rsidP="00326D32">
            <w:pPr>
              <w:pStyle w:val="Style2"/>
              <w:rPr>
                <w:rFonts w:asciiTheme="minorHAnsi" w:hAnsiTheme="minorHAnsi" w:cstheme="minorHAnsi"/>
                <w:sz w:val="22"/>
                <w:szCs w:val="22"/>
              </w:rPr>
            </w:pPr>
            <w:r w:rsidRPr="007A2AE2">
              <w:rPr>
                <w:rFonts w:asciiTheme="minorHAnsi" w:hAnsiTheme="minorHAnsi" w:cstheme="minorHAnsi"/>
                <w:sz w:val="22"/>
                <w:szCs w:val="22"/>
              </w:rPr>
              <w:t>0-12</w:t>
            </w:r>
          </w:p>
        </w:tc>
        <w:tc>
          <w:tcPr>
            <w:tcW w:w="982" w:type="dxa"/>
            <w:vAlign w:val="center"/>
          </w:tcPr>
          <w:p w14:paraId="4FCD3001"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0</w:t>
            </w:r>
          </w:p>
        </w:tc>
        <w:tc>
          <w:tcPr>
            <w:tcW w:w="982" w:type="dxa"/>
            <w:vAlign w:val="center"/>
          </w:tcPr>
          <w:p w14:paraId="4A54F1A3" w14:textId="234FF630"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0%</w:t>
            </w:r>
          </w:p>
        </w:tc>
        <w:tc>
          <w:tcPr>
            <w:tcW w:w="982" w:type="dxa"/>
            <w:vAlign w:val="center"/>
          </w:tcPr>
          <w:p w14:paraId="1EEC0968"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0</w:t>
            </w:r>
          </w:p>
        </w:tc>
        <w:tc>
          <w:tcPr>
            <w:tcW w:w="983" w:type="dxa"/>
            <w:vAlign w:val="center"/>
          </w:tcPr>
          <w:p w14:paraId="37C6D64D" w14:textId="56B3B4A6"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0%</w:t>
            </w:r>
          </w:p>
        </w:tc>
      </w:tr>
      <w:tr w:rsidR="00326D32" w:rsidRPr="007A2AE2" w14:paraId="2FA86529" w14:textId="77777777" w:rsidTr="00326D32">
        <w:tc>
          <w:tcPr>
            <w:tcW w:w="3356" w:type="dxa"/>
          </w:tcPr>
          <w:p w14:paraId="5431CA96" w14:textId="77777777" w:rsidR="00326D32" w:rsidRPr="007A2AE2" w:rsidRDefault="00326D32" w:rsidP="00326D32">
            <w:pPr>
              <w:pStyle w:val="Style2"/>
              <w:rPr>
                <w:rFonts w:asciiTheme="minorHAnsi" w:hAnsiTheme="minorHAnsi" w:cstheme="minorHAnsi"/>
                <w:sz w:val="22"/>
                <w:szCs w:val="22"/>
              </w:rPr>
            </w:pPr>
            <w:r w:rsidRPr="007A2AE2">
              <w:rPr>
                <w:rFonts w:asciiTheme="minorHAnsi" w:hAnsiTheme="minorHAnsi" w:cstheme="minorHAnsi"/>
                <w:sz w:val="22"/>
                <w:szCs w:val="22"/>
              </w:rPr>
              <w:t>13-19</w:t>
            </w:r>
          </w:p>
        </w:tc>
        <w:tc>
          <w:tcPr>
            <w:tcW w:w="982" w:type="dxa"/>
            <w:vAlign w:val="center"/>
          </w:tcPr>
          <w:p w14:paraId="11B25A65"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0</w:t>
            </w:r>
          </w:p>
        </w:tc>
        <w:tc>
          <w:tcPr>
            <w:tcW w:w="982" w:type="dxa"/>
            <w:vAlign w:val="center"/>
          </w:tcPr>
          <w:p w14:paraId="1535B5F6" w14:textId="4DA45EF0"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0%</w:t>
            </w:r>
          </w:p>
        </w:tc>
        <w:tc>
          <w:tcPr>
            <w:tcW w:w="982" w:type="dxa"/>
            <w:vAlign w:val="center"/>
          </w:tcPr>
          <w:p w14:paraId="051A9300"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0</w:t>
            </w:r>
          </w:p>
        </w:tc>
        <w:tc>
          <w:tcPr>
            <w:tcW w:w="983" w:type="dxa"/>
            <w:vAlign w:val="center"/>
          </w:tcPr>
          <w:p w14:paraId="48924D32" w14:textId="47263359"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0%</w:t>
            </w:r>
          </w:p>
        </w:tc>
      </w:tr>
      <w:tr w:rsidR="00326D32" w:rsidRPr="007A2AE2" w14:paraId="70F825C5" w14:textId="77777777" w:rsidTr="00326D32">
        <w:tc>
          <w:tcPr>
            <w:tcW w:w="3356" w:type="dxa"/>
          </w:tcPr>
          <w:p w14:paraId="6A3DA23F" w14:textId="77777777" w:rsidR="00326D32" w:rsidRPr="007A2AE2" w:rsidRDefault="00326D32" w:rsidP="00326D32">
            <w:pPr>
              <w:pStyle w:val="Style2"/>
              <w:rPr>
                <w:rFonts w:asciiTheme="minorHAnsi" w:hAnsiTheme="minorHAnsi" w:cstheme="minorHAnsi"/>
                <w:sz w:val="22"/>
                <w:szCs w:val="22"/>
              </w:rPr>
            </w:pPr>
            <w:r w:rsidRPr="007A2AE2">
              <w:rPr>
                <w:rFonts w:asciiTheme="minorHAnsi" w:hAnsiTheme="minorHAnsi" w:cstheme="minorHAnsi"/>
                <w:sz w:val="22"/>
                <w:szCs w:val="22"/>
              </w:rPr>
              <w:t>20-29</w:t>
            </w:r>
          </w:p>
        </w:tc>
        <w:tc>
          <w:tcPr>
            <w:tcW w:w="982" w:type="dxa"/>
            <w:vAlign w:val="center"/>
          </w:tcPr>
          <w:p w14:paraId="1F08126F"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7</w:t>
            </w:r>
          </w:p>
        </w:tc>
        <w:tc>
          <w:tcPr>
            <w:tcW w:w="982" w:type="dxa"/>
            <w:vAlign w:val="center"/>
          </w:tcPr>
          <w:p w14:paraId="5986283F" w14:textId="35DAEC50"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2%</w:t>
            </w:r>
          </w:p>
        </w:tc>
        <w:tc>
          <w:tcPr>
            <w:tcW w:w="982" w:type="dxa"/>
            <w:vAlign w:val="center"/>
          </w:tcPr>
          <w:p w14:paraId="192A118E"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0</w:t>
            </w:r>
          </w:p>
        </w:tc>
        <w:tc>
          <w:tcPr>
            <w:tcW w:w="983" w:type="dxa"/>
            <w:vAlign w:val="center"/>
          </w:tcPr>
          <w:p w14:paraId="0AC2DF2B" w14:textId="1F8CBE84"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0%</w:t>
            </w:r>
          </w:p>
        </w:tc>
      </w:tr>
      <w:tr w:rsidR="00326D32" w:rsidRPr="007A2AE2" w14:paraId="3B7E4F6E" w14:textId="77777777" w:rsidTr="00326D32">
        <w:tc>
          <w:tcPr>
            <w:tcW w:w="3356" w:type="dxa"/>
          </w:tcPr>
          <w:p w14:paraId="7ACDFCC2" w14:textId="77777777" w:rsidR="00326D32" w:rsidRPr="007A2AE2" w:rsidRDefault="00326D32" w:rsidP="00326D32">
            <w:pPr>
              <w:pStyle w:val="Style2"/>
              <w:rPr>
                <w:rFonts w:asciiTheme="minorHAnsi" w:hAnsiTheme="minorHAnsi" w:cstheme="minorHAnsi"/>
                <w:sz w:val="22"/>
                <w:szCs w:val="22"/>
              </w:rPr>
            </w:pPr>
            <w:r w:rsidRPr="007A2AE2">
              <w:rPr>
                <w:rFonts w:asciiTheme="minorHAnsi" w:hAnsiTheme="minorHAnsi" w:cstheme="minorHAnsi"/>
                <w:sz w:val="22"/>
                <w:szCs w:val="22"/>
              </w:rPr>
              <w:t>30-39</w:t>
            </w:r>
          </w:p>
        </w:tc>
        <w:tc>
          <w:tcPr>
            <w:tcW w:w="982" w:type="dxa"/>
            <w:vAlign w:val="center"/>
          </w:tcPr>
          <w:p w14:paraId="7C64DDBD"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16</w:t>
            </w:r>
          </w:p>
        </w:tc>
        <w:tc>
          <w:tcPr>
            <w:tcW w:w="982" w:type="dxa"/>
            <w:vAlign w:val="center"/>
          </w:tcPr>
          <w:p w14:paraId="4B66AAF7" w14:textId="2AA88BB6"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5%</w:t>
            </w:r>
          </w:p>
        </w:tc>
        <w:tc>
          <w:tcPr>
            <w:tcW w:w="982" w:type="dxa"/>
            <w:vAlign w:val="center"/>
          </w:tcPr>
          <w:p w14:paraId="0FF661C7"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29</w:t>
            </w:r>
          </w:p>
        </w:tc>
        <w:tc>
          <w:tcPr>
            <w:tcW w:w="983" w:type="dxa"/>
            <w:vAlign w:val="center"/>
          </w:tcPr>
          <w:p w14:paraId="3CB9B5C0" w14:textId="757597FB"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9%</w:t>
            </w:r>
          </w:p>
        </w:tc>
      </w:tr>
      <w:tr w:rsidR="00326D32" w:rsidRPr="007A2AE2" w14:paraId="23DD437A" w14:textId="77777777" w:rsidTr="00326D32">
        <w:tc>
          <w:tcPr>
            <w:tcW w:w="3356" w:type="dxa"/>
          </w:tcPr>
          <w:p w14:paraId="77BA1024" w14:textId="77777777" w:rsidR="00326D32" w:rsidRPr="007A2AE2" w:rsidRDefault="00326D32" w:rsidP="00326D32">
            <w:pPr>
              <w:pStyle w:val="Style2"/>
              <w:rPr>
                <w:rFonts w:asciiTheme="minorHAnsi" w:hAnsiTheme="minorHAnsi" w:cstheme="minorHAnsi"/>
                <w:sz w:val="22"/>
                <w:szCs w:val="22"/>
              </w:rPr>
            </w:pPr>
            <w:r w:rsidRPr="007A2AE2">
              <w:rPr>
                <w:rFonts w:asciiTheme="minorHAnsi" w:hAnsiTheme="minorHAnsi" w:cstheme="minorHAnsi"/>
                <w:sz w:val="22"/>
                <w:szCs w:val="22"/>
              </w:rPr>
              <w:t>40-49</w:t>
            </w:r>
          </w:p>
        </w:tc>
        <w:tc>
          <w:tcPr>
            <w:tcW w:w="982" w:type="dxa"/>
            <w:vAlign w:val="center"/>
          </w:tcPr>
          <w:p w14:paraId="0740A43E"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48</w:t>
            </w:r>
          </w:p>
        </w:tc>
        <w:tc>
          <w:tcPr>
            <w:tcW w:w="982" w:type="dxa"/>
            <w:vAlign w:val="center"/>
          </w:tcPr>
          <w:p w14:paraId="380A2579" w14:textId="1F048602"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15%</w:t>
            </w:r>
          </w:p>
        </w:tc>
        <w:tc>
          <w:tcPr>
            <w:tcW w:w="982" w:type="dxa"/>
            <w:vAlign w:val="center"/>
          </w:tcPr>
          <w:p w14:paraId="2F2AB175"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31</w:t>
            </w:r>
          </w:p>
        </w:tc>
        <w:tc>
          <w:tcPr>
            <w:tcW w:w="983" w:type="dxa"/>
            <w:vAlign w:val="center"/>
          </w:tcPr>
          <w:p w14:paraId="784C581D" w14:textId="3B5463B5"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9%</w:t>
            </w:r>
          </w:p>
        </w:tc>
      </w:tr>
      <w:tr w:rsidR="00326D32" w:rsidRPr="007A2AE2" w14:paraId="1308BBD6" w14:textId="77777777" w:rsidTr="00326D32">
        <w:tc>
          <w:tcPr>
            <w:tcW w:w="3356" w:type="dxa"/>
          </w:tcPr>
          <w:p w14:paraId="7A726B5F" w14:textId="77777777" w:rsidR="00326D32" w:rsidRPr="007A2AE2" w:rsidRDefault="00326D32" w:rsidP="00326D32">
            <w:pPr>
              <w:pStyle w:val="Style2"/>
              <w:rPr>
                <w:rFonts w:asciiTheme="minorHAnsi" w:hAnsiTheme="minorHAnsi" w:cstheme="minorHAnsi"/>
                <w:sz w:val="22"/>
                <w:szCs w:val="22"/>
              </w:rPr>
            </w:pPr>
            <w:r w:rsidRPr="007A2AE2">
              <w:rPr>
                <w:rFonts w:asciiTheme="minorHAnsi" w:hAnsiTheme="minorHAnsi" w:cstheme="minorHAnsi"/>
                <w:sz w:val="22"/>
                <w:szCs w:val="22"/>
              </w:rPr>
              <w:t>50-59</w:t>
            </w:r>
          </w:p>
        </w:tc>
        <w:tc>
          <w:tcPr>
            <w:tcW w:w="982" w:type="dxa"/>
            <w:vAlign w:val="center"/>
          </w:tcPr>
          <w:p w14:paraId="6A209627"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131</w:t>
            </w:r>
          </w:p>
        </w:tc>
        <w:tc>
          <w:tcPr>
            <w:tcW w:w="982" w:type="dxa"/>
            <w:vAlign w:val="center"/>
          </w:tcPr>
          <w:p w14:paraId="128E035E" w14:textId="0B95B9BF"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40%</w:t>
            </w:r>
          </w:p>
        </w:tc>
        <w:tc>
          <w:tcPr>
            <w:tcW w:w="982" w:type="dxa"/>
            <w:vAlign w:val="center"/>
          </w:tcPr>
          <w:p w14:paraId="322172D3"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68</w:t>
            </w:r>
          </w:p>
        </w:tc>
        <w:tc>
          <w:tcPr>
            <w:tcW w:w="983" w:type="dxa"/>
            <w:vAlign w:val="center"/>
          </w:tcPr>
          <w:p w14:paraId="6D23D755" w14:textId="2F81E368"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21%</w:t>
            </w:r>
          </w:p>
        </w:tc>
      </w:tr>
      <w:tr w:rsidR="00326D32" w:rsidRPr="007A2AE2" w14:paraId="0258A124" w14:textId="77777777" w:rsidTr="00326D32">
        <w:tc>
          <w:tcPr>
            <w:tcW w:w="3356" w:type="dxa"/>
          </w:tcPr>
          <w:p w14:paraId="511AC035" w14:textId="77777777" w:rsidR="00326D32" w:rsidRPr="007A2AE2" w:rsidRDefault="00326D32" w:rsidP="00326D32">
            <w:pPr>
              <w:pStyle w:val="Style2"/>
              <w:rPr>
                <w:rFonts w:asciiTheme="minorHAnsi" w:hAnsiTheme="minorHAnsi" w:cstheme="minorHAnsi"/>
                <w:sz w:val="22"/>
                <w:szCs w:val="22"/>
              </w:rPr>
            </w:pPr>
            <w:r w:rsidRPr="007A2AE2">
              <w:rPr>
                <w:rFonts w:asciiTheme="minorHAnsi" w:hAnsiTheme="minorHAnsi" w:cstheme="minorHAnsi"/>
                <w:sz w:val="22"/>
                <w:szCs w:val="22"/>
              </w:rPr>
              <w:t>60-69</w:t>
            </w:r>
          </w:p>
        </w:tc>
        <w:tc>
          <w:tcPr>
            <w:tcW w:w="982" w:type="dxa"/>
            <w:vAlign w:val="center"/>
          </w:tcPr>
          <w:p w14:paraId="25C0A1B7"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90</w:t>
            </w:r>
          </w:p>
        </w:tc>
        <w:tc>
          <w:tcPr>
            <w:tcW w:w="982" w:type="dxa"/>
            <w:vAlign w:val="center"/>
          </w:tcPr>
          <w:p w14:paraId="0A4C8554" w14:textId="0A037EA6"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28%</w:t>
            </w:r>
          </w:p>
        </w:tc>
        <w:tc>
          <w:tcPr>
            <w:tcW w:w="982" w:type="dxa"/>
            <w:vAlign w:val="center"/>
          </w:tcPr>
          <w:p w14:paraId="143B3921"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118</w:t>
            </w:r>
          </w:p>
        </w:tc>
        <w:tc>
          <w:tcPr>
            <w:tcW w:w="983" w:type="dxa"/>
            <w:vAlign w:val="center"/>
          </w:tcPr>
          <w:p w14:paraId="34A3935A" w14:textId="24FDDFA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36%</w:t>
            </w:r>
          </w:p>
        </w:tc>
      </w:tr>
      <w:tr w:rsidR="00326D32" w:rsidRPr="007A2AE2" w14:paraId="3FFCC9FE" w14:textId="77777777" w:rsidTr="00326D32">
        <w:tc>
          <w:tcPr>
            <w:tcW w:w="3356" w:type="dxa"/>
          </w:tcPr>
          <w:p w14:paraId="1D2A9375" w14:textId="77777777" w:rsidR="00326D32" w:rsidRPr="007A2AE2" w:rsidRDefault="00326D32" w:rsidP="00326D32">
            <w:pPr>
              <w:pStyle w:val="Style2"/>
              <w:rPr>
                <w:rFonts w:asciiTheme="minorHAnsi" w:hAnsiTheme="minorHAnsi" w:cstheme="minorHAnsi"/>
                <w:sz w:val="22"/>
                <w:szCs w:val="22"/>
              </w:rPr>
            </w:pPr>
            <w:r w:rsidRPr="007A2AE2">
              <w:rPr>
                <w:rFonts w:asciiTheme="minorHAnsi" w:hAnsiTheme="minorHAnsi" w:cstheme="minorHAnsi"/>
                <w:sz w:val="22"/>
                <w:szCs w:val="22"/>
              </w:rPr>
              <w:t>70+</w:t>
            </w:r>
          </w:p>
        </w:tc>
        <w:tc>
          <w:tcPr>
            <w:tcW w:w="982" w:type="dxa"/>
            <w:vAlign w:val="center"/>
          </w:tcPr>
          <w:p w14:paraId="219430BD"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33</w:t>
            </w:r>
          </w:p>
        </w:tc>
        <w:tc>
          <w:tcPr>
            <w:tcW w:w="982" w:type="dxa"/>
            <w:vAlign w:val="center"/>
          </w:tcPr>
          <w:p w14:paraId="0567BDE3" w14:textId="431E6ADD"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10%</w:t>
            </w:r>
          </w:p>
        </w:tc>
        <w:tc>
          <w:tcPr>
            <w:tcW w:w="982" w:type="dxa"/>
            <w:vAlign w:val="center"/>
          </w:tcPr>
          <w:p w14:paraId="2260098C"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84</w:t>
            </w:r>
          </w:p>
        </w:tc>
        <w:tc>
          <w:tcPr>
            <w:tcW w:w="983" w:type="dxa"/>
            <w:vAlign w:val="center"/>
          </w:tcPr>
          <w:p w14:paraId="77EC516D" w14:textId="3A79DF76"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25%</w:t>
            </w:r>
          </w:p>
        </w:tc>
      </w:tr>
      <w:tr w:rsidR="00326D32" w:rsidRPr="007A2AE2" w14:paraId="07CCE6B1" w14:textId="77777777" w:rsidTr="00326D32">
        <w:tc>
          <w:tcPr>
            <w:tcW w:w="3356" w:type="dxa"/>
          </w:tcPr>
          <w:p w14:paraId="5FDDF7CD" w14:textId="77777777" w:rsidR="00326D32" w:rsidRPr="007A2AE2" w:rsidRDefault="00326D32" w:rsidP="00326D32">
            <w:pPr>
              <w:pStyle w:val="Style2"/>
              <w:rPr>
                <w:rFonts w:asciiTheme="minorHAnsi" w:hAnsiTheme="minorHAnsi" w:cstheme="minorHAnsi"/>
                <w:sz w:val="22"/>
                <w:szCs w:val="22"/>
              </w:rPr>
            </w:pPr>
            <w:r w:rsidRPr="007A2AE2">
              <w:rPr>
                <w:rFonts w:asciiTheme="minorHAnsi" w:hAnsiTheme="minorHAnsi" w:cstheme="minorHAnsi"/>
                <w:b/>
                <w:bCs/>
                <w:sz w:val="22"/>
                <w:szCs w:val="22"/>
              </w:rPr>
              <w:t>Exposure Mode</w:t>
            </w:r>
          </w:p>
        </w:tc>
        <w:tc>
          <w:tcPr>
            <w:tcW w:w="982" w:type="dxa"/>
            <w:vAlign w:val="center"/>
          </w:tcPr>
          <w:p w14:paraId="3B5E10D6" w14:textId="2A979110" w:rsidR="00326D32" w:rsidRPr="00326D32" w:rsidRDefault="00326D32" w:rsidP="00326D32">
            <w:pPr>
              <w:pStyle w:val="Style2"/>
              <w:jc w:val="center"/>
              <w:rPr>
                <w:rFonts w:asciiTheme="minorHAnsi" w:hAnsiTheme="minorHAnsi" w:cstheme="minorHAnsi"/>
                <w:sz w:val="22"/>
                <w:szCs w:val="22"/>
              </w:rPr>
            </w:pPr>
          </w:p>
        </w:tc>
        <w:tc>
          <w:tcPr>
            <w:tcW w:w="982" w:type="dxa"/>
            <w:vAlign w:val="center"/>
          </w:tcPr>
          <w:p w14:paraId="61786E34" w14:textId="13A4D7AD" w:rsidR="00326D32" w:rsidRPr="00326D32" w:rsidRDefault="00326D32" w:rsidP="00326D32">
            <w:pPr>
              <w:pStyle w:val="Style2"/>
              <w:jc w:val="center"/>
              <w:rPr>
                <w:rFonts w:asciiTheme="minorHAnsi" w:hAnsiTheme="minorHAnsi" w:cstheme="minorHAnsi"/>
                <w:sz w:val="22"/>
                <w:szCs w:val="22"/>
              </w:rPr>
            </w:pPr>
          </w:p>
        </w:tc>
        <w:tc>
          <w:tcPr>
            <w:tcW w:w="982" w:type="dxa"/>
            <w:vAlign w:val="center"/>
          </w:tcPr>
          <w:p w14:paraId="401BDCA7" w14:textId="35F2B88D" w:rsidR="00326D32" w:rsidRPr="00326D32" w:rsidRDefault="00326D32" w:rsidP="00326D32">
            <w:pPr>
              <w:pStyle w:val="Style2"/>
              <w:jc w:val="center"/>
              <w:rPr>
                <w:rFonts w:asciiTheme="minorHAnsi" w:hAnsiTheme="minorHAnsi" w:cstheme="minorHAnsi"/>
                <w:sz w:val="22"/>
                <w:szCs w:val="22"/>
              </w:rPr>
            </w:pPr>
          </w:p>
        </w:tc>
        <w:tc>
          <w:tcPr>
            <w:tcW w:w="983" w:type="dxa"/>
            <w:vAlign w:val="center"/>
          </w:tcPr>
          <w:p w14:paraId="6428AEF5" w14:textId="3B9ED59C" w:rsidR="00326D32" w:rsidRPr="00326D32" w:rsidRDefault="00326D32" w:rsidP="00326D32">
            <w:pPr>
              <w:pStyle w:val="Style2"/>
              <w:jc w:val="center"/>
              <w:rPr>
                <w:rFonts w:asciiTheme="minorHAnsi" w:hAnsiTheme="minorHAnsi" w:cstheme="minorHAnsi"/>
                <w:sz w:val="22"/>
                <w:szCs w:val="22"/>
              </w:rPr>
            </w:pPr>
          </w:p>
        </w:tc>
      </w:tr>
      <w:tr w:rsidR="00326D32" w:rsidRPr="007A2AE2" w14:paraId="6A8918DD" w14:textId="77777777" w:rsidTr="00326D32">
        <w:tc>
          <w:tcPr>
            <w:tcW w:w="3356" w:type="dxa"/>
          </w:tcPr>
          <w:p w14:paraId="5ABAC72D" w14:textId="77777777" w:rsidR="00326D32" w:rsidRPr="007A2AE2" w:rsidRDefault="00326D32" w:rsidP="00326D32">
            <w:pPr>
              <w:pStyle w:val="Style2"/>
              <w:rPr>
                <w:rFonts w:asciiTheme="minorHAnsi" w:hAnsiTheme="minorHAnsi" w:cstheme="minorHAnsi"/>
                <w:sz w:val="22"/>
                <w:szCs w:val="22"/>
              </w:rPr>
            </w:pPr>
            <w:r w:rsidRPr="007A2AE2">
              <w:rPr>
                <w:rFonts w:asciiTheme="minorHAnsi" w:hAnsiTheme="minorHAnsi" w:cstheme="minorHAnsi"/>
                <w:sz w:val="22"/>
                <w:szCs w:val="22"/>
              </w:rPr>
              <w:t>MSM</w:t>
            </w:r>
          </w:p>
        </w:tc>
        <w:tc>
          <w:tcPr>
            <w:tcW w:w="982" w:type="dxa"/>
            <w:vAlign w:val="center"/>
          </w:tcPr>
          <w:p w14:paraId="14E9721A"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86</w:t>
            </w:r>
          </w:p>
        </w:tc>
        <w:tc>
          <w:tcPr>
            <w:tcW w:w="982" w:type="dxa"/>
            <w:vAlign w:val="center"/>
          </w:tcPr>
          <w:p w14:paraId="4A77F000" w14:textId="0BE001FB"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26%</w:t>
            </w:r>
          </w:p>
        </w:tc>
        <w:tc>
          <w:tcPr>
            <w:tcW w:w="982" w:type="dxa"/>
            <w:vAlign w:val="center"/>
          </w:tcPr>
          <w:p w14:paraId="0ECB0C57"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86</w:t>
            </w:r>
          </w:p>
        </w:tc>
        <w:tc>
          <w:tcPr>
            <w:tcW w:w="983" w:type="dxa"/>
            <w:vAlign w:val="center"/>
          </w:tcPr>
          <w:p w14:paraId="763F03FE" w14:textId="41A2D1D9"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26%</w:t>
            </w:r>
          </w:p>
        </w:tc>
      </w:tr>
      <w:tr w:rsidR="00326D32" w:rsidRPr="007A2AE2" w14:paraId="58EB9258" w14:textId="77777777" w:rsidTr="00326D32">
        <w:tc>
          <w:tcPr>
            <w:tcW w:w="3356" w:type="dxa"/>
          </w:tcPr>
          <w:p w14:paraId="288BBE36" w14:textId="77777777" w:rsidR="00326D32" w:rsidRPr="007A2AE2" w:rsidRDefault="00326D32" w:rsidP="00326D32">
            <w:pPr>
              <w:pStyle w:val="Style2"/>
              <w:rPr>
                <w:rFonts w:asciiTheme="minorHAnsi" w:hAnsiTheme="minorHAnsi" w:cstheme="minorHAnsi"/>
                <w:sz w:val="22"/>
                <w:szCs w:val="22"/>
              </w:rPr>
            </w:pPr>
            <w:r w:rsidRPr="007A2AE2">
              <w:rPr>
                <w:rFonts w:asciiTheme="minorHAnsi" w:hAnsiTheme="minorHAnsi" w:cstheme="minorHAnsi"/>
                <w:sz w:val="22"/>
                <w:szCs w:val="22"/>
              </w:rPr>
              <w:t>IDU</w:t>
            </w:r>
          </w:p>
        </w:tc>
        <w:tc>
          <w:tcPr>
            <w:tcW w:w="982" w:type="dxa"/>
            <w:vAlign w:val="center"/>
          </w:tcPr>
          <w:p w14:paraId="09248849"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138</w:t>
            </w:r>
          </w:p>
        </w:tc>
        <w:tc>
          <w:tcPr>
            <w:tcW w:w="982" w:type="dxa"/>
            <w:vAlign w:val="center"/>
          </w:tcPr>
          <w:p w14:paraId="140CF4FD" w14:textId="2BB8AABD"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42%</w:t>
            </w:r>
          </w:p>
        </w:tc>
        <w:tc>
          <w:tcPr>
            <w:tcW w:w="982" w:type="dxa"/>
            <w:vAlign w:val="center"/>
          </w:tcPr>
          <w:p w14:paraId="7E29994F"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110</w:t>
            </w:r>
          </w:p>
        </w:tc>
        <w:tc>
          <w:tcPr>
            <w:tcW w:w="983" w:type="dxa"/>
            <w:vAlign w:val="center"/>
          </w:tcPr>
          <w:p w14:paraId="501F3971" w14:textId="1E595244"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33%</w:t>
            </w:r>
          </w:p>
        </w:tc>
      </w:tr>
      <w:tr w:rsidR="00326D32" w:rsidRPr="007A2AE2" w14:paraId="18427DA7" w14:textId="77777777" w:rsidTr="00326D32">
        <w:tc>
          <w:tcPr>
            <w:tcW w:w="3356" w:type="dxa"/>
          </w:tcPr>
          <w:p w14:paraId="605A2231" w14:textId="77777777" w:rsidR="00326D32" w:rsidRPr="007A2AE2" w:rsidRDefault="00326D32" w:rsidP="00326D32">
            <w:pPr>
              <w:pStyle w:val="Style2"/>
              <w:rPr>
                <w:rFonts w:asciiTheme="minorHAnsi" w:hAnsiTheme="minorHAnsi" w:cstheme="minorHAnsi"/>
                <w:sz w:val="22"/>
                <w:szCs w:val="22"/>
              </w:rPr>
            </w:pPr>
            <w:r w:rsidRPr="007A2AE2">
              <w:rPr>
                <w:rFonts w:asciiTheme="minorHAnsi" w:hAnsiTheme="minorHAnsi" w:cstheme="minorHAnsi"/>
                <w:sz w:val="22"/>
                <w:szCs w:val="22"/>
              </w:rPr>
              <w:t>MSM/IDU</w:t>
            </w:r>
          </w:p>
        </w:tc>
        <w:tc>
          <w:tcPr>
            <w:tcW w:w="982" w:type="dxa"/>
            <w:vAlign w:val="center"/>
          </w:tcPr>
          <w:p w14:paraId="1067DF92"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14</w:t>
            </w:r>
          </w:p>
        </w:tc>
        <w:tc>
          <w:tcPr>
            <w:tcW w:w="982" w:type="dxa"/>
            <w:vAlign w:val="center"/>
          </w:tcPr>
          <w:p w14:paraId="7CDEA509" w14:textId="667AEE9C"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4%</w:t>
            </w:r>
          </w:p>
        </w:tc>
        <w:tc>
          <w:tcPr>
            <w:tcW w:w="982" w:type="dxa"/>
            <w:vAlign w:val="center"/>
          </w:tcPr>
          <w:p w14:paraId="2DED2C61"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17</w:t>
            </w:r>
          </w:p>
        </w:tc>
        <w:tc>
          <w:tcPr>
            <w:tcW w:w="983" w:type="dxa"/>
            <w:vAlign w:val="center"/>
          </w:tcPr>
          <w:p w14:paraId="046E586A" w14:textId="63B5CBC6"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5%</w:t>
            </w:r>
          </w:p>
        </w:tc>
      </w:tr>
      <w:tr w:rsidR="00326D32" w:rsidRPr="007A2AE2" w14:paraId="6E533723" w14:textId="77777777" w:rsidTr="00326D32">
        <w:tc>
          <w:tcPr>
            <w:tcW w:w="3356" w:type="dxa"/>
          </w:tcPr>
          <w:p w14:paraId="49DB2A69" w14:textId="77777777" w:rsidR="00326D32" w:rsidRPr="007A2AE2" w:rsidRDefault="00326D32" w:rsidP="00326D32">
            <w:pPr>
              <w:pStyle w:val="Style2"/>
              <w:rPr>
                <w:rFonts w:asciiTheme="minorHAnsi" w:hAnsiTheme="minorHAnsi" w:cstheme="minorHAnsi"/>
                <w:sz w:val="22"/>
                <w:szCs w:val="22"/>
              </w:rPr>
            </w:pPr>
            <w:r w:rsidRPr="007A2AE2">
              <w:rPr>
                <w:rFonts w:asciiTheme="minorHAnsi" w:hAnsiTheme="minorHAnsi" w:cstheme="minorHAnsi"/>
                <w:sz w:val="22"/>
                <w:szCs w:val="22"/>
              </w:rPr>
              <w:t>HTSX</w:t>
            </w:r>
          </w:p>
        </w:tc>
        <w:tc>
          <w:tcPr>
            <w:tcW w:w="982" w:type="dxa"/>
            <w:vAlign w:val="center"/>
          </w:tcPr>
          <w:p w14:paraId="4601EA0B"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23</w:t>
            </w:r>
          </w:p>
        </w:tc>
        <w:tc>
          <w:tcPr>
            <w:tcW w:w="982" w:type="dxa"/>
            <w:vAlign w:val="center"/>
          </w:tcPr>
          <w:p w14:paraId="77F6E791" w14:textId="1520C5FB"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7%</w:t>
            </w:r>
          </w:p>
        </w:tc>
        <w:tc>
          <w:tcPr>
            <w:tcW w:w="982" w:type="dxa"/>
            <w:vAlign w:val="center"/>
          </w:tcPr>
          <w:p w14:paraId="0CAC4416"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42</w:t>
            </w:r>
          </w:p>
        </w:tc>
        <w:tc>
          <w:tcPr>
            <w:tcW w:w="983" w:type="dxa"/>
            <w:vAlign w:val="center"/>
          </w:tcPr>
          <w:p w14:paraId="561E9551" w14:textId="5057594C"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13%</w:t>
            </w:r>
          </w:p>
        </w:tc>
      </w:tr>
      <w:tr w:rsidR="00326D32" w:rsidRPr="007A2AE2" w14:paraId="63018280" w14:textId="77777777" w:rsidTr="00326D32">
        <w:tc>
          <w:tcPr>
            <w:tcW w:w="3356" w:type="dxa"/>
          </w:tcPr>
          <w:p w14:paraId="09773D71" w14:textId="77777777" w:rsidR="00326D32" w:rsidRPr="007A2AE2" w:rsidRDefault="00326D32" w:rsidP="00326D32">
            <w:pPr>
              <w:pStyle w:val="Style2"/>
              <w:rPr>
                <w:rFonts w:asciiTheme="minorHAnsi" w:hAnsiTheme="minorHAnsi" w:cstheme="minorHAnsi"/>
                <w:sz w:val="22"/>
                <w:szCs w:val="22"/>
              </w:rPr>
            </w:pPr>
            <w:r w:rsidRPr="007A2AE2">
              <w:rPr>
                <w:rFonts w:asciiTheme="minorHAnsi" w:hAnsiTheme="minorHAnsi" w:cstheme="minorBidi"/>
                <w:sz w:val="22"/>
                <w:szCs w:val="22"/>
              </w:rPr>
              <w:t>Other</w:t>
            </w:r>
            <w:r w:rsidRPr="007A2AE2">
              <w:rPr>
                <w:rStyle w:val="FootnoteReference"/>
                <w:rFonts w:asciiTheme="minorHAnsi" w:hAnsiTheme="minorHAnsi" w:cstheme="minorBidi"/>
                <w:sz w:val="22"/>
                <w:szCs w:val="22"/>
              </w:rPr>
              <w:footnoteReference w:id="56"/>
            </w:r>
          </w:p>
        </w:tc>
        <w:tc>
          <w:tcPr>
            <w:tcW w:w="982" w:type="dxa"/>
            <w:vAlign w:val="center"/>
          </w:tcPr>
          <w:p w14:paraId="31BFAF3A"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4</w:t>
            </w:r>
          </w:p>
        </w:tc>
        <w:tc>
          <w:tcPr>
            <w:tcW w:w="982" w:type="dxa"/>
            <w:vAlign w:val="center"/>
          </w:tcPr>
          <w:p w14:paraId="3E7CD81D" w14:textId="2557EE2D"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1%</w:t>
            </w:r>
          </w:p>
        </w:tc>
        <w:tc>
          <w:tcPr>
            <w:tcW w:w="982" w:type="dxa"/>
            <w:vAlign w:val="center"/>
          </w:tcPr>
          <w:p w14:paraId="2B3BCFD0"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4</w:t>
            </w:r>
          </w:p>
        </w:tc>
        <w:tc>
          <w:tcPr>
            <w:tcW w:w="983" w:type="dxa"/>
            <w:vAlign w:val="center"/>
          </w:tcPr>
          <w:p w14:paraId="567BB5FD" w14:textId="4209A7CE"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1%</w:t>
            </w:r>
          </w:p>
        </w:tc>
      </w:tr>
      <w:tr w:rsidR="00326D32" w:rsidRPr="007A2AE2" w14:paraId="4221B261" w14:textId="77777777" w:rsidTr="00326D32">
        <w:tc>
          <w:tcPr>
            <w:tcW w:w="3356" w:type="dxa"/>
          </w:tcPr>
          <w:p w14:paraId="4BF84F4D" w14:textId="77777777" w:rsidR="00326D32" w:rsidRPr="007A2AE2" w:rsidRDefault="00326D32" w:rsidP="00326D32">
            <w:pPr>
              <w:pStyle w:val="Style2"/>
              <w:rPr>
                <w:rFonts w:asciiTheme="minorHAnsi" w:hAnsiTheme="minorHAnsi" w:cstheme="minorHAnsi"/>
                <w:sz w:val="22"/>
                <w:szCs w:val="22"/>
              </w:rPr>
            </w:pPr>
            <w:r w:rsidRPr="007A2AE2">
              <w:rPr>
                <w:rFonts w:asciiTheme="minorHAnsi" w:hAnsiTheme="minorHAnsi" w:cstheme="minorHAnsi"/>
                <w:sz w:val="22"/>
                <w:szCs w:val="22"/>
              </w:rPr>
              <w:t>Pres. HTSX</w:t>
            </w:r>
          </w:p>
        </w:tc>
        <w:tc>
          <w:tcPr>
            <w:tcW w:w="982" w:type="dxa"/>
            <w:vAlign w:val="center"/>
          </w:tcPr>
          <w:p w14:paraId="2E00D109"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22</w:t>
            </w:r>
          </w:p>
        </w:tc>
        <w:tc>
          <w:tcPr>
            <w:tcW w:w="982" w:type="dxa"/>
            <w:vAlign w:val="center"/>
          </w:tcPr>
          <w:p w14:paraId="10071EE8" w14:textId="3958EC78"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7%</w:t>
            </w:r>
          </w:p>
        </w:tc>
        <w:tc>
          <w:tcPr>
            <w:tcW w:w="982" w:type="dxa"/>
            <w:vAlign w:val="center"/>
          </w:tcPr>
          <w:p w14:paraId="73F2A0D5"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7</w:t>
            </w:r>
          </w:p>
        </w:tc>
        <w:tc>
          <w:tcPr>
            <w:tcW w:w="983" w:type="dxa"/>
            <w:vAlign w:val="center"/>
          </w:tcPr>
          <w:p w14:paraId="7C396D44" w14:textId="07775298"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2%</w:t>
            </w:r>
          </w:p>
        </w:tc>
      </w:tr>
      <w:tr w:rsidR="00326D32" w:rsidRPr="007A2AE2" w14:paraId="092AA372" w14:textId="77777777" w:rsidTr="00326D32">
        <w:tc>
          <w:tcPr>
            <w:tcW w:w="3356" w:type="dxa"/>
          </w:tcPr>
          <w:p w14:paraId="21C503A3" w14:textId="77777777" w:rsidR="00326D32" w:rsidRPr="007A2AE2" w:rsidRDefault="00326D32" w:rsidP="00326D32">
            <w:pPr>
              <w:pStyle w:val="Style2"/>
              <w:rPr>
                <w:rFonts w:asciiTheme="minorHAnsi" w:hAnsiTheme="minorHAnsi" w:cstheme="minorHAnsi"/>
                <w:sz w:val="22"/>
                <w:szCs w:val="22"/>
              </w:rPr>
            </w:pPr>
            <w:r w:rsidRPr="007A2AE2">
              <w:rPr>
                <w:rFonts w:asciiTheme="minorHAnsi" w:hAnsiTheme="minorHAnsi" w:cstheme="minorHAnsi"/>
                <w:sz w:val="22"/>
                <w:szCs w:val="22"/>
              </w:rPr>
              <w:t>NIR</w:t>
            </w:r>
          </w:p>
        </w:tc>
        <w:tc>
          <w:tcPr>
            <w:tcW w:w="982" w:type="dxa"/>
            <w:vAlign w:val="center"/>
          </w:tcPr>
          <w:p w14:paraId="6D6C8AED"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38</w:t>
            </w:r>
          </w:p>
        </w:tc>
        <w:tc>
          <w:tcPr>
            <w:tcW w:w="982" w:type="dxa"/>
            <w:vAlign w:val="center"/>
          </w:tcPr>
          <w:p w14:paraId="1E295A3C" w14:textId="2374934F"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12%</w:t>
            </w:r>
          </w:p>
        </w:tc>
        <w:tc>
          <w:tcPr>
            <w:tcW w:w="982" w:type="dxa"/>
            <w:vAlign w:val="center"/>
          </w:tcPr>
          <w:p w14:paraId="5AC56886"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64</w:t>
            </w:r>
          </w:p>
        </w:tc>
        <w:tc>
          <w:tcPr>
            <w:tcW w:w="983" w:type="dxa"/>
            <w:vAlign w:val="center"/>
          </w:tcPr>
          <w:p w14:paraId="3377775B" w14:textId="07A85302"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19%</w:t>
            </w:r>
          </w:p>
        </w:tc>
      </w:tr>
      <w:tr w:rsidR="00326D32" w:rsidRPr="007A2AE2" w14:paraId="3A6C4FBC" w14:textId="77777777" w:rsidTr="00326D32">
        <w:tc>
          <w:tcPr>
            <w:tcW w:w="3356" w:type="dxa"/>
          </w:tcPr>
          <w:p w14:paraId="43CD0788" w14:textId="77777777" w:rsidR="00326D32" w:rsidRPr="007A2AE2" w:rsidRDefault="00326D32" w:rsidP="00326D32">
            <w:pPr>
              <w:pStyle w:val="Style2"/>
              <w:rPr>
                <w:rFonts w:asciiTheme="minorHAnsi" w:hAnsiTheme="minorHAnsi" w:cstheme="minorHAnsi"/>
                <w:sz w:val="22"/>
                <w:szCs w:val="22"/>
              </w:rPr>
            </w:pPr>
            <w:r w:rsidRPr="007A2AE2">
              <w:rPr>
                <w:rFonts w:asciiTheme="minorHAnsi" w:hAnsiTheme="minorHAnsi" w:cstheme="minorHAnsi"/>
                <w:b/>
                <w:bCs/>
                <w:sz w:val="22"/>
                <w:szCs w:val="22"/>
              </w:rPr>
              <w:t>Place of Birth</w:t>
            </w:r>
          </w:p>
        </w:tc>
        <w:tc>
          <w:tcPr>
            <w:tcW w:w="982" w:type="dxa"/>
            <w:vAlign w:val="center"/>
          </w:tcPr>
          <w:p w14:paraId="03240203" w14:textId="57759A16" w:rsidR="00326D32" w:rsidRPr="00326D32" w:rsidRDefault="00326D32" w:rsidP="00326D32">
            <w:pPr>
              <w:pStyle w:val="Style2"/>
              <w:jc w:val="center"/>
              <w:rPr>
                <w:rFonts w:asciiTheme="minorHAnsi" w:hAnsiTheme="minorHAnsi" w:cstheme="minorHAnsi"/>
                <w:sz w:val="22"/>
                <w:szCs w:val="22"/>
              </w:rPr>
            </w:pPr>
          </w:p>
        </w:tc>
        <w:tc>
          <w:tcPr>
            <w:tcW w:w="982" w:type="dxa"/>
            <w:vAlign w:val="center"/>
          </w:tcPr>
          <w:p w14:paraId="2BA6D24F" w14:textId="55A524B8" w:rsidR="00326D32" w:rsidRPr="00326D32" w:rsidRDefault="00326D32" w:rsidP="00326D32">
            <w:pPr>
              <w:pStyle w:val="Style2"/>
              <w:jc w:val="center"/>
              <w:rPr>
                <w:rFonts w:asciiTheme="minorHAnsi" w:hAnsiTheme="minorHAnsi" w:cstheme="minorHAnsi"/>
                <w:sz w:val="22"/>
                <w:szCs w:val="22"/>
              </w:rPr>
            </w:pPr>
          </w:p>
        </w:tc>
        <w:tc>
          <w:tcPr>
            <w:tcW w:w="982" w:type="dxa"/>
            <w:vAlign w:val="center"/>
          </w:tcPr>
          <w:p w14:paraId="64E957E3" w14:textId="3B7E81CF" w:rsidR="00326D32" w:rsidRPr="00326D32" w:rsidRDefault="00326D32" w:rsidP="00326D32">
            <w:pPr>
              <w:pStyle w:val="Style2"/>
              <w:jc w:val="center"/>
              <w:rPr>
                <w:rFonts w:asciiTheme="minorHAnsi" w:hAnsiTheme="minorHAnsi" w:cstheme="minorHAnsi"/>
                <w:sz w:val="22"/>
                <w:szCs w:val="22"/>
              </w:rPr>
            </w:pPr>
          </w:p>
        </w:tc>
        <w:tc>
          <w:tcPr>
            <w:tcW w:w="983" w:type="dxa"/>
            <w:vAlign w:val="center"/>
          </w:tcPr>
          <w:p w14:paraId="39DEFBBD" w14:textId="7F46A94D" w:rsidR="00326D32" w:rsidRPr="00326D32" w:rsidRDefault="00326D32" w:rsidP="00326D32">
            <w:pPr>
              <w:pStyle w:val="Style2"/>
              <w:jc w:val="center"/>
              <w:rPr>
                <w:rFonts w:asciiTheme="minorHAnsi" w:hAnsiTheme="minorHAnsi" w:cstheme="minorHAnsi"/>
                <w:sz w:val="22"/>
                <w:szCs w:val="22"/>
              </w:rPr>
            </w:pPr>
          </w:p>
        </w:tc>
      </w:tr>
      <w:tr w:rsidR="00326D32" w:rsidRPr="007A2AE2" w14:paraId="0AF76D45" w14:textId="77777777" w:rsidTr="00326D32">
        <w:tc>
          <w:tcPr>
            <w:tcW w:w="3356" w:type="dxa"/>
          </w:tcPr>
          <w:p w14:paraId="683BC379" w14:textId="77777777" w:rsidR="00326D32" w:rsidRPr="007A2AE2" w:rsidRDefault="00326D32" w:rsidP="00326D32">
            <w:pPr>
              <w:pStyle w:val="Style2"/>
              <w:rPr>
                <w:rFonts w:asciiTheme="minorHAnsi" w:hAnsiTheme="minorHAnsi" w:cstheme="minorHAnsi"/>
                <w:sz w:val="22"/>
                <w:szCs w:val="22"/>
              </w:rPr>
            </w:pPr>
            <w:r w:rsidRPr="007A2AE2">
              <w:rPr>
                <w:rFonts w:asciiTheme="minorHAnsi" w:hAnsiTheme="minorHAnsi" w:cstheme="minorHAnsi"/>
                <w:sz w:val="22"/>
                <w:szCs w:val="22"/>
              </w:rPr>
              <w:t>US</w:t>
            </w:r>
          </w:p>
        </w:tc>
        <w:tc>
          <w:tcPr>
            <w:tcW w:w="982" w:type="dxa"/>
            <w:vAlign w:val="center"/>
          </w:tcPr>
          <w:p w14:paraId="4E8B6FBD"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257</w:t>
            </w:r>
          </w:p>
        </w:tc>
        <w:tc>
          <w:tcPr>
            <w:tcW w:w="982" w:type="dxa"/>
            <w:vAlign w:val="center"/>
          </w:tcPr>
          <w:p w14:paraId="57C6F38A" w14:textId="2D6B074B"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79%</w:t>
            </w:r>
          </w:p>
        </w:tc>
        <w:tc>
          <w:tcPr>
            <w:tcW w:w="982" w:type="dxa"/>
            <w:vAlign w:val="center"/>
          </w:tcPr>
          <w:p w14:paraId="738FC456"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249</w:t>
            </w:r>
          </w:p>
        </w:tc>
        <w:tc>
          <w:tcPr>
            <w:tcW w:w="983" w:type="dxa"/>
            <w:vAlign w:val="center"/>
          </w:tcPr>
          <w:p w14:paraId="0679D545" w14:textId="1500E7C0"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75%</w:t>
            </w:r>
          </w:p>
        </w:tc>
      </w:tr>
      <w:tr w:rsidR="00326D32" w:rsidRPr="007A2AE2" w14:paraId="77EB61BD" w14:textId="77777777" w:rsidTr="00326D32">
        <w:tc>
          <w:tcPr>
            <w:tcW w:w="3356" w:type="dxa"/>
          </w:tcPr>
          <w:p w14:paraId="5127A231" w14:textId="77777777" w:rsidR="00326D32" w:rsidRPr="007A2AE2" w:rsidRDefault="00326D32" w:rsidP="00326D32">
            <w:pPr>
              <w:pStyle w:val="Style2"/>
              <w:rPr>
                <w:rFonts w:asciiTheme="minorHAnsi" w:hAnsiTheme="minorHAnsi" w:cstheme="minorHAnsi"/>
                <w:sz w:val="22"/>
                <w:szCs w:val="22"/>
              </w:rPr>
            </w:pPr>
            <w:r w:rsidRPr="007A2AE2">
              <w:rPr>
                <w:rFonts w:asciiTheme="minorHAnsi" w:hAnsiTheme="minorHAnsi" w:cstheme="minorBidi"/>
                <w:sz w:val="22"/>
                <w:szCs w:val="22"/>
              </w:rPr>
              <w:t>PR/USD</w:t>
            </w:r>
            <w:r w:rsidRPr="007A2AE2">
              <w:rPr>
                <w:rStyle w:val="FootnoteReference"/>
                <w:rFonts w:asciiTheme="minorHAnsi" w:hAnsiTheme="minorHAnsi" w:cstheme="minorBidi"/>
                <w:sz w:val="22"/>
                <w:szCs w:val="22"/>
              </w:rPr>
              <w:footnoteReference w:id="57"/>
            </w:r>
          </w:p>
        </w:tc>
        <w:tc>
          <w:tcPr>
            <w:tcW w:w="982" w:type="dxa"/>
            <w:vAlign w:val="center"/>
          </w:tcPr>
          <w:p w14:paraId="1CCD9634"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38</w:t>
            </w:r>
          </w:p>
        </w:tc>
        <w:tc>
          <w:tcPr>
            <w:tcW w:w="982" w:type="dxa"/>
            <w:vAlign w:val="center"/>
          </w:tcPr>
          <w:p w14:paraId="78861F7E" w14:textId="7E039FD5"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12%</w:t>
            </w:r>
          </w:p>
        </w:tc>
        <w:tc>
          <w:tcPr>
            <w:tcW w:w="982" w:type="dxa"/>
            <w:vAlign w:val="center"/>
          </w:tcPr>
          <w:p w14:paraId="59DFA151"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38</w:t>
            </w:r>
          </w:p>
        </w:tc>
        <w:tc>
          <w:tcPr>
            <w:tcW w:w="983" w:type="dxa"/>
            <w:vAlign w:val="center"/>
          </w:tcPr>
          <w:p w14:paraId="4C7321FA" w14:textId="5EC779CE"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12%</w:t>
            </w:r>
          </w:p>
        </w:tc>
      </w:tr>
      <w:tr w:rsidR="00326D32" w:rsidRPr="007A2AE2" w14:paraId="623BFF57" w14:textId="77777777" w:rsidTr="00326D32">
        <w:tc>
          <w:tcPr>
            <w:tcW w:w="3356" w:type="dxa"/>
          </w:tcPr>
          <w:p w14:paraId="1C117B69" w14:textId="77777777" w:rsidR="00326D32" w:rsidRPr="007A2AE2" w:rsidRDefault="00326D32" w:rsidP="00326D32">
            <w:pPr>
              <w:pStyle w:val="Style2"/>
              <w:rPr>
                <w:rFonts w:asciiTheme="minorHAnsi" w:hAnsiTheme="minorHAnsi" w:cstheme="minorHAnsi"/>
                <w:sz w:val="22"/>
                <w:szCs w:val="22"/>
              </w:rPr>
            </w:pPr>
            <w:r w:rsidRPr="007A2AE2">
              <w:rPr>
                <w:rFonts w:asciiTheme="minorHAnsi" w:hAnsiTheme="minorHAnsi" w:cstheme="minorHAnsi"/>
                <w:sz w:val="22"/>
                <w:szCs w:val="22"/>
              </w:rPr>
              <w:t>Non-US</w:t>
            </w:r>
          </w:p>
        </w:tc>
        <w:tc>
          <w:tcPr>
            <w:tcW w:w="982" w:type="dxa"/>
            <w:vAlign w:val="center"/>
          </w:tcPr>
          <w:p w14:paraId="7081BEAD"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30</w:t>
            </w:r>
          </w:p>
        </w:tc>
        <w:tc>
          <w:tcPr>
            <w:tcW w:w="982" w:type="dxa"/>
            <w:vAlign w:val="center"/>
          </w:tcPr>
          <w:p w14:paraId="65B82669" w14:textId="6C17BB8B"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9%</w:t>
            </w:r>
          </w:p>
        </w:tc>
        <w:tc>
          <w:tcPr>
            <w:tcW w:w="982" w:type="dxa"/>
            <w:vAlign w:val="center"/>
          </w:tcPr>
          <w:p w14:paraId="1F0E0145" w14:textId="77777777"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sz w:val="22"/>
                <w:szCs w:val="22"/>
              </w:rPr>
              <w:t>43</w:t>
            </w:r>
          </w:p>
        </w:tc>
        <w:tc>
          <w:tcPr>
            <w:tcW w:w="983" w:type="dxa"/>
            <w:vAlign w:val="center"/>
          </w:tcPr>
          <w:p w14:paraId="64A67DFB" w14:textId="2598B180" w:rsidR="00326D32" w:rsidRPr="00326D32" w:rsidRDefault="00326D32" w:rsidP="00326D32">
            <w:pPr>
              <w:pStyle w:val="Style2"/>
              <w:jc w:val="center"/>
              <w:rPr>
                <w:rFonts w:asciiTheme="minorHAnsi" w:hAnsiTheme="minorHAnsi" w:cstheme="minorHAnsi"/>
                <w:sz w:val="22"/>
                <w:szCs w:val="22"/>
              </w:rPr>
            </w:pPr>
            <w:r w:rsidRPr="00326D32">
              <w:rPr>
                <w:rFonts w:asciiTheme="minorHAnsi" w:hAnsiTheme="minorHAnsi" w:cstheme="minorHAnsi"/>
                <w:color w:val="000000"/>
                <w:sz w:val="22"/>
                <w:szCs w:val="22"/>
              </w:rPr>
              <w:t>13%</w:t>
            </w:r>
          </w:p>
        </w:tc>
      </w:tr>
    </w:tbl>
    <w:p w14:paraId="2A16F85C" w14:textId="77777777" w:rsidR="007342BF" w:rsidRPr="007A2AE2" w:rsidRDefault="007342BF" w:rsidP="007342BF">
      <w:pPr>
        <w:spacing w:after="0" w:line="240" w:lineRule="auto"/>
        <w:rPr>
          <w:b/>
          <w:bCs/>
        </w:rPr>
      </w:pPr>
    </w:p>
    <w:p w14:paraId="632B6AE3" w14:textId="77777777" w:rsidR="00B007DA" w:rsidRPr="007A2AE2" w:rsidRDefault="00B007DA">
      <w:pPr>
        <w:rPr>
          <w:b/>
          <w:bCs/>
        </w:rPr>
      </w:pPr>
      <w:r w:rsidRPr="007A2AE2">
        <w:rPr>
          <w:b/>
          <w:bCs/>
        </w:rPr>
        <w:br w:type="page"/>
      </w:r>
    </w:p>
    <w:p w14:paraId="7A6CFF94" w14:textId="5981C9E6" w:rsidR="007156A8" w:rsidRPr="00D87898" w:rsidRDefault="007156A8" w:rsidP="00627688">
      <w:pPr>
        <w:spacing w:line="240" w:lineRule="auto"/>
      </w:pPr>
      <w:r w:rsidRPr="00D87898">
        <w:rPr>
          <w:b/>
          <w:bCs/>
        </w:rPr>
        <w:lastRenderedPageBreak/>
        <w:t>Overall</w:t>
      </w:r>
    </w:p>
    <w:p w14:paraId="4295C368" w14:textId="28F70027" w:rsidR="007156A8" w:rsidRPr="00D87898" w:rsidRDefault="00D87898" w:rsidP="00627688">
      <w:pPr>
        <w:spacing w:line="240" w:lineRule="auto"/>
      </w:pPr>
      <w:r w:rsidRPr="00D87898">
        <w:t>The number of deaths due to any cause among individuals reported with HIV infection increased by 14% from 325 in 2014 to a peak of 369 in 2022 and then decreased by 11% to 330 in 2024</w:t>
      </w:r>
      <w:r w:rsidR="00272B03" w:rsidRPr="00D87898">
        <w:t>.</w:t>
      </w:r>
      <w:r w:rsidR="00272B03" w:rsidRPr="00D87898">
        <w:rPr>
          <w:rStyle w:val="FootnoteReference"/>
        </w:rPr>
        <w:t xml:space="preserve"> </w:t>
      </w:r>
      <w:r w:rsidR="00272B03" w:rsidRPr="00D87898">
        <w:rPr>
          <w:rStyle w:val="FootnoteReference"/>
        </w:rPr>
        <w:footnoteReference w:id="58"/>
      </w:r>
    </w:p>
    <w:p w14:paraId="06764354" w14:textId="7C6E869D" w:rsidR="007156A8" w:rsidRPr="00D87898" w:rsidRDefault="007156A8" w:rsidP="00627688">
      <w:pPr>
        <w:spacing w:line="240" w:lineRule="auto"/>
      </w:pPr>
      <w:r w:rsidRPr="00D87898">
        <w:rPr>
          <w:b/>
          <w:bCs/>
        </w:rPr>
        <w:t>By Sex Assigned at Birth</w:t>
      </w:r>
    </w:p>
    <w:p w14:paraId="66A07DCB" w14:textId="284DD0C0" w:rsidR="00FC093E" w:rsidRPr="00D87898" w:rsidRDefault="00D87898" w:rsidP="00627688">
      <w:pPr>
        <w:spacing w:line="240" w:lineRule="auto"/>
      </w:pPr>
      <w:r w:rsidRPr="00D87898">
        <w:t>The annual number of deaths remained relatively stable among individuals AMAB (from 243 to 241) and increased slightly among individuals AFAB (by 9% from 82 to 89</w:t>
      </w:r>
      <w:r w:rsidR="00FC093E" w:rsidRPr="00D87898">
        <w:t>).</w:t>
      </w:r>
    </w:p>
    <w:p w14:paraId="125C2F87" w14:textId="11A0F33F" w:rsidR="007156A8" w:rsidRPr="00D87898" w:rsidRDefault="007156A8" w:rsidP="00627688">
      <w:pPr>
        <w:spacing w:line="240" w:lineRule="auto"/>
      </w:pPr>
      <w:r w:rsidRPr="00D87898">
        <w:rPr>
          <w:b/>
          <w:bCs/>
        </w:rPr>
        <w:t>By Race/Ethnicity</w:t>
      </w:r>
    </w:p>
    <w:p w14:paraId="7ACADA1D" w14:textId="3005E445" w:rsidR="00FC093E" w:rsidRPr="00D87898" w:rsidRDefault="00D87898" w:rsidP="00FC093E">
      <w:pPr>
        <w:spacing w:line="240" w:lineRule="auto"/>
      </w:pPr>
      <w:r w:rsidRPr="00D87898">
        <w:t>The annual number of deaths increased among White (non-Hispanic) individuals (by 13% from 151 to 170), decreased among Black (non-Hispanic) individuals (by 19% from 96 to 78), and remained relatively stable among Hispanic/Latinx individuals (from 73 to 76)</w:t>
      </w:r>
      <w:r w:rsidR="00FC093E" w:rsidRPr="00D87898">
        <w:t>.</w:t>
      </w:r>
    </w:p>
    <w:p w14:paraId="65090246" w14:textId="77777777" w:rsidR="007156A8" w:rsidRPr="00D87898" w:rsidRDefault="007156A8" w:rsidP="00627688">
      <w:pPr>
        <w:spacing w:line="240" w:lineRule="auto"/>
      </w:pPr>
      <w:r w:rsidRPr="00D87898">
        <w:rPr>
          <w:b/>
          <w:bCs/>
        </w:rPr>
        <w:t>By Age at Death</w:t>
      </w:r>
    </w:p>
    <w:p w14:paraId="111DB302" w14:textId="5C429930" w:rsidR="00FC093E" w:rsidRPr="00D87898" w:rsidRDefault="00D87898" w:rsidP="00FC093E">
      <w:pPr>
        <w:spacing w:line="240" w:lineRule="auto"/>
      </w:pPr>
      <w:r w:rsidRPr="00D87898">
        <w:t>There was only one death among the youngest age groups (0–12 and 13–19) over the ten-year period and less than ten per year among the 20–29 year age group (except for 2019 when there were 12). Deaths decreased among the 40–49 year age group (by 35% from 48 to 31) and the 50–59 year age group (by 48% from 131 to 68). Deaths increased among the 30–39 year age group (by 81% from 16 to 29), the 60–69 year age group (by 31% from 90 to 118), and the 70+ year age group (more than doubled from 33 to 84)</w:t>
      </w:r>
      <w:r w:rsidR="00FC093E" w:rsidRPr="00D87898">
        <w:t xml:space="preserve">. </w:t>
      </w:r>
    </w:p>
    <w:p w14:paraId="6241D326" w14:textId="77777777" w:rsidR="007156A8" w:rsidRPr="00D87898" w:rsidRDefault="007156A8" w:rsidP="00627688">
      <w:pPr>
        <w:spacing w:line="240" w:lineRule="auto"/>
      </w:pPr>
      <w:r w:rsidRPr="00D87898">
        <w:rPr>
          <w:b/>
          <w:bCs/>
        </w:rPr>
        <w:t>By Exposure Mode</w:t>
      </w:r>
    </w:p>
    <w:p w14:paraId="345035BC" w14:textId="46170603" w:rsidR="00FC093E" w:rsidRPr="00D87898" w:rsidRDefault="00D87898" w:rsidP="00FC093E">
      <w:pPr>
        <w:spacing w:line="240" w:lineRule="auto"/>
      </w:pPr>
      <w:r w:rsidRPr="00D87898">
        <w:t>Deaths increased among individuals with heterosexual (by 83%, from 23 to 42), no identified risk (by 68%, from 38 to 64), and MSM/IDU (by 21%, from 14 to 17) exposure modes. Deaths remained stable among individuals with MSM and other exposure modes. Deaths decreased among individuals with IDU (by 20% from 138 to 110) and presumed heterosexual (by 68%, from 22 to 7) exposure modes</w:t>
      </w:r>
      <w:r w:rsidR="00FC093E" w:rsidRPr="00D87898">
        <w:t xml:space="preserve">. </w:t>
      </w:r>
    </w:p>
    <w:p w14:paraId="61CDBE00" w14:textId="77777777" w:rsidR="007156A8" w:rsidRPr="00D87898" w:rsidRDefault="007156A8" w:rsidP="00627688">
      <w:pPr>
        <w:spacing w:line="240" w:lineRule="auto"/>
      </w:pPr>
      <w:r w:rsidRPr="00D87898">
        <w:rPr>
          <w:b/>
          <w:bCs/>
        </w:rPr>
        <w:t>By Place of Birth</w:t>
      </w:r>
    </w:p>
    <w:p w14:paraId="5B67E043" w14:textId="5A06F344" w:rsidR="00037B97" w:rsidRPr="00D87898" w:rsidRDefault="00D87898" w:rsidP="00037B97">
      <w:r w:rsidRPr="00D87898">
        <w:t xml:space="preserve">Deaths increased among individuals born outside the US (by 43%, from 30 to 43), </w:t>
      </w:r>
      <w:r w:rsidR="004C1D4F">
        <w:t>de</w:t>
      </w:r>
      <w:r w:rsidRPr="00D87898">
        <w:t>creased slightly among individuals born in the US (by 3% from 257 to 249) and remained stable among individuals born in Puerto Rico/US dependencies (at 38)</w:t>
      </w:r>
      <w:r w:rsidR="00FC093E" w:rsidRPr="00D87898">
        <w:t>.</w:t>
      </w:r>
    </w:p>
    <w:p w14:paraId="26D59E8B" w14:textId="77777777" w:rsidR="00CE0A84" w:rsidRPr="00030CFD" w:rsidRDefault="00CE0A84">
      <w:pPr>
        <w:rPr>
          <w:b/>
          <w:bCs/>
          <w:color w:val="EE0000"/>
        </w:rPr>
      </w:pPr>
      <w:r w:rsidRPr="00030CFD">
        <w:rPr>
          <w:b/>
          <w:bCs/>
          <w:color w:val="EE0000"/>
        </w:rPr>
        <w:br w:type="page"/>
      </w:r>
    </w:p>
    <w:p w14:paraId="7FB1BA5D" w14:textId="4D10EA0A" w:rsidR="00037B97" w:rsidRPr="00150419" w:rsidRDefault="00037B97" w:rsidP="00037B97">
      <w:r w:rsidRPr="00150419">
        <w:rPr>
          <w:b/>
          <w:bCs/>
        </w:rPr>
        <w:lastRenderedPageBreak/>
        <w:t xml:space="preserve">FIGURE 19. </w:t>
      </w:r>
      <w:r w:rsidR="00FC093E" w:rsidRPr="00150419">
        <w:t xml:space="preserve">Trends in causes of death among individuals reported with HIV infection, Massachusetts </w:t>
      </w:r>
      <w:r w:rsidR="00150419" w:rsidRPr="00150419">
        <w:t>2015–2023 (N=2,680)</w:t>
      </w:r>
      <w:r w:rsidRPr="00150419">
        <w:rPr>
          <w:rStyle w:val="FootnoteReference"/>
        </w:rPr>
        <w:footnoteReference w:id="59"/>
      </w:r>
    </w:p>
    <w:p w14:paraId="050264A2" w14:textId="24BAEB72" w:rsidR="00037B97" w:rsidRPr="00150419" w:rsidRDefault="00150419" w:rsidP="00037B97">
      <w:r>
        <w:rPr>
          <w:noProof/>
        </w:rPr>
        <w:drawing>
          <wp:inline distT="0" distB="0" distL="0" distR="0" wp14:anchorId="621D77FA" wp14:editId="20C6CC37">
            <wp:extent cx="4347298" cy="2842260"/>
            <wp:effectExtent l="0" t="0" r="0" b="0"/>
            <wp:docPr id="1815336699" name="Picture 6" descr="The figure is a stacked bar chart displaying the number of deaths by cause of death for each year from 2015 to 2023. Six causes of death are included in the chart: HIV, COVID-19, External causes of injuries and poisonings, Cancer, Heart disease, and All other caus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36699" name="Picture 6" descr="The figure is a stacked bar chart displaying the number of deaths by cause of death for each year from 2015 to 2023. Six causes of death are included in the chart: HIV, COVID-19, External causes of injuries and poisonings, Cancer, Heart disease, and All other causes.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76684" cy="2861472"/>
                    </a:xfrm>
                    <a:prstGeom prst="rect">
                      <a:avLst/>
                    </a:prstGeom>
                    <a:noFill/>
                  </pic:spPr>
                </pic:pic>
              </a:graphicData>
            </a:graphic>
          </wp:inline>
        </w:drawing>
      </w:r>
    </w:p>
    <w:p w14:paraId="3124F442" w14:textId="191DB031" w:rsidR="007561CA" w:rsidRPr="00F725AB" w:rsidRDefault="007561CA" w:rsidP="076E9460">
      <w:r w:rsidRPr="00F725AB">
        <w:rPr>
          <w:b/>
          <w:bCs/>
        </w:rPr>
        <w:t>Trends in Causes of Death</w:t>
      </w:r>
    </w:p>
    <w:p w14:paraId="588C3286" w14:textId="3BEBFAEB" w:rsidR="00574E67" w:rsidRPr="00F725AB" w:rsidRDefault="00F725AB" w:rsidP="00037B97">
      <w:r w:rsidRPr="00F725AB">
        <w:t>The proportion of deaths among individuals reported with HIV infection attributed to HIV-related causes decreased from 31% (N=89/284) in 2015 to 17% (N=51/307) in 2023</w:t>
      </w:r>
      <w:r w:rsidR="00574E67" w:rsidRPr="00F725AB">
        <w:t>.</w:t>
      </w:r>
      <w:r w:rsidR="00574E67" w:rsidRPr="00F725AB">
        <w:rPr>
          <w:rStyle w:val="FootnoteReference"/>
        </w:rPr>
        <w:footnoteReference w:id="60"/>
      </w:r>
    </w:p>
    <w:p w14:paraId="76E12574" w14:textId="614E0F60" w:rsidR="00037B97" w:rsidRPr="00030CFD" w:rsidRDefault="00F725AB" w:rsidP="003D1915">
      <w:pPr>
        <w:rPr>
          <w:color w:val="EE0000"/>
        </w:rPr>
      </w:pPr>
      <w:r w:rsidRPr="00F725AB">
        <w:t>In 2023, 22% (N=67/307) of deaths were attributable to both external causes of injuries</w:t>
      </w:r>
      <w:r w:rsidR="003D1915" w:rsidRPr="00F725AB">
        <w:rPr>
          <w:rStyle w:val="FootnoteReference"/>
        </w:rPr>
        <w:footnoteReference w:id="61"/>
      </w:r>
      <w:r w:rsidR="003D1915" w:rsidRPr="00F725AB">
        <w:t xml:space="preserve"> </w:t>
      </w:r>
      <w:r w:rsidRPr="00F725AB">
        <w:t>and poisonings (which includes opioid overdoses) and cancer, followed by HIV which accounted for 17% (N=51/307), and heart disease which accounted for 9% (N=26/307). While COVID-19 was the third leading cause of death among persons reported with HIV infection in 2020, it was the eleventh leading cause of death in 2023, accounting for only 1% (N=3/307) of deaths in that year</w:t>
      </w:r>
      <w:r w:rsidR="003D1915" w:rsidRPr="00F725AB">
        <w:t xml:space="preserve">. </w:t>
      </w:r>
      <w:r w:rsidR="00D820BC">
        <w:t>By comparison, t</w:t>
      </w:r>
      <w:r w:rsidR="00D820BC" w:rsidRPr="00D820BC">
        <w:t xml:space="preserve">he leading causes of death in 2023 among the general population of </w:t>
      </w:r>
      <w:r w:rsidR="00D820BC" w:rsidRPr="009929BA">
        <w:t>Massachusetts residents were cancer, which accounted for 21% (N=12,631/61,219) of deaths, heart disease, which accounted for 20% (N=11,970/61,219), unintentional injuries,</w:t>
      </w:r>
      <w:r w:rsidR="00D820BC" w:rsidRPr="009929BA">
        <w:rPr>
          <w:rStyle w:val="FootnoteReference"/>
        </w:rPr>
        <w:footnoteReference w:id="62"/>
      </w:r>
      <w:r w:rsidR="00D820BC" w:rsidRPr="009929BA">
        <w:t xml:space="preserve"> which accounted for 7% (N=4,465/61,219)</w:t>
      </w:r>
      <w:r w:rsidR="003D1915" w:rsidRPr="009929BA">
        <w:t xml:space="preserve">, </w:t>
      </w:r>
      <w:r w:rsidR="00D820BC" w:rsidRPr="009929BA">
        <w:t>and chronic lower respiratory disease,</w:t>
      </w:r>
      <w:r w:rsidR="009929BA">
        <w:rPr>
          <w:rStyle w:val="FootnoteReference"/>
        </w:rPr>
        <w:footnoteReference w:id="63"/>
      </w:r>
      <w:r w:rsidR="00D820BC" w:rsidRPr="009929BA">
        <w:t xml:space="preserve"> which accounted for 4% (N=2,484/61,219)</w:t>
      </w:r>
      <w:r w:rsidR="003D1915" w:rsidRPr="009929BA">
        <w:t>.</w:t>
      </w:r>
      <w:r w:rsidR="00F21103" w:rsidRPr="009929BA">
        <w:rPr>
          <w:rStyle w:val="FootnoteReference"/>
        </w:rPr>
        <w:footnoteReference w:id="64"/>
      </w:r>
      <w:r w:rsidR="78C7B383" w:rsidRPr="009929BA">
        <w:t xml:space="preserve"> </w:t>
      </w:r>
      <w:r w:rsidR="00037B97" w:rsidRPr="00030CFD">
        <w:rPr>
          <w:color w:val="EE0000"/>
        </w:rPr>
        <w:br w:type="page"/>
      </w:r>
    </w:p>
    <w:p w14:paraId="13F2E078" w14:textId="40CF9703" w:rsidR="00B4125E" w:rsidRPr="00030CFD" w:rsidRDefault="00B4125E" w:rsidP="009661FA">
      <w:pPr>
        <w:pStyle w:val="Heading1"/>
      </w:pPr>
      <w:bookmarkStart w:id="7" w:name="_Toc168575095"/>
      <w:r w:rsidRPr="00030CFD">
        <w:lastRenderedPageBreak/>
        <w:t>GEOGRAPHIC DISTRIBUTION OF HIV INFECTION</w:t>
      </w:r>
      <w:bookmarkEnd w:id="7"/>
    </w:p>
    <w:p w14:paraId="6027DC02" w14:textId="77777777" w:rsidR="00B4125E" w:rsidRPr="005A6041" w:rsidRDefault="00B4125E" w:rsidP="00627688">
      <w:pPr>
        <w:spacing w:line="240" w:lineRule="auto"/>
      </w:pPr>
      <w:r w:rsidRPr="005A6041">
        <w:rPr>
          <w:i/>
          <w:iCs/>
        </w:rPr>
        <w:t>What is the geographic distribution of the HIV epidemic in Massachusetts?</w:t>
      </w:r>
    </w:p>
    <w:p w14:paraId="669630D5" w14:textId="1F355848" w:rsidR="00D204CA" w:rsidRPr="005A6041" w:rsidRDefault="00D204CA" w:rsidP="00D204CA">
      <w:pPr>
        <w:spacing w:line="240" w:lineRule="auto"/>
        <w:rPr>
          <w:b/>
          <w:bCs/>
        </w:rPr>
      </w:pPr>
      <w:r w:rsidRPr="005A6041">
        <w:rPr>
          <w:b/>
          <w:bCs/>
        </w:rPr>
        <w:t xml:space="preserve">FIGURE 20. </w:t>
      </w:r>
      <w:r w:rsidRPr="005A6041">
        <w:t xml:space="preserve">Percentage distributions of </w:t>
      </w:r>
      <w:r w:rsidR="00793583" w:rsidRPr="005A6041">
        <w:t>2022–2024</w:t>
      </w:r>
      <w:r w:rsidR="006C7ED8" w:rsidRPr="005A6041">
        <w:t xml:space="preserve"> HIV infection diagnoses (N=1,</w:t>
      </w:r>
      <w:r w:rsidR="005A6041" w:rsidRPr="005A6041">
        <w:t>596</w:t>
      </w:r>
      <w:r w:rsidR="006C7ED8" w:rsidRPr="005A6041">
        <w:t>) and 202</w:t>
      </w:r>
      <w:r w:rsidR="005A6041" w:rsidRPr="005A6041">
        <w:t>4</w:t>
      </w:r>
      <w:r w:rsidR="006C7ED8" w:rsidRPr="005A6041">
        <w:t xml:space="preserve"> persons living with HIV infection (PLWH, N=2</w:t>
      </w:r>
      <w:r w:rsidR="00C610DC" w:rsidRPr="005A6041">
        <w:t>4,</w:t>
      </w:r>
      <w:r w:rsidR="005A6041" w:rsidRPr="005A6041">
        <w:t>838</w:t>
      </w:r>
      <w:r w:rsidR="006C7ED8" w:rsidRPr="005A6041">
        <w:t>) by Health Service Region (HSR), Massachusetts</w:t>
      </w:r>
    </w:p>
    <w:p w14:paraId="70D052D0" w14:textId="499F3F1C" w:rsidR="007156A8" w:rsidRPr="005A6041" w:rsidRDefault="00571D8A" w:rsidP="00627688">
      <w:pPr>
        <w:spacing w:line="240" w:lineRule="auto"/>
      </w:pPr>
      <w:r w:rsidRPr="005A6041">
        <w:rPr>
          <w:noProof/>
        </w:rPr>
        <w:drawing>
          <wp:inline distT="0" distB="0" distL="0" distR="0" wp14:anchorId="6E7CA60C" wp14:editId="1938A599">
            <wp:extent cx="6480810" cy="1676400"/>
            <wp:effectExtent l="0" t="0" r="0" b="0"/>
            <wp:docPr id="817563196" name="Picture 1" descr="The figure is a series of bar charts showing the percentage distribution of recent HIV diagnoses and people living with HIV infection by health service reg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563196" name="Picture 1" descr="The figure is a series of bar charts showing the percentage distribution of recent HIV diagnoses and people living with HIV infection by health service region.&#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80810" cy="1676400"/>
                    </a:xfrm>
                    <a:prstGeom prst="rect">
                      <a:avLst/>
                    </a:prstGeom>
                    <a:noFill/>
                  </pic:spPr>
                </pic:pic>
              </a:graphicData>
            </a:graphic>
          </wp:inline>
        </w:drawing>
      </w:r>
    </w:p>
    <w:p w14:paraId="6C03ED3E" w14:textId="1D595CB0" w:rsidR="00B4125E" w:rsidRPr="005A6041" w:rsidRDefault="00B4125E" w:rsidP="00627688">
      <w:pPr>
        <w:spacing w:after="0" w:line="240" w:lineRule="auto"/>
        <w:rPr>
          <w:sz w:val="20"/>
          <w:szCs w:val="20"/>
        </w:rPr>
      </w:pPr>
      <w:r w:rsidRPr="005A6041">
        <w:rPr>
          <w:sz w:val="20"/>
          <w:szCs w:val="20"/>
        </w:rPr>
        <w:t xml:space="preserve">Figure </w:t>
      </w:r>
      <w:r w:rsidR="008A31A6" w:rsidRPr="005A6041">
        <w:rPr>
          <w:sz w:val="20"/>
          <w:szCs w:val="20"/>
        </w:rPr>
        <w:t>20</w:t>
      </w:r>
      <w:r w:rsidRPr="005A6041">
        <w:rPr>
          <w:sz w:val="20"/>
          <w:szCs w:val="20"/>
        </w:rPr>
        <w:t xml:space="preserve"> Note: *</w:t>
      </w:r>
      <w:r w:rsidR="008A31A6" w:rsidRPr="005A6041">
        <w:rPr>
          <w:sz w:val="20"/>
          <w:szCs w:val="20"/>
        </w:rPr>
        <w:t>HSRs are regions defined geographically to facilitate focused health service planning. While prisons are not an HSR, the prison population is presented separately in this analysis because of its unique service planning needs. The prisons category represents persons who were diagnosed with HIV infection while in a correctional facility. As these data do not reflect current incarceration status, the category is not included for persons living with HIV infection.</w:t>
      </w:r>
    </w:p>
    <w:p w14:paraId="79931744" w14:textId="1AF073B5" w:rsidR="00971C91" w:rsidRPr="00030CFD" w:rsidRDefault="00971C91" w:rsidP="00627688">
      <w:pPr>
        <w:spacing w:after="0" w:line="240" w:lineRule="auto"/>
        <w:rPr>
          <w:color w:val="EE0000"/>
          <w:sz w:val="20"/>
          <w:szCs w:val="20"/>
        </w:rPr>
      </w:pPr>
    </w:p>
    <w:p w14:paraId="47D5D891" w14:textId="115449BC" w:rsidR="00C610DC" w:rsidRPr="005A6041" w:rsidRDefault="005A6041" w:rsidP="00627688">
      <w:pPr>
        <w:spacing w:line="240" w:lineRule="auto"/>
      </w:pPr>
      <w:r w:rsidRPr="005A6041">
        <w:t>The greatest proportion of new HIV infection diagnoses in 2022 – 2024</w:t>
      </w:r>
      <w:r w:rsidR="001E08C0" w:rsidRPr="00F725AB">
        <w:rPr>
          <w:rStyle w:val="FootnoteReference"/>
        </w:rPr>
        <w:footnoteReference w:id="65"/>
      </w:r>
      <w:r w:rsidRPr="005A6041">
        <w:t xml:space="preserve"> was among residents of the Boston HSR (25%), followed by the Northeast HSR (20%), the Southeast HSR (20%), and the Metro West HSR (14%). Similar geographic distributions were observed for persons living with HIV infection (PLWH). The Boston HSR had the highest proportion of PLWH in 202</w:t>
      </w:r>
      <w:r w:rsidR="001E08C0">
        <w:t>4</w:t>
      </w:r>
      <w:r w:rsidRPr="005A6041">
        <w:t xml:space="preserve"> (26%), followed by the Northeast HSR (19%), the Southeast HSR (17%), and the Metro West HSR (16%)</w:t>
      </w:r>
      <w:r w:rsidR="00C610DC" w:rsidRPr="005A6041">
        <w:t xml:space="preserve">.  </w:t>
      </w:r>
    </w:p>
    <w:p w14:paraId="15939EBA" w14:textId="794834E3" w:rsidR="00971C91" w:rsidRPr="005A6041" w:rsidRDefault="00971C91" w:rsidP="00627688">
      <w:pPr>
        <w:spacing w:line="240" w:lineRule="auto"/>
      </w:pPr>
      <w:r w:rsidRPr="005A6041">
        <w:rPr>
          <w:b/>
          <w:bCs/>
        </w:rPr>
        <w:t>FIGURE 2</w:t>
      </w:r>
      <w:r w:rsidR="0099285E" w:rsidRPr="005A6041">
        <w:rPr>
          <w:b/>
          <w:bCs/>
        </w:rPr>
        <w:t>1</w:t>
      </w:r>
      <w:r w:rsidRPr="005A6041">
        <w:rPr>
          <w:b/>
          <w:bCs/>
        </w:rPr>
        <w:t xml:space="preserve">. </w:t>
      </w:r>
      <w:r w:rsidRPr="005A6041">
        <w:t xml:space="preserve">Percentage distribution of HIV infection diagnoses by Health Service Region (HSR) and exposure mode, </w:t>
      </w:r>
      <w:r w:rsidR="0099285E" w:rsidRPr="005A6041">
        <w:t xml:space="preserve">Massachusetts </w:t>
      </w:r>
      <w:r w:rsidR="00793583" w:rsidRPr="005A6041">
        <w:t>2022–2024</w:t>
      </w:r>
      <w:r w:rsidR="005B0C87" w:rsidRPr="005A6041">
        <w:t xml:space="preserve"> (N=1,</w:t>
      </w:r>
      <w:r w:rsidR="001F3699">
        <w:t>596</w:t>
      </w:r>
      <w:r w:rsidR="005B0C87" w:rsidRPr="005A6041">
        <w:t>)</w:t>
      </w:r>
    </w:p>
    <w:p w14:paraId="0BCDDE69" w14:textId="4B6638D6" w:rsidR="005B0C87" w:rsidRPr="00030CFD" w:rsidRDefault="000119A9" w:rsidP="00F76EB7">
      <w:pPr>
        <w:spacing w:after="120" w:line="240" w:lineRule="auto"/>
        <w:rPr>
          <w:color w:val="EE0000"/>
        </w:rPr>
      </w:pPr>
      <w:r>
        <w:rPr>
          <w:noProof/>
          <w:color w:val="EE0000"/>
        </w:rPr>
        <w:lastRenderedPageBreak/>
        <w:drawing>
          <wp:inline distT="0" distB="0" distL="0" distR="0" wp14:anchorId="0406AAB0" wp14:editId="12BBF640">
            <wp:extent cx="6858635" cy="2804160"/>
            <wp:effectExtent l="0" t="0" r="0" b="0"/>
            <wp:docPr id="2074172558" name="Picture 2" descr="The figure is a bar chart displaying the percentage distribution of recent HIV diagnoses by exposure mode for each of six health service regions: Boston, Central, MetroWest, Northeast, Southeast, and Wester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72558" name="Picture 2" descr="The figure is a bar chart displaying the percentage distribution of recent HIV diagnoses by exposure mode for each of six health service regions: Boston, Central, MetroWest, Northeast, Southeast, and Western.&#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635" cy="2804160"/>
                    </a:xfrm>
                    <a:prstGeom prst="rect">
                      <a:avLst/>
                    </a:prstGeom>
                    <a:noFill/>
                  </pic:spPr>
                </pic:pic>
              </a:graphicData>
            </a:graphic>
          </wp:inline>
        </w:drawing>
      </w:r>
    </w:p>
    <w:p w14:paraId="472102C7" w14:textId="23EBE150" w:rsidR="00684845" w:rsidRPr="00684845" w:rsidRDefault="00684845" w:rsidP="00684845">
      <w:pPr>
        <w:spacing w:after="120" w:line="240" w:lineRule="auto"/>
      </w:pPr>
      <w:r w:rsidRPr="00684845">
        <w:t>MSM was the most frequently reported exposure mode in all regions of Massachusetts for individuals diagnosed with HIV infection during 2022 to 2024, accounting for 54% of diagnoses in the Western HSR, 46% in the Metro West HSR, 43% in the Central HSR, 42% in the Boston HSR, 38% in the Northeast HSR, and 35% in the Southeast HSR. The Boston and Central HSRs had the highest proportion of individuals with IDU exposure mode</w:t>
      </w:r>
      <w:r w:rsidR="004D349A">
        <w:t>,</w:t>
      </w:r>
      <w:r w:rsidRPr="00684845">
        <w:t xml:space="preserve"> both at 9%. IDU accounted for 4% to 7% of HIV infection diagnoses in the remaining regions.</w:t>
      </w:r>
    </w:p>
    <w:p w14:paraId="3C3214F8" w14:textId="5915FB1D" w:rsidR="00971C91" w:rsidRPr="001F3699" w:rsidRDefault="00971C91" w:rsidP="00F76EB7">
      <w:pPr>
        <w:spacing w:after="120" w:line="240" w:lineRule="auto"/>
      </w:pPr>
      <w:r w:rsidRPr="001F3699">
        <w:rPr>
          <w:b/>
          <w:bCs/>
        </w:rPr>
        <w:t>FIGURE 2</w:t>
      </w:r>
      <w:r w:rsidR="00F76EB7" w:rsidRPr="001F3699">
        <w:rPr>
          <w:b/>
          <w:bCs/>
        </w:rPr>
        <w:t>2</w:t>
      </w:r>
      <w:r w:rsidRPr="001F3699">
        <w:rPr>
          <w:b/>
          <w:bCs/>
        </w:rPr>
        <w:t xml:space="preserve">. </w:t>
      </w:r>
      <w:r w:rsidRPr="001F3699">
        <w:t xml:space="preserve">Percentage distribution of HIV infection diagnoses by Health Service Region (HSR) and race/ethnicity, Massachusetts </w:t>
      </w:r>
      <w:r w:rsidR="00793583" w:rsidRPr="001F3699">
        <w:t>2022–2024</w:t>
      </w:r>
      <w:r w:rsidR="009C69B8" w:rsidRPr="001F3699">
        <w:t xml:space="preserve"> (N=1,</w:t>
      </w:r>
      <w:r w:rsidR="001F3699" w:rsidRPr="001F3699">
        <w:t>596</w:t>
      </w:r>
      <w:r w:rsidR="009C69B8" w:rsidRPr="001F3699">
        <w:t>)</w:t>
      </w:r>
    </w:p>
    <w:p w14:paraId="277DD80F" w14:textId="680BE791" w:rsidR="005D70E8" w:rsidRPr="00555BAF" w:rsidRDefault="00555BAF" w:rsidP="00F17DF4">
      <w:pPr>
        <w:spacing w:after="120" w:line="240" w:lineRule="auto"/>
      </w:pPr>
      <w:r w:rsidRPr="00555BAF">
        <w:rPr>
          <w:noProof/>
        </w:rPr>
        <w:drawing>
          <wp:inline distT="0" distB="0" distL="0" distR="0" wp14:anchorId="0235AC1E" wp14:editId="15AB3EDB">
            <wp:extent cx="6858635" cy="2707005"/>
            <wp:effectExtent l="0" t="0" r="0" b="0"/>
            <wp:docPr id="1039199984" name="Picture 3" descr="The figure is a bar chart displaying the percentage distribution of recent HIV diagnoses by race/ethnicity for each of six health service regions: Boston, Central, MetroWest, Northeast, Southeast, and Wester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99984" name="Picture 3" descr="The figure is a bar chart displaying the percentage distribution of recent HIV diagnoses by race/ethnicity for each of six health service regions: Boston, Central, MetroWest, Northeast, Southeast, and Western.&#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635" cy="2707005"/>
                    </a:xfrm>
                    <a:prstGeom prst="rect">
                      <a:avLst/>
                    </a:prstGeom>
                    <a:noFill/>
                  </pic:spPr>
                </pic:pic>
              </a:graphicData>
            </a:graphic>
          </wp:inline>
        </w:drawing>
      </w:r>
    </w:p>
    <w:p w14:paraId="4F23DC7A" w14:textId="310E8D4C" w:rsidR="00D2042E" w:rsidRPr="00555BAF" w:rsidRDefault="00555BAF" w:rsidP="00D2042E">
      <w:pPr>
        <w:spacing w:after="120" w:line="240" w:lineRule="auto"/>
      </w:pPr>
      <w:r w:rsidRPr="00555BAF">
        <w:t xml:space="preserve">The Southeast and Western HSRs had the highest proportions of recent HIV infection diagnoses </w:t>
      </w:r>
      <w:r w:rsidR="00D2042E" w:rsidRPr="00555BAF">
        <w:t>(</w:t>
      </w:r>
      <w:r w:rsidR="00793583" w:rsidRPr="00555BAF">
        <w:t>2022–2024</w:t>
      </w:r>
      <w:r w:rsidR="00D2042E" w:rsidRPr="00555BAF">
        <w:rPr>
          <w:vertAlign w:val="superscript"/>
        </w:rPr>
        <w:t>i</w:t>
      </w:r>
      <w:r w:rsidR="00D2042E" w:rsidRPr="00555BAF">
        <w:t xml:space="preserve">) </w:t>
      </w:r>
      <w:r w:rsidRPr="00555BAF">
        <w:t xml:space="preserve">among White (non-Hispanic) individuals at 34% and 33%, respectively, while the Southeast HSR had the highest proportion among Black non-Hispanic individuals at 49%, and the Western and </w:t>
      </w:r>
      <w:r w:rsidRPr="00555BAF">
        <w:lastRenderedPageBreak/>
        <w:t>Northeast HSRs had the highest proportion among Hispanic/Latinx individuals at 39% and 38%, respectively</w:t>
      </w:r>
      <w:r w:rsidR="00D2042E" w:rsidRPr="00555BAF">
        <w:t>.</w:t>
      </w:r>
    </w:p>
    <w:p w14:paraId="36B9B967" w14:textId="4DAC0CCB" w:rsidR="00971C91" w:rsidRPr="00555BAF" w:rsidRDefault="00971C91" w:rsidP="77C9BAEE">
      <w:pPr>
        <w:spacing w:after="120" w:line="240" w:lineRule="auto"/>
      </w:pPr>
      <w:r w:rsidRPr="00555BAF">
        <w:rPr>
          <w:b/>
          <w:bCs/>
        </w:rPr>
        <w:t>FIGURE 2</w:t>
      </w:r>
      <w:r w:rsidR="005D70E8" w:rsidRPr="00555BAF">
        <w:rPr>
          <w:b/>
          <w:bCs/>
        </w:rPr>
        <w:t>3</w:t>
      </w:r>
      <w:r w:rsidRPr="00555BAF">
        <w:rPr>
          <w:b/>
          <w:bCs/>
        </w:rPr>
        <w:t xml:space="preserve">. </w:t>
      </w:r>
      <w:r w:rsidRPr="00555BAF">
        <w:t xml:space="preserve">Average annual age-adjusted rate of HIV infection diagnosis per 100,000 population by county, Massachusetts </w:t>
      </w:r>
      <w:r w:rsidR="00793583" w:rsidRPr="00555BAF">
        <w:t>2022–2024</w:t>
      </w:r>
    </w:p>
    <w:p w14:paraId="17C7736E" w14:textId="507575F9" w:rsidR="00E81692" w:rsidRPr="003A130A" w:rsidRDefault="00651FF4" w:rsidP="00B4091A">
      <w:pPr>
        <w:rPr>
          <w:sz w:val="20"/>
          <w:szCs w:val="20"/>
        </w:rPr>
      </w:pPr>
      <w:r w:rsidRPr="003A130A">
        <w:rPr>
          <w:noProof/>
          <w:sz w:val="20"/>
          <w:szCs w:val="20"/>
        </w:rPr>
        <w:drawing>
          <wp:inline distT="0" distB="0" distL="0" distR="0" wp14:anchorId="0317A52B" wp14:editId="6E7D340D">
            <wp:extent cx="6515100" cy="2425079"/>
            <wp:effectExtent l="0" t="0" r="0" b="0"/>
            <wp:docPr id="718265550" name="Picture 4" descr="The figure is a bar chart that displays the average annual rate of HIV diagnosis per 100,000 population for all Massachusetts counties: Barnstable/Dukes/Nantucket (7.0), Berkshire (6.0), Bristol (7.5), Essex (7.2), Franklin (2.1), Hampden (8.6), Hampshire (2.8), Middlesex (5.9), Norfolk (4.8), Plymouth (9.7), Suffolk (14.7), and Worcester (6.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65550" name="Picture 4" descr="The figure is a bar chart that displays the average annual rate of HIV diagnosis per 100,000 population for all Massachusetts counties: Barnstable/Dukes/Nantucket (7.0), Berkshire (6.0), Bristol (7.5), Essex (7.2), Franklin (2.1), Hampden (8.6), Hampshire (2.8), Middlesex (5.9), Norfolk (4.8), Plymouth (9.7), Suffolk (14.7), and Worcester (6.4).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19557" cy="2426738"/>
                    </a:xfrm>
                    <a:prstGeom prst="rect">
                      <a:avLst/>
                    </a:prstGeom>
                    <a:noFill/>
                  </pic:spPr>
                </pic:pic>
              </a:graphicData>
            </a:graphic>
          </wp:inline>
        </w:drawing>
      </w:r>
    </w:p>
    <w:p w14:paraId="22E45D02" w14:textId="7BC6E18A" w:rsidR="00B4091A" w:rsidRPr="003A130A" w:rsidRDefault="00DC1996" w:rsidP="00B4091A">
      <w:pPr>
        <w:rPr>
          <w:sz w:val="20"/>
          <w:szCs w:val="20"/>
        </w:rPr>
      </w:pPr>
      <w:r w:rsidRPr="003A130A">
        <w:rPr>
          <w:sz w:val="20"/>
          <w:szCs w:val="20"/>
        </w:rPr>
        <w:t>Figure 2</w:t>
      </w:r>
      <w:r w:rsidR="00AA1713" w:rsidRPr="003A130A">
        <w:rPr>
          <w:sz w:val="20"/>
          <w:szCs w:val="20"/>
        </w:rPr>
        <w:t>3</w:t>
      </w:r>
      <w:r w:rsidRPr="003A130A">
        <w:rPr>
          <w:sz w:val="20"/>
          <w:szCs w:val="20"/>
        </w:rPr>
        <w:t xml:space="preserve"> Note: *Rates based on numerators &lt;12 are marked with an asterisk (*) and should be interpreted with caution.</w:t>
      </w:r>
      <w:r w:rsidR="00F16B04" w:rsidRPr="003A130A">
        <w:rPr>
          <w:sz w:val="20"/>
          <w:szCs w:val="20"/>
        </w:rPr>
        <w:t xml:space="preserve"> Barnstable, Dukes, and Nantucket</w:t>
      </w:r>
      <w:r w:rsidR="00B4091A" w:rsidRPr="003A130A">
        <w:rPr>
          <w:sz w:val="20"/>
          <w:szCs w:val="20"/>
        </w:rPr>
        <w:t xml:space="preserve"> Counties are combined because of small numbers. </w:t>
      </w:r>
    </w:p>
    <w:p w14:paraId="1605C1D6" w14:textId="2F885081" w:rsidR="00960062" w:rsidRPr="00030CFD" w:rsidRDefault="00144F96" w:rsidP="00627688">
      <w:pPr>
        <w:spacing w:line="240" w:lineRule="auto"/>
        <w:rPr>
          <w:color w:val="EE0000"/>
        </w:rPr>
      </w:pPr>
      <w:r w:rsidRPr="00144F96">
        <w:t xml:space="preserve">Suffolk County, in which Boston is the biggest city, was selected as one of 48 counties nationally that was prioritized for funding in the U.S. Department of Health and Human Services’ initiative “Ending the HIV Epidemic (EHE): A Plan for America”. This is a ten-year initiative beginning in 2020 to achieve a 75% reduction in new HIV infections in five years and at least a 90% reduction in ten years. For more information about EHE, see </w:t>
      </w:r>
      <w:hyperlink r:id="rId42" w:history="1">
        <w:r w:rsidRPr="00FA535B">
          <w:rPr>
            <w:rStyle w:val="Hyperlink"/>
            <w:color w:val="3333FF"/>
          </w:rPr>
          <w:t>https://www.hrsa.gov/ending-hiv-epidemic</w:t>
        </w:r>
      </w:hyperlink>
      <w:r>
        <w:t xml:space="preserve"> </w:t>
      </w:r>
      <w:r w:rsidR="00B62B50">
        <w:t xml:space="preserve">and </w:t>
      </w:r>
      <w:r w:rsidRPr="00144F96">
        <w:t xml:space="preserve">the </w:t>
      </w:r>
      <w:hyperlink r:id="rId43" w:history="1">
        <w:r w:rsidRPr="004D349A">
          <w:rPr>
            <w:rStyle w:val="Hyperlink"/>
            <w:color w:val="3333FF"/>
          </w:rPr>
          <w:t>Suffolk County EHE Plan</w:t>
        </w:r>
      </w:hyperlink>
      <w:r w:rsidRPr="00144F96">
        <w:t>. Suffolk County had the highest average age-adjusted rate of HIV infection diagnosis during 2022 to 2024 among all Massachusetts counties at 14.7 per 100,000, as well as the highest prevalence rate of persons living with HIV infection in 2024 at 798.1 per 100,000</w:t>
      </w:r>
      <w:r w:rsidR="5EAB8248" w:rsidRPr="00144F96">
        <w:t>.</w:t>
      </w:r>
      <w:r w:rsidR="003739DA" w:rsidRPr="00144F96">
        <w:rPr>
          <w:rStyle w:val="FootnoteReference"/>
        </w:rPr>
        <w:t xml:space="preserve"> </w:t>
      </w:r>
      <w:r w:rsidR="003739DA" w:rsidRPr="00144F96">
        <w:rPr>
          <w:rStyle w:val="FootnoteReference"/>
        </w:rPr>
        <w:footnoteReference w:id="66"/>
      </w:r>
    </w:p>
    <w:p w14:paraId="45EC8870" w14:textId="77777777" w:rsidR="001507FF" w:rsidRPr="00030CFD" w:rsidRDefault="001507FF">
      <w:pPr>
        <w:rPr>
          <w:b/>
          <w:bCs/>
          <w:color w:val="EE0000"/>
        </w:rPr>
      </w:pPr>
      <w:r w:rsidRPr="00030CFD">
        <w:rPr>
          <w:b/>
          <w:bCs/>
          <w:color w:val="EE0000"/>
        </w:rPr>
        <w:br w:type="page"/>
      </w:r>
    </w:p>
    <w:p w14:paraId="2C3CCEE0" w14:textId="5C835839" w:rsidR="00DC1996" w:rsidRPr="00A32BFF" w:rsidRDefault="00DC1996" w:rsidP="00627688">
      <w:pPr>
        <w:spacing w:line="240" w:lineRule="auto"/>
      </w:pPr>
      <w:r w:rsidRPr="00A32BFF">
        <w:rPr>
          <w:b/>
          <w:bCs/>
        </w:rPr>
        <w:lastRenderedPageBreak/>
        <w:t>FIGURE 2</w:t>
      </w:r>
      <w:r w:rsidR="00960062" w:rsidRPr="00A32BFF">
        <w:rPr>
          <w:b/>
          <w:bCs/>
        </w:rPr>
        <w:t>4</w:t>
      </w:r>
      <w:r w:rsidRPr="00A32BFF">
        <w:rPr>
          <w:b/>
          <w:bCs/>
        </w:rPr>
        <w:t xml:space="preserve">. </w:t>
      </w:r>
      <w:r w:rsidRPr="00A32BFF">
        <w:t>Average annual rate of HIV infection diagnosis per 100,000 population</w:t>
      </w:r>
      <w:r w:rsidRPr="00A32BFF">
        <w:rPr>
          <w:rStyle w:val="FootnoteReference"/>
        </w:rPr>
        <w:footnoteReference w:id="67"/>
      </w:r>
      <w:r w:rsidRPr="00A32BFF">
        <w:t xml:space="preserve"> by city/town, Massachusetts </w:t>
      </w:r>
      <w:r w:rsidR="00793583" w:rsidRPr="00A32BFF">
        <w:t>2022–2024</w:t>
      </w:r>
    </w:p>
    <w:p w14:paraId="0AFBAA14" w14:textId="776D2EE9" w:rsidR="005C598E" w:rsidRPr="00030CFD" w:rsidRDefault="00DF2469" w:rsidP="005C598E">
      <w:pPr>
        <w:spacing w:line="240" w:lineRule="auto"/>
        <w:rPr>
          <w:color w:val="EE0000"/>
        </w:rPr>
      </w:pPr>
      <w:r>
        <w:rPr>
          <w:noProof/>
          <w:color w:val="EE0000"/>
        </w:rPr>
        <w:drawing>
          <wp:inline distT="0" distB="0" distL="0" distR="0" wp14:anchorId="6640281A" wp14:editId="2BF05519">
            <wp:extent cx="6299261" cy="4015153"/>
            <wp:effectExtent l="0" t="0" r="6350" b="4445"/>
            <wp:docPr id="728448263" name="Picture 1" descr="The figure is a rate map of Massachusetts displaying the average annual rate of diagnosis per 100,000 population by city/town. Cities and towns are in one of six categories: no reported cases, less than 2.6 per 100,000, 2.7-4.1 per 100,000, 4.2-5.6 per 100,000, 5.7-8.9 per 100,000, or greater than 8.9 per 10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48263" name="Picture 1" descr="The figure is a rate map of Massachusetts displaying the average annual rate of diagnosis per 100,000 population by city/town. Cities and towns are in one of six categories: no reported cases, less than 2.6 per 100,000, 2.7-4.1 per 100,000, 4.2-5.6 per 100,000, 5.7-8.9 per 100,000, or greater than 8.9 per 100,000.&#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7843" cy="4020623"/>
                    </a:xfrm>
                    <a:prstGeom prst="rect">
                      <a:avLst/>
                    </a:prstGeom>
                    <a:noFill/>
                  </pic:spPr>
                </pic:pic>
              </a:graphicData>
            </a:graphic>
          </wp:inline>
        </w:drawing>
      </w:r>
    </w:p>
    <w:p w14:paraId="5308A719" w14:textId="579336AE" w:rsidR="00456C58" w:rsidRPr="00996D82" w:rsidRDefault="09086167" w:rsidP="00456C58">
      <w:pPr>
        <w:rPr>
          <w:sz w:val="20"/>
          <w:szCs w:val="20"/>
        </w:rPr>
      </w:pPr>
      <w:r w:rsidRPr="00996D82">
        <w:rPr>
          <w:sz w:val="20"/>
          <w:szCs w:val="20"/>
        </w:rPr>
        <w:t xml:space="preserve">Figure 24 note: Regional HIV </w:t>
      </w:r>
      <w:r w:rsidR="16DE9B7C" w:rsidRPr="00996D82">
        <w:rPr>
          <w:sz w:val="20"/>
          <w:szCs w:val="20"/>
        </w:rPr>
        <w:t xml:space="preserve">diagnosis </w:t>
      </w:r>
      <w:r w:rsidRPr="00996D82">
        <w:rPr>
          <w:sz w:val="20"/>
          <w:szCs w:val="20"/>
        </w:rPr>
        <w:t>data exclude individuals diagnosed in a correctional facility.</w:t>
      </w:r>
    </w:p>
    <w:p w14:paraId="1285C528" w14:textId="4D9627F8" w:rsidR="00EA4EDD" w:rsidRPr="00996D82" w:rsidRDefault="00F64B17" w:rsidP="00627688">
      <w:pPr>
        <w:spacing w:line="240" w:lineRule="auto"/>
      </w:pPr>
      <w:r w:rsidRPr="00996D82">
        <w:t>The cities and towns with the highest average annual rate of HIV infection diagnosis during 20</w:t>
      </w:r>
      <w:r w:rsidR="004C33FA" w:rsidRPr="00996D82">
        <w:t>2</w:t>
      </w:r>
      <w:r w:rsidR="00996D82" w:rsidRPr="00996D82">
        <w:t>2</w:t>
      </w:r>
      <w:r w:rsidRPr="00996D82">
        <w:t xml:space="preserve"> to 202</w:t>
      </w:r>
      <w:r w:rsidR="00996D82" w:rsidRPr="00996D82">
        <w:t>4</w:t>
      </w:r>
      <w:r w:rsidR="001507FF" w:rsidRPr="00996D82">
        <w:rPr>
          <w:rStyle w:val="FootnoteReference"/>
        </w:rPr>
        <w:footnoteReference w:id="68"/>
      </w:r>
      <w:r w:rsidRPr="00996D82">
        <w:t xml:space="preserve"> </w:t>
      </w:r>
      <w:r w:rsidR="00996D82" w:rsidRPr="00996D82">
        <w:t>included Brockton (30.3 per 100,000), Everett (21.1), Chelsea (19.6), Randolph (18.1), and Boston (17.4</w:t>
      </w:r>
      <w:r w:rsidR="00EA4EDD" w:rsidRPr="00996D82">
        <w:t>)</w:t>
      </w:r>
      <w:r w:rsidR="004C33FA" w:rsidRPr="00996D82">
        <w:t>.</w:t>
      </w:r>
      <w:r w:rsidR="00DC1996" w:rsidRPr="00996D82">
        <w:rPr>
          <w:rStyle w:val="FootnoteReference"/>
        </w:rPr>
        <w:footnoteReference w:id="69"/>
      </w:r>
      <w:r w:rsidR="00DC1996" w:rsidRPr="00996D82">
        <w:t xml:space="preserve"> </w:t>
      </w:r>
      <w:r w:rsidR="00996D82" w:rsidRPr="00996D82">
        <w:t>Boston had the highest number of new HIV infection diagnoses from 2022–2024 (N=352), followed by Brockton (N=96).</w:t>
      </w:r>
    </w:p>
    <w:p w14:paraId="35A4FC50" w14:textId="2C5F9AC6" w:rsidR="00DC1996" w:rsidRPr="00996D82" w:rsidRDefault="00996D82" w:rsidP="00627688">
      <w:pPr>
        <w:spacing w:line="240" w:lineRule="auto"/>
        <w:rPr>
          <w:b/>
          <w:bCs/>
        </w:rPr>
      </w:pPr>
      <w:r w:rsidRPr="00996D82">
        <w:t>In early 2019, a new cluster of HIV infection was identified in Boston among PWID who were experiencing or had experienced recent homelessness. As of July 1, 2025, a total of 239 cases diagnosed since November 2018 have been investigated and identified as part of the Boston cluster. Continuing trends among those newly diagnosed in the Boston cluster (N=16 cases diagnosed in 2024) include an increase in polysubstance and methamphetamine use</w:t>
      </w:r>
      <w:r w:rsidR="5B150200" w:rsidRPr="00996D82">
        <w:t>.</w:t>
      </w:r>
      <w:r w:rsidR="00DC1996" w:rsidRPr="00996D82">
        <w:rPr>
          <w:rStyle w:val="FootnoteReference"/>
        </w:rPr>
        <w:footnoteReference w:id="70"/>
      </w:r>
    </w:p>
    <w:p w14:paraId="65BB7560" w14:textId="20659E79" w:rsidR="00DC1996" w:rsidRPr="00996D82" w:rsidRDefault="00DC1996" w:rsidP="00627688">
      <w:pPr>
        <w:spacing w:line="240" w:lineRule="auto"/>
      </w:pPr>
      <w:r w:rsidRPr="00996D82">
        <w:rPr>
          <w:b/>
          <w:bCs/>
        </w:rPr>
        <w:lastRenderedPageBreak/>
        <w:t>FIGURE 2</w:t>
      </w:r>
      <w:r w:rsidR="00F64B17" w:rsidRPr="00996D82">
        <w:rPr>
          <w:b/>
          <w:bCs/>
        </w:rPr>
        <w:t>5</w:t>
      </w:r>
      <w:r w:rsidRPr="00996D82">
        <w:rPr>
          <w:b/>
          <w:bCs/>
        </w:rPr>
        <w:t xml:space="preserve">. </w:t>
      </w:r>
      <w:r w:rsidRPr="00996D82">
        <w:t>Prevalence rate of persons living with HIV infection (PLWH) per 100,000 population by city/town, Massachusetts 202</w:t>
      </w:r>
      <w:r w:rsidR="00996D82" w:rsidRPr="00996D82">
        <w:t>4</w:t>
      </w:r>
      <w:r w:rsidR="00617031" w:rsidRPr="00996D82">
        <w:rPr>
          <w:rStyle w:val="FootnoteReference"/>
        </w:rPr>
        <w:footnoteReference w:id="71"/>
      </w:r>
    </w:p>
    <w:p w14:paraId="14C1FEB7" w14:textId="7247BF5B" w:rsidR="00DC1996" w:rsidRPr="00030CFD" w:rsidRDefault="00E92A99" w:rsidP="00627688">
      <w:pPr>
        <w:spacing w:line="240" w:lineRule="auto"/>
        <w:rPr>
          <w:color w:val="EE0000"/>
        </w:rPr>
      </w:pPr>
      <w:r>
        <w:rPr>
          <w:noProof/>
          <w:color w:val="EE0000"/>
        </w:rPr>
        <w:drawing>
          <wp:inline distT="0" distB="0" distL="0" distR="0" wp14:anchorId="00F1D686" wp14:editId="28FE44B6">
            <wp:extent cx="6459415" cy="4122280"/>
            <wp:effectExtent l="0" t="0" r="0" b="0"/>
            <wp:docPr id="253899402" name="Picture 2" descr="The figure is a rate map of Massachusetts displaying the HIV prevalence rate per 100,000 population by city/town. Cities and towns are in one of six categories: no reported cases, less than 84.2 per 100,000, 84.2-122.4 per 100,000, 122.5-170.4 per 100,000, 170.5-275.8 per 100,000, or greater than 275.8 per 10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99402" name="Picture 2" descr="The figure is a rate map of Massachusetts displaying the HIV prevalence rate per 100,000 population by city/town. Cities and towns are in one of six categories: no reported cases, less than 84.2 per 100,000, 84.2-122.4 per 100,000, 122.5-170.4 per 100,000, 170.5-275.8 per 100,000, or greater than 275.8 per 100,000.&#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66531" cy="4126822"/>
                    </a:xfrm>
                    <a:prstGeom prst="rect">
                      <a:avLst/>
                    </a:prstGeom>
                    <a:noFill/>
                  </pic:spPr>
                </pic:pic>
              </a:graphicData>
            </a:graphic>
          </wp:inline>
        </w:drawing>
      </w:r>
    </w:p>
    <w:p w14:paraId="0946EF2E" w14:textId="0A547622" w:rsidR="00456C58" w:rsidRPr="00E630D9" w:rsidRDefault="09086167" w:rsidP="00456C58">
      <w:pPr>
        <w:rPr>
          <w:sz w:val="20"/>
          <w:szCs w:val="20"/>
        </w:rPr>
      </w:pPr>
      <w:r w:rsidRPr="00E630D9">
        <w:rPr>
          <w:sz w:val="20"/>
          <w:szCs w:val="20"/>
        </w:rPr>
        <w:t xml:space="preserve">Figure 25 note: Regional HIV data </w:t>
      </w:r>
      <w:r w:rsidR="790231E6" w:rsidRPr="00E630D9">
        <w:rPr>
          <w:sz w:val="20"/>
          <w:szCs w:val="20"/>
        </w:rPr>
        <w:t xml:space="preserve">may include PLWH who </w:t>
      </w:r>
      <w:r w:rsidR="759BA460" w:rsidRPr="00E630D9">
        <w:rPr>
          <w:sz w:val="20"/>
          <w:szCs w:val="20"/>
        </w:rPr>
        <w:t xml:space="preserve">may </w:t>
      </w:r>
      <w:r w:rsidR="003739DA" w:rsidRPr="00E630D9">
        <w:rPr>
          <w:sz w:val="20"/>
          <w:szCs w:val="20"/>
        </w:rPr>
        <w:t>have been</w:t>
      </w:r>
      <w:r w:rsidR="759BA460" w:rsidRPr="00E630D9">
        <w:rPr>
          <w:sz w:val="20"/>
          <w:szCs w:val="20"/>
        </w:rPr>
        <w:t xml:space="preserve"> incarcerated in 202</w:t>
      </w:r>
      <w:r w:rsidR="00996D82" w:rsidRPr="00E630D9">
        <w:rPr>
          <w:sz w:val="20"/>
          <w:szCs w:val="20"/>
        </w:rPr>
        <w:t>4</w:t>
      </w:r>
      <w:r w:rsidRPr="00E630D9">
        <w:rPr>
          <w:sz w:val="20"/>
          <w:szCs w:val="20"/>
        </w:rPr>
        <w:t>.</w:t>
      </w:r>
    </w:p>
    <w:p w14:paraId="18561C60" w14:textId="6196B60A" w:rsidR="00797F43" w:rsidRPr="00030CFD" w:rsidRDefault="006621E7" w:rsidP="00797F43">
      <w:pPr>
        <w:spacing w:line="240" w:lineRule="auto"/>
        <w:rPr>
          <w:b/>
          <w:bCs/>
          <w:color w:val="EE0000"/>
        </w:rPr>
      </w:pPr>
      <w:r w:rsidRPr="002E1DEC">
        <w:t>The cities and towns in Massachusetts with the highest prevalence rate of PLWH in 202</w:t>
      </w:r>
      <w:r w:rsidR="00E630D9" w:rsidRPr="002E1DEC">
        <w:t>4</w:t>
      </w:r>
      <w:r w:rsidRPr="002E1DEC">
        <w:t xml:space="preserve"> included </w:t>
      </w:r>
      <w:r w:rsidR="00E630D9" w:rsidRPr="002E1DEC">
        <w:t>Provincetown (12,313.6 per 100,000)</w:t>
      </w:r>
      <w:r w:rsidR="002E3301" w:rsidRPr="002E1DEC">
        <w:t>,</w:t>
      </w:r>
      <w:r w:rsidR="002E1DEC" w:rsidRPr="002E1DEC">
        <w:t xml:space="preserve"> Ayer (861.0), Boston (853.0), Springfield (846.5), and Chelsea (789.5)</w:t>
      </w:r>
      <w:r w:rsidR="00BE2837" w:rsidRPr="002E1DEC">
        <w:t>.</w:t>
      </w:r>
      <w:r w:rsidR="00B47EB2" w:rsidRPr="002E1DEC">
        <w:rPr>
          <w:rStyle w:val="FootnoteReference"/>
        </w:rPr>
        <w:footnoteReference w:id="72"/>
      </w:r>
      <w:r w:rsidR="00DC1996" w:rsidRPr="002E1DEC">
        <w:t xml:space="preserve"> </w:t>
      </w:r>
      <w:r w:rsidR="002E3301" w:rsidRPr="002E1DEC">
        <w:t>Boston and Springfield had the highest numbers of PLWH in 202</w:t>
      </w:r>
      <w:r w:rsidR="00E630D9" w:rsidRPr="002E1DEC">
        <w:t>4</w:t>
      </w:r>
      <w:r w:rsidR="002E3301" w:rsidRPr="002E1DEC">
        <w:t xml:space="preserve">, </w:t>
      </w:r>
      <w:r w:rsidR="00E630D9" w:rsidRPr="002E1DEC">
        <w:t>at 5,763 and 1,320, respectively</w:t>
      </w:r>
      <w:r w:rsidR="002E3301" w:rsidRPr="002E1DEC">
        <w:t>.</w:t>
      </w:r>
      <w:r w:rsidR="00797F43" w:rsidRPr="00030CFD">
        <w:rPr>
          <w:b/>
          <w:bCs/>
          <w:color w:val="EE0000"/>
        </w:rPr>
        <w:br w:type="page"/>
      </w:r>
    </w:p>
    <w:p w14:paraId="3A59DB2A" w14:textId="1DA11D95" w:rsidR="00B47EB2" w:rsidRPr="00030CFD" w:rsidRDefault="00B47EB2" w:rsidP="009661FA">
      <w:pPr>
        <w:pStyle w:val="Heading1"/>
      </w:pPr>
      <w:bookmarkStart w:id="8" w:name="_Toc168575096"/>
      <w:r w:rsidRPr="00030CFD">
        <w:lastRenderedPageBreak/>
        <w:t>HIV CARE CONTINUUM</w:t>
      </w:r>
      <w:bookmarkEnd w:id="8"/>
      <w:r w:rsidR="00646E5D" w:rsidRPr="00030CFD">
        <w:t xml:space="preserve"> – NEWLY DIAGNOSED</w:t>
      </w:r>
    </w:p>
    <w:p w14:paraId="45BEA178" w14:textId="41920DEE" w:rsidR="00616EC4" w:rsidRPr="009C75C5" w:rsidRDefault="00616EC4" w:rsidP="00627688">
      <w:pPr>
        <w:spacing w:line="240" w:lineRule="auto"/>
        <w:rPr>
          <w:b/>
          <w:bCs/>
        </w:rPr>
      </w:pPr>
      <w:r w:rsidRPr="009C75C5">
        <w:rPr>
          <w:b/>
          <w:bCs/>
        </w:rPr>
        <w:t xml:space="preserve">FIGURE 26. </w:t>
      </w:r>
      <w:r w:rsidRPr="009C75C5">
        <w:t xml:space="preserve">Stages of HIV care among individuals newly diagnosed with HIV infection in Massachusetts, </w:t>
      </w:r>
      <w:r w:rsidR="000B7B02" w:rsidRPr="009C75C5">
        <w:t>202</w:t>
      </w:r>
      <w:r w:rsidR="009C75C5" w:rsidRPr="009C75C5">
        <w:t>3</w:t>
      </w:r>
      <w:r w:rsidR="000B7B02" w:rsidRPr="009C75C5">
        <w:t xml:space="preserve"> (N=</w:t>
      </w:r>
      <w:r w:rsidR="009C75C5" w:rsidRPr="009C75C5">
        <w:t>513</w:t>
      </w:r>
      <w:r w:rsidR="000B7B02" w:rsidRPr="009C75C5">
        <w:t xml:space="preserve">) </w:t>
      </w:r>
    </w:p>
    <w:p w14:paraId="270B02EA" w14:textId="12CA4334" w:rsidR="00616EC4" w:rsidRPr="00030CFD" w:rsidRDefault="009C75C5" w:rsidP="00627688">
      <w:pPr>
        <w:spacing w:line="240" w:lineRule="auto"/>
        <w:rPr>
          <w:b/>
          <w:bCs/>
          <w:color w:val="EE0000"/>
        </w:rPr>
      </w:pPr>
      <w:r>
        <w:rPr>
          <w:b/>
          <w:bCs/>
          <w:noProof/>
          <w:color w:val="EE0000"/>
        </w:rPr>
        <w:drawing>
          <wp:inline distT="0" distB="0" distL="0" distR="0" wp14:anchorId="789A478F" wp14:editId="22E8362E">
            <wp:extent cx="3316605" cy="2054225"/>
            <wp:effectExtent l="0" t="0" r="0" b="3175"/>
            <wp:docPr id="1459402617" name="Picture 7" descr="The figure is a bar chart displaying the percentage of individuals newly diagnosed with HIV infection in Massachusetts in 2023 who were linked to care (91%), retained in care (84%), and virally suppressed (8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02617" name="Picture 7" descr="The figure is a bar chart displaying the percentage of individuals newly diagnosed with HIV infection in Massachusetts in 2023 who were linked to care (91%), retained in care (84%), and virally suppressed (85%).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16605" cy="2054225"/>
                    </a:xfrm>
                    <a:prstGeom prst="rect">
                      <a:avLst/>
                    </a:prstGeom>
                    <a:noFill/>
                  </pic:spPr>
                </pic:pic>
              </a:graphicData>
            </a:graphic>
          </wp:inline>
        </w:drawing>
      </w:r>
    </w:p>
    <w:p w14:paraId="03D41D75" w14:textId="13453B72" w:rsidR="001D039F" w:rsidRPr="0099396E" w:rsidRDefault="00616EC4" w:rsidP="001D039F">
      <w:pPr>
        <w:spacing w:line="240" w:lineRule="auto"/>
        <w:rPr>
          <w:b/>
          <w:bCs/>
        </w:rPr>
      </w:pPr>
      <w:r w:rsidRPr="0099396E">
        <w:rPr>
          <w:b/>
          <w:bCs/>
        </w:rPr>
        <w:t>FIGURE 27.</w:t>
      </w:r>
      <w:r w:rsidRPr="0099396E">
        <w:t xml:space="preserve"> Viral load status among individuals newly diagnosed with HIV infection in Massachusetts,</w:t>
      </w:r>
      <w:r w:rsidR="00892474" w:rsidRPr="0099396E">
        <w:t xml:space="preserve"> </w:t>
      </w:r>
      <w:r w:rsidR="001D039F" w:rsidRPr="0099396E">
        <w:t>202</w:t>
      </w:r>
      <w:r w:rsidR="0099396E" w:rsidRPr="0099396E">
        <w:t>3</w:t>
      </w:r>
      <w:r w:rsidR="001D039F" w:rsidRPr="0099396E">
        <w:t xml:space="preserve"> (N=</w:t>
      </w:r>
      <w:r w:rsidR="0099396E" w:rsidRPr="0099396E">
        <w:t>513</w:t>
      </w:r>
      <w:r w:rsidR="001D039F" w:rsidRPr="0099396E">
        <w:t xml:space="preserve">) </w:t>
      </w:r>
    </w:p>
    <w:p w14:paraId="2CB47109" w14:textId="6E2AE364" w:rsidR="00B47EB2" w:rsidRPr="00030CFD" w:rsidRDefault="0099396E" w:rsidP="00627688">
      <w:pPr>
        <w:spacing w:line="240" w:lineRule="auto"/>
        <w:rPr>
          <w:color w:val="EE0000"/>
        </w:rPr>
      </w:pPr>
      <w:r>
        <w:rPr>
          <w:noProof/>
          <w:color w:val="EE0000"/>
        </w:rPr>
        <w:drawing>
          <wp:inline distT="0" distB="0" distL="0" distR="0" wp14:anchorId="0EA550CF" wp14:editId="2A02B1BC">
            <wp:extent cx="3322320" cy="2188845"/>
            <wp:effectExtent l="0" t="0" r="0" b="0"/>
            <wp:docPr id="1900196937" name="Picture 8" descr="The figure is a pie chart indicating the proportion of individuals who were newly diagnosed with HIV infection in 2023 who were virally suppressed (85%), missing viral load data (4%), or for whom viral load was not suppressed (12%). NOTE: Missing viral load data includes individuals who have not had a lab reported in the p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96937" name="Picture 8" descr="The figure is a pie chart indicating the proportion of individuals who were newly diagnosed with HIV infection in 2023 who were virally suppressed (85%), missing viral load data (4%), or for whom viral load was not suppressed (12%). NOTE: Missing viral load data includes individuals who have not had a lab reported in the past year.&#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22320" cy="2188845"/>
                    </a:xfrm>
                    <a:prstGeom prst="rect">
                      <a:avLst/>
                    </a:prstGeom>
                    <a:noFill/>
                  </pic:spPr>
                </pic:pic>
              </a:graphicData>
            </a:graphic>
          </wp:inline>
        </w:drawing>
      </w:r>
    </w:p>
    <w:p w14:paraId="02EF9FC5" w14:textId="53D67A44" w:rsidR="00B47EB2" w:rsidRPr="0099396E" w:rsidRDefault="00B47EB2" w:rsidP="00627688">
      <w:pPr>
        <w:spacing w:line="240" w:lineRule="auto"/>
        <w:rPr>
          <w:sz w:val="20"/>
          <w:szCs w:val="20"/>
        </w:rPr>
      </w:pPr>
      <w:r w:rsidRPr="0099396E">
        <w:rPr>
          <w:sz w:val="20"/>
          <w:szCs w:val="20"/>
        </w:rPr>
        <w:t>Figure 2</w:t>
      </w:r>
      <w:r w:rsidR="00617031" w:rsidRPr="0099396E">
        <w:rPr>
          <w:sz w:val="20"/>
          <w:szCs w:val="20"/>
        </w:rPr>
        <w:t>7</w:t>
      </w:r>
      <w:r w:rsidRPr="0099396E">
        <w:rPr>
          <w:sz w:val="20"/>
          <w:szCs w:val="20"/>
        </w:rPr>
        <w:t xml:space="preserve"> Note: Missing Viral Load Data includes individuals who had not had a lab reported in the </w:t>
      </w:r>
      <w:r w:rsidR="079C7E3D" w:rsidRPr="0099396E">
        <w:rPr>
          <w:sz w:val="20"/>
          <w:szCs w:val="20"/>
        </w:rPr>
        <w:t>12-month period after diagnosis.</w:t>
      </w:r>
    </w:p>
    <w:p w14:paraId="61ACC6D3" w14:textId="5D979CD7" w:rsidR="00617031" w:rsidRPr="0099396E" w:rsidRDefault="0099396E" w:rsidP="00617031">
      <w:pPr>
        <w:spacing w:line="240" w:lineRule="auto"/>
      </w:pPr>
      <w:r w:rsidRPr="0099396E">
        <w:t>Among 513 individuals newly diagnosed with HIV infection in 2023 (and alive in Massachusetts through 2024)</w:t>
      </w:r>
      <w:r w:rsidR="00D5131D" w:rsidRPr="0099396E">
        <w:t>,</w:t>
      </w:r>
      <w:r w:rsidR="00617031" w:rsidRPr="0099396E">
        <w:rPr>
          <w:rStyle w:val="FootnoteReference"/>
        </w:rPr>
        <w:footnoteReference w:id="73"/>
      </w:r>
      <w:r w:rsidR="31600C73" w:rsidRPr="0099396E">
        <w:t xml:space="preserve"> </w:t>
      </w:r>
      <w:r w:rsidRPr="0099396E">
        <w:t>85% were virally suppressed, 12% were not virally suppressed, and 4% did not have a viral load test in the year after diagnosis. Among those newly diagnosed individuals who were linked to care (N=468) and retained in care (N=433), rates of viral suppression were higher at 90% and 93%, respectively. Among individuals diagnosed with HIV infection in 2023, timely linkage to care differed by exposure mode and age at diagnosis. Viral suppression was lowest among individuals with IDU exposure mode (56% compared to 81% to 90% among other exposure modes).</w:t>
      </w:r>
    </w:p>
    <w:p w14:paraId="00C7DB6A" w14:textId="55F28EF6" w:rsidR="00B0556B" w:rsidRPr="003154E7" w:rsidRDefault="00B0556B" w:rsidP="00B0556B">
      <w:pPr>
        <w:spacing w:line="240" w:lineRule="auto"/>
      </w:pPr>
      <w:r w:rsidRPr="003154E7">
        <w:rPr>
          <w:b/>
          <w:bCs/>
        </w:rPr>
        <w:lastRenderedPageBreak/>
        <w:t>FIGURE 28.</w:t>
      </w:r>
      <w:r w:rsidRPr="003154E7">
        <w:t xml:space="preserve"> </w:t>
      </w:r>
      <w:r w:rsidR="00A56732" w:rsidRPr="003154E7">
        <w:t xml:space="preserve">Linkage to care among individuals newly diagnosed with HIV infection by sex assigned at birth, race/ethnicity, age, and exposure mode, Massachusetts </w:t>
      </w:r>
      <w:r w:rsidR="00D5131D" w:rsidRPr="003154E7">
        <w:t>202</w:t>
      </w:r>
      <w:r w:rsidR="003154E7" w:rsidRPr="003154E7">
        <w:t>3</w:t>
      </w:r>
      <w:r w:rsidR="00D5131D" w:rsidRPr="003154E7">
        <w:t xml:space="preserve"> (N=</w:t>
      </w:r>
      <w:r w:rsidR="003154E7" w:rsidRPr="003154E7">
        <w:t>513</w:t>
      </w:r>
      <w:r w:rsidR="00D5131D" w:rsidRPr="003154E7">
        <w:t>)</w:t>
      </w:r>
      <w:r w:rsidR="007F5CDD" w:rsidRPr="003154E7">
        <w:rPr>
          <w:rStyle w:val="FootnoteReference"/>
        </w:rPr>
        <w:footnoteReference w:id="74"/>
      </w:r>
      <w:r w:rsidR="007F5CDD" w:rsidRPr="003154E7">
        <w:t xml:space="preserve">  </w:t>
      </w:r>
    </w:p>
    <w:p w14:paraId="176AAA9A" w14:textId="06A90AC8" w:rsidR="00B47EB2" w:rsidRPr="00030CFD" w:rsidRDefault="003154E7" w:rsidP="00627688">
      <w:pPr>
        <w:spacing w:line="240" w:lineRule="auto"/>
        <w:rPr>
          <w:color w:val="EE0000"/>
        </w:rPr>
      </w:pPr>
      <w:r>
        <w:rPr>
          <w:noProof/>
          <w:color w:val="EE0000"/>
        </w:rPr>
        <w:drawing>
          <wp:inline distT="0" distB="0" distL="0" distR="0" wp14:anchorId="5FDFC1FA" wp14:editId="2BBC1B77">
            <wp:extent cx="6858635" cy="1932305"/>
            <wp:effectExtent l="0" t="0" r="0" b="0"/>
            <wp:docPr id="2105396487" name="Picture 9" descr="The figure is a bar chart which displays the percentage of individuals who were linked to care among those newly diagnosed with HIV infection by: sex assigned at birth (individuals AMAB and AFAB), race/ethnicity (White NH, Black NH, and Hispanic/Latinx individuals); age at diagnosis (individuals aged 0-19 years, 20-29 years, 30-39 years, 40-49 years, 50-59 years, 60-69 years, and aged 70+ years), and exposure mode (individuals with MSM, IDU, MSM/IDU, HTSX, Pres. HTSX, and NIR exposure mod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396487" name="Picture 9" descr="The figure is a bar chart which displays the percentage of individuals who were linked to care among those newly diagnosed with HIV infection by: sex assigned at birth (individuals AMAB and AFAB), race/ethnicity (White NH, Black NH, and Hispanic/Latinx individuals); age at diagnosis (individuals aged 0-19 years, 20-29 years, 30-39 years, 40-49 years, 50-59 years, 60-69 years, and aged 70+ years), and exposure mode (individuals with MSM, IDU, MSM/IDU, HTSX, Pres. HTSX, and NIR exposure modes).&#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635" cy="1932305"/>
                    </a:xfrm>
                    <a:prstGeom prst="rect">
                      <a:avLst/>
                    </a:prstGeom>
                    <a:noFill/>
                  </pic:spPr>
                </pic:pic>
              </a:graphicData>
            </a:graphic>
          </wp:inline>
        </w:drawing>
      </w:r>
    </w:p>
    <w:p w14:paraId="3635F994" w14:textId="3DA19426" w:rsidR="009F0E92" w:rsidRPr="003154E7" w:rsidRDefault="00B47EB2" w:rsidP="0027575B">
      <w:pPr>
        <w:spacing w:line="240" w:lineRule="auto"/>
        <w:rPr>
          <w:b/>
          <w:bCs/>
        </w:rPr>
      </w:pPr>
      <w:r w:rsidRPr="003154E7">
        <w:rPr>
          <w:b/>
          <w:bCs/>
        </w:rPr>
        <w:t>FIGURE 2</w:t>
      </w:r>
      <w:r w:rsidR="00B0556B" w:rsidRPr="003154E7">
        <w:rPr>
          <w:b/>
          <w:bCs/>
        </w:rPr>
        <w:t>9</w:t>
      </w:r>
      <w:r w:rsidRPr="003154E7">
        <w:rPr>
          <w:b/>
          <w:bCs/>
        </w:rPr>
        <w:t>.</w:t>
      </w:r>
      <w:r w:rsidRPr="003154E7">
        <w:t xml:space="preserve"> </w:t>
      </w:r>
      <w:r w:rsidR="007F5CDD" w:rsidRPr="003154E7">
        <w:t xml:space="preserve">Viral suppression among individuals newly diagnosed with HIV infection by sex, race/ethnicity, age, and exposure mode, Massachusetts </w:t>
      </w:r>
      <w:r w:rsidR="00D5131D" w:rsidRPr="003154E7">
        <w:t>202</w:t>
      </w:r>
      <w:r w:rsidR="003154E7" w:rsidRPr="003154E7">
        <w:t>3</w:t>
      </w:r>
      <w:r w:rsidR="00D5131D" w:rsidRPr="003154E7">
        <w:t xml:space="preserve"> (N=</w:t>
      </w:r>
      <w:r w:rsidR="003154E7" w:rsidRPr="003154E7">
        <w:t>513</w:t>
      </w:r>
      <w:r w:rsidR="00D5131D" w:rsidRPr="003154E7">
        <w:t>)</w:t>
      </w:r>
    </w:p>
    <w:p w14:paraId="34B576B9" w14:textId="407CD9BF" w:rsidR="009F0E92" w:rsidRPr="003154E7" w:rsidRDefault="003154E7" w:rsidP="076E9460">
      <w:pPr>
        <w:rPr>
          <w:sz w:val="20"/>
          <w:szCs w:val="20"/>
        </w:rPr>
      </w:pPr>
      <w:r w:rsidRPr="003154E7">
        <w:rPr>
          <w:noProof/>
          <w:sz w:val="20"/>
          <w:szCs w:val="20"/>
        </w:rPr>
        <w:drawing>
          <wp:inline distT="0" distB="0" distL="0" distR="0" wp14:anchorId="79CD9D2C" wp14:editId="7DACBF37">
            <wp:extent cx="6858635" cy="1889760"/>
            <wp:effectExtent l="0" t="0" r="0" b="0"/>
            <wp:docPr id="912163097" name="Picture 10" descr="The figure is a bar chart which displays the percentage of individuals who were virally suppressed among those newly diagnosed with HIV infection by: sex assigned at birth (individuals AMAB and AFAB), race/ethnicity (White NH, Black NH, and Hispanic/Latinx individuals); age at diagnosis (individuals aged 0-19 years, 20-29 years, 30-39 years, 40-49 years, 50-59 years, 60-69 years, and aged 70+ years), and exposure mode (individuals with MSM, IDU, MSM/IDU, HTSX, Pres. HTSX, and NIR exposure mod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63097" name="Picture 10" descr="The figure is a bar chart which displays the percentage of individuals who were virally suppressed among those newly diagnosed with HIV infection by: sex assigned at birth (individuals AMAB and AFAB), race/ethnicity (White NH, Black NH, and Hispanic/Latinx individuals); age at diagnosis (individuals aged 0-19 years, 20-29 years, 30-39 years, 40-49 years, 50-59 years, 60-69 years, and aged 70+ years), and exposure mode (individuals with MSM, IDU, MSM/IDU, HTSX, Pres. HTSX, and NIR exposure modes).&#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58635" cy="1889760"/>
                    </a:xfrm>
                    <a:prstGeom prst="rect">
                      <a:avLst/>
                    </a:prstGeom>
                    <a:noFill/>
                  </pic:spPr>
                </pic:pic>
              </a:graphicData>
            </a:graphic>
          </wp:inline>
        </w:drawing>
      </w:r>
      <w:r w:rsidR="009F0E92" w:rsidRPr="003154E7">
        <w:rPr>
          <w:sz w:val="20"/>
          <w:szCs w:val="20"/>
        </w:rPr>
        <w:t xml:space="preserve">Figure 28 and 29 Note: *Percentages based on numerators </w:t>
      </w:r>
      <w:r w:rsidR="009F0E92" w:rsidRPr="003154E7">
        <w:rPr>
          <w:sz w:val="20"/>
          <w:szCs w:val="20"/>
          <w:u w:val="single"/>
        </w:rPr>
        <w:t>&lt;</w:t>
      </w:r>
      <w:r w:rsidR="009F0E92" w:rsidRPr="003154E7">
        <w:rPr>
          <w:sz w:val="20"/>
          <w:szCs w:val="20"/>
        </w:rPr>
        <w:t>5 are marked with an asterisk (*) and should be interpreted with caution</w:t>
      </w:r>
    </w:p>
    <w:p w14:paraId="34D6A1D5" w14:textId="77777777" w:rsidR="00F33453" w:rsidRPr="00030CFD" w:rsidRDefault="00F33453">
      <w:pPr>
        <w:rPr>
          <w:b/>
          <w:bCs/>
          <w:color w:val="EE0000"/>
        </w:rPr>
      </w:pPr>
      <w:r w:rsidRPr="00030CFD">
        <w:rPr>
          <w:b/>
          <w:bCs/>
          <w:color w:val="EE0000"/>
        </w:rPr>
        <w:br w:type="page"/>
      </w:r>
    </w:p>
    <w:p w14:paraId="437BEAAA" w14:textId="2CCE8A80" w:rsidR="00383B59" w:rsidRPr="00030CFD" w:rsidRDefault="00383B59" w:rsidP="009661FA">
      <w:pPr>
        <w:pStyle w:val="Heading1"/>
      </w:pPr>
      <w:bookmarkStart w:id="9" w:name="_HIV_CARE_CONTINUUM"/>
      <w:bookmarkEnd w:id="9"/>
      <w:r w:rsidRPr="00030CFD">
        <w:lastRenderedPageBreak/>
        <w:t>HIV CARE CONTINUUM – PLWH</w:t>
      </w:r>
    </w:p>
    <w:p w14:paraId="2308335F" w14:textId="34050451" w:rsidR="007B78B7" w:rsidRPr="007B78B7" w:rsidRDefault="00C56FE1" w:rsidP="007B78B7">
      <w:r w:rsidRPr="007B78B7">
        <w:rPr>
          <w:b/>
          <w:bCs/>
        </w:rPr>
        <w:t xml:space="preserve">FIGURE </w:t>
      </w:r>
      <w:r w:rsidR="007F5CDD" w:rsidRPr="007B78B7">
        <w:rPr>
          <w:b/>
          <w:bCs/>
        </w:rPr>
        <w:t>30</w:t>
      </w:r>
      <w:r w:rsidRPr="007B78B7">
        <w:rPr>
          <w:b/>
          <w:bCs/>
        </w:rPr>
        <w:t xml:space="preserve">. </w:t>
      </w:r>
      <w:r w:rsidRPr="007B78B7">
        <w:t>Stages of HIV care among persons living with HIV infection in Massachusetts</w:t>
      </w:r>
      <w:r w:rsidR="00771FE1">
        <w:t xml:space="preserve">, </w:t>
      </w:r>
      <w:r w:rsidR="007B78B7" w:rsidRPr="007B78B7">
        <w:t>2024 (N=23,515)</w:t>
      </w:r>
    </w:p>
    <w:p w14:paraId="6F275CD7" w14:textId="48E1EAE3" w:rsidR="00C56FE1" w:rsidRPr="00217D74" w:rsidRDefault="007B78B7" w:rsidP="00F33453">
      <w:r w:rsidRPr="00217D74">
        <w:rPr>
          <w:noProof/>
        </w:rPr>
        <w:drawing>
          <wp:inline distT="0" distB="0" distL="0" distR="0" wp14:anchorId="2D67FD32" wp14:editId="23115CCA">
            <wp:extent cx="3322320" cy="2383790"/>
            <wp:effectExtent l="0" t="0" r="0" b="0"/>
            <wp:docPr id="1227688379" name="Picture 11" descr="The figure is a bar chart displaying the percentage of individuals living with HIV infection in Massachusetts in 2024 who were engaged in care (71%), retained in care (45%), and virally suppressed (6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88379" name="Picture 11" descr="The figure is a bar chart displaying the percentage of individuals living with HIV infection in Massachusetts in 2024 who were engaged in care (71%), retained in care (45%), and virally suppressed (64%).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22320" cy="2383790"/>
                    </a:xfrm>
                    <a:prstGeom prst="rect">
                      <a:avLst/>
                    </a:prstGeom>
                    <a:noFill/>
                  </pic:spPr>
                </pic:pic>
              </a:graphicData>
            </a:graphic>
          </wp:inline>
        </w:drawing>
      </w:r>
    </w:p>
    <w:p w14:paraId="42750B49" w14:textId="7085EB10" w:rsidR="006661EF" w:rsidRPr="00217D74" w:rsidRDefault="00C56FE1" w:rsidP="00163CAB">
      <w:pPr>
        <w:rPr>
          <w:sz w:val="20"/>
          <w:szCs w:val="20"/>
        </w:rPr>
      </w:pPr>
      <w:r w:rsidRPr="00217D74">
        <w:rPr>
          <w:b/>
          <w:bCs/>
        </w:rPr>
        <w:t>FIGURE 3</w:t>
      </w:r>
      <w:r w:rsidR="006661EF" w:rsidRPr="00217D74">
        <w:rPr>
          <w:b/>
          <w:bCs/>
        </w:rPr>
        <w:t>1</w:t>
      </w:r>
      <w:r w:rsidRPr="00217D74">
        <w:rPr>
          <w:b/>
          <w:bCs/>
        </w:rPr>
        <w:t xml:space="preserve">. </w:t>
      </w:r>
      <w:r w:rsidRPr="00217D74">
        <w:t>Viral load status among persons living with HIV infection in Massachusetts</w:t>
      </w:r>
      <w:r w:rsidR="00163CAB" w:rsidRPr="00217D74">
        <w:t xml:space="preserve">, </w:t>
      </w:r>
      <w:r w:rsidR="00382E92" w:rsidRPr="00217D74">
        <w:t>2024 (N=23,515)</w:t>
      </w:r>
    </w:p>
    <w:p w14:paraId="155EBC30" w14:textId="14D1F6D3" w:rsidR="00382E92" w:rsidRPr="00217D74" w:rsidRDefault="00382E92" w:rsidP="00627688">
      <w:pPr>
        <w:spacing w:line="240" w:lineRule="auto"/>
        <w:rPr>
          <w:sz w:val="20"/>
          <w:szCs w:val="20"/>
        </w:rPr>
      </w:pPr>
      <w:r w:rsidRPr="00217D74">
        <w:rPr>
          <w:noProof/>
          <w:sz w:val="20"/>
          <w:szCs w:val="20"/>
        </w:rPr>
        <w:drawing>
          <wp:inline distT="0" distB="0" distL="0" distR="0" wp14:anchorId="45495336" wp14:editId="1178F38B">
            <wp:extent cx="3322320" cy="2334895"/>
            <wp:effectExtent l="0" t="0" r="0" b="0"/>
            <wp:docPr id="309445572" name="Picture 12" descr="The figure is a pie chart indicating the proportion of individuals who were living with HIV infection in 2024 who were virally suppressed (64%), missing viral load data (33%), or for whom viral load was not suppressed (4%). NOTE:  Missing Viral Load Data includes individuals who have not had a lab reported in the p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45572" name="Picture 12" descr="The figure is a pie chart indicating the proportion of individuals who were living with HIV infection in 2024 who were virally suppressed (64%), missing viral load data (33%), or for whom viral load was not suppressed (4%). NOTE:  Missing Viral Load Data includes individuals who have not had a lab reported in the past year.&#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22320" cy="2334895"/>
                    </a:xfrm>
                    <a:prstGeom prst="rect">
                      <a:avLst/>
                    </a:prstGeom>
                    <a:noFill/>
                  </pic:spPr>
                </pic:pic>
              </a:graphicData>
            </a:graphic>
          </wp:inline>
        </w:drawing>
      </w:r>
    </w:p>
    <w:p w14:paraId="73C8676A" w14:textId="557C1C83" w:rsidR="00C56FE1" w:rsidRPr="00217D74" w:rsidRDefault="00C56FE1" w:rsidP="00627688">
      <w:pPr>
        <w:spacing w:line="240" w:lineRule="auto"/>
        <w:rPr>
          <w:sz w:val="20"/>
          <w:szCs w:val="20"/>
        </w:rPr>
      </w:pPr>
      <w:r w:rsidRPr="00217D74">
        <w:rPr>
          <w:sz w:val="20"/>
          <w:szCs w:val="20"/>
        </w:rPr>
        <w:t>Figure 3</w:t>
      </w:r>
      <w:r w:rsidR="006661EF" w:rsidRPr="00217D74">
        <w:rPr>
          <w:sz w:val="20"/>
          <w:szCs w:val="20"/>
        </w:rPr>
        <w:t>1</w:t>
      </w:r>
      <w:r w:rsidRPr="00217D74">
        <w:rPr>
          <w:sz w:val="20"/>
          <w:szCs w:val="20"/>
        </w:rPr>
        <w:t xml:space="preserve"> Note: Missing Viral Load Data includes individuals who had not had a lab reported in the past year</w:t>
      </w:r>
    </w:p>
    <w:p w14:paraId="23AF178C" w14:textId="120A255E" w:rsidR="0028230B" w:rsidRPr="00217D74" w:rsidRDefault="00217D74" w:rsidP="00627688">
      <w:pPr>
        <w:spacing w:line="240" w:lineRule="auto"/>
        <w:rPr>
          <w:rFonts w:cstheme="minorHAnsi"/>
          <w:szCs w:val="24"/>
        </w:rPr>
      </w:pPr>
      <w:r w:rsidRPr="00217D74">
        <w:t>Among 23,515 persons living with HIV infection (PLWH) in Massachusetts at the end of 2024 (and diagnosed through 2023),</w:t>
      </w:r>
      <w:r w:rsidR="006661EF" w:rsidRPr="00217D74">
        <w:rPr>
          <w:rStyle w:val="FootnoteReference"/>
        </w:rPr>
        <w:footnoteReference w:id="75"/>
      </w:r>
      <w:r w:rsidR="006661EF" w:rsidRPr="00217D74">
        <w:t xml:space="preserve"> </w:t>
      </w:r>
      <w:r w:rsidRPr="00217D74">
        <w:t>64% were</w:t>
      </w:r>
      <w:r w:rsidR="00336C03">
        <w:t xml:space="preserve"> reported as</w:t>
      </w:r>
      <w:r w:rsidRPr="00217D74">
        <w:t xml:space="preserve"> virally suppressed, 4% were </w:t>
      </w:r>
      <w:r w:rsidR="00336C03">
        <w:t xml:space="preserve">reported as </w:t>
      </w:r>
      <w:r w:rsidRPr="00217D74">
        <w:t xml:space="preserve">not virally suppressed, and 33% did not have a viral load test in 2024. Among those PLWH who were engaged in care (N=16,663) and retained in care (N=10,469), rates of viral suppression were higher at 90% and 94%, respectively. Please note that the total number of PLWH used to calculate these rates includes all individuals who have ever been diagnosed with HIV infection in Massachusetts with no evidence of </w:t>
      </w:r>
      <w:r w:rsidRPr="00217D74">
        <w:lastRenderedPageBreak/>
        <w:t>death or having moved out of the state or country. Quality assurance efforts are currently being conducted to update the number of PLWH used for this analysis. In 2024, engagement in care among PLWH differed slightly by age. Viral suppression was lowest among individuals with IDU exposure mode (58% compared to 62% to 68% among other exposure modes).</w:t>
      </w:r>
      <w:r w:rsidR="0028230B" w:rsidRPr="00217D74">
        <w:rPr>
          <w:rStyle w:val="FootnoteReference"/>
        </w:rPr>
        <w:footnoteReference w:id="76"/>
      </w:r>
      <w:r w:rsidR="0F0CFA3E" w:rsidRPr="00217D74">
        <w:t xml:space="preserve"> </w:t>
      </w:r>
    </w:p>
    <w:p w14:paraId="51B00456" w14:textId="0CCB2706" w:rsidR="00F658BD" w:rsidRPr="00256408" w:rsidRDefault="0028230B" w:rsidP="00627688">
      <w:pPr>
        <w:spacing w:line="240" w:lineRule="auto"/>
        <w:rPr>
          <w:b/>
          <w:bCs/>
        </w:rPr>
      </w:pPr>
      <w:r w:rsidRPr="00256408">
        <w:rPr>
          <w:b/>
          <w:bCs/>
        </w:rPr>
        <w:t>FIGURE 3</w:t>
      </w:r>
      <w:r w:rsidR="002702B7" w:rsidRPr="00256408">
        <w:rPr>
          <w:b/>
          <w:bCs/>
        </w:rPr>
        <w:t>2</w:t>
      </w:r>
      <w:r w:rsidRPr="00256408">
        <w:rPr>
          <w:b/>
          <w:bCs/>
        </w:rPr>
        <w:t>.</w:t>
      </w:r>
      <w:r w:rsidRPr="00256408">
        <w:t xml:space="preserve"> </w:t>
      </w:r>
      <w:r w:rsidR="002702B7" w:rsidRPr="00256408">
        <w:t xml:space="preserve">Engagement in care among persons living with HIV infection by sex assigned at birth, race/ethnicity, age, and exposure mode, Massachusetts </w:t>
      </w:r>
      <w:r w:rsidR="00256408" w:rsidRPr="00256408">
        <w:t>2024 (N=23,515)</w:t>
      </w:r>
      <w:r w:rsidR="00DD4651" w:rsidRPr="00256408">
        <w:rPr>
          <w:rStyle w:val="FootnoteReference"/>
        </w:rPr>
        <w:footnoteReference w:id="77"/>
      </w:r>
    </w:p>
    <w:p w14:paraId="5F1B88DC" w14:textId="4D6E401F" w:rsidR="00BA242A" w:rsidRPr="001B098A" w:rsidRDefault="00256408" w:rsidP="00627688">
      <w:pPr>
        <w:spacing w:line="240" w:lineRule="auto"/>
        <w:rPr>
          <w:b/>
          <w:bCs/>
        </w:rPr>
      </w:pPr>
      <w:r w:rsidRPr="001B098A">
        <w:rPr>
          <w:b/>
          <w:bCs/>
          <w:noProof/>
        </w:rPr>
        <w:drawing>
          <wp:inline distT="0" distB="0" distL="0" distR="0" wp14:anchorId="69780C33" wp14:editId="2004B947">
            <wp:extent cx="6858635" cy="1987550"/>
            <wp:effectExtent l="0" t="0" r="0" b="0"/>
            <wp:docPr id="1048403324" name="Picture 13" descr="The figure is a bar chart which displays the percentage of individuals who were engaged in care among those living with HIV infection by: sex assigned at birth (individuals AMAB and AFAB), race/ethnicity (White NH, Black NH, and Hispanic/Latinx individuals); current age (individuals aged 0-19 years, 20-29 years, 30-39 years, 40-49 years, 50-59 years, 60-69 years, and aged 70+ years), and exposure mode (individuals with MSM, IDU, MSM/IDU, HTSX, Pres. HTSX, and NIR exposure mod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03324" name="Picture 13" descr="The figure is a bar chart which displays the percentage of individuals who were engaged in care among those living with HIV infection by: sex assigned at birth (individuals AMAB and AFAB), race/ethnicity (White NH, Black NH, and Hispanic/Latinx individuals); current age (individuals aged 0-19 years, 20-29 years, 30-39 years, 40-49 years, 50-59 years, 60-69 years, and aged 70+ years), and exposure mode (individuals with MSM, IDU, MSM/IDU, HTSX, Pres. HTSX, and NIR exposure modes).&#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58635" cy="1987550"/>
                    </a:xfrm>
                    <a:prstGeom prst="rect">
                      <a:avLst/>
                    </a:prstGeom>
                    <a:noFill/>
                  </pic:spPr>
                </pic:pic>
              </a:graphicData>
            </a:graphic>
          </wp:inline>
        </w:drawing>
      </w:r>
    </w:p>
    <w:p w14:paraId="14659D07" w14:textId="70BD5071" w:rsidR="0028230B" w:rsidRPr="001B098A" w:rsidRDefault="0028230B" w:rsidP="00627688">
      <w:pPr>
        <w:spacing w:line="240" w:lineRule="auto"/>
      </w:pPr>
      <w:r w:rsidRPr="001B098A">
        <w:rPr>
          <w:b/>
          <w:bCs/>
        </w:rPr>
        <w:t>FIGURE 3</w:t>
      </w:r>
      <w:r w:rsidR="009517BD" w:rsidRPr="001B098A">
        <w:rPr>
          <w:b/>
          <w:bCs/>
        </w:rPr>
        <w:t>3</w:t>
      </w:r>
      <w:r w:rsidRPr="001B098A">
        <w:rPr>
          <w:b/>
          <w:bCs/>
        </w:rPr>
        <w:t>.</w:t>
      </w:r>
      <w:r w:rsidRPr="001B098A">
        <w:t xml:space="preserve"> Viral suppression among persons living with HIV infection by sex assigned at birth, race/ethnicity, age, and exposure mode, </w:t>
      </w:r>
      <w:r w:rsidR="00BA242A" w:rsidRPr="001B098A">
        <w:t xml:space="preserve">Massachusetts </w:t>
      </w:r>
      <w:r w:rsidR="001B098A" w:rsidRPr="001B098A">
        <w:t>2024 (N=23,515)</w:t>
      </w:r>
    </w:p>
    <w:p w14:paraId="46F04C70" w14:textId="3EF46C01" w:rsidR="0028230B" w:rsidRPr="00030CFD" w:rsidRDefault="001B098A" w:rsidP="00627688">
      <w:pPr>
        <w:spacing w:line="240" w:lineRule="auto"/>
        <w:rPr>
          <w:color w:val="EE0000"/>
        </w:rPr>
      </w:pPr>
      <w:r>
        <w:rPr>
          <w:noProof/>
          <w:color w:val="EE0000"/>
        </w:rPr>
        <w:drawing>
          <wp:inline distT="0" distB="0" distL="0" distR="0" wp14:anchorId="6C159279" wp14:editId="261FFFEF">
            <wp:extent cx="6858635" cy="2414270"/>
            <wp:effectExtent l="0" t="0" r="0" b="5080"/>
            <wp:docPr id="828149628" name="Picture 14" descr="The figure is a bar chart which displays the percentage of individuals who were virally suppressed among those living with HIV infection and engaged in care by: sex assigned at birth (individuals AMAB and AFAB), race/ethnicity (White NH, Black NH, and Hispanic/Latinx individuals); current age (individuals aged 0-19 years, 20-29 years, 30-39 years, 40-49 years, 50-59 years, 60-69 years, and aged 70+ years), and exposure mode (individuals with MSM, IDU, MSM/IDU, HTSX, Pres. HTSX, and NIR exposure mod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49628" name="Picture 14" descr="The figure is a bar chart which displays the percentage of individuals who were virally suppressed among those living with HIV infection and engaged in care by: sex assigned at birth (individuals AMAB and AFAB), race/ethnicity (White NH, Black NH, and Hispanic/Latinx individuals); current age (individuals aged 0-19 years, 20-29 years, 30-39 years, 40-49 years, 50-59 years, 60-69 years, and aged 70+ years), and exposure mode (individuals with MSM, IDU, MSM/IDU, HTSX, Pres. HTSX, and NIR exposure modes).&#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58635" cy="2414270"/>
                    </a:xfrm>
                    <a:prstGeom prst="rect">
                      <a:avLst/>
                    </a:prstGeom>
                    <a:noFill/>
                  </pic:spPr>
                </pic:pic>
              </a:graphicData>
            </a:graphic>
          </wp:inline>
        </w:drawing>
      </w:r>
    </w:p>
    <w:p w14:paraId="0E679003" w14:textId="77777777" w:rsidR="00EF42DC" w:rsidRDefault="00EF42DC">
      <w:pPr>
        <w:rPr>
          <w:b/>
          <w:bCs/>
        </w:rPr>
      </w:pPr>
      <w:r>
        <w:rPr>
          <w:b/>
          <w:bCs/>
        </w:rPr>
        <w:br w:type="page"/>
      </w:r>
    </w:p>
    <w:p w14:paraId="2EB8AD13" w14:textId="3D9EC13A" w:rsidR="0028230B" w:rsidRPr="001B098A" w:rsidRDefault="0028230B" w:rsidP="00627688">
      <w:pPr>
        <w:spacing w:line="240" w:lineRule="auto"/>
      </w:pPr>
      <w:r w:rsidRPr="001B098A">
        <w:rPr>
          <w:b/>
          <w:bCs/>
        </w:rPr>
        <w:lastRenderedPageBreak/>
        <w:t>FIGURE 3</w:t>
      </w:r>
      <w:r w:rsidR="009517BD" w:rsidRPr="001B098A">
        <w:rPr>
          <w:b/>
          <w:bCs/>
        </w:rPr>
        <w:t>4</w:t>
      </w:r>
      <w:r w:rsidRPr="001B098A">
        <w:rPr>
          <w:b/>
          <w:bCs/>
        </w:rPr>
        <w:t>.</w:t>
      </w:r>
      <w:r w:rsidRPr="001B098A">
        <w:t xml:space="preserve"> Viral suppression among persons living with HIV infection engaged in care by sex assigned at birth, race/ethnicity, age, and exposure mode, </w:t>
      </w:r>
      <w:r w:rsidR="00901CB5" w:rsidRPr="001B098A">
        <w:t xml:space="preserve">Massachusetts </w:t>
      </w:r>
      <w:r w:rsidR="001B098A" w:rsidRPr="001B098A">
        <w:t>2024 (N=16,663)</w:t>
      </w:r>
    </w:p>
    <w:p w14:paraId="6EB57190" w14:textId="5C4349AF" w:rsidR="00C8467C" w:rsidRPr="00030CFD" w:rsidRDefault="00154D1F" w:rsidP="001B3544">
      <w:pPr>
        <w:spacing w:line="240" w:lineRule="auto"/>
        <w:rPr>
          <w:color w:val="EE0000"/>
        </w:rPr>
      </w:pPr>
      <w:r>
        <w:rPr>
          <w:noProof/>
          <w:color w:val="EE0000"/>
        </w:rPr>
        <w:drawing>
          <wp:inline distT="0" distB="0" distL="0" distR="0" wp14:anchorId="4F81B508" wp14:editId="4158262B">
            <wp:extent cx="6858635" cy="2383790"/>
            <wp:effectExtent l="0" t="0" r="0" b="0"/>
            <wp:docPr id="2034383235" name="Picture 15" descr="The figure is a bar chart which displays the percentage of individuals who were virally suppressed among those living with HIV infection and engaged in care by: sex assigned at birth (individuals AMAB and AFAB), race/ethnicity (White NH, Black NH, and Hispanic/Latinx individuals); current age (individuals aged 0-19 years, 20-29 years, 30-39 years, 40-49 years, 50-59 years, 60-69 years, and aged 70+ years), and exposure mode (individuals with MSM, IDU, MSM/IDU, HTSX, Pres. HTSX, and NIR exposure mod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83235" name="Picture 15" descr="The figure is a bar chart which displays the percentage of individuals who were virally suppressed among those living with HIV infection and engaged in care by: sex assigned at birth (individuals AMAB and AFAB), race/ethnicity (White NH, Black NH, and Hispanic/Latinx individuals); current age (individuals aged 0-19 years, 20-29 years, 30-39 years, 40-49 years, 50-59 years, 60-69 years, and aged 70+ years), and exposure mode (individuals with MSM, IDU, MSM/IDU, HTSX, Pres. HTSX, and NIR exposure modes).&#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58635" cy="2383790"/>
                    </a:xfrm>
                    <a:prstGeom prst="rect">
                      <a:avLst/>
                    </a:prstGeom>
                    <a:noFill/>
                  </pic:spPr>
                </pic:pic>
              </a:graphicData>
            </a:graphic>
          </wp:inline>
        </w:drawing>
      </w:r>
    </w:p>
    <w:p w14:paraId="06031B60" w14:textId="4F67B12D" w:rsidR="003A138D" w:rsidRPr="00154D1F" w:rsidRDefault="00154D1F" w:rsidP="001B3544">
      <w:pPr>
        <w:spacing w:line="240" w:lineRule="auto"/>
      </w:pPr>
      <w:r w:rsidRPr="00154D1F">
        <w:t>Among 16,663 persons living with HIV infection (PLWH) and engaged in care in Massachusetts at the end of 2024</w:t>
      </w:r>
      <w:r w:rsidR="001B3544" w:rsidRPr="00154D1F">
        <w:t>,</w:t>
      </w:r>
      <w:r w:rsidR="6D36FFF5" w:rsidRPr="00154D1F">
        <w:rPr>
          <w:rStyle w:val="FootnoteReference"/>
        </w:rPr>
        <w:t xml:space="preserve"> </w:t>
      </w:r>
      <w:r w:rsidR="00D84488" w:rsidRPr="00154D1F">
        <w:rPr>
          <w:rStyle w:val="FootnoteReference"/>
        </w:rPr>
        <w:footnoteReference w:id="78"/>
      </w:r>
      <w:r w:rsidR="6D36FFF5" w:rsidRPr="00154D1F">
        <w:t xml:space="preserve"> </w:t>
      </w:r>
      <w:r w:rsidRPr="00154D1F">
        <w:t>viral suppression did not differ substantially by sex assigned at birth, race/ethnicity or age. Viral suppression was lowest among individuals with IDU exposure mode (85% compared to 90% to 92% among other exposure modes).</w:t>
      </w:r>
    </w:p>
    <w:p w14:paraId="5EEE35C2" w14:textId="77777777" w:rsidR="003A138D" w:rsidRPr="00030CFD" w:rsidRDefault="003A138D">
      <w:pPr>
        <w:rPr>
          <w:color w:val="EE0000"/>
        </w:rPr>
      </w:pPr>
      <w:r w:rsidRPr="00030CFD">
        <w:rPr>
          <w:color w:val="EE0000"/>
        </w:rPr>
        <w:br w:type="page"/>
      </w:r>
    </w:p>
    <w:p w14:paraId="72CBC51E" w14:textId="1E72AC5C" w:rsidR="001B3544" w:rsidRPr="00030CFD" w:rsidRDefault="001B3544" w:rsidP="009661FA">
      <w:pPr>
        <w:pStyle w:val="Heading1"/>
      </w:pPr>
      <w:bookmarkStart w:id="10" w:name="_Toc168575097"/>
      <w:r w:rsidRPr="00030CFD">
        <w:lastRenderedPageBreak/>
        <w:t>SOCIAL VULNERABILITY INDEX</w:t>
      </w:r>
      <w:bookmarkEnd w:id="10"/>
    </w:p>
    <w:p w14:paraId="08AC9011" w14:textId="34C633A1" w:rsidR="001B3544" w:rsidRPr="00CA2C17" w:rsidRDefault="001B3544" w:rsidP="001B3544">
      <w:pPr>
        <w:spacing w:line="240" w:lineRule="auto"/>
      </w:pPr>
      <w:r w:rsidRPr="00CA2C17">
        <w:rPr>
          <w:i/>
          <w:iCs/>
        </w:rPr>
        <w:t>The social vulnerability index (SVI)</w:t>
      </w:r>
      <w:r w:rsidRPr="00CA2C17">
        <w:rPr>
          <w:rStyle w:val="FootnoteReference"/>
          <w:i/>
          <w:iCs/>
        </w:rPr>
        <w:footnoteReference w:id="79"/>
      </w:r>
      <w:r w:rsidRPr="00CA2C17">
        <w:rPr>
          <w:i/>
          <w:iCs/>
        </w:rPr>
        <w:t xml:space="preserve"> is a tool to identify socially vulnerable communities that was created by CDC and the Agency for Toxic Substances and Disease Registry (ATSDR). The CDC/ATSDR SVI uses U.S. Census data to determine the social vulnerability of every census tract. The SVI ranks each tract on 16 social factors, including poverty, lack of vehicle access, and crowded housing, and groups them into four related themes: socioeconomic status, household characteristics, racial and ethnic minority status, and housing type/transportation. Each census tract receives a separate ranking for each of the four themes, as well as an overall ranking. Originally developed to incorporate social determinants of health into emergency response and recovery efforts for environmental and natural disasters, more recently, higher SVI has been linked to higher HIV diagnosis rates,</w:t>
      </w:r>
      <w:r w:rsidRPr="00CA2C17">
        <w:rPr>
          <w:rStyle w:val="FootnoteReference"/>
          <w:i/>
          <w:iCs/>
        </w:rPr>
        <w:footnoteReference w:id="80"/>
      </w:r>
      <w:r w:rsidRPr="00CA2C17">
        <w:rPr>
          <w:i/>
          <w:iCs/>
        </w:rPr>
        <w:t xml:space="preserve"> COVID-19 mortality, and lower COVID-19 vaccination coverage</w:t>
      </w:r>
      <w:r w:rsidR="00DC6C9E" w:rsidRPr="00CA2C17">
        <w:rPr>
          <w:i/>
          <w:iCs/>
        </w:rPr>
        <w:t>.</w:t>
      </w:r>
      <w:r w:rsidR="00DC6C9E" w:rsidRPr="00CA2C17">
        <w:rPr>
          <w:rStyle w:val="FootnoteReference"/>
          <w:i/>
          <w:iCs/>
        </w:rPr>
        <w:footnoteReference w:id="81"/>
      </w:r>
      <w:r w:rsidRPr="00CA2C17">
        <w:rPr>
          <w:i/>
          <w:iCs/>
        </w:rPr>
        <w:t xml:space="preserve"> </w:t>
      </w:r>
    </w:p>
    <w:p w14:paraId="344D9776" w14:textId="555AF19D" w:rsidR="00253447" w:rsidRPr="00CA2C17" w:rsidRDefault="00253447" w:rsidP="00253447">
      <w:pPr>
        <w:spacing w:line="240" w:lineRule="auto"/>
      </w:pPr>
      <w:r w:rsidRPr="00CA2C17">
        <w:rPr>
          <w:b/>
          <w:bCs/>
        </w:rPr>
        <w:t>FIGURE 35.</w:t>
      </w:r>
      <w:r w:rsidRPr="00CA2C17">
        <w:t xml:space="preserve"> HIV infection diagnoses by Social Vulnerability Index*, Massachusetts </w:t>
      </w:r>
      <w:r w:rsidR="00793583" w:rsidRPr="00CA2C17">
        <w:t>2022–2024</w:t>
      </w:r>
      <w:r w:rsidRPr="00CA2C17">
        <w:t xml:space="preserve"> </w:t>
      </w:r>
    </w:p>
    <w:p w14:paraId="7565ECEC" w14:textId="7DD0E41B" w:rsidR="001B3544" w:rsidRPr="00030CFD" w:rsidRDefault="00CA2C17" w:rsidP="001B3544">
      <w:pPr>
        <w:spacing w:line="240" w:lineRule="auto"/>
        <w:rPr>
          <w:color w:val="EE0000"/>
        </w:rPr>
      </w:pPr>
      <w:r>
        <w:rPr>
          <w:noProof/>
          <w:color w:val="EE0000"/>
        </w:rPr>
        <w:drawing>
          <wp:inline distT="0" distB="0" distL="0" distR="0" wp14:anchorId="5DB6A298" wp14:editId="65C656DF">
            <wp:extent cx="5489973" cy="3086100"/>
            <wp:effectExtent l="0" t="0" r="0" b="0"/>
            <wp:docPr id="1088549754" name="Picture 1" descr="The figure is a stacked bar chart displaying the distribution of HIV infection diagnoses by the social vulnerability index. The distribution of social vulnerability by six categories (high, moderately high, moderately low, low, homeless, other/unknown) is displayed for each ye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49754" name="Picture 1" descr="The figure is a stacked bar chart displaying the distribution of HIV infection diagnoses by the social vulnerability index. The distribution of social vulnerability by six categories (high, moderately high, moderately low, low, homeless, other/unknown) is displayed for each year.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99397" cy="3091397"/>
                    </a:xfrm>
                    <a:prstGeom prst="rect">
                      <a:avLst/>
                    </a:prstGeom>
                    <a:noFill/>
                  </pic:spPr>
                </pic:pic>
              </a:graphicData>
            </a:graphic>
          </wp:inline>
        </w:drawing>
      </w:r>
    </w:p>
    <w:p w14:paraId="6D380BEC" w14:textId="03A5E4D3" w:rsidR="00253447" w:rsidRPr="00C22F4F" w:rsidRDefault="00253447" w:rsidP="00253447">
      <w:pPr>
        <w:spacing w:line="240" w:lineRule="auto"/>
        <w:rPr>
          <w:sz w:val="20"/>
          <w:szCs w:val="18"/>
        </w:rPr>
      </w:pPr>
      <w:r w:rsidRPr="00C22F4F">
        <w:rPr>
          <w:sz w:val="20"/>
          <w:szCs w:val="18"/>
        </w:rPr>
        <w:t xml:space="preserve">Figure 35 Notes: </w:t>
      </w:r>
      <w:r w:rsidRPr="00C22F4F">
        <w:rPr>
          <w:sz w:val="20"/>
          <w:szCs w:val="18"/>
          <w:vertAlign w:val="superscript"/>
        </w:rPr>
        <w:t>*</w:t>
      </w:r>
      <w:r w:rsidRPr="00C22F4F">
        <w:rPr>
          <w:sz w:val="20"/>
          <w:szCs w:val="18"/>
        </w:rPr>
        <w:t xml:space="preserve"> Census tract level overall SVI values for 2020 were obtained from CDC/Agency for Toxic Substance and Disease Registry (CDC/ATSDR) and assigned to all cases based on their street address at diagnosis. Values range from 0 to 1, with higher values implying greater social vulnerability. SVI rankings were grouped into quartiles (low, &lt;0.25; mid low, 0.25 - &lt;0.</w:t>
      </w:r>
      <w:r w:rsidR="00503BB0">
        <w:rPr>
          <w:sz w:val="20"/>
          <w:szCs w:val="18"/>
        </w:rPr>
        <w:t>49</w:t>
      </w:r>
      <w:r w:rsidRPr="00C22F4F">
        <w:rPr>
          <w:sz w:val="20"/>
          <w:szCs w:val="18"/>
        </w:rPr>
        <w:t>; mid high, 0.5 - &lt;0.7</w:t>
      </w:r>
      <w:r w:rsidR="00503BB0">
        <w:rPr>
          <w:sz w:val="20"/>
          <w:szCs w:val="18"/>
        </w:rPr>
        <w:t>4</w:t>
      </w:r>
      <w:r w:rsidRPr="00C22F4F">
        <w:rPr>
          <w:sz w:val="20"/>
          <w:szCs w:val="18"/>
        </w:rPr>
        <w:t>; high &gt;</w:t>
      </w:r>
      <w:r w:rsidR="00503BB0">
        <w:rPr>
          <w:sz w:val="20"/>
          <w:szCs w:val="18"/>
        </w:rPr>
        <w:t>=</w:t>
      </w:r>
      <w:r w:rsidRPr="00C22F4F">
        <w:rPr>
          <w:sz w:val="20"/>
          <w:szCs w:val="18"/>
        </w:rPr>
        <w:t>0.75).</w:t>
      </w:r>
    </w:p>
    <w:p w14:paraId="1A2E51A0" w14:textId="1DB3F017" w:rsidR="00253447" w:rsidRPr="00C22F4F" w:rsidRDefault="3E85843D" w:rsidP="00253447">
      <w:pPr>
        <w:spacing w:line="240" w:lineRule="auto"/>
        <w:rPr>
          <w:sz w:val="20"/>
          <w:szCs w:val="20"/>
        </w:rPr>
      </w:pPr>
      <w:r w:rsidRPr="00C22F4F">
        <w:rPr>
          <w:sz w:val="20"/>
          <w:szCs w:val="20"/>
        </w:rPr>
        <w:t xml:space="preserve">ⱡ </w:t>
      </w:r>
      <w:r w:rsidR="0901CB33" w:rsidRPr="00C22F4F">
        <w:rPr>
          <w:sz w:val="20"/>
          <w:szCs w:val="20"/>
        </w:rPr>
        <w:t>Other/Unknown i</w:t>
      </w:r>
      <w:r w:rsidRPr="00C22F4F">
        <w:rPr>
          <w:sz w:val="20"/>
          <w:szCs w:val="20"/>
        </w:rPr>
        <w:t>ncludes correctional facility addresses, P.O. Box addresses, hospital addresses</w:t>
      </w:r>
      <w:r w:rsidR="6AF276E2" w:rsidRPr="00C22F4F">
        <w:rPr>
          <w:sz w:val="20"/>
          <w:szCs w:val="20"/>
        </w:rPr>
        <w:t>,</w:t>
      </w:r>
      <w:r w:rsidRPr="00C22F4F">
        <w:rPr>
          <w:sz w:val="20"/>
          <w:szCs w:val="20"/>
        </w:rPr>
        <w:t xml:space="preserve"> and addresses that could not be geocoded</w:t>
      </w:r>
    </w:p>
    <w:p w14:paraId="562767B3" w14:textId="77777777" w:rsidR="00253447" w:rsidRPr="00C22F4F" w:rsidRDefault="00253447" w:rsidP="00253447">
      <w:pPr>
        <w:spacing w:line="240" w:lineRule="auto"/>
      </w:pPr>
      <w:r w:rsidRPr="00C22F4F">
        <w:rPr>
          <w:b/>
          <w:bCs/>
        </w:rPr>
        <w:lastRenderedPageBreak/>
        <w:t>Social Vulnerability Index</w:t>
      </w:r>
    </w:p>
    <w:p w14:paraId="40C23277" w14:textId="5498058A" w:rsidR="00253447" w:rsidRPr="00C22F4F" w:rsidRDefault="00121726" w:rsidP="00253447">
      <w:pPr>
        <w:spacing w:line="240" w:lineRule="auto"/>
      </w:pPr>
      <w:r w:rsidRPr="00C22F4F">
        <w:t xml:space="preserve">The majority of individuals recently diagnosed with HIV infection in Massachusetts were diagnosed in areas with high </w:t>
      </w:r>
      <w:r w:rsidR="00C22F4F" w:rsidRPr="00C22F4F">
        <w:t>(48% in 2024) or moderately high (26% in 2024) social vulnerability</w:t>
      </w:r>
      <w:r w:rsidR="00253447" w:rsidRPr="00C22F4F">
        <w:t>.</w:t>
      </w:r>
      <w:r w:rsidR="00253447" w:rsidRPr="00C22F4F">
        <w:rPr>
          <w:rStyle w:val="FootnoteReference"/>
        </w:rPr>
        <w:t xml:space="preserve"> </w:t>
      </w:r>
      <w:r w:rsidR="00253447" w:rsidRPr="00C22F4F">
        <w:rPr>
          <w:rStyle w:val="FootnoteReference"/>
        </w:rPr>
        <w:footnoteReference w:id="82"/>
      </w:r>
      <w:r w:rsidR="00253447" w:rsidRPr="00C22F4F">
        <w:t xml:space="preserve">  </w:t>
      </w:r>
    </w:p>
    <w:p w14:paraId="4E1AD0B3" w14:textId="6DA24A23" w:rsidR="0028230B" w:rsidRPr="00030CFD" w:rsidRDefault="0028230B" w:rsidP="009661FA">
      <w:pPr>
        <w:pStyle w:val="Heading1"/>
      </w:pPr>
      <w:bookmarkStart w:id="11" w:name="_TECHNICAL_NOTES"/>
      <w:bookmarkStart w:id="12" w:name="_Toc168575098"/>
      <w:bookmarkEnd w:id="11"/>
      <w:r w:rsidRPr="00030CFD">
        <w:t>TECHNICAL NOTES</w:t>
      </w:r>
      <w:bookmarkEnd w:id="12"/>
    </w:p>
    <w:p w14:paraId="162A9724" w14:textId="77777777" w:rsidR="00B24AED" w:rsidRPr="00030CFD" w:rsidRDefault="00B24AED" w:rsidP="00B24AED">
      <w:pPr>
        <w:spacing w:after="0" w:line="240" w:lineRule="auto"/>
        <w:rPr>
          <w:rFonts w:cstheme="minorHAnsi"/>
          <w:b/>
          <w:color w:val="EE0000"/>
          <w:sz w:val="20"/>
          <w:szCs w:val="20"/>
        </w:rPr>
      </w:pPr>
    </w:p>
    <w:p w14:paraId="7AF4F918" w14:textId="77777777" w:rsidR="00B24AED" w:rsidRDefault="00B24AED" w:rsidP="00E815C6">
      <w:pPr>
        <w:pStyle w:val="Heading2"/>
        <w:numPr>
          <w:ilvl w:val="0"/>
          <w:numId w:val="57"/>
        </w:numPr>
        <w:spacing w:before="0" w:line="240" w:lineRule="auto"/>
        <w:rPr>
          <w:rFonts w:asciiTheme="minorHAnsi" w:hAnsiTheme="minorHAnsi" w:cstheme="minorHAnsi"/>
          <w:b/>
          <w:color w:val="auto"/>
          <w:sz w:val="24"/>
          <w:szCs w:val="24"/>
        </w:rPr>
      </w:pPr>
      <w:r w:rsidRPr="00E815C6">
        <w:rPr>
          <w:rFonts w:asciiTheme="minorHAnsi" w:hAnsiTheme="minorHAnsi" w:cstheme="minorHAnsi"/>
          <w:b/>
          <w:color w:val="auto"/>
          <w:sz w:val="24"/>
          <w:szCs w:val="24"/>
        </w:rPr>
        <w:t xml:space="preserve">Data source for all HIV case data: </w:t>
      </w:r>
    </w:p>
    <w:p w14:paraId="57EB8E86" w14:textId="77777777" w:rsidR="00E815C6" w:rsidRPr="00E815C6" w:rsidRDefault="00E815C6" w:rsidP="00E815C6"/>
    <w:p w14:paraId="230516B1" w14:textId="6C3C5E42" w:rsidR="00B24AED" w:rsidRPr="005B297C" w:rsidRDefault="00B24AED" w:rsidP="00B24AED">
      <w:pPr>
        <w:spacing w:after="0" w:line="240" w:lineRule="auto"/>
        <w:rPr>
          <w:rFonts w:cstheme="minorHAnsi"/>
          <w:bCs/>
          <w:szCs w:val="24"/>
        </w:rPr>
      </w:pPr>
      <w:r w:rsidRPr="005B297C">
        <w:rPr>
          <w:rFonts w:cstheme="minorHAnsi"/>
          <w:bCs/>
          <w:szCs w:val="24"/>
        </w:rPr>
        <w:t>Massachusetts Department of Public Health (DPH) Bureau of Infectious Disease and Laboratory Sciences (BIDLS) HIV Surveillance Program. Data are current as of 7/1/202</w:t>
      </w:r>
      <w:r w:rsidR="005B297C" w:rsidRPr="005B297C">
        <w:rPr>
          <w:rFonts w:cstheme="minorHAnsi"/>
          <w:bCs/>
          <w:szCs w:val="24"/>
        </w:rPr>
        <w:t>5</w:t>
      </w:r>
      <w:r w:rsidRPr="005B297C">
        <w:rPr>
          <w:rFonts w:cstheme="minorHAnsi"/>
          <w:bCs/>
          <w:szCs w:val="24"/>
        </w:rPr>
        <w:t xml:space="preserve"> and may be subject to change.</w:t>
      </w:r>
    </w:p>
    <w:p w14:paraId="15443947" w14:textId="77777777" w:rsidR="00B24AED" w:rsidRPr="005B297C" w:rsidRDefault="00B24AED" w:rsidP="00B24AED">
      <w:pPr>
        <w:spacing w:after="0" w:line="240" w:lineRule="auto"/>
        <w:rPr>
          <w:rFonts w:cstheme="minorHAnsi"/>
          <w:bCs/>
          <w:sz w:val="20"/>
          <w:szCs w:val="20"/>
        </w:rPr>
      </w:pPr>
    </w:p>
    <w:p w14:paraId="75561C60" w14:textId="0DD5F17C" w:rsidR="00B24AED" w:rsidRPr="005B297C" w:rsidRDefault="00B922D6" w:rsidP="00960EC3">
      <w:pPr>
        <w:pStyle w:val="Heading2"/>
        <w:numPr>
          <w:ilvl w:val="0"/>
          <w:numId w:val="57"/>
        </w:numPr>
        <w:spacing w:before="0" w:line="240" w:lineRule="auto"/>
        <w:rPr>
          <w:rFonts w:asciiTheme="minorHAnsi" w:hAnsiTheme="minorHAnsi" w:cstheme="minorHAnsi"/>
          <w:b/>
          <w:color w:val="auto"/>
          <w:sz w:val="24"/>
          <w:szCs w:val="24"/>
        </w:rPr>
      </w:pPr>
      <w:r>
        <w:rPr>
          <w:rFonts w:asciiTheme="minorHAnsi" w:hAnsiTheme="minorHAnsi" w:cstheme="minorHAnsi"/>
          <w:b/>
          <w:color w:val="auto"/>
          <w:sz w:val="24"/>
          <w:szCs w:val="24"/>
        </w:rPr>
        <w:t>Impact of COVID-19</w:t>
      </w:r>
      <w:r w:rsidR="00B24AED" w:rsidRPr="005B297C">
        <w:rPr>
          <w:rFonts w:asciiTheme="minorHAnsi" w:hAnsiTheme="minorHAnsi" w:cstheme="minorHAnsi"/>
          <w:b/>
          <w:color w:val="auto"/>
          <w:sz w:val="24"/>
          <w:szCs w:val="24"/>
        </w:rPr>
        <w:t>:</w:t>
      </w:r>
    </w:p>
    <w:p w14:paraId="038B88F0" w14:textId="77777777" w:rsidR="00B24AED" w:rsidRPr="005B297C" w:rsidRDefault="00B24AED" w:rsidP="00B24AED">
      <w:pPr>
        <w:spacing w:after="0" w:line="240" w:lineRule="auto"/>
        <w:rPr>
          <w:sz w:val="20"/>
          <w:szCs w:val="20"/>
        </w:rPr>
      </w:pPr>
    </w:p>
    <w:p w14:paraId="4E4A61DF" w14:textId="5FA04B30" w:rsidR="00E9472B" w:rsidRPr="005B297C" w:rsidRDefault="00B922D6" w:rsidP="00E9472B">
      <w:pPr>
        <w:spacing w:after="0" w:line="240" w:lineRule="auto"/>
        <w:rPr>
          <w:rFonts w:cstheme="minorHAnsi"/>
          <w:bCs/>
          <w:sz w:val="20"/>
          <w:szCs w:val="20"/>
        </w:rPr>
      </w:pPr>
      <w:r w:rsidRPr="00B922D6">
        <w:rPr>
          <w:szCs w:val="24"/>
        </w:rPr>
        <w:t>The coronavirus disease 2019 (COVID-19) pandemic had a large impact on the screening, treatment, and surveillance of other infectious diseases from 2020 to 2024. Nationally, the Centers for Disease Control and Prevention (CDC) observed significant declines in HIV testing (and diagnoses) during the COVID-19 pandemic that are likely attributed to interruptions in the availability of clinical services, patient hesitancy in accessing face-to-face clinical services, and shortages in HIV testing reagents/materials.</w:t>
      </w:r>
      <w:r w:rsidR="00D73D44">
        <w:rPr>
          <w:rStyle w:val="FootnoteReference"/>
          <w:szCs w:val="24"/>
        </w:rPr>
        <w:footnoteReference w:id="83"/>
      </w:r>
      <w:r w:rsidRPr="00B922D6">
        <w:rPr>
          <w:szCs w:val="24"/>
        </w:rPr>
        <w:t xml:space="preserve">  At time of publication, the full effect of the COVID-19 pandemic on case detection and reporting and efforts to control the spread of infectious disease in the Commonwealth has yet to be determined. As such, please interpret 2020 to 2023 HIV surveillance data presented in this report with caution</w:t>
      </w:r>
      <w:r w:rsidR="00B24AED" w:rsidRPr="005B297C">
        <w:rPr>
          <w:szCs w:val="24"/>
        </w:rPr>
        <w:t>.</w:t>
      </w:r>
      <w:r w:rsidR="00B24AED" w:rsidRPr="005B297C">
        <w:rPr>
          <w:szCs w:val="24"/>
        </w:rPr>
        <w:br/>
      </w:r>
    </w:p>
    <w:p w14:paraId="1699818E" w14:textId="77777777" w:rsidR="00E9472B" w:rsidRPr="005B297C" w:rsidRDefault="00E9472B" w:rsidP="00E9472B">
      <w:pPr>
        <w:pStyle w:val="Heading2"/>
        <w:numPr>
          <w:ilvl w:val="0"/>
          <w:numId w:val="57"/>
        </w:numPr>
        <w:spacing w:before="0" w:line="240" w:lineRule="auto"/>
        <w:rPr>
          <w:rFonts w:asciiTheme="minorHAnsi" w:hAnsiTheme="minorHAnsi" w:cstheme="minorHAnsi"/>
          <w:b/>
          <w:color w:val="auto"/>
          <w:sz w:val="24"/>
          <w:szCs w:val="24"/>
        </w:rPr>
      </w:pPr>
      <w:r w:rsidRPr="005B297C">
        <w:rPr>
          <w:rFonts w:asciiTheme="minorHAnsi" w:hAnsiTheme="minorHAnsi" w:cstheme="minorHAnsi"/>
          <w:b/>
          <w:color w:val="auto"/>
          <w:sz w:val="24"/>
          <w:szCs w:val="24"/>
        </w:rPr>
        <w:t>Individuals diagnosed with HIV infection:</w:t>
      </w:r>
    </w:p>
    <w:p w14:paraId="1A0BDA63" w14:textId="77777777" w:rsidR="00E9472B" w:rsidRPr="005B297C" w:rsidRDefault="00E9472B" w:rsidP="00E9472B">
      <w:pPr>
        <w:spacing w:after="0" w:line="240" w:lineRule="auto"/>
        <w:rPr>
          <w:sz w:val="20"/>
          <w:szCs w:val="20"/>
        </w:rPr>
      </w:pPr>
    </w:p>
    <w:p w14:paraId="53C5CB79" w14:textId="77777777" w:rsidR="00E9472B" w:rsidRPr="005B297C" w:rsidRDefault="00E9472B" w:rsidP="00E9472B">
      <w:pPr>
        <w:spacing w:after="0" w:line="240" w:lineRule="auto"/>
        <w:rPr>
          <w:sz w:val="20"/>
          <w:szCs w:val="20"/>
        </w:rPr>
      </w:pPr>
      <w:r w:rsidRPr="005B297C">
        <w:rPr>
          <w:szCs w:val="24"/>
        </w:rPr>
        <w:t>New HIV diagnoses include only individuals who were first diagnosed in Massachusetts. HIV diagnoses data reflect the year of HIV infection diagnosis among all individuals reported with HIV infection, with or without an AIDS diagnosis, for the most recently available three-year (2022–2024) or ten-year (2015–2024) period.</w:t>
      </w:r>
      <w:r w:rsidRPr="005B297C">
        <w:rPr>
          <w:szCs w:val="24"/>
        </w:rPr>
        <w:br/>
      </w:r>
    </w:p>
    <w:p w14:paraId="786A9C69" w14:textId="77777777" w:rsidR="00B24AED" w:rsidRPr="00E815C6" w:rsidRDefault="00B24AED" w:rsidP="00E815C6">
      <w:pPr>
        <w:pStyle w:val="Heading2"/>
        <w:numPr>
          <w:ilvl w:val="0"/>
          <w:numId w:val="57"/>
        </w:numPr>
        <w:spacing w:before="0" w:line="240" w:lineRule="auto"/>
        <w:rPr>
          <w:rFonts w:asciiTheme="minorHAnsi" w:hAnsiTheme="minorHAnsi" w:cstheme="minorHAnsi"/>
          <w:b/>
          <w:color w:val="auto"/>
          <w:sz w:val="24"/>
          <w:szCs w:val="24"/>
        </w:rPr>
      </w:pPr>
      <w:r w:rsidRPr="00E815C6">
        <w:rPr>
          <w:rFonts w:asciiTheme="minorHAnsi" w:hAnsiTheme="minorHAnsi" w:cstheme="minorHAnsi"/>
          <w:b/>
          <w:color w:val="auto"/>
          <w:sz w:val="24"/>
          <w:szCs w:val="24"/>
        </w:rPr>
        <w:t>Individuals living with HIV infection by current residence:</w:t>
      </w:r>
    </w:p>
    <w:p w14:paraId="2CFF6042" w14:textId="77777777" w:rsidR="00B24AED" w:rsidRPr="005B297C" w:rsidRDefault="00B24AED" w:rsidP="00B24AED">
      <w:pPr>
        <w:tabs>
          <w:tab w:val="left" w:pos="5440"/>
        </w:tabs>
        <w:autoSpaceDE w:val="0"/>
        <w:autoSpaceDN w:val="0"/>
        <w:adjustRightInd w:val="0"/>
        <w:spacing w:after="0" w:line="240" w:lineRule="auto"/>
        <w:rPr>
          <w:rFonts w:cstheme="minorHAnsi"/>
          <w:b/>
          <w:sz w:val="20"/>
          <w:szCs w:val="20"/>
          <w:lang w:val="en"/>
        </w:rPr>
      </w:pPr>
      <w:r w:rsidRPr="005B297C">
        <w:rPr>
          <w:rFonts w:cstheme="minorHAnsi"/>
          <w:b/>
          <w:szCs w:val="24"/>
          <w:lang w:val="en"/>
        </w:rPr>
        <w:tab/>
      </w:r>
    </w:p>
    <w:p w14:paraId="5C1C7E0B" w14:textId="77777777" w:rsidR="00B24AED" w:rsidRPr="005B297C" w:rsidRDefault="00B24AED" w:rsidP="00E815C6">
      <w:pPr>
        <w:rPr>
          <w:b/>
          <w:i/>
        </w:rPr>
      </w:pPr>
      <w:r w:rsidRPr="005B297C">
        <w:t xml:space="preserve">As of January 1, 2018, the Massachusetts Department of Public Health (MDPH) Bureau of Infectious Disease and Laboratory Sciences (BIDLS) HIV fact sheets, epidemiologic reports, and other HIV data presentations include all individuals living with HIV infection who are currently residing in Massachusetts. These prevalent cases include those who may have been first diagnosed in another state. Reports of incidence or new diagnoses will continue to include only individuals who are first </w:t>
      </w:r>
      <w:r w:rsidRPr="005B297C">
        <w:lastRenderedPageBreak/>
        <w:t>diagnosed in Massachusetts. Please note that HIV fact sheets, data reports, and presentations published from 2011 to 2017 include only cases that were first diagnosed in Massachusetts. BIDLS service planning continues to ensure responsive services to the entire population living with HIV infection in Massachusetts, regardless of place of diagnosis.</w:t>
      </w:r>
    </w:p>
    <w:p w14:paraId="4C1C636E" w14:textId="77777777" w:rsidR="00B24AED" w:rsidRPr="005B297C" w:rsidRDefault="00B24AED" w:rsidP="00B24AED">
      <w:pPr>
        <w:spacing w:after="0" w:line="240" w:lineRule="auto"/>
        <w:rPr>
          <w:rFonts w:cstheme="minorHAnsi"/>
          <w:sz w:val="20"/>
          <w:szCs w:val="20"/>
        </w:rPr>
      </w:pPr>
    </w:p>
    <w:p w14:paraId="781F6154" w14:textId="77777777" w:rsidR="00B24AED" w:rsidRPr="005B297C" w:rsidRDefault="00B24AED" w:rsidP="00960EC3">
      <w:pPr>
        <w:pStyle w:val="Heading2"/>
        <w:numPr>
          <w:ilvl w:val="0"/>
          <w:numId w:val="57"/>
        </w:numPr>
        <w:spacing w:before="0" w:line="240" w:lineRule="auto"/>
        <w:rPr>
          <w:rFonts w:asciiTheme="minorHAnsi" w:hAnsiTheme="minorHAnsi" w:cstheme="minorHAnsi"/>
          <w:b/>
          <w:color w:val="auto"/>
          <w:sz w:val="20"/>
          <w:szCs w:val="20"/>
        </w:rPr>
      </w:pPr>
      <w:r w:rsidRPr="005B297C">
        <w:rPr>
          <w:rFonts w:asciiTheme="minorHAnsi" w:hAnsiTheme="minorHAnsi" w:cstheme="minorHAnsi"/>
          <w:b/>
          <w:color w:val="auto"/>
          <w:sz w:val="24"/>
          <w:szCs w:val="24"/>
        </w:rPr>
        <w:t>Individuals diagnosed with AIDS:</w:t>
      </w:r>
      <w:r w:rsidRPr="005B297C">
        <w:rPr>
          <w:rFonts w:asciiTheme="minorHAnsi" w:hAnsiTheme="minorHAnsi" w:cstheme="minorHAnsi"/>
          <w:b/>
          <w:color w:val="auto"/>
          <w:sz w:val="24"/>
          <w:szCs w:val="24"/>
        </w:rPr>
        <w:br/>
      </w:r>
    </w:p>
    <w:p w14:paraId="66E5C2B5" w14:textId="5BF0ED32" w:rsidR="00B24AED" w:rsidRPr="005B297C" w:rsidRDefault="00B24AED" w:rsidP="00C23070">
      <w:pPr>
        <w:rPr>
          <w:sz w:val="20"/>
          <w:szCs w:val="20"/>
        </w:rPr>
      </w:pPr>
      <w:r w:rsidRPr="005B297C">
        <w:t>AIDS diagnoses include only individuals who were first diagnosed in Massachusetts for the most recently available three-year (</w:t>
      </w:r>
      <w:r w:rsidR="00793583" w:rsidRPr="005B297C">
        <w:t>2022–2024</w:t>
      </w:r>
      <w:r w:rsidRPr="005B297C">
        <w:t>) or ten-year (</w:t>
      </w:r>
      <w:r w:rsidR="005E161C" w:rsidRPr="005B297C">
        <w:t>2015–2024</w:t>
      </w:r>
      <w:r w:rsidRPr="005B297C">
        <w:t>) period.</w:t>
      </w:r>
      <w:r w:rsidRPr="005B297C">
        <w:br/>
      </w:r>
    </w:p>
    <w:p w14:paraId="176B88E0" w14:textId="77777777" w:rsidR="00B24AED" w:rsidRPr="005B297C" w:rsidRDefault="00B24AED" w:rsidP="00960EC3">
      <w:pPr>
        <w:pStyle w:val="Heading2"/>
        <w:numPr>
          <w:ilvl w:val="0"/>
          <w:numId w:val="57"/>
        </w:numPr>
        <w:spacing w:before="0" w:line="240" w:lineRule="auto"/>
        <w:rPr>
          <w:rFonts w:asciiTheme="minorHAnsi" w:hAnsiTheme="minorHAnsi" w:cstheme="minorHAnsi"/>
          <w:b/>
          <w:color w:val="auto"/>
          <w:sz w:val="24"/>
          <w:szCs w:val="24"/>
        </w:rPr>
      </w:pPr>
      <w:r w:rsidRPr="005B297C">
        <w:rPr>
          <w:rFonts w:asciiTheme="minorHAnsi" w:hAnsiTheme="minorHAnsi" w:cstheme="minorHAnsi"/>
          <w:b/>
          <w:color w:val="auto"/>
          <w:sz w:val="24"/>
          <w:szCs w:val="24"/>
        </w:rPr>
        <w:t>Individuals born in Puerto Rico or other US Dependencies (American Samoa, Guam, the Northern Mariana Islands, the Republic of Palau, and the U.S. Virgin Islands)</w:t>
      </w:r>
    </w:p>
    <w:p w14:paraId="5DED7571" w14:textId="77777777" w:rsidR="00C23070" w:rsidRDefault="00C23070" w:rsidP="00960EC3">
      <w:pPr>
        <w:spacing w:after="0" w:line="240" w:lineRule="auto"/>
        <w:rPr>
          <w:szCs w:val="24"/>
        </w:rPr>
      </w:pPr>
    </w:p>
    <w:p w14:paraId="136EBB2A" w14:textId="241BEA05" w:rsidR="00B24AED" w:rsidRPr="005B297C" w:rsidRDefault="005B297C" w:rsidP="00960EC3">
      <w:pPr>
        <w:spacing w:after="0" w:line="240" w:lineRule="auto"/>
        <w:rPr>
          <w:szCs w:val="24"/>
        </w:rPr>
      </w:pPr>
      <w:r w:rsidRPr="005B297C">
        <w:rPr>
          <w:szCs w:val="24"/>
        </w:rPr>
        <w:t>97% of individuals diagnosed with HIV infection (HIV DX) from 2022–2024, 99% of individuals diagnosed with HIV infection from 2015–2024, 98% of persons living with HIV infection on 12/31/2024, 99% of individuals diagnosed with AIDS from 2015–2024, 100% of individuals who died from 2022–2024, and 99% of individuals who died from 2015–2024 who were born in a US dependency were born in Puerto Rico</w:t>
      </w:r>
      <w:r w:rsidR="00B24AED" w:rsidRPr="005B297C">
        <w:rPr>
          <w:szCs w:val="24"/>
        </w:rPr>
        <w:t xml:space="preserve">. </w:t>
      </w:r>
    </w:p>
    <w:p w14:paraId="4EE8ACDE" w14:textId="77777777" w:rsidR="00960EC3" w:rsidRPr="00030CFD" w:rsidRDefault="00960EC3" w:rsidP="00960EC3">
      <w:pPr>
        <w:spacing w:after="0" w:line="240" w:lineRule="auto"/>
        <w:rPr>
          <w:color w:val="EE0000"/>
          <w:sz w:val="20"/>
          <w:szCs w:val="20"/>
        </w:rPr>
      </w:pPr>
    </w:p>
    <w:p w14:paraId="655DDDBC" w14:textId="77777777" w:rsidR="003325E4" w:rsidRPr="00C23070" w:rsidRDefault="00B24AED" w:rsidP="00C23070">
      <w:pPr>
        <w:pStyle w:val="Heading2"/>
        <w:numPr>
          <w:ilvl w:val="0"/>
          <w:numId w:val="57"/>
        </w:numPr>
        <w:spacing w:before="0" w:line="240" w:lineRule="auto"/>
        <w:rPr>
          <w:rFonts w:asciiTheme="minorHAnsi" w:hAnsiTheme="minorHAnsi" w:cstheme="minorHAnsi"/>
          <w:b/>
          <w:color w:val="auto"/>
          <w:sz w:val="24"/>
          <w:szCs w:val="24"/>
        </w:rPr>
      </w:pPr>
      <w:r w:rsidRPr="00C23070">
        <w:rPr>
          <w:rFonts w:asciiTheme="minorHAnsi" w:hAnsiTheme="minorHAnsi" w:cstheme="minorHAnsi"/>
          <w:b/>
          <w:color w:val="auto"/>
          <w:sz w:val="24"/>
          <w:szCs w:val="24"/>
        </w:rPr>
        <w:t>Individuals born outside the US (non-US born)</w:t>
      </w:r>
    </w:p>
    <w:p w14:paraId="6F7BD226" w14:textId="67D1595B" w:rsidR="00B24AED" w:rsidRPr="005B297C" w:rsidRDefault="00B24AED" w:rsidP="003325E4">
      <w:pPr>
        <w:spacing w:after="0" w:line="240" w:lineRule="auto"/>
        <w:rPr>
          <w:rFonts w:cstheme="minorHAnsi"/>
          <w:bCs/>
          <w:szCs w:val="24"/>
        </w:rPr>
      </w:pPr>
      <w:r w:rsidRPr="005B297C">
        <w:rPr>
          <w:rFonts w:cstheme="minorHAnsi"/>
          <w:b/>
          <w:szCs w:val="24"/>
        </w:rPr>
        <w:br/>
      </w:r>
      <w:r w:rsidRPr="005B297C">
        <w:rPr>
          <w:rFonts w:cstheme="minorHAnsi"/>
          <w:bCs/>
          <w:szCs w:val="24"/>
        </w:rPr>
        <w:t>Individuals born outside the US (non-US born) excludes individuals born in the United States, Puerto Rico, American Samoa, Guam, the Northern Mariana Islands, the Republic of Palau, and the U.S. Virgin Islands.</w:t>
      </w:r>
      <w:r w:rsidRPr="005B297C">
        <w:rPr>
          <w:rFonts w:cstheme="minorHAnsi"/>
          <w:bCs/>
          <w:szCs w:val="24"/>
        </w:rPr>
        <w:br/>
      </w:r>
    </w:p>
    <w:p w14:paraId="7C39FDF4" w14:textId="77777777" w:rsidR="00B24AED" w:rsidRPr="005B297C" w:rsidRDefault="00B24AED" w:rsidP="00960EC3">
      <w:pPr>
        <w:pStyle w:val="Heading2"/>
        <w:numPr>
          <w:ilvl w:val="0"/>
          <w:numId w:val="57"/>
        </w:numPr>
        <w:spacing w:before="0" w:line="240" w:lineRule="auto"/>
        <w:rPr>
          <w:rFonts w:asciiTheme="minorHAnsi" w:hAnsiTheme="minorHAnsi" w:cstheme="minorHAnsi"/>
          <w:b/>
          <w:color w:val="auto"/>
          <w:sz w:val="24"/>
          <w:szCs w:val="24"/>
        </w:rPr>
      </w:pPr>
      <w:r w:rsidRPr="005B297C">
        <w:rPr>
          <w:rFonts w:asciiTheme="minorHAnsi" w:hAnsiTheme="minorHAnsi" w:cstheme="minorHAnsi"/>
          <w:b/>
          <w:color w:val="auto"/>
          <w:sz w:val="24"/>
          <w:szCs w:val="24"/>
        </w:rPr>
        <w:t>Gender</w:t>
      </w:r>
    </w:p>
    <w:p w14:paraId="57D0671C" w14:textId="77777777" w:rsidR="00B24AED" w:rsidRPr="005B297C" w:rsidRDefault="00B24AED" w:rsidP="00B24AED">
      <w:pPr>
        <w:spacing w:after="0" w:line="240" w:lineRule="auto"/>
      </w:pPr>
    </w:p>
    <w:p w14:paraId="7110858B" w14:textId="77777777" w:rsidR="00B24AED" w:rsidRPr="005B297C" w:rsidRDefault="00B24AED" w:rsidP="00B24AED">
      <w:pPr>
        <w:spacing w:after="0" w:line="240" w:lineRule="auto"/>
        <w:rPr>
          <w:rFonts w:eastAsiaTheme="majorEastAsia" w:cstheme="minorHAnsi"/>
          <w:b/>
          <w:szCs w:val="24"/>
        </w:rPr>
      </w:pPr>
      <w:r w:rsidRPr="005B297C">
        <w:rPr>
          <w:szCs w:val="24"/>
        </w:rPr>
        <w:t>Current gender data present number and percentage distributions of HIV surveillance data for cisgender (</w:t>
      </w:r>
      <w:r w:rsidRPr="005B297C">
        <w:rPr>
          <w:rFonts w:cstheme="minorHAnsi"/>
          <w:snapToGrid w:val="0"/>
          <w:szCs w:val="24"/>
        </w:rPr>
        <w:t>persons whose current gender identity corresponds with their sex assigned at birth) and transgender individuals. Please note that reported numbers among transgender individuals are likely to be underestimates due to underreporting of current gender.</w:t>
      </w:r>
      <w:r w:rsidRPr="005B297C">
        <w:rPr>
          <w:rFonts w:cstheme="minorHAnsi"/>
          <w:snapToGrid w:val="0"/>
          <w:szCs w:val="24"/>
        </w:rPr>
        <w:br/>
      </w:r>
    </w:p>
    <w:p w14:paraId="21E026AD" w14:textId="77777777" w:rsidR="00B24AED" w:rsidRPr="005B297C" w:rsidRDefault="00B24AED" w:rsidP="00960EC3">
      <w:pPr>
        <w:pStyle w:val="Heading2"/>
        <w:numPr>
          <w:ilvl w:val="0"/>
          <w:numId w:val="57"/>
        </w:numPr>
        <w:spacing w:before="0" w:line="240" w:lineRule="auto"/>
        <w:rPr>
          <w:rFonts w:asciiTheme="minorHAnsi" w:hAnsiTheme="minorHAnsi" w:cstheme="minorHAnsi"/>
          <w:b/>
          <w:color w:val="auto"/>
          <w:sz w:val="24"/>
          <w:szCs w:val="24"/>
        </w:rPr>
      </w:pPr>
      <w:r w:rsidRPr="005B297C">
        <w:rPr>
          <w:rFonts w:asciiTheme="minorHAnsi" w:hAnsiTheme="minorHAnsi" w:cstheme="minorHAnsi"/>
          <w:b/>
          <w:color w:val="auto"/>
          <w:sz w:val="24"/>
          <w:szCs w:val="24"/>
        </w:rPr>
        <w:t>Configuration of Health Service Regions (HSR)</w:t>
      </w:r>
    </w:p>
    <w:p w14:paraId="2F387405" w14:textId="77777777" w:rsidR="00B24AED" w:rsidRPr="005B297C" w:rsidRDefault="00B24AED" w:rsidP="00B24AED">
      <w:pPr>
        <w:spacing w:after="0" w:line="240" w:lineRule="auto"/>
        <w:rPr>
          <w:szCs w:val="24"/>
        </w:rPr>
      </w:pPr>
    </w:p>
    <w:p w14:paraId="23C7ADFF" w14:textId="77777777" w:rsidR="00B24AED" w:rsidRPr="005B297C" w:rsidRDefault="00B24AED" w:rsidP="00B24AED">
      <w:pPr>
        <w:spacing w:after="0" w:line="240" w:lineRule="auto"/>
        <w:rPr>
          <w:szCs w:val="24"/>
        </w:rPr>
      </w:pPr>
      <w:r w:rsidRPr="005B297C">
        <w:rPr>
          <w:szCs w:val="24"/>
        </w:rPr>
        <w:t xml:space="preserve">For HIV and AIDS diagnoses, residence is at diagnosis. For individuals living with HIV infection and deaths, residence is based on the most recent record available. Definitions of Health Service Regions can be found at: </w:t>
      </w:r>
      <w:hyperlink r:id="rId56" w:anchor=":~:text=The%20regions%20%2D%20Western%2C%20Central%2C,and%20towns%20(see%20map)" w:history="1">
        <w:r w:rsidRPr="005B297C">
          <w:rPr>
            <w:rStyle w:val="Hyperlink"/>
            <w:color w:val="3333FF"/>
            <w:szCs w:val="24"/>
          </w:rPr>
          <w:t>Health Services Regions.</w:t>
        </w:r>
      </w:hyperlink>
    </w:p>
    <w:p w14:paraId="25890AA2" w14:textId="0F5046E6" w:rsidR="00B24AED" w:rsidRPr="00030CFD" w:rsidRDefault="00B24AED" w:rsidP="00C23070">
      <w:pPr>
        <w:jc w:val="center"/>
      </w:pPr>
      <w:r w:rsidRPr="00030CFD">
        <w:rPr>
          <w:noProof/>
        </w:rPr>
        <w:lastRenderedPageBreak/>
        <w:drawing>
          <wp:inline distT="0" distB="0" distL="0" distR="0" wp14:anchorId="007B2139" wp14:editId="0EB64168">
            <wp:extent cx="3606800" cy="2705100"/>
            <wp:effectExtent l="0" t="0" r="0" b="0"/>
            <wp:docPr id="9" name="Picture 9" descr="The figure is a map of Massachusetts displaying the location of each of the six health service regions: Boston, Central, Metrowest, Northeast, Southeast, and We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figure is a map of Massachusetts displaying the location of each of the six health service regions: Boston, Central, Metrowest, Northeast, Southeast, and Western."/>
                    <pic:cNvPicPr/>
                  </pic:nvPicPr>
                  <pic:blipFill>
                    <a:blip r:embed="rId57"/>
                    <a:stretch>
                      <a:fillRect/>
                    </a:stretch>
                  </pic:blipFill>
                  <pic:spPr>
                    <a:xfrm>
                      <a:off x="0" y="0"/>
                      <a:ext cx="3625365" cy="2719024"/>
                    </a:xfrm>
                    <a:prstGeom prst="rect">
                      <a:avLst/>
                    </a:prstGeom>
                  </pic:spPr>
                </pic:pic>
              </a:graphicData>
            </a:graphic>
          </wp:inline>
        </w:drawing>
      </w:r>
    </w:p>
    <w:p w14:paraId="1569B582" w14:textId="77777777" w:rsidR="00B24AED" w:rsidRPr="005B297C" w:rsidRDefault="00B24AED" w:rsidP="00960EC3">
      <w:pPr>
        <w:pStyle w:val="Heading2"/>
        <w:numPr>
          <w:ilvl w:val="0"/>
          <w:numId w:val="57"/>
        </w:numPr>
        <w:spacing w:before="0" w:line="240" w:lineRule="auto"/>
        <w:rPr>
          <w:rFonts w:asciiTheme="minorHAnsi" w:hAnsiTheme="minorHAnsi" w:cstheme="minorHAnsi"/>
          <w:b/>
          <w:color w:val="auto"/>
          <w:sz w:val="24"/>
          <w:szCs w:val="24"/>
        </w:rPr>
      </w:pPr>
      <w:r w:rsidRPr="005B297C">
        <w:rPr>
          <w:rFonts w:asciiTheme="minorHAnsi" w:hAnsiTheme="minorHAnsi" w:cstheme="minorHAnsi"/>
          <w:b/>
          <w:color w:val="auto"/>
          <w:sz w:val="24"/>
          <w:szCs w:val="24"/>
        </w:rPr>
        <w:t>Prisons</w:t>
      </w:r>
    </w:p>
    <w:p w14:paraId="1364E8BD" w14:textId="77777777" w:rsidR="00B24AED" w:rsidRPr="005B297C" w:rsidRDefault="00B24AED" w:rsidP="00B24AED">
      <w:pPr>
        <w:spacing w:after="0" w:line="240" w:lineRule="auto"/>
      </w:pPr>
    </w:p>
    <w:p w14:paraId="21414A18" w14:textId="77777777" w:rsidR="00B24AED" w:rsidRPr="005B297C" w:rsidRDefault="00B24AED" w:rsidP="00B24AED">
      <w:pPr>
        <w:spacing w:after="0" w:line="240" w:lineRule="auto"/>
        <w:rPr>
          <w:szCs w:val="24"/>
        </w:rPr>
      </w:pPr>
      <w:r w:rsidRPr="005B297C">
        <w:rPr>
          <w:szCs w:val="24"/>
        </w:rPr>
        <w:t>HSRs are regions defined geographically to facilitate targeted health service planning. While prisons are not an HSR, the prison population is presented separately because of its unique service planning needs. The prisons category represents persons who were diagnosed with HIV infection while in a correctional facility. As these data do not reflect current incarceration status, the category is not included for individuals living with HIV infection or deaths among individuals with HIV.</w:t>
      </w:r>
    </w:p>
    <w:p w14:paraId="60C42D5E" w14:textId="77777777" w:rsidR="00B24AED" w:rsidRPr="00030CFD" w:rsidRDefault="00B24AED" w:rsidP="00C23070"/>
    <w:p w14:paraId="610D6742" w14:textId="77777777" w:rsidR="00B24AED" w:rsidRPr="005B297C" w:rsidRDefault="00B24AED" w:rsidP="00960EC3">
      <w:pPr>
        <w:pStyle w:val="Heading2"/>
        <w:numPr>
          <w:ilvl w:val="0"/>
          <w:numId w:val="57"/>
        </w:numPr>
        <w:spacing w:before="0" w:line="240" w:lineRule="auto"/>
        <w:rPr>
          <w:rFonts w:asciiTheme="minorHAnsi" w:hAnsiTheme="minorHAnsi" w:cstheme="minorHAnsi"/>
          <w:b/>
          <w:color w:val="auto"/>
          <w:sz w:val="24"/>
          <w:szCs w:val="24"/>
        </w:rPr>
      </w:pPr>
      <w:r w:rsidRPr="005B297C">
        <w:rPr>
          <w:rFonts w:asciiTheme="minorHAnsi" w:hAnsiTheme="minorHAnsi" w:cstheme="minorHAnsi"/>
          <w:b/>
          <w:color w:val="auto"/>
          <w:sz w:val="24"/>
          <w:szCs w:val="24"/>
        </w:rPr>
        <w:t>Configuration of Massachusetts cities/towns and counties</w:t>
      </w:r>
    </w:p>
    <w:p w14:paraId="5A3F2F55" w14:textId="77777777" w:rsidR="00B24AED" w:rsidRPr="005B297C" w:rsidRDefault="00B24AED" w:rsidP="00B24AED">
      <w:pPr>
        <w:spacing w:after="0" w:line="240" w:lineRule="auto"/>
        <w:rPr>
          <w:szCs w:val="24"/>
        </w:rPr>
      </w:pPr>
    </w:p>
    <w:p w14:paraId="4507C059" w14:textId="77777777" w:rsidR="00B24AED" w:rsidRPr="005B297C" w:rsidRDefault="00B24AED" w:rsidP="00B24AED">
      <w:pPr>
        <w:spacing w:after="0" w:line="240" w:lineRule="auto"/>
        <w:rPr>
          <w:szCs w:val="24"/>
        </w:rPr>
      </w:pPr>
      <w:r w:rsidRPr="005B297C">
        <w:rPr>
          <w:szCs w:val="24"/>
        </w:rPr>
        <w:t>For HIV and AIDS diagnoses, residence is at diagnosis. For individuals living with HIV infection and deaths, residence is based on the most recent record available.</w:t>
      </w:r>
    </w:p>
    <w:p w14:paraId="556AE275" w14:textId="77777777" w:rsidR="00B24AED" w:rsidRPr="00030CFD" w:rsidRDefault="00B24AED" w:rsidP="00B24AED">
      <w:pPr>
        <w:tabs>
          <w:tab w:val="left" w:pos="5440"/>
        </w:tabs>
        <w:autoSpaceDE w:val="0"/>
        <w:autoSpaceDN w:val="0"/>
        <w:adjustRightInd w:val="0"/>
        <w:spacing w:after="0" w:line="240" w:lineRule="auto"/>
        <w:jc w:val="center"/>
        <w:rPr>
          <w:rFonts w:cstheme="minorHAnsi"/>
          <w:b/>
          <w:color w:val="EE0000"/>
          <w:szCs w:val="24"/>
          <w:lang w:val="en"/>
        </w:rPr>
      </w:pPr>
      <w:r w:rsidRPr="00030CFD">
        <w:rPr>
          <w:rFonts w:cstheme="minorHAnsi"/>
          <w:noProof/>
          <w:color w:val="EE0000"/>
          <w:szCs w:val="24"/>
        </w:rPr>
        <w:drawing>
          <wp:inline distT="0" distB="0" distL="0" distR="0" wp14:anchorId="00F7E104" wp14:editId="40801834">
            <wp:extent cx="4802863" cy="3026806"/>
            <wp:effectExtent l="0" t="0" r="0" b="2540"/>
            <wp:docPr id="2" name="Picture 2" descr="The figure is a map of Massachusetts displaying the location of cities/towns, and county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figure is a map of Massachusetts displaying the location of cities/towns, and county borders."/>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580" t="3527" r="2183" b="3710"/>
                    <a:stretch/>
                  </pic:blipFill>
                  <pic:spPr bwMode="auto">
                    <a:xfrm>
                      <a:off x="0" y="0"/>
                      <a:ext cx="4867937" cy="3067816"/>
                    </a:xfrm>
                    <a:prstGeom prst="rect">
                      <a:avLst/>
                    </a:prstGeom>
                    <a:noFill/>
                    <a:ln>
                      <a:noFill/>
                    </a:ln>
                    <a:extLst>
                      <a:ext uri="{53640926-AAD7-44D8-BBD7-CCE9431645EC}">
                        <a14:shadowObscured xmlns:a14="http://schemas.microsoft.com/office/drawing/2010/main"/>
                      </a:ext>
                    </a:extLst>
                  </pic:spPr>
                </pic:pic>
              </a:graphicData>
            </a:graphic>
          </wp:inline>
        </w:drawing>
      </w:r>
    </w:p>
    <w:p w14:paraId="007E9154" w14:textId="77777777" w:rsidR="00B24AED" w:rsidRPr="005B297C" w:rsidRDefault="00B24AED" w:rsidP="00B24AED">
      <w:pPr>
        <w:tabs>
          <w:tab w:val="left" w:pos="5440"/>
        </w:tabs>
        <w:autoSpaceDE w:val="0"/>
        <w:autoSpaceDN w:val="0"/>
        <w:adjustRightInd w:val="0"/>
        <w:spacing w:after="0" w:line="240" w:lineRule="auto"/>
        <w:rPr>
          <w:rFonts w:cstheme="minorHAnsi"/>
          <w:b/>
          <w:szCs w:val="24"/>
          <w:lang w:val="en"/>
        </w:rPr>
      </w:pPr>
    </w:p>
    <w:p w14:paraId="1299E96F" w14:textId="77777777" w:rsidR="00B24AED" w:rsidRPr="00C23070" w:rsidRDefault="00B24AED" w:rsidP="00C23070">
      <w:pPr>
        <w:pStyle w:val="Heading2"/>
        <w:numPr>
          <w:ilvl w:val="0"/>
          <w:numId w:val="57"/>
        </w:numPr>
        <w:spacing w:before="0" w:line="240" w:lineRule="auto"/>
        <w:rPr>
          <w:rFonts w:asciiTheme="minorHAnsi" w:hAnsiTheme="minorHAnsi" w:cstheme="minorHAnsi"/>
          <w:b/>
          <w:color w:val="auto"/>
          <w:sz w:val="24"/>
          <w:szCs w:val="24"/>
        </w:rPr>
      </w:pPr>
      <w:r w:rsidRPr="00C23070">
        <w:rPr>
          <w:rFonts w:asciiTheme="minorHAnsi" w:hAnsiTheme="minorHAnsi" w:cstheme="minorHAnsi"/>
          <w:b/>
          <w:color w:val="auto"/>
          <w:sz w:val="24"/>
          <w:szCs w:val="24"/>
        </w:rPr>
        <w:t xml:space="preserve">Age </w:t>
      </w:r>
    </w:p>
    <w:p w14:paraId="359CF75B" w14:textId="77777777" w:rsidR="00B24AED" w:rsidRPr="005B297C" w:rsidRDefault="00B24AED" w:rsidP="00B24AED">
      <w:pPr>
        <w:tabs>
          <w:tab w:val="left" w:pos="5440"/>
        </w:tabs>
        <w:autoSpaceDE w:val="0"/>
        <w:autoSpaceDN w:val="0"/>
        <w:adjustRightInd w:val="0"/>
        <w:spacing w:after="0" w:line="240" w:lineRule="auto"/>
        <w:rPr>
          <w:rFonts w:cstheme="minorHAnsi"/>
          <w:bCs/>
          <w:szCs w:val="24"/>
          <w:lang w:val="en"/>
        </w:rPr>
      </w:pPr>
    </w:p>
    <w:p w14:paraId="61CA2D98" w14:textId="3BB3A2C3" w:rsidR="00B24AED" w:rsidRPr="005B297C" w:rsidRDefault="00B24AED" w:rsidP="00B24AED">
      <w:pPr>
        <w:tabs>
          <w:tab w:val="left" w:pos="5440"/>
        </w:tabs>
        <w:autoSpaceDE w:val="0"/>
        <w:autoSpaceDN w:val="0"/>
        <w:adjustRightInd w:val="0"/>
        <w:spacing w:after="0" w:line="240" w:lineRule="auto"/>
        <w:rPr>
          <w:rFonts w:cstheme="minorHAnsi"/>
          <w:bCs/>
          <w:szCs w:val="24"/>
          <w:lang w:val="en"/>
        </w:rPr>
      </w:pPr>
      <w:r w:rsidRPr="005B297C">
        <w:rPr>
          <w:rFonts w:cstheme="minorHAnsi"/>
          <w:bCs/>
          <w:szCs w:val="24"/>
          <w:lang w:val="en"/>
        </w:rPr>
        <w:t>Age in years is at HIV diagnosis for individuals diagnosed with HIV infection, age on 12/31/202</w:t>
      </w:r>
      <w:r w:rsidR="005B297C" w:rsidRPr="005B297C">
        <w:rPr>
          <w:rFonts w:cstheme="minorHAnsi"/>
          <w:bCs/>
          <w:szCs w:val="24"/>
          <w:lang w:val="en"/>
        </w:rPr>
        <w:t>4</w:t>
      </w:r>
      <w:r w:rsidRPr="005B297C">
        <w:rPr>
          <w:rFonts w:cstheme="minorHAnsi"/>
          <w:bCs/>
          <w:szCs w:val="24"/>
          <w:lang w:val="en"/>
        </w:rPr>
        <w:t xml:space="preserve"> for individuals living with HIV infection, and age at death for individuals reported with HIV who died. Please note, pediatric HIV infections diagnosed under age 13 are reported by year of diagnosis; therefore, the annual number of pediatric diagnoses differs from the annual number of perinatal infections (among infants) that are reported by year of birth.</w:t>
      </w:r>
    </w:p>
    <w:p w14:paraId="244405F9" w14:textId="77777777" w:rsidR="00B24AED" w:rsidRPr="00030CFD" w:rsidRDefault="00B24AED" w:rsidP="00B24AED">
      <w:pPr>
        <w:tabs>
          <w:tab w:val="left" w:pos="5440"/>
        </w:tabs>
        <w:autoSpaceDE w:val="0"/>
        <w:autoSpaceDN w:val="0"/>
        <w:adjustRightInd w:val="0"/>
        <w:spacing w:after="0" w:line="240" w:lineRule="auto"/>
        <w:rPr>
          <w:rFonts w:cstheme="minorHAnsi"/>
          <w:bCs/>
          <w:color w:val="EE0000"/>
          <w:szCs w:val="24"/>
          <w:lang w:val="en"/>
        </w:rPr>
      </w:pPr>
    </w:p>
    <w:p w14:paraId="60A5EE8E" w14:textId="77777777" w:rsidR="00B24AED" w:rsidRPr="005B297C" w:rsidRDefault="00B24AED" w:rsidP="00960EC3">
      <w:pPr>
        <w:pStyle w:val="Heading2"/>
        <w:numPr>
          <w:ilvl w:val="0"/>
          <w:numId w:val="57"/>
        </w:numPr>
        <w:spacing w:before="0" w:line="240" w:lineRule="auto"/>
        <w:rPr>
          <w:rFonts w:asciiTheme="minorHAnsi" w:hAnsiTheme="minorHAnsi" w:cstheme="minorHAnsi"/>
          <w:b/>
          <w:i/>
          <w:color w:val="auto"/>
          <w:sz w:val="24"/>
          <w:szCs w:val="24"/>
        </w:rPr>
      </w:pPr>
      <w:r w:rsidRPr="005B297C">
        <w:rPr>
          <w:rFonts w:asciiTheme="minorHAnsi" w:hAnsiTheme="minorHAnsi" w:cstheme="minorHAnsi"/>
          <w:b/>
          <w:color w:val="auto"/>
          <w:sz w:val="24"/>
          <w:szCs w:val="24"/>
        </w:rPr>
        <w:t>Background on HIV reporting system</w:t>
      </w:r>
    </w:p>
    <w:p w14:paraId="58BDBA44" w14:textId="77777777" w:rsidR="00B24AED" w:rsidRPr="005B297C" w:rsidRDefault="00B24AED" w:rsidP="00C23070"/>
    <w:p w14:paraId="019FA623" w14:textId="77777777" w:rsidR="00B24AED" w:rsidRPr="005B297C" w:rsidRDefault="00B24AED" w:rsidP="00C23070">
      <w:bookmarkStart w:id="13" w:name="_Hlk93066568"/>
      <w:r w:rsidRPr="005B297C">
        <w:t>Massachusetts Department of Public Health (MDPH) regulations started requiring healthcare providers to submit case report forms, with demographic and risk information, on individuals diagnosed with AIDS in 1983, and with HIV infection in 1999. Existing cases of HIV infection diagnosed through 1998 were also to be reported by the end of 1999. When comparing HIV infection diagnosed before 1999 to HIV infection diagnosed after 1999, users should consider the differences in HIV reporting requirements for these two time periods. Since HIV was not reported at diagnosis prior to 1999 and clinical providers were given a relatively short time frame within which to report all prevalent HIV cases, the pre-1999 data may be less complete than data reported after 1999. Additionally, pre-1999 HIV infection diagnoses do not include individuals who were diagnosed with HIV infection and who died before 1999 without being reported with AIDS, nor do they include individuals who were no longer receiving HIV-related health care in Massachusetts at the point when HIV (non-AIDS) reporting became mandatory.</w:t>
      </w:r>
    </w:p>
    <w:p w14:paraId="64B5419D" w14:textId="77777777" w:rsidR="00B24AED" w:rsidRPr="005B297C" w:rsidRDefault="00B24AED" w:rsidP="00B24AED">
      <w:pPr>
        <w:spacing w:after="0" w:line="240" w:lineRule="auto"/>
        <w:rPr>
          <w:szCs w:val="24"/>
        </w:rPr>
      </w:pPr>
    </w:p>
    <w:p w14:paraId="18A30705" w14:textId="77777777" w:rsidR="00B24AED" w:rsidRPr="005B297C" w:rsidRDefault="00B24AED" w:rsidP="00B24AED">
      <w:pPr>
        <w:spacing w:after="0" w:line="240" w:lineRule="auto"/>
        <w:rPr>
          <w:szCs w:val="24"/>
        </w:rPr>
      </w:pPr>
      <w:r w:rsidRPr="005B297C">
        <w:rPr>
          <w:szCs w:val="24"/>
        </w:rPr>
        <w:t>Beginning in 2019, all new diagnoses of HIV infection were assigned to field epidemiologists for partner services, to ensure disease education/comprehension, and assist with linkage to HIV care. As a part of this process, field epidemiologists helped to collect pertinent epidemiological, demographic, and risk information of the individual.</w:t>
      </w:r>
    </w:p>
    <w:bookmarkEnd w:id="13"/>
    <w:p w14:paraId="415107BC" w14:textId="77777777" w:rsidR="00B24AED" w:rsidRPr="005B297C" w:rsidRDefault="00B24AED" w:rsidP="00B24AED">
      <w:pPr>
        <w:spacing w:after="0" w:line="240" w:lineRule="auto"/>
      </w:pPr>
    </w:p>
    <w:p w14:paraId="5CA2849F" w14:textId="77777777" w:rsidR="00B24AED" w:rsidRPr="00C23070" w:rsidRDefault="00B24AED" w:rsidP="00C23070">
      <w:pPr>
        <w:pStyle w:val="Heading2"/>
        <w:numPr>
          <w:ilvl w:val="0"/>
          <w:numId w:val="57"/>
        </w:numPr>
        <w:spacing w:before="0" w:line="240" w:lineRule="auto"/>
        <w:rPr>
          <w:rFonts w:asciiTheme="minorHAnsi" w:hAnsiTheme="minorHAnsi" w:cstheme="minorHAnsi"/>
          <w:b/>
          <w:color w:val="auto"/>
          <w:sz w:val="24"/>
          <w:szCs w:val="24"/>
        </w:rPr>
      </w:pPr>
      <w:r w:rsidRPr="00C23070">
        <w:rPr>
          <w:rFonts w:asciiTheme="minorHAnsi" w:hAnsiTheme="minorHAnsi" w:cstheme="minorHAnsi"/>
          <w:b/>
          <w:color w:val="auto"/>
          <w:sz w:val="24"/>
          <w:szCs w:val="24"/>
        </w:rPr>
        <w:t>Data limitations</w:t>
      </w:r>
    </w:p>
    <w:p w14:paraId="61C6B2FB" w14:textId="77777777" w:rsidR="00B24AED" w:rsidRPr="005B297C" w:rsidRDefault="00B24AED" w:rsidP="00B24AED">
      <w:pPr>
        <w:spacing w:after="0" w:line="240" w:lineRule="auto"/>
        <w:rPr>
          <w:rFonts w:cstheme="minorHAnsi"/>
          <w:b/>
          <w:szCs w:val="24"/>
        </w:rPr>
      </w:pPr>
    </w:p>
    <w:p w14:paraId="1ECD449E" w14:textId="0DADC67D" w:rsidR="00B24AED" w:rsidRPr="005B297C" w:rsidRDefault="00B24AED" w:rsidP="00B24AED">
      <w:pPr>
        <w:spacing w:after="0" w:line="240" w:lineRule="auto"/>
        <w:rPr>
          <w:rFonts w:cstheme="minorHAnsi"/>
          <w:b/>
          <w:szCs w:val="24"/>
        </w:rPr>
      </w:pPr>
      <w:r w:rsidRPr="005B297C">
        <w:rPr>
          <w:rFonts w:eastAsia="Times New Roman" w:cstheme="minorHAnsi"/>
          <w:szCs w:val="24"/>
        </w:rPr>
        <w:t xml:space="preserve">While trends in new HIV diagnoses are the best indicator of those who are most at risk of HIV infection, HIV surveillance reflects only incident diagnoses among individuals who are in care and not the actual incidence of new infections. Individuals may be living with HIV infection for many years prior to being tested and seeking care, at which point the case is considered a “diagnosis” and reported to the MDPH Bureau of Infectious Disease and Laboratory Sciences. In the most recent years of data presented, delays may occur in the reporting of a case to MDPH after it is diagnosed. </w:t>
      </w:r>
      <w:r w:rsidR="005B297C" w:rsidRPr="005B297C">
        <w:rPr>
          <w:rFonts w:eastAsia="Times New Roman" w:cstheme="minorHAnsi"/>
          <w:szCs w:val="24"/>
        </w:rPr>
        <w:t xml:space="preserve">Although Massachusetts regulations require providers to submit HIV case reports in a timely fashion, some 2024 HIV infection diagnoses will be reported to the surveillance program after the release of this report. Thus, the 2024 data presented in this report may change slightly. Previous analyses of Massachusetts HIV case data have suggested that the distribution of HIV infection diagnoses by race/ethnicity, sex assigned at birth and exposure mode for cases reported more than 6 months after diagnosis was not substantially </w:t>
      </w:r>
      <w:r w:rsidR="005B297C" w:rsidRPr="005B297C">
        <w:rPr>
          <w:rFonts w:eastAsia="Times New Roman" w:cstheme="minorHAnsi"/>
          <w:szCs w:val="24"/>
        </w:rPr>
        <w:lastRenderedPageBreak/>
        <w:t>different than the distribution of HIV cases reported within 6 months. Caution should be exercised when considering changes in HIV diagnosis trends for 2024</w:t>
      </w:r>
      <w:r w:rsidRPr="005B297C">
        <w:rPr>
          <w:rFonts w:eastAsia="Times New Roman" w:cstheme="minorHAnsi"/>
          <w:szCs w:val="24"/>
        </w:rPr>
        <w:t xml:space="preserve">. </w:t>
      </w:r>
    </w:p>
    <w:p w14:paraId="43CE176C" w14:textId="77777777" w:rsidR="00B24AED" w:rsidRPr="00030CFD" w:rsidRDefault="00B24AED" w:rsidP="00293C35"/>
    <w:p w14:paraId="546562A6" w14:textId="77777777" w:rsidR="00B24AED" w:rsidRPr="00293C35" w:rsidRDefault="00B24AED" w:rsidP="00293C35">
      <w:pPr>
        <w:pStyle w:val="Heading2"/>
        <w:numPr>
          <w:ilvl w:val="0"/>
          <w:numId w:val="57"/>
        </w:numPr>
        <w:spacing w:before="0" w:line="240" w:lineRule="auto"/>
        <w:rPr>
          <w:rFonts w:asciiTheme="minorHAnsi" w:hAnsiTheme="minorHAnsi" w:cstheme="minorHAnsi"/>
          <w:b/>
          <w:color w:val="auto"/>
          <w:sz w:val="24"/>
          <w:szCs w:val="24"/>
        </w:rPr>
      </w:pPr>
      <w:r w:rsidRPr="00293C35">
        <w:rPr>
          <w:rFonts w:asciiTheme="minorHAnsi" w:hAnsiTheme="minorHAnsi" w:cstheme="minorHAnsi"/>
          <w:b/>
          <w:color w:val="auto"/>
          <w:sz w:val="24"/>
          <w:szCs w:val="24"/>
        </w:rPr>
        <w:t>Deaths among people reported with HIV</w:t>
      </w:r>
    </w:p>
    <w:p w14:paraId="50866108" w14:textId="77777777" w:rsidR="00B24AED" w:rsidRPr="005B297C" w:rsidRDefault="00B24AED" w:rsidP="00293C35"/>
    <w:p w14:paraId="4E454ADE" w14:textId="0982B6E6" w:rsidR="00B24AED" w:rsidRPr="005B297C" w:rsidRDefault="00B24AED" w:rsidP="00293C35">
      <w:pPr>
        <w:rPr>
          <w:rFonts w:cstheme="minorHAnsi"/>
          <w:bCs/>
          <w:szCs w:val="24"/>
        </w:rPr>
      </w:pPr>
      <w:r w:rsidRPr="005B297C">
        <w:rPr>
          <w:rFonts w:cstheme="minorHAnsi"/>
          <w:bCs/>
          <w:szCs w:val="24"/>
        </w:rPr>
        <w:t>All-cause death data include only individuals who were first diagnosed with HIV in Massachusetts for the most recently available three-year (</w:t>
      </w:r>
      <w:r w:rsidR="00793583" w:rsidRPr="005B297C">
        <w:rPr>
          <w:rFonts w:cstheme="minorHAnsi"/>
          <w:bCs/>
          <w:szCs w:val="24"/>
        </w:rPr>
        <w:t>2022–2024</w:t>
      </w:r>
      <w:r w:rsidRPr="005B297C">
        <w:rPr>
          <w:rFonts w:cstheme="minorHAnsi"/>
          <w:bCs/>
          <w:szCs w:val="24"/>
        </w:rPr>
        <w:t>) or ten-year (</w:t>
      </w:r>
      <w:r w:rsidR="005E161C" w:rsidRPr="005B297C">
        <w:rPr>
          <w:rFonts w:cstheme="minorHAnsi"/>
          <w:bCs/>
          <w:szCs w:val="24"/>
        </w:rPr>
        <w:t>2015–2024</w:t>
      </w:r>
      <w:r w:rsidRPr="005B297C">
        <w:rPr>
          <w:rFonts w:cstheme="minorHAnsi"/>
          <w:bCs/>
          <w:szCs w:val="24"/>
        </w:rPr>
        <w:t>) period.</w:t>
      </w:r>
    </w:p>
    <w:p w14:paraId="5356141E" w14:textId="77777777" w:rsidR="00B24AED" w:rsidRPr="005B297C" w:rsidRDefault="00B24AED" w:rsidP="00B24AED">
      <w:pPr>
        <w:pStyle w:val="BodyText2"/>
        <w:spacing w:after="0" w:line="240" w:lineRule="auto"/>
        <w:rPr>
          <w:rFonts w:asciiTheme="minorHAnsi" w:hAnsiTheme="minorHAnsi" w:cstheme="minorHAnsi"/>
        </w:rPr>
      </w:pPr>
    </w:p>
    <w:p w14:paraId="284EAB33" w14:textId="43091B26" w:rsidR="00B24AED" w:rsidRPr="00030CFD" w:rsidRDefault="00B24AED" w:rsidP="00B24AED">
      <w:pPr>
        <w:pStyle w:val="BodyText2"/>
        <w:spacing w:after="0" w:line="240" w:lineRule="auto"/>
        <w:rPr>
          <w:rFonts w:asciiTheme="minorHAnsi" w:hAnsiTheme="minorHAnsi" w:cstheme="minorHAnsi"/>
          <w:color w:val="EE0000"/>
        </w:rPr>
      </w:pPr>
      <w:r w:rsidRPr="005B297C">
        <w:rPr>
          <w:rFonts w:asciiTheme="minorHAnsi" w:hAnsiTheme="minorHAnsi" w:cstheme="minorHAnsi"/>
        </w:rPr>
        <w:t xml:space="preserve">The death data presented in this report include all deaths among people diagnosed and reported with HIV in Massachusetts to present a full description of trends in mortality among this population. This includes deaths from non-HIV related causes such as drug overdoses, suicides, motor vehicle accidents and other causes. Therefore, the total number of annual deaths reported here will vary from the number of HIV-related deaths reported in </w:t>
      </w:r>
      <w:r w:rsidRPr="005B297C">
        <w:rPr>
          <w:rFonts w:asciiTheme="minorHAnsi" w:hAnsiTheme="minorHAnsi" w:cstheme="minorHAnsi"/>
          <w:i/>
        </w:rPr>
        <w:t>Massachusetts Deaths</w:t>
      </w:r>
      <w:r w:rsidRPr="005B297C">
        <w:rPr>
          <w:rFonts w:asciiTheme="minorHAnsi" w:hAnsiTheme="minorHAnsi" w:cstheme="minorHAnsi"/>
        </w:rPr>
        <w:t xml:space="preserve"> by the Massachusetts Department of Public Health, Office of Population Health (available at </w:t>
      </w:r>
      <w:hyperlink r:id="rId59" w:history="1">
        <w:r w:rsidRPr="005B297C">
          <w:rPr>
            <w:rStyle w:val="Hyperlink"/>
            <w:rFonts w:asciiTheme="minorHAnsi" w:hAnsiTheme="minorHAnsi" w:cstheme="minorHAnsi"/>
            <w:color w:val="3333FF"/>
          </w:rPr>
          <w:t>https://www.mass.gov/lists/death-data</w:t>
        </w:r>
      </w:hyperlink>
      <w:r w:rsidRPr="005B297C">
        <w:rPr>
          <w:rFonts w:asciiTheme="minorHAnsi" w:hAnsiTheme="minorHAnsi" w:cstheme="minorHAnsi"/>
        </w:rPr>
        <w:t>). The death data reported here are considered complete through 202</w:t>
      </w:r>
      <w:r w:rsidR="005B297C" w:rsidRPr="005B297C">
        <w:rPr>
          <w:rFonts w:asciiTheme="minorHAnsi" w:hAnsiTheme="minorHAnsi" w:cstheme="minorHAnsi"/>
        </w:rPr>
        <w:t>3</w:t>
      </w:r>
      <w:r w:rsidRPr="005B297C">
        <w:rPr>
          <w:rFonts w:asciiTheme="minorHAnsi" w:hAnsiTheme="minorHAnsi" w:cstheme="minorHAnsi"/>
        </w:rPr>
        <w:t>. Data on deaths occurring in Massachusetts are from matches with the Massachusetts Registry of Vital Records and Statistics and from provider reports. Data on deaths occurring outside of Massachusetts are from matches with the Social Security Death Master File.</w:t>
      </w:r>
    </w:p>
    <w:p w14:paraId="6D0A975F" w14:textId="77777777" w:rsidR="00B24AED" w:rsidRPr="00030CFD" w:rsidRDefault="00B24AED" w:rsidP="00B24AED">
      <w:pPr>
        <w:spacing w:after="0" w:line="240" w:lineRule="auto"/>
        <w:rPr>
          <w:rFonts w:cstheme="minorHAnsi"/>
          <w:b/>
          <w:color w:val="EE0000"/>
          <w:szCs w:val="24"/>
        </w:rPr>
      </w:pPr>
    </w:p>
    <w:p w14:paraId="4A5DFB2B" w14:textId="77777777" w:rsidR="00B24AED" w:rsidRPr="00293C35" w:rsidRDefault="00B24AED" w:rsidP="00293C35">
      <w:pPr>
        <w:pStyle w:val="Heading2"/>
        <w:numPr>
          <w:ilvl w:val="0"/>
          <w:numId w:val="57"/>
        </w:numPr>
        <w:spacing w:before="0" w:line="240" w:lineRule="auto"/>
        <w:rPr>
          <w:rFonts w:asciiTheme="minorHAnsi" w:hAnsiTheme="minorHAnsi" w:cstheme="minorHAnsi"/>
          <w:b/>
          <w:color w:val="auto"/>
          <w:sz w:val="24"/>
          <w:szCs w:val="24"/>
        </w:rPr>
      </w:pPr>
      <w:r w:rsidRPr="00293C35">
        <w:rPr>
          <w:rFonts w:asciiTheme="minorHAnsi" w:hAnsiTheme="minorHAnsi" w:cstheme="minorHAnsi"/>
          <w:b/>
          <w:color w:val="auto"/>
          <w:sz w:val="24"/>
          <w:szCs w:val="24"/>
        </w:rPr>
        <w:t>HIV primary exposure mode definitions</w:t>
      </w:r>
      <w:r w:rsidRPr="00293C35">
        <w:rPr>
          <w:rFonts w:asciiTheme="minorHAnsi" w:hAnsiTheme="minorHAnsi" w:cstheme="minorHAnsi"/>
          <w:b/>
          <w:color w:val="auto"/>
          <w:sz w:val="24"/>
          <w:szCs w:val="24"/>
        </w:rPr>
        <w:br/>
      </w:r>
    </w:p>
    <w:p w14:paraId="12796A94" w14:textId="77777777" w:rsidR="00B24AED" w:rsidRPr="009F0D32" w:rsidRDefault="00B24AED" w:rsidP="00B24AED">
      <w:pPr>
        <w:widowControl w:val="0"/>
        <w:autoSpaceDE w:val="0"/>
        <w:autoSpaceDN w:val="0"/>
        <w:adjustRightInd w:val="0"/>
        <w:spacing w:line="240" w:lineRule="auto"/>
        <w:rPr>
          <w:rFonts w:ascii="Calibri" w:eastAsia="Times New Roman" w:hAnsi="Calibri" w:cs="Calibri"/>
          <w:szCs w:val="24"/>
        </w:rPr>
      </w:pPr>
      <w:r w:rsidRPr="009F0D32">
        <w:rPr>
          <w:rFonts w:ascii="Calibri" w:eastAsia="Times New Roman" w:hAnsi="Calibri" w:cs="Calibri"/>
          <w:szCs w:val="24"/>
        </w:rPr>
        <w:t>The HIV primary exposure mode indicates the most probable risk behavior associated with HIV infection. Assignment of primary exposure mode is done in accordance with Centers for Disease Control and Prevention (CDC) guidelines when multiple exposure modes are reported. Although the reported primary exposure mode is the most likely mode of transmission, there is always the possibility that it is not the actual mode of transmission. Following is a description of the exposure mode categories:</w:t>
      </w:r>
    </w:p>
    <w:p w14:paraId="56FA6DF4" w14:textId="77777777" w:rsidR="00B24AED" w:rsidRPr="009F0D32" w:rsidRDefault="00B24AED" w:rsidP="00B24AED">
      <w:pPr>
        <w:widowControl w:val="0"/>
        <w:numPr>
          <w:ilvl w:val="0"/>
          <w:numId w:val="56"/>
        </w:numPr>
        <w:autoSpaceDE w:val="0"/>
        <w:autoSpaceDN w:val="0"/>
        <w:adjustRightInd w:val="0"/>
        <w:spacing w:line="240" w:lineRule="auto"/>
        <w:contextualSpacing/>
        <w:rPr>
          <w:rFonts w:ascii="Calibri" w:eastAsia="Times New Roman" w:hAnsi="Calibri" w:cs="Calibri"/>
          <w:szCs w:val="24"/>
        </w:rPr>
      </w:pPr>
      <w:r w:rsidRPr="009F0D32">
        <w:rPr>
          <w:rFonts w:ascii="Calibri" w:eastAsia="Calibri" w:hAnsi="Calibri" w:cs="Times New Roman"/>
          <w:b/>
          <w:bCs/>
          <w:szCs w:val="24"/>
        </w:rPr>
        <w:t>MSM</w:t>
      </w:r>
      <w:r w:rsidRPr="009F0D32">
        <w:rPr>
          <w:rFonts w:ascii="Calibri" w:eastAsia="Calibri" w:hAnsi="Calibri" w:cs="Times New Roman"/>
          <w:b/>
          <w:bCs/>
          <w:spacing w:val="6"/>
          <w:szCs w:val="24"/>
        </w:rPr>
        <w:t xml:space="preserve"> </w:t>
      </w:r>
      <w:r w:rsidRPr="009F0D32">
        <w:rPr>
          <w:rFonts w:ascii="Calibri" w:eastAsia="Calibri" w:hAnsi="Calibri" w:cs="Times New Roman"/>
          <w:b/>
          <w:bCs/>
          <w:szCs w:val="24"/>
        </w:rPr>
        <w:t>(Male</w:t>
      </w:r>
      <w:r w:rsidRPr="009F0D32">
        <w:rPr>
          <w:rFonts w:ascii="Calibri" w:eastAsia="Calibri" w:hAnsi="Calibri" w:cs="Times New Roman"/>
          <w:b/>
          <w:bCs/>
          <w:spacing w:val="6"/>
          <w:szCs w:val="24"/>
        </w:rPr>
        <w:t>-</w:t>
      </w:r>
      <w:r w:rsidRPr="009F0D32">
        <w:rPr>
          <w:rFonts w:ascii="Calibri" w:eastAsia="Calibri" w:hAnsi="Calibri" w:cs="Times New Roman"/>
          <w:b/>
          <w:bCs/>
          <w:szCs w:val="24"/>
        </w:rPr>
        <w:t>to</w:t>
      </w:r>
      <w:r w:rsidRPr="009F0D32">
        <w:rPr>
          <w:rFonts w:ascii="Calibri" w:eastAsia="Calibri" w:hAnsi="Calibri" w:cs="Times New Roman"/>
          <w:b/>
          <w:bCs/>
          <w:spacing w:val="6"/>
          <w:szCs w:val="24"/>
        </w:rPr>
        <w:t>-</w:t>
      </w:r>
      <w:r w:rsidRPr="009F0D32">
        <w:rPr>
          <w:rFonts w:ascii="Calibri" w:eastAsia="Calibri" w:hAnsi="Calibri" w:cs="Times New Roman"/>
          <w:b/>
          <w:bCs/>
          <w:szCs w:val="24"/>
        </w:rPr>
        <w:t>Male</w:t>
      </w:r>
      <w:r w:rsidRPr="009F0D32">
        <w:rPr>
          <w:rFonts w:ascii="Calibri" w:eastAsia="Calibri" w:hAnsi="Calibri" w:cs="Times New Roman"/>
          <w:b/>
          <w:bCs/>
          <w:spacing w:val="6"/>
          <w:szCs w:val="24"/>
        </w:rPr>
        <w:t xml:space="preserve"> </w:t>
      </w:r>
      <w:r w:rsidRPr="009F0D32">
        <w:rPr>
          <w:rFonts w:ascii="Calibri" w:eastAsia="Calibri" w:hAnsi="Calibri" w:cs="Times New Roman"/>
          <w:b/>
          <w:bCs/>
          <w:szCs w:val="24"/>
        </w:rPr>
        <w:t xml:space="preserve">Sex): </w:t>
      </w:r>
      <w:r w:rsidRPr="009F0D32">
        <w:rPr>
          <w:rFonts w:ascii="Calibri" w:eastAsia="Calibri" w:hAnsi="Calibri" w:cs="Times New Roman"/>
          <w:b/>
          <w:bCs/>
          <w:spacing w:val="11"/>
          <w:szCs w:val="24"/>
        </w:rPr>
        <w:t xml:space="preserve"> </w:t>
      </w:r>
      <w:r w:rsidRPr="009F0D32">
        <w:rPr>
          <w:rFonts w:ascii="Calibri" w:eastAsia="Calibri" w:hAnsi="Calibri" w:cs="Times New Roman"/>
          <w:szCs w:val="24"/>
        </w:rPr>
        <w:t>Includes</w:t>
      </w:r>
      <w:r w:rsidRPr="009F0D32">
        <w:rPr>
          <w:rFonts w:ascii="Calibri" w:eastAsia="Calibri" w:hAnsi="Calibri" w:cs="Times New Roman"/>
          <w:spacing w:val="6"/>
          <w:szCs w:val="24"/>
        </w:rPr>
        <w:t xml:space="preserve"> all individuals assigned </w:t>
      </w:r>
      <w:r w:rsidRPr="009F0D32">
        <w:rPr>
          <w:rFonts w:ascii="Calibri" w:eastAsia="Calibri" w:hAnsi="Calibri" w:cs="Times New Roman"/>
          <w:szCs w:val="24"/>
        </w:rPr>
        <w:t>male at birth</w:t>
      </w:r>
      <w:r w:rsidRPr="009F0D32">
        <w:rPr>
          <w:rFonts w:ascii="Calibri" w:eastAsia="Calibri" w:hAnsi="Calibri" w:cs="Times New Roman"/>
          <w:spacing w:val="6"/>
          <w:szCs w:val="24"/>
        </w:rPr>
        <w:t xml:space="preserve"> </w:t>
      </w:r>
      <w:r w:rsidRPr="009F0D32">
        <w:rPr>
          <w:rFonts w:ascii="Calibri" w:eastAsia="Calibri" w:hAnsi="Calibri" w:cs="Times New Roman"/>
          <w:szCs w:val="24"/>
        </w:rPr>
        <w:t>who</w:t>
      </w:r>
      <w:r w:rsidRPr="009F0D32">
        <w:rPr>
          <w:rFonts w:ascii="Calibri" w:eastAsia="Calibri" w:hAnsi="Calibri" w:cs="Times New Roman"/>
          <w:spacing w:val="6"/>
          <w:szCs w:val="24"/>
        </w:rPr>
        <w:t xml:space="preserve"> </w:t>
      </w:r>
      <w:r w:rsidRPr="009F0D32">
        <w:rPr>
          <w:rFonts w:ascii="Calibri" w:eastAsia="Calibri" w:hAnsi="Calibri" w:cs="Times New Roman"/>
          <w:szCs w:val="24"/>
        </w:rPr>
        <w:t>report</w:t>
      </w:r>
      <w:r w:rsidRPr="009F0D32">
        <w:rPr>
          <w:rFonts w:ascii="Calibri" w:eastAsia="Calibri" w:hAnsi="Calibri" w:cs="Times New Roman"/>
          <w:spacing w:val="6"/>
          <w:szCs w:val="24"/>
        </w:rPr>
        <w:t xml:space="preserve"> any </w:t>
      </w:r>
      <w:r w:rsidRPr="009F0D32">
        <w:rPr>
          <w:rFonts w:ascii="Calibri" w:eastAsia="Calibri" w:hAnsi="Calibri" w:cs="Times New Roman"/>
          <w:szCs w:val="24"/>
        </w:rPr>
        <w:t>sexual</w:t>
      </w:r>
      <w:r w:rsidRPr="009F0D32">
        <w:rPr>
          <w:rFonts w:ascii="Calibri" w:eastAsia="Calibri" w:hAnsi="Calibri" w:cs="Times New Roman"/>
          <w:spacing w:val="6"/>
          <w:szCs w:val="24"/>
        </w:rPr>
        <w:t xml:space="preserve"> </w:t>
      </w:r>
      <w:r w:rsidRPr="009F0D32">
        <w:rPr>
          <w:rFonts w:ascii="Calibri" w:eastAsia="Calibri" w:hAnsi="Calibri" w:cs="Times New Roman"/>
          <w:szCs w:val="24"/>
        </w:rPr>
        <w:t>contact</w:t>
      </w:r>
      <w:r w:rsidRPr="009F0D32">
        <w:rPr>
          <w:rFonts w:ascii="Calibri" w:eastAsia="Calibri" w:hAnsi="Calibri" w:cs="Times New Roman"/>
          <w:spacing w:val="6"/>
          <w:szCs w:val="24"/>
        </w:rPr>
        <w:t xml:space="preserve"> </w:t>
      </w:r>
      <w:r w:rsidRPr="009F0D32">
        <w:rPr>
          <w:rFonts w:ascii="Calibri" w:eastAsia="Calibri" w:hAnsi="Calibri" w:cs="Times New Roman"/>
          <w:szCs w:val="24"/>
        </w:rPr>
        <w:t>with</w:t>
      </w:r>
      <w:r w:rsidRPr="009F0D32">
        <w:rPr>
          <w:rFonts w:ascii="Calibri" w:eastAsia="Calibri" w:hAnsi="Calibri" w:cs="Times New Roman"/>
          <w:spacing w:val="6"/>
          <w:szCs w:val="24"/>
        </w:rPr>
        <w:t xml:space="preserve"> </w:t>
      </w:r>
      <w:r w:rsidRPr="009F0D32">
        <w:rPr>
          <w:rFonts w:ascii="Calibri" w:eastAsia="Calibri" w:hAnsi="Calibri" w:cs="Times New Roman"/>
          <w:szCs w:val="24"/>
        </w:rPr>
        <w:t>other</w:t>
      </w:r>
      <w:r w:rsidRPr="009F0D32">
        <w:rPr>
          <w:rFonts w:ascii="Calibri" w:eastAsia="Calibri" w:hAnsi="Calibri" w:cs="Times New Roman"/>
          <w:spacing w:val="6"/>
          <w:szCs w:val="24"/>
        </w:rPr>
        <w:t xml:space="preserve"> individuals that identify as </w:t>
      </w:r>
      <w:r w:rsidRPr="009F0D32">
        <w:rPr>
          <w:rFonts w:ascii="Calibri" w:eastAsia="Calibri" w:hAnsi="Calibri" w:cs="Times New Roman"/>
          <w:szCs w:val="24"/>
        </w:rPr>
        <w:t>male. Please note that in accordance with CDC guidelines, this category is defined by an individual’s assigned sex at birth and not an individual’s current gender identity.</w:t>
      </w:r>
    </w:p>
    <w:p w14:paraId="605920B3" w14:textId="77777777" w:rsidR="00B24AED" w:rsidRPr="009F0D32" w:rsidRDefault="00B24AED" w:rsidP="00B24AED">
      <w:pPr>
        <w:widowControl w:val="0"/>
        <w:numPr>
          <w:ilvl w:val="1"/>
          <w:numId w:val="56"/>
        </w:numPr>
        <w:autoSpaceDE w:val="0"/>
        <w:autoSpaceDN w:val="0"/>
        <w:adjustRightInd w:val="0"/>
        <w:spacing w:line="240" w:lineRule="auto"/>
        <w:contextualSpacing/>
        <w:rPr>
          <w:rFonts w:ascii="Calibri" w:eastAsia="Times New Roman" w:hAnsi="Calibri" w:cs="Calibri"/>
          <w:szCs w:val="24"/>
        </w:rPr>
      </w:pPr>
      <w:r w:rsidRPr="009F0D32">
        <w:rPr>
          <w:rFonts w:ascii="Calibri" w:eastAsia="Times New Roman" w:hAnsi="Calibri" w:cs="Calibri"/>
          <w:b/>
          <w:bCs/>
          <w:szCs w:val="24"/>
        </w:rPr>
        <w:t>Sex with Men:</w:t>
      </w:r>
      <w:r w:rsidRPr="009F0D32">
        <w:rPr>
          <w:rFonts w:ascii="Calibri" w:eastAsia="Times New Roman" w:hAnsi="Calibri" w:cs="Calibri"/>
          <w:szCs w:val="24"/>
        </w:rPr>
        <w:t xml:space="preserve"> This exposure mode category is used by the Bureau of Infectious Disease and Laboratory Sciences (BIDLS) to categorize sexual risk in transgender women reporting sex with men only. For the purposes of official reporting in the MA HIV Surveillance System and to CDC, exposure mode for transgender women is based on sex assigned at birth, and therefore would be reported as male-to-male sex.</w:t>
      </w:r>
    </w:p>
    <w:p w14:paraId="564864EB" w14:textId="77777777" w:rsidR="00B24AED" w:rsidRPr="009F0D32" w:rsidRDefault="00B24AED" w:rsidP="00B24AED">
      <w:pPr>
        <w:widowControl w:val="0"/>
        <w:numPr>
          <w:ilvl w:val="0"/>
          <w:numId w:val="56"/>
        </w:numPr>
        <w:autoSpaceDE w:val="0"/>
        <w:autoSpaceDN w:val="0"/>
        <w:adjustRightInd w:val="0"/>
        <w:spacing w:line="240" w:lineRule="auto"/>
        <w:contextualSpacing/>
        <w:rPr>
          <w:rFonts w:ascii="Calibri" w:eastAsia="Times New Roman" w:hAnsi="Calibri" w:cs="Calibri"/>
          <w:szCs w:val="24"/>
        </w:rPr>
      </w:pPr>
      <w:r w:rsidRPr="009F0D32">
        <w:rPr>
          <w:rFonts w:ascii="Calibri" w:eastAsia="Calibri" w:hAnsi="Calibri" w:cs="Times New Roman"/>
          <w:b/>
          <w:bCs/>
          <w:szCs w:val="24"/>
        </w:rPr>
        <w:t>IDU</w:t>
      </w:r>
      <w:r w:rsidRPr="009F0D32">
        <w:rPr>
          <w:rFonts w:ascii="Calibri" w:eastAsia="Calibri" w:hAnsi="Calibri" w:cs="Times New Roman"/>
          <w:b/>
          <w:bCs/>
          <w:spacing w:val="6"/>
          <w:szCs w:val="24"/>
        </w:rPr>
        <w:t xml:space="preserve"> </w:t>
      </w:r>
      <w:r w:rsidRPr="009F0D32">
        <w:rPr>
          <w:rFonts w:ascii="Calibri" w:eastAsia="Calibri" w:hAnsi="Calibri" w:cs="Times New Roman"/>
          <w:b/>
          <w:bCs/>
          <w:szCs w:val="24"/>
        </w:rPr>
        <w:t>(Injection</w:t>
      </w:r>
      <w:r w:rsidRPr="009F0D32">
        <w:rPr>
          <w:rFonts w:ascii="Calibri" w:eastAsia="Calibri" w:hAnsi="Calibri" w:cs="Times New Roman"/>
          <w:b/>
          <w:bCs/>
          <w:spacing w:val="6"/>
          <w:szCs w:val="24"/>
        </w:rPr>
        <w:t xml:space="preserve"> </w:t>
      </w:r>
      <w:r w:rsidRPr="009F0D32">
        <w:rPr>
          <w:rFonts w:ascii="Calibri" w:eastAsia="Calibri" w:hAnsi="Calibri" w:cs="Times New Roman"/>
          <w:b/>
          <w:bCs/>
          <w:szCs w:val="24"/>
        </w:rPr>
        <w:t>Drug</w:t>
      </w:r>
      <w:r w:rsidRPr="009F0D32">
        <w:rPr>
          <w:rFonts w:ascii="Calibri" w:eastAsia="Calibri" w:hAnsi="Calibri" w:cs="Times New Roman"/>
          <w:b/>
          <w:bCs/>
          <w:spacing w:val="6"/>
          <w:szCs w:val="24"/>
        </w:rPr>
        <w:t xml:space="preserve"> </w:t>
      </w:r>
      <w:r w:rsidRPr="009F0D32">
        <w:rPr>
          <w:rFonts w:ascii="Calibri" w:eastAsia="Calibri" w:hAnsi="Calibri" w:cs="Times New Roman"/>
          <w:b/>
          <w:bCs/>
          <w:szCs w:val="24"/>
        </w:rPr>
        <w:t xml:space="preserve">Use): </w:t>
      </w:r>
      <w:r w:rsidRPr="009F0D32">
        <w:rPr>
          <w:rFonts w:ascii="Calibri" w:eastAsia="Calibri" w:hAnsi="Calibri" w:cs="Times New Roman"/>
          <w:b/>
          <w:bCs/>
          <w:spacing w:val="11"/>
          <w:szCs w:val="24"/>
        </w:rPr>
        <w:t xml:space="preserve"> </w:t>
      </w:r>
      <w:r w:rsidRPr="009F0D32">
        <w:rPr>
          <w:rFonts w:ascii="Calibri" w:eastAsia="Calibri" w:hAnsi="Calibri" w:cs="Times New Roman"/>
          <w:szCs w:val="24"/>
        </w:rPr>
        <w:t>Cases</w:t>
      </w:r>
      <w:r w:rsidRPr="009F0D32">
        <w:rPr>
          <w:rFonts w:ascii="Calibri" w:eastAsia="Calibri" w:hAnsi="Calibri" w:cs="Times New Roman"/>
          <w:spacing w:val="6"/>
          <w:szCs w:val="24"/>
        </w:rPr>
        <w:t xml:space="preserve"> among </w:t>
      </w:r>
      <w:r w:rsidRPr="009F0D32">
        <w:rPr>
          <w:rFonts w:ascii="Calibri" w:eastAsia="Calibri" w:hAnsi="Calibri" w:cs="Times New Roman"/>
          <w:szCs w:val="24"/>
        </w:rPr>
        <w:t>persons</w:t>
      </w:r>
      <w:r w:rsidRPr="009F0D32">
        <w:rPr>
          <w:rFonts w:ascii="Calibri" w:eastAsia="Calibri" w:hAnsi="Calibri" w:cs="Times New Roman"/>
          <w:spacing w:val="6"/>
          <w:szCs w:val="24"/>
        </w:rPr>
        <w:t xml:space="preserve"> </w:t>
      </w:r>
      <w:r w:rsidRPr="009F0D32">
        <w:rPr>
          <w:rFonts w:ascii="Calibri" w:eastAsia="Calibri" w:hAnsi="Calibri" w:cs="Times New Roman"/>
          <w:szCs w:val="24"/>
        </w:rPr>
        <w:t>who</w:t>
      </w:r>
      <w:r w:rsidRPr="009F0D32">
        <w:rPr>
          <w:rFonts w:ascii="Calibri" w:eastAsia="Calibri" w:hAnsi="Calibri" w:cs="Times New Roman"/>
          <w:spacing w:val="6"/>
          <w:szCs w:val="24"/>
        </w:rPr>
        <w:t xml:space="preserve"> </w:t>
      </w:r>
      <w:r w:rsidRPr="009F0D32">
        <w:rPr>
          <w:rFonts w:ascii="Calibri" w:eastAsia="Calibri" w:hAnsi="Calibri" w:cs="Times New Roman"/>
          <w:szCs w:val="24"/>
        </w:rPr>
        <w:t>report</w:t>
      </w:r>
      <w:r w:rsidRPr="009F0D32">
        <w:rPr>
          <w:rFonts w:ascii="Calibri" w:eastAsia="Calibri" w:hAnsi="Calibri" w:cs="Times New Roman"/>
          <w:spacing w:val="6"/>
          <w:szCs w:val="24"/>
        </w:rPr>
        <w:t xml:space="preserve"> </w:t>
      </w:r>
      <w:r w:rsidRPr="009F0D32">
        <w:rPr>
          <w:rFonts w:ascii="Calibri" w:eastAsia="Calibri" w:hAnsi="Calibri" w:cs="Times New Roman"/>
          <w:szCs w:val="24"/>
        </w:rPr>
        <w:t>injection</w:t>
      </w:r>
      <w:r w:rsidRPr="009F0D32">
        <w:rPr>
          <w:rFonts w:ascii="Calibri" w:eastAsia="Calibri" w:hAnsi="Calibri" w:cs="Times New Roman"/>
          <w:spacing w:val="6"/>
          <w:szCs w:val="24"/>
        </w:rPr>
        <w:t xml:space="preserve"> </w:t>
      </w:r>
      <w:r w:rsidRPr="009F0D32">
        <w:rPr>
          <w:rFonts w:ascii="Calibri" w:eastAsia="Calibri" w:hAnsi="Calibri" w:cs="Times New Roman"/>
          <w:szCs w:val="24"/>
        </w:rPr>
        <w:t>drug</w:t>
      </w:r>
      <w:r w:rsidRPr="009F0D32">
        <w:rPr>
          <w:rFonts w:ascii="Calibri" w:eastAsia="Calibri" w:hAnsi="Calibri" w:cs="Times New Roman"/>
          <w:spacing w:val="6"/>
          <w:szCs w:val="24"/>
        </w:rPr>
        <w:t xml:space="preserve"> </w:t>
      </w:r>
      <w:r w:rsidRPr="009F0D32">
        <w:rPr>
          <w:rFonts w:ascii="Calibri" w:eastAsia="Calibri" w:hAnsi="Calibri" w:cs="Times New Roman"/>
          <w:szCs w:val="24"/>
        </w:rPr>
        <w:t>use.</w:t>
      </w:r>
    </w:p>
    <w:p w14:paraId="325468CF" w14:textId="77777777" w:rsidR="00B24AED" w:rsidRPr="009F0D32" w:rsidRDefault="00B24AED" w:rsidP="00B24AED">
      <w:pPr>
        <w:widowControl w:val="0"/>
        <w:numPr>
          <w:ilvl w:val="0"/>
          <w:numId w:val="56"/>
        </w:numPr>
        <w:autoSpaceDE w:val="0"/>
        <w:autoSpaceDN w:val="0"/>
        <w:adjustRightInd w:val="0"/>
        <w:spacing w:line="240" w:lineRule="auto"/>
        <w:contextualSpacing/>
        <w:rPr>
          <w:rFonts w:ascii="Calibri" w:eastAsia="Times New Roman" w:hAnsi="Calibri" w:cs="Calibri"/>
          <w:szCs w:val="24"/>
        </w:rPr>
      </w:pPr>
      <w:r w:rsidRPr="009F0D32">
        <w:rPr>
          <w:rFonts w:ascii="Calibri" w:eastAsia="Calibri" w:hAnsi="Calibri" w:cs="Times New Roman"/>
          <w:b/>
          <w:bCs/>
          <w:szCs w:val="24"/>
        </w:rPr>
        <w:t xml:space="preserve">MSM/IDU: </w:t>
      </w:r>
      <w:r w:rsidRPr="009F0D32">
        <w:rPr>
          <w:rFonts w:ascii="Calibri" w:eastAsia="Calibri" w:hAnsi="Calibri" w:cs="Times New Roman"/>
          <w:b/>
          <w:bCs/>
          <w:spacing w:val="11"/>
          <w:szCs w:val="24"/>
        </w:rPr>
        <w:t xml:space="preserve"> </w:t>
      </w:r>
      <w:r w:rsidRPr="009F0D32">
        <w:rPr>
          <w:rFonts w:ascii="Calibri" w:eastAsia="Calibri" w:hAnsi="Calibri" w:cs="Times New Roman"/>
          <w:szCs w:val="24"/>
        </w:rPr>
        <w:t>Includes</w:t>
      </w:r>
      <w:r w:rsidRPr="009F0D32">
        <w:rPr>
          <w:rFonts w:ascii="Calibri" w:eastAsia="Calibri" w:hAnsi="Calibri" w:cs="Times New Roman"/>
          <w:spacing w:val="6"/>
          <w:szCs w:val="24"/>
        </w:rPr>
        <w:t xml:space="preserve"> all individuals assigned </w:t>
      </w:r>
      <w:r w:rsidRPr="009F0D32">
        <w:rPr>
          <w:rFonts w:ascii="Calibri" w:eastAsia="Calibri" w:hAnsi="Calibri" w:cs="Times New Roman"/>
          <w:szCs w:val="24"/>
        </w:rPr>
        <w:t>male at birth</w:t>
      </w:r>
      <w:r w:rsidRPr="009F0D32">
        <w:rPr>
          <w:rFonts w:ascii="Calibri" w:eastAsia="Calibri" w:hAnsi="Calibri" w:cs="Times New Roman"/>
          <w:spacing w:val="6"/>
          <w:szCs w:val="24"/>
        </w:rPr>
        <w:t xml:space="preserve"> </w:t>
      </w:r>
      <w:r w:rsidRPr="009F0D32">
        <w:rPr>
          <w:rFonts w:ascii="Calibri" w:eastAsia="Calibri" w:hAnsi="Calibri" w:cs="Times New Roman"/>
          <w:szCs w:val="24"/>
        </w:rPr>
        <w:t>who</w:t>
      </w:r>
      <w:r w:rsidRPr="009F0D32">
        <w:rPr>
          <w:rFonts w:ascii="Calibri" w:eastAsia="Calibri" w:hAnsi="Calibri" w:cs="Times New Roman"/>
          <w:spacing w:val="6"/>
          <w:szCs w:val="24"/>
        </w:rPr>
        <w:t xml:space="preserve"> </w:t>
      </w:r>
      <w:r w:rsidRPr="009F0D32">
        <w:rPr>
          <w:rFonts w:ascii="Calibri" w:eastAsia="Calibri" w:hAnsi="Calibri" w:cs="Times New Roman"/>
          <w:szCs w:val="24"/>
        </w:rPr>
        <w:t>report</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bot</w:t>
      </w:r>
      <w:r w:rsidRPr="009F0D32">
        <w:rPr>
          <w:rFonts w:ascii="Calibri" w:eastAsia="Calibri" w:hAnsi="Calibri" w:cs="Times New Roman"/>
          <w:szCs w:val="24"/>
        </w:rPr>
        <w:t>h</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sexua</w:t>
      </w:r>
      <w:r w:rsidRPr="009F0D32">
        <w:rPr>
          <w:rFonts w:ascii="Calibri" w:eastAsia="Calibri" w:hAnsi="Calibri" w:cs="Times New Roman"/>
          <w:szCs w:val="24"/>
        </w:rPr>
        <w:t>l</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contac</w:t>
      </w:r>
      <w:r w:rsidRPr="009F0D32">
        <w:rPr>
          <w:rFonts w:ascii="Calibri" w:eastAsia="Calibri" w:hAnsi="Calibri" w:cs="Times New Roman"/>
          <w:szCs w:val="24"/>
        </w:rPr>
        <w:t>t</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wit</w:t>
      </w:r>
      <w:r w:rsidRPr="009F0D32">
        <w:rPr>
          <w:rFonts w:ascii="Calibri" w:eastAsia="Calibri" w:hAnsi="Calibri" w:cs="Times New Roman"/>
          <w:szCs w:val="24"/>
        </w:rPr>
        <w:t>h</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othe</w:t>
      </w:r>
      <w:r w:rsidRPr="009F0D32">
        <w:rPr>
          <w:rFonts w:ascii="Calibri" w:eastAsia="Calibri" w:hAnsi="Calibri" w:cs="Times New Roman"/>
          <w:szCs w:val="24"/>
        </w:rPr>
        <w:t>r</w:t>
      </w:r>
      <w:r w:rsidRPr="009F0D32">
        <w:rPr>
          <w:rFonts w:ascii="Calibri" w:eastAsia="Calibri" w:hAnsi="Calibri" w:cs="Times New Roman"/>
          <w:spacing w:val="-4"/>
          <w:szCs w:val="24"/>
        </w:rPr>
        <w:t xml:space="preserve"> individuals that identify as male and injection drug use.</w:t>
      </w:r>
    </w:p>
    <w:p w14:paraId="6B459414" w14:textId="77777777" w:rsidR="00B24AED" w:rsidRPr="009F0D32" w:rsidRDefault="00B24AED" w:rsidP="00B24AED">
      <w:pPr>
        <w:widowControl w:val="0"/>
        <w:numPr>
          <w:ilvl w:val="1"/>
          <w:numId w:val="56"/>
        </w:numPr>
        <w:autoSpaceDE w:val="0"/>
        <w:autoSpaceDN w:val="0"/>
        <w:adjustRightInd w:val="0"/>
        <w:spacing w:line="240" w:lineRule="auto"/>
        <w:contextualSpacing/>
        <w:rPr>
          <w:rFonts w:ascii="Calibri" w:eastAsia="Times New Roman" w:hAnsi="Calibri" w:cs="Calibri"/>
          <w:b/>
          <w:bCs/>
          <w:szCs w:val="24"/>
        </w:rPr>
      </w:pPr>
      <w:r w:rsidRPr="009F0D32">
        <w:rPr>
          <w:rFonts w:ascii="Calibri" w:eastAsia="Times New Roman" w:hAnsi="Calibri" w:cs="Calibri"/>
          <w:b/>
          <w:bCs/>
          <w:szCs w:val="24"/>
        </w:rPr>
        <w:t xml:space="preserve">Sex with Men/IDU: </w:t>
      </w:r>
      <w:r w:rsidRPr="009F0D32">
        <w:rPr>
          <w:rFonts w:ascii="Calibri" w:eastAsia="Times New Roman" w:hAnsi="Calibri" w:cs="Calibri"/>
          <w:szCs w:val="24"/>
        </w:rPr>
        <w:t xml:space="preserve">This exposure mode category is used by BIDLS to categorize sexual risk in transgender women reporting both sex with men and injection drug use. For the </w:t>
      </w:r>
      <w:r w:rsidRPr="009F0D32">
        <w:rPr>
          <w:rFonts w:ascii="Calibri" w:eastAsia="Times New Roman" w:hAnsi="Calibri" w:cs="Calibri"/>
          <w:szCs w:val="24"/>
        </w:rPr>
        <w:lastRenderedPageBreak/>
        <w:t>purposes of official reporting in the MA HIV Surveillance System and to CDC, exposure mode for transgender women is based on sex assigned at birth, and therefore would be reported as MSM/IDU.</w:t>
      </w:r>
    </w:p>
    <w:p w14:paraId="674EBD06" w14:textId="77777777" w:rsidR="00B24AED" w:rsidRPr="009F0D32" w:rsidRDefault="00B24AED" w:rsidP="00B24AED">
      <w:pPr>
        <w:widowControl w:val="0"/>
        <w:numPr>
          <w:ilvl w:val="0"/>
          <w:numId w:val="56"/>
        </w:numPr>
        <w:autoSpaceDE w:val="0"/>
        <w:autoSpaceDN w:val="0"/>
        <w:adjustRightInd w:val="0"/>
        <w:spacing w:line="240" w:lineRule="auto"/>
        <w:contextualSpacing/>
        <w:rPr>
          <w:rFonts w:ascii="Calibri" w:eastAsia="Times New Roman" w:hAnsi="Calibri" w:cs="Calibri"/>
          <w:szCs w:val="24"/>
        </w:rPr>
      </w:pPr>
      <w:r w:rsidRPr="009F0D32">
        <w:rPr>
          <w:rFonts w:ascii="Calibri" w:eastAsia="Calibri" w:hAnsi="Calibri" w:cs="Times New Roman"/>
          <w:b/>
          <w:bCs/>
          <w:szCs w:val="24"/>
        </w:rPr>
        <w:t>Heterosexual</w:t>
      </w:r>
      <w:r w:rsidRPr="009F0D32">
        <w:rPr>
          <w:rFonts w:ascii="Calibri" w:eastAsia="Calibri" w:hAnsi="Calibri" w:cs="Times New Roman"/>
          <w:b/>
          <w:bCs/>
          <w:spacing w:val="6"/>
          <w:szCs w:val="24"/>
        </w:rPr>
        <w:t xml:space="preserve"> </w:t>
      </w:r>
      <w:r w:rsidRPr="009F0D32">
        <w:rPr>
          <w:rFonts w:ascii="Calibri" w:eastAsia="Calibri" w:hAnsi="Calibri" w:cs="Times New Roman"/>
          <w:b/>
          <w:bCs/>
          <w:szCs w:val="24"/>
        </w:rPr>
        <w:t xml:space="preserve">Sex: </w:t>
      </w:r>
      <w:r w:rsidRPr="009F0D32">
        <w:rPr>
          <w:rFonts w:ascii="Calibri" w:eastAsia="Calibri" w:hAnsi="Calibri" w:cs="Times New Roman"/>
          <w:b/>
          <w:bCs/>
          <w:spacing w:val="11"/>
          <w:szCs w:val="24"/>
        </w:rPr>
        <w:t xml:space="preserve"> </w:t>
      </w:r>
      <w:r w:rsidRPr="009F0D32">
        <w:rPr>
          <w:rFonts w:ascii="Calibri" w:eastAsia="Calibri" w:hAnsi="Calibri" w:cs="Times New Roman"/>
          <w:spacing w:val="-5"/>
          <w:szCs w:val="24"/>
        </w:rPr>
        <w:t>Case</w:t>
      </w:r>
      <w:r w:rsidRPr="009F0D32">
        <w:rPr>
          <w:rFonts w:ascii="Calibri" w:eastAsia="Calibri" w:hAnsi="Calibri" w:cs="Times New Roman"/>
          <w:szCs w:val="24"/>
        </w:rPr>
        <w:t>s</w:t>
      </w:r>
      <w:r w:rsidRPr="009F0D32">
        <w:rPr>
          <w:rFonts w:ascii="Calibri" w:eastAsia="Calibri" w:hAnsi="Calibri" w:cs="Times New Roman"/>
          <w:spacing w:val="-4"/>
          <w:szCs w:val="24"/>
        </w:rPr>
        <w:t xml:space="preserve"> among </w:t>
      </w:r>
      <w:r w:rsidRPr="009F0D32">
        <w:rPr>
          <w:rFonts w:ascii="Calibri" w:eastAsia="Calibri" w:hAnsi="Calibri" w:cs="Times New Roman"/>
          <w:spacing w:val="-5"/>
          <w:szCs w:val="24"/>
        </w:rPr>
        <w:t>person</w:t>
      </w:r>
      <w:r w:rsidRPr="009F0D32">
        <w:rPr>
          <w:rFonts w:ascii="Calibri" w:eastAsia="Calibri" w:hAnsi="Calibri" w:cs="Times New Roman"/>
          <w:szCs w:val="24"/>
        </w:rPr>
        <w:t>s</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wh</w:t>
      </w:r>
      <w:r w:rsidRPr="009F0D32">
        <w:rPr>
          <w:rFonts w:ascii="Calibri" w:eastAsia="Calibri" w:hAnsi="Calibri" w:cs="Times New Roman"/>
          <w:szCs w:val="24"/>
        </w:rPr>
        <w:t>o</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repor</w:t>
      </w:r>
      <w:r w:rsidRPr="009F0D32">
        <w:rPr>
          <w:rFonts w:ascii="Calibri" w:eastAsia="Calibri" w:hAnsi="Calibri" w:cs="Times New Roman"/>
          <w:szCs w:val="24"/>
        </w:rPr>
        <w:t>t</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heterosexua</w:t>
      </w:r>
      <w:r w:rsidRPr="009F0D32">
        <w:rPr>
          <w:rFonts w:ascii="Calibri" w:eastAsia="Calibri" w:hAnsi="Calibri" w:cs="Times New Roman"/>
          <w:szCs w:val="24"/>
        </w:rPr>
        <w:t>l</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se</w:t>
      </w:r>
      <w:r w:rsidRPr="009F0D32">
        <w:rPr>
          <w:rFonts w:ascii="Calibri" w:eastAsia="Calibri" w:hAnsi="Calibri" w:cs="Times New Roman"/>
          <w:szCs w:val="24"/>
        </w:rPr>
        <w:t>x</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wit</w:t>
      </w:r>
      <w:r w:rsidRPr="009F0D32">
        <w:rPr>
          <w:rFonts w:ascii="Calibri" w:eastAsia="Calibri" w:hAnsi="Calibri" w:cs="Times New Roman"/>
          <w:szCs w:val="24"/>
        </w:rPr>
        <w:t>h</w:t>
      </w:r>
      <w:r w:rsidRPr="009F0D32">
        <w:rPr>
          <w:rFonts w:ascii="Calibri" w:eastAsia="Calibri" w:hAnsi="Calibri" w:cs="Times New Roman"/>
          <w:spacing w:val="-4"/>
          <w:szCs w:val="24"/>
        </w:rPr>
        <w:t xml:space="preserve"> </w:t>
      </w:r>
      <w:r w:rsidRPr="009F0D32">
        <w:rPr>
          <w:rFonts w:ascii="Calibri" w:eastAsia="Calibri" w:hAnsi="Calibri" w:cs="Times New Roman"/>
          <w:szCs w:val="24"/>
        </w:rPr>
        <w:t>a</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perso</w:t>
      </w:r>
      <w:r w:rsidRPr="009F0D32">
        <w:rPr>
          <w:rFonts w:ascii="Calibri" w:eastAsia="Calibri" w:hAnsi="Calibri" w:cs="Times New Roman"/>
          <w:szCs w:val="24"/>
        </w:rPr>
        <w:t>n</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with</w:t>
      </w:r>
      <w:r w:rsidRPr="009F0D32">
        <w:rPr>
          <w:rFonts w:ascii="Calibri" w:eastAsia="Calibri" w:hAnsi="Calibri" w:cs="Times New Roman"/>
          <w:szCs w:val="24"/>
        </w:rPr>
        <w:t>, or</w:t>
      </w:r>
      <w:r w:rsidRPr="009F0D32">
        <w:rPr>
          <w:rFonts w:ascii="Calibri" w:eastAsia="Calibri" w:hAnsi="Calibri" w:cs="Times New Roman"/>
          <w:spacing w:val="6"/>
          <w:szCs w:val="24"/>
        </w:rPr>
        <w:t xml:space="preserve"> </w:t>
      </w:r>
      <w:r w:rsidRPr="009F0D32">
        <w:rPr>
          <w:rFonts w:ascii="Calibri" w:eastAsia="Calibri" w:hAnsi="Calibri" w:cs="Times New Roman"/>
          <w:szCs w:val="24"/>
        </w:rPr>
        <w:t>at</w:t>
      </w:r>
      <w:r w:rsidRPr="009F0D32">
        <w:rPr>
          <w:rFonts w:ascii="Calibri" w:eastAsia="Calibri" w:hAnsi="Calibri" w:cs="Times New Roman"/>
          <w:spacing w:val="6"/>
          <w:szCs w:val="24"/>
        </w:rPr>
        <w:t xml:space="preserve"> </w:t>
      </w:r>
      <w:r w:rsidRPr="009F0D32">
        <w:rPr>
          <w:rFonts w:ascii="Calibri" w:eastAsia="Calibri" w:hAnsi="Calibri" w:cs="Times New Roman"/>
          <w:szCs w:val="24"/>
        </w:rPr>
        <w:t>increased</w:t>
      </w:r>
      <w:r w:rsidRPr="009F0D32">
        <w:rPr>
          <w:rFonts w:ascii="Calibri" w:eastAsia="Calibri" w:hAnsi="Calibri" w:cs="Times New Roman"/>
          <w:spacing w:val="6"/>
          <w:szCs w:val="24"/>
        </w:rPr>
        <w:t xml:space="preserve"> </w:t>
      </w:r>
      <w:r w:rsidRPr="009F0D32">
        <w:rPr>
          <w:rFonts w:ascii="Calibri" w:eastAsia="Calibri" w:hAnsi="Calibri" w:cs="Times New Roman"/>
          <w:szCs w:val="24"/>
        </w:rPr>
        <w:t>risk</w:t>
      </w:r>
      <w:r w:rsidRPr="009F0D32">
        <w:rPr>
          <w:rFonts w:ascii="Calibri" w:eastAsia="Calibri" w:hAnsi="Calibri" w:cs="Times New Roman"/>
          <w:spacing w:val="6"/>
          <w:szCs w:val="24"/>
        </w:rPr>
        <w:t xml:space="preserve"> </w:t>
      </w:r>
      <w:r w:rsidRPr="009F0D32">
        <w:rPr>
          <w:rFonts w:ascii="Calibri" w:eastAsia="Calibri" w:hAnsi="Calibri" w:cs="Times New Roman"/>
          <w:szCs w:val="24"/>
        </w:rPr>
        <w:t>fo</w:t>
      </w:r>
      <w:r w:rsidRPr="009F0D32">
        <w:rPr>
          <w:rFonts w:ascii="Calibri" w:eastAsia="Calibri" w:hAnsi="Calibri" w:cs="Times New Roman"/>
          <w:spacing w:val="-11"/>
          <w:szCs w:val="24"/>
        </w:rPr>
        <w:t>r</w:t>
      </w:r>
      <w:r w:rsidRPr="009F0D32">
        <w:rPr>
          <w:rFonts w:ascii="Calibri" w:eastAsia="Calibri" w:hAnsi="Calibri" w:cs="Times New Roman"/>
          <w:szCs w:val="24"/>
        </w:rPr>
        <w:t>,</w:t>
      </w:r>
      <w:r w:rsidRPr="009F0D32">
        <w:rPr>
          <w:rFonts w:ascii="Calibri" w:eastAsia="Calibri" w:hAnsi="Calibri" w:cs="Times New Roman"/>
          <w:spacing w:val="6"/>
          <w:szCs w:val="24"/>
        </w:rPr>
        <w:t xml:space="preserve"> </w:t>
      </w:r>
      <w:r w:rsidRPr="009F0D32">
        <w:rPr>
          <w:rFonts w:ascii="Calibri" w:eastAsia="Calibri" w:hAnsi="Calibri" w:cs="Times New Roman"/>
          <w:szCs w:val="24"/>
        </w:rPr>
        <w:t>HIV</w:t>
      </w:r>
      <w:r w:rsidRPr="009F0D32">
        <w:rPr>
          <w:rFonts w:ascii="Calibri" w:eastAsia="Calibri" w:hAnsi="Calibri" w:cs="Times New Roman"/>
          <w:spacing w:val="6"/>
          <w:szCs w:val="24"/>
        </w:rPr>
        <w:t xml:space="preserve"> </w:t>
      </w:r>
      <w:r w:rsidRPr="009F0D32">
        <w:rPr>
          <w:rFonts w:ascii="Calibri" w:eastAsia="Calibri" w:hAnsi="Calibri" w:cs="Times New Roman"/>
          <w:szCs w:val="24"/>
        </w:rPr>
        <w:t>infection</w:t>
      </w:r>
      <w:r w:rsidRPr="009F0D32">
        <w:rPr>
          <w:rFonts w:ascii="Calibri" w:eastAsia="Calibri" w:hAnsi="Calibri" w:cs="Times New Roman"/>
          <w:spacing w:val="6"/>
          <w:szCs w:val="24"/>
        </w:rPr>
        <w:t xml:space="preserve"> </w:t>
      </w:r>
      <w:r w:rsidRPr="009F0D32">
        <w:rPr>
          <w:rFonts w:ascii="Calibri" w:eastAsia="Calibri" w:hAnsi="Calibri" w:cs="Times New Roman"/>
          <w:szCs w:val="24"/>
        </w:rPr>
        <w:t>(e.g.,</w:t>
      </w:r>
      <w:r w:rsidRPr="009F0D32">
        <w:rPr>
          <w:rFonts w:ascii="Calibri" w:eastAsia="Calibri" w:hAnsi="Calibri" w:cs="Times New Roman"/>
          <w:spacing w:val="6"/>
          <w:szCs w:val="24"/>
        </w:rPr>
        <w:t xml:space="preserve"> a person who injects drugs (</w:t>
      </w:r>
      <w:r w:rsidRPr="009F0D32">
        <w:rPr>
          <w:rFonts w:ascii="Calibri" w:eastAsia="Calibri" w:hAnsi="Calibri" w:cs="Times New Roman"/>
          <w:szCs w:val="24"/>
        </w:rPr>
        <w:t>PWID)). The</w:t>
      </w:r>
      <w:r w:rsidRPr="009F0D32">
        <w:rPr>
          <w:rFonts w:ascii="Calibri" w:eastAsia="Calibri" w:hAnsi="Calibri" w:cs="Times New Roman"/>
          <w:spacing w:val="6"/>
          <w:szCs w:val="24"/>
        </w:rPr>
        <w:t xml:space="preserve"> </w:t>
      </w:r>
      <w:r w:rsidRPr="009F0D32">
        <w:rPr>
          <w:rFonts w:ascii="Calibri" w:eastAsia="Calibri" w:hAnsi="Calibri" w:cs="Times New Roman"/>
          <w:szCs w:val="24"/>
        </w:rPr>
        <w:t>sub-categories</w:t>
      </w:r>
      <w:r w:rsidRPr="009F0D32">
        <w:rPr>
          <w:rFonts w:ascii="Calibri" w:eastAsia="Calibri" w:hAnsi="Calibri" w:cs="Times New Roman"/>
          <w:spacing w:val="6"/>
          <w:szCs w:val="24"/>
        </w:rPr>
        <w:t xml:space="preserve"> </w:t>
      </w:r>
      <w:r w:rsidRPr="009F0D32">
        <w:rPr>
          <w:rFonts w:ascii="Calibri" w:eastAsia="Calibri" w:hAnsi="Calibri" w:cs="Times New Roman"/>
          <w:szCs w:val="24"/>
        </w:rPr>
        <w:t>for</w:t>
      </w:r>
      <w:r w:rsidRPr="009F0D32">
        <w:rPr>
          <w:rFonts w:ascii="Calibri" w:eastAsia="Calibri" w:hAnsi="Calibri" w:cs="Times New Roman"/>
          <w:spacing w:val="6"/>
          <w:szCs w:val="24"/>
        </w:rPr>
        <w:t xml:space="preserve"> </w:t>
      </w:r>
      <w:r w:rsidRPr="009F0D32">
        <w:rPr>
          <w:rFonts w:ascii="Calibri" w:eastAsia="Calibri" w:hAnsi="Calibri" w:cs="Times New Roman"/>
          <w:szCs w:val="24"/>
        </w:rPr>
        <w:t>this mode</w:t>
      </w:r>
      <w:r w:rsidRPr="009F0D32">
        <w:rPr>
          <w:rFonts w:ascii="Calibri" w:eastAsia="Calibri" w:hAnsi="Calibri" w:cs="Times New Roman"/>
          <w:spacing w:val="6"/>
          <w:szCs w:val="24"/>
        </w:rPr>
        <w:t xml:space="preserve"> </w:t>
      </w:r>
      <w:r w:rsidRPr="009F0D32">
        <w:rPr>
          <w:rFonts w:ascii="Calibri" w:eastAsia="Calibri" w:hAnsi="Calibri" w:cs="Times New Roman"/>
          <w:szCs w:val="24"/>
        </w:rPr>
        <w:t>of</w:t>
      </w:r>
      <w:r w:rsidRPr="009F0D32">
        <w:rPr>
          <w:rFonts w:ascii="Calibri" w:eastAsia="Calibri" w:hAnsi="Calibri" w:cs="Times New Roman"/>
          <w:spacing w:val="6"/>
          <w:szCs w:val="24"/>
        </w:rPr>
        <w:t xml:space="preserve"> </w:t>
      </w:r>
      <w:r w:rsidRPr="009F0D32">
        <w:rPr>
          <w:rFonts w:ascii="Calibri" w:eastAsia="Calibri" w:hAnsi="Calibri" w:cs="Times New Roman"/>
          <w:szCs w:val="24"/>
        </w:rPr>
        <w:t>transmission</w:t>
      </w:r>
      <w:r w:rsidRPr="009F0D32">
        <w:rPr>
          <w:rFonts w:ascii="Calibri" w:eastAsia="Calibri" w:hAnsi="Calibri" w:cs="Times New Roman"/>
          <w:spacing w:val="6"/>
          <w:szCs w:val="24"/>
        </w:rPr>
        <w:t xml:space="preserve"> </w:t>
      </w:r>
      <w:r w:rsidRPr="009F0D32">
        <w:rPr>
          <w:rFonts w:ascii="Calibri" w:eastAsia="Calibri" w:hAnsi="Calibri" w:cs="Times New Roman"/>
          <w:szCs w:val="24"/>
        </w:rPr>
        <w:t>are</w:t>
      </w:r>
      <w:r w:rsidRPr="009F0D32">
        <w:rPr>
          <w:rFonts w:ascii="Calibri" w:eastAsia="Calibri" w:hAnsi="Calibri" w:cs="Times New Roman"/>
          <w:spacing w:val="6"/>
          <w:szCs w:val="24"/>
        </w:rPr>
        <w:t xml:space="preserve"> </w:t>
      </w:r>
      <w:r w:rsidRPr="009F0D32">
        <w:rPr>
          <w:rFonts w:ascii="Calibri" w:eastAsia="Calibri" w:hAnsi="Calibri" w:cs="Times New Roman"/>
          <w:szCs w:val="24"/>
        </w:rPr>
        <w:t>listed</w:t>
      </w:r>
      <w:r w:rsidRPr="009F0D32">
        <w:rPr>
          <w:rFonts w:ascii="Calibri" w:eastAsia="Calibri" w:hAnsi="Calibri" w:cs="Times New Roman"/>
          <w:spacing w:val="6"/>
          <w:szCs w:val="24"/>
        </w:rPr>
        <w:t xml:space="preserve"> </w:t>
      </w:r>
      <w:r w:rsidRPr="009F0D32">
        <w:rPr>
          <w:rFonts w:ascii="Calibri" w:eastAsia="Calibri" w:hAnsi="Calibri" w:cs="Times New Roman"/>
          <w:szCs w:val="24"/>
        </w:rPr>
        <w:t>belo</w:t>
      </w:r>
      <w:r w:rsidRPr="009F0D32">
        <w:rPr>
          <w:rFonts w:ascii="Calibri" w:eastAsia="Calibri" w:hAnsi="Calibri" w:cs="Times New Roman"/>
          <w:spacing w:val="-11"/>
          <w:szCs w:val="24"/>
        </w:rPr>
        <w:t>w</w:t>
      </w:r>
      <w:r w:rsidRPr="009F0D32">
        <w:rPr>
          <w:rFonts w:ascii="Calibri" w:eastAsia="Calibri" w:hAnsi="Calibri" w:cs="Times New Roman"/>
          <w:szCs w:val="24"/>
        </w:rPr>
        <w:t>.</w:t>
      </w:r>
    </w:p>
    <w:p w14:paraId="52B66F76" w14:textId="77777777" w:rsidR="00B24AED" w:rsidRPr="009F0D32" w:rsidRDefault="00B24AED" w:rsidP="00B24AED">
      <w:pPr>
        <w:widowControl w:val="0"/>
        <w:numPr>
          <w:ilvl w:val="5"/>
          <w:numId w:val="55"/>
        </w:numPr>
        <w:tabs>
          <w:tab w:val="left" w:pos="1120"/>
        </w:tabs>
        <w:autoSpaceDE w:val="0"/>
        <w:autoSpaceDN w:val="0"/>
        <w:adjustRightInd w:val="0"/>
        <w:spacing w:after="0" w:line="240" w:lineRule="auto"/>
        <w:rPr>
          <w:rFonts w:ascii="Calibri" w:eastAsia="Calibri" w:hAnsi="Calibri" w:cs="Times New Roman"/>
          <w:szCs w:val="24"/>
        </w:rPr>
      </w:pPr>
      <w:r w:rsidRPr="009F0D32">
        <w:rPr>
          <w:rFonts w:ascii="Calibri" w:eastAsia="Calibri" w:hAnsi="Calibri" w:cs="Times New Roman"/>
          <w:szCs w:val="24"/>
        </w:rPr>
        <w:t>Heterosexual</w:t>
      </w:r>
      <w:r w:rsidRPr="009F0D32">
        <w:rPr>
          <w:rFonts w:ascii="Calibri" w:eastAsia="Calibri" w:hAnsi="Calibri" w:cs="Times New Roman"/>
          <w:spacing w:val="6"/>
          <w:szCs w:val="24"/>
        </w:rPr>
        <w:t xml:space="preserve"> </w:t>
      </w:r>
      <w:r w:rsidRPr="009F0D32">
        <w:rPr>
          <w:rFonts w:ascii="Calibri" w:eastAsia="Calibri" w:hAnsi="Calibri" w:cs="Times New Roman"/>
          <w:szCs w:val="24"/>
        </w:rPr>
        <w:t>Sex</w:t>
      </w:r>
      <w:r w:rsidRPr="009F0D32">
        <w:rPr>
          <w:rFonts w:ascii="Calibri" w:eastAsia="Calibri" w:hAnsi="Calibri" w:cs="Times New Roman"/>
          <w:spacing w:val="6"/>
          <w:szCs w:val="24"/>
        </w:rPr>
        <w:t xml:space="preserve"> </w:t>
      </w:r>
      <w:r w:rsidRPr="009F0D32">
        <w:rPr>
          <w:rFonts w:ascii="Calibri" w:eastAsia="Calibri" w:hAnsi="Calibri" w:cs="Times New Roman"/>
          <w:szCs w:val="24"/>
        </w:rPr>
        <w:t>w/</w:t>
      </w:r>
      <w:r w:rsidRPr="009F0D32">
        <w:rPr>
          <w:rFonts w:ascii="Calibri" w:eastAsia="Calibri" w:hAnsi="Calibri" w:cs="Times New Roman"/>
          <w:spacing w:val="6"/>
          <w:szCs w:val="24"/>
        </w:rPr>
        <w:t xml:space="preserve"> </w:t>
      </w:r>
      <w:r w:rsidRPr="009F0D32">
        <w:rPr>
          <w:rFonts w:ascii="Calibri" w:eastAsia="Calibri" w:hAnsi="Calibri" w:cs="Times New Roman"/>
          <w:szCs w:val="24"/>
        </w:rPr>
        <w:t>a person who injects drugs</w:t>
      </w:r>
    </w:p>
    <w:p w14:paraId="3BDEEB5E" w14:textId="77777777" w:rsidR="00B24AED" w:rsidRPr="009F0D32" w:rsidRDefault="00B24AED" w:rsidP="00B24AED">
      <w:pPr>
        <w:widowControl w:val="0"/>
        <w:numPr>
          <w:ilvl w:val="5"/>
          <w:numId w:val="55"/>
        </w:numPr>
        <w:tabs>
          <w:tab w:val="left" w:pos="1120"/>
        </w:tabs>
        <w:autoSpaceDE w:val="0"/>
        <w:autoSpaceDN w:val="0"/>
        <w:adjustRightInd w:val="0"/>
        <w:spacing w:after="0" w:line="240" w:lineRule="auto"/>
        <w:rPr>
          <w:rFonts w:ascii="Calibri" w:eastAsia="Calibri" w:hAnsi="Calibri" w:cs="Times New Roman"/>
          <w:szCs w:val="24"/>
        </w:rPr>
      </w:pPr>
      <w:r w:rsidRPr="009F0D32">
        <w:rPr>
          <w:rFonts w:ascii="Calibri" w:eastAsia="Calibri" w:hAnsi="Calibri" w:cs="Times New Roman"/>
          <w:szCs w:val="24"/>
        </w:rPr>
        <w:t>Heterosexual</w:t>
      </w:r>
      <w:r w:rsidRPr="009F0D32">
        <w:rPr>
          <w:rFonts w:ascii="Calibri" w:eastAsia="Calibri" w:hAnsi="Calibri" w:cs="Times New Roman"/>
          <w:spacing w:val="6"/>
          <w:szCs w:val="24"/>
        </w:rPr>
        <w:t xml:space="preserve"> </w:t>
      </w:r>
      <w:r w:rsidRPr="009F0D32">
        <w:rPr>
          <w:rFonts w:ascii="Calibri" w:eastAsia="Calibri" w:hAnsi="Calibri" w:cs="Times New Roman"/>
          <w:szCs w:val="24"/>
        </w:rPr>
        <w:t>Sex</w:t>
      </w:r>
      <w:r w:rsidRPr="009F0D32">
        <w:rPr>
          <w:rFonts w:ascii="Calibri" w:eastAsia="Calibri" w:hAnsi="Calibri" w:cs="Times New Roman"/>
          <w:spacing w:val="6"/>
          <w:szCs w:val="24"/>
        </w:rPr>
        <w:t xml:space="preserve"> </w:t>
      </w:r>
      <w:r w:rsidRPr="009F0D32">
        <w:rPr>
          <w:rFonts w:ascii="Calibri" w:eastAsia="Calibri" w:hAnsi="Calibri" w:cs="Times New Roman"/>
          <w:szCs w:val="24"/>
        </w:rPr>
        <w:t>w/</w:t>
      </w:r>
      <w:r w:rsidRPr="009F0D32">
        <w:rPr>
          <w:rFonts w:ascii="Calibri" w:eastAsia="Calibri" w:hAnsi="Calibri" w:cs="Times New Roman"/>
          <w:spacing w:val="6"/>
          <w:szCs w:val="24"/>
        </w:rPr>
        <w:t xml:space="preserve"> </w:t>
      </w:r>
      <w:r w:rsidRPr="009F0D32">
        <w:rPr>
          <w:rFonts w:ascii="Calibri" w:eastAsia="Calibri" w:hAnsi="Calibri" w:cs="Times New Roman"/>
          <w:szCs w:val="24"/>
        </w:rPr>
        <w:t>a</w:t>
      </w:r>
      <w:r w:rsidRPr="009F0D32">
        <w:rPr>
          <w:rFonts w:ascii="Calibri" w:eastAsia="Calibri" w:hAnsi="Calibri" w:cs="Times New Roman"/>
          <w:spacing w:val="6"/>
          <w:szCs w:val="24"/>
        </w:rPr>
        <w:t xml:space="preserve"> </w:t>
      </w:r>
      <w:r w:rsidRPr="009F0D32">
        <w:rPr>
          <w:rFonts w:ascii="Calibri" w:eastAsia="Calibri" w:hAnsi="Calibri" w:cs="Times New Roman"/>
          <w:szCs w:val="24"/>
        </w:rPr>
        <w:t>person</w:t>
      </w:r>
      <w:r w:rsidRPr="009F0D32">
        <w:rPr>
          <w:rFonts w:ascii="Calibri" w:eastAsia="Calibri" w:hAnsi="Calibri" w:cs="Times New Roman"/>
          <w:spacing w:val="6"/>
          <w:szCs w:val="24"/>
        </w:rPr>
        <w:t xml:space="preserve"> </w:t>
      </w:r>
      <w:r w:rsidRPr="009F0D32">
        <w:rPr>
          <w:rFonts w:ascii="Calibri" w:eastAsia="Calibri" w:hAnsi="Calibri" w:cs="Times New Roman"/>
          <w:szCs w:val="24"/>
        </w:rPr>
        <w:t>w/</w:t>
      </w:r>
      <w:r w:rsidRPr="009F0D32">
        <w:rPr>
          <w:rFonts w:ascii="Calibri" w:eastAsia="Calibri" w:hAnsi="Calibri" w:cs="Times New Roman"/>
          <w:spacing w:val="6"/>
          <w:szCs w:val="24"/>
        </w:rPr>
        <w:t xml:space="preserve"> </w:t>
      </w:r>
      <w:r w:rsidRPr="009F0D32">
        <w:rPr>
          <w:rFonts w:ascii="Calibri" w:eastAsia="Calibri" w:hAnsi="Calibri" w:cs="Times New Roman"/>
          <w:szCs w:val="24"/>
        </w:rPr>
        <w:t>HIV</w:t>
      </w:r>
      <w:r w:rsidRPr="009F0D32">
        <w:rPr>
          <w:rFonts w:ascii="Calibri" w:eastAsia="Calibri" w:hAnsi="Calibri" w:cs="Times New Roman"/>
          <w:spacing w:val="6"/>
          <w:szCs w:val="24"/>
        </w:rPr>
        <w:t xml:space="preserve"> </w:t>
      </w:r>
      <w:r w:rsidRPr="009F0D32">
        <w:rPr>
          <w:rFonts w:ascii="Calibri" w:eastAsia="Calibri" w:hAnsi="Calibri" w:cs="Times New Roman"/>
          <w:szCs w:val="24"/>
        </w:rPr>
        <w:t>infection</w:t>
      </w:r>
      <w:r w:rsidRPr="009F0D32">
        <w:rPr>
          <w:rFonts w:ascii="Calibri" w:eastAsia="Calibri" w:hAnsi="Calibri" w:cs="Times New Roman"/>
          <w:spacing w:val="6"/>
          <w:szCs w:val="24"/>
        </w:rPr>
        <w:t xml:space="preserve"> </w:t>
      </w:r>
      <w:r w:rsidRPr="009F0D32">
        <w:rPr>
          <w:rFonts w:ascii="Calibri" w:eastAsia="Calibri" w:hAnsi="Calibri" w:cs="Times New Roman"/>
          <w:szCs w:val="24"/>
        </w:rPr>
        <w:t>or</w:t>
      </w:r>
      <w:r w:rsidRPr="009F0D32">
        <w:rPr>
          <w:rFonts w:ascii="Calibri" w:eastAsia="Calibri" w:hAnsi="Calibri" w:cs="Times New Roman"/>
          <w:spacing w:val="-2"/>
          <w:szCs w:val="24"/>
        </w:rPr>
        <w:t xml:space="preserve"> </w:t>
      </w:r>
      <w:r w:rsidRPr="009F0D32">
        <w:rPr>
          <w:rFonts w:ascii="Calibri" w:eastAsia="Calibri" w:hAnsi="Calibri" w:cs="Times New Roman"/>
          <w:szCs w:val="24"/>
        </w:rPr>
        <w:t>AIDS</w:t>
      </w:r>
    </w:p>
    <w:p w14:paraId="71F84565" w14:textId="77777777" w:rsidR="00B24AED" w:rsidRPr="009F0D32" w:rsidRDefault="00B24AED" w:rsidP="00B24AED">
      <w:pPr>
        <w:widowControl w:val="0"/>
        <w:numPr>
          <w:ilvl w:val="5"/>
          <w:numId w:val="55"/>
        </w:numPr>
        <w:tabs>
          <w:tab w:val="left" w:pos="1120"/>
        </w:tabs>
        <w:autoSpaceDE w:val="0"/>
        <w:autoSpaceDN w:val="0"/>
        <w:adjustRightInd w:val="0"/>
        <w:spacing w:after="0" w:line="240" w:lineRule="auto"/>
        <w:rPr>
          <w:rFonts w:ascii="Calibri" w:eastAsia="Calibri" w:hAnsi="Calibri" w:cs="Times New Roman"/>
          <w:szCs w:val="24"/>
        </w:rPr>
      </w:pPr>
      <w:r w:rsidRPr="009F0D32">
        <w:rPr>
          <w:rFonts w:ascii="Calibri" w:eastAsia="Calibri" w:hAnsi="Calibri" w:cs="Times New Roman"/>
          <w:szCs w:val="24"/>
        </w:rPr>
        <w:t>Heterosexual</w:t>
      </w:r>
      <w:r w:rsidRPr="009F0D32">
        <w:rPr>
          <w:rFonts w:ascii="Calibri" w:eastAsia="Calibri" w:hAnsi="Calibri" w:cs="Times New Roman"/>
          <w:spacing w:val="6"/>
          <w:szCs w:val="24"/>
        </w:rPr>
        <w:t xml:space="preserve"> </w:t>
      </w:r>
      <w:r w:rsidRPr="009F0D32">
        <w:rPr>
          <w:rFonts w:ascii="Calibri" w:eastAsia="Calibri" w:hAnsi="Calibri" w:cs="Times New Roman"/>
          <w:szCs w:val="24"/>
        </w:rPr>
        <w:t>Sex</w:t>
      </w:r>
      <w:r w:rsidRPr="009F0D32">
        <w:rPr>
          <w:rFonts w:ascii="Calibri" w:eastAsia="Calibri" w:hAnsi="Calibri" w:cs="Times New Roman"/>
          <w:spacing w:val="6"/>
          <w:szCs w:val="24"/>
        </w:rPr>
        <w:t xml:space="preserve"> </w:t>
      </w:r>
      <w:r w:rsidRPr="009F0D32">
        <w:rPr>
          <w:rFonts w:ascii="Calibri" w:eastAsia="Calibri" w:hAnsi="Calibri" w:cs="Times New Roman"/>
          <w:szCs w:val="24"/>
        </w:rPr>
        <w:t>w/</w:t>
      </w:r>
      <w:r w:rsidRPr="009F0D32">
        <w:rPr>
          <w:rFonts w:ascii="Calibri" w:eastAsia="Calibri" w:hAnsi="Calibri" w:cs="Times New Roman"/>
          <w:spacing w:val="6"/>
          <w:szCs w:val="24"/>
        </w:rPr>
        <w:t xml:space="preserve"> </w:t>
      </w:r>
      <w:r w:rsidRPr="009F0D32">
        <w:rPr>
          <w:rFonts w:ascii="Calibri" w:eastAsia="Calibri" w:hAnsi="Calibri" w:cs="Times New Roman"/>
          <w:szCs w:val="24"/>
        </w:rPr>
        <w:t>bisexual</w:t>
      </w:r>
      <w:r w:rsidRPr="009F0D32">
        <w:rPr>
          <w:rFonts w:ascii="Calibri" w:eastAsia="Calibri" w:hAnsi="Calibri" w:cs="Times New Roman"/>
          <w:spacing w:val="6"/>
          <w:szCs w:val="24"/>
        </w:rPr>
        <w:t xml:space="preserve"> </w:t>
      </w:r>
      <w:r w:rsidRPr="009F0D32">
        <w:rPr>
          <w:rFonts w:ascii="Calibri" w:eastAsia="Calibri" w:hAnsi="Calibri" w:cs="Times New Roman"/>
          <w:szCs w:val="24"/>
        </w:rPr>
        <w:t>male</w:t>
      </w:r>
    </w:p>
    <w:p w14:paraId="5C8B2222" w14:textId="77777777" w:rsidR="00B24AED" w:rsidRPr="009F0D32" w:rsidRDefault="00B24AED" w:rsidP="00B24AED">
      <w:pPr>
        <w:widowControl w:val="0"/>
        <w:numPr>
          <w:ilvl w:val="5"/>
          <w:numId w:val="55"/>
        </w:numPr>
        <w:tabs>
          <w:tab w:val="left" w:pos="1120"/>
        </w:tabs>
        <w:autoSpaceDE w:val="0"/>
        <w:autoSpaceDN w:val="0"/>
        <w:adjustRightInd w:val="0"/>
        <w:spacing w:after="0" w:line="240" w:lineRule="auto"/>
        <w:rPr>
          <w:rFonts w:ascii="Calibri" w:eastAsia="Calibri" w:hAnsi="Calibri" w:cs="Times New Roman"/>
          <w:szCs w:val="24"/>
        </w:rPr>
      </w:pPr>
      <w:r w:rsidRPr="009F0D32">
        <w:rPr>
          <w:rFonts w:ascii="Calibri" w:eastAsia="Calibri" w:hAnsi="Calibri" w:cs="Times New Roman"/>
          <w:szCs w:val="24"/>
        </w:rPr>
        <w:t>Other</w:t>
      </w:r>
      <w:r w:rsidRPr="009F0D32">
        <w:rPr>
          <w:rFonts w:ascii="Calibri" w:eastAsia="Calibri" w:hAnsi="Calibri" w:cs="Times New Roman"/>
          <w:spacing w:val="6"/>
          <w:szCs w:val="24"/>
        </w:rPr>
        <w:t xml:space="preserve"> </w:t>
      </w:r>
      <w:r w:rsidRPr="009F0D32">
        <w:rPr>
          <w:rFonts w:ascii="Calibri" w:eastAsia="Calibri" w:hAnsi="Calibri" w:cs="Times New Roman"/>
          <w:szCs w:val="24"/>
        </w:rPr>
        <w:t>Heterosexual</w:t>
      </w:r>
      <w:r w:rsidRPr="009F0D32">
        <w:rPr>
          <w:rFonts w:ascii="Calibri" w:eastAsia="Calibri" w:hAnsi="Calibri" w:cs="Times New Roman"/>
          <w:spacing w:val="6"/>
          <w:szCs w:val="24"/>
        </w:rPr>
        <w:t xml:space="preserve"> </w:t>
      </w:r>
      <w:r w:rsidRPr="009F0D32">
        <w:rPr>
          <w:rFonts w:ascii="Calibri" w:eastAsia="Calibri" w:hAnsi="Calibri" w:cs="Times New Roman"/>
          <w:szCs w:val="24"/>
        </w:rPr>
        <w:t xml:space="preserve">Sex: </w:t>
      </w:r>
      <w:r w:rsidRPr="009F0D32">
        <w:rPr>
          <w:rFonts w:ascii="Calibri" w:eastAsia="Calibri" w:hAnsi="Calibri" w:cs="Times New Roman"/>
          <w:spacing w:val="11"/>
          <w:szCs w:val="24"/>
        </w:rPr>
        <w:t xml:space="preserve"> </w:t>
      </w:r>
      <w:r w:rsidRPr="009F0D32">
        <w:rPr>
          <w:rFonts w:ascii="Calibri" w:eastAsia="Calibri" w:hAnsi="Calibri" w:cs="Times New Roman"/>
          <w:szCs w:val="24"/>
        </w:rPr>
        <w:t>includes</w:t>
      </w:r>
      <w:r w:rsidRPr="009F0D32">
        <w:rPr>
          <w:rFonts w:ascii="Calibri" w:eastAsia="Calibri" w:hAnsi="Calibri" w:cs="Times New Roman"/>
          <w:spacing w:val="6"/>
          <w:szCs w:val="24"/>
        </w:rPr>
        <w:t xml:space="preserve"> </w:t>
      </w:r>
      <w:r w:rsidRPr="009F0D32">
        <w:rPr>
          <w:rFonts w:ascii="Calibri" w:eastAsia="Calibri" w:hAnsi="Calibri" w:cs="Times New Roman"/>
          <w:szCs w:val="24"/>
        </w:rPr>
        <w:t>all</w:t>
      </w:r>
      <w:r w:rsidRPr="009F0D32">
        <w:rPr>
          <w:rFonts w:ascii="Calibri" w:eastAsia="Calibri" w:hAnsi="Calibri" w:cs="Times New Roman"/>
          <w:spacing w:val="6"/>
          <w:szCs w:val="24"/>
        </w:rPr>
        <w:t xml:space="preserve"> </w:t>
      </w:r>
      <w:r w:rsidRPr="009F0D32">
        <w:rPr>
          <w:rFonts w:ascii="Calibri" w:eastAsia="Calibri" w:hAnsi="Calibri" w:cs="Times New Roman"/>
          <w:szCs w:val="24"/>
        </w:rPr>
        <w:t>other</w:t>
      </w:r>
      <w:r w:rsidRPr="009F0D32">
        <w:rPr>
          <w:rFonts w:ascii="Calibri" w:eastAsia="Calibri" w:hAnsi="Calibri" w:cs="Times New Roman"/>
          <w:spacing w:val="6"/>
          <w:szCs w:val="24"/>
        </w:rPr>
        <w:t xml:space="preserve"> </w:t>
      </w:r>
      <w:r w:rsidRPr="009F0D32">
        <w:rPr>
          <w:rFonts w:ascii="Calibri" w:eastAsia="Calibri" w:hAnsi="Calibri" w:cs="Times New Roman"/>
          <w:szCs w:val="24"/>
        </w:rPr>
        <w:t>sub-categories</w:t>
      </w:r>
      <w:r w:rsidRPr="009F0D32">
        <w:rPr>
          <w:rFonts w:ascii="Calibri" w:eastAsia="Calibri" w:hAnsi="Calibri" w:cs="Times New Roman"/>
          <w:spacing w:val="6"/>
          <w:szCs w:val="24"/>
        </w:rPr>
        <w:t xml:space="preserve"> </w:t>
      </w:r>
      <w:r w:rsidRPr="009F0D32">
        <w:rPr>
          <w:rFonts w:ascii="Calibri" w:eastAsia="Calibri" w:hAnsi="Calibri" w:cs="Times New Roman"/>
          <w:szCs w:val="24"/>
        </w:rPr>
        <w:t>of</w:t>
      </w:r>
      <w:r w:rsidRPr="009F0D32">
        <w:rPr>
          <w:rFonts w:ascii="Calibri" w:eastAsia="Calibri" w:hAnsi="Calibri" w:cs="Times New Roman"/>
          <w:spacing w:val="6"/>
          <w:szCs w:val="24"/>
        </w:rPr>
        <w:t xml:space="preserve"> heterosexual </w:t>
      </w:r>
      <w:r w:rsidRPr="009F0D32">
        <w:rPr>
          <w:rFonts w:ascii="Calibri" w:eastAsia="Calibri" w:hAnsi="Calibri" w:cs="Times New Roman"/>
          <w:szCs w:val="24"/>
        </w:rPr>
        <w:t>risk,</w:t>
      </w:r>
      <w:r w:rsidRPr="009F0D32">
        <w:rPr>
          <w:rFonts w:ascii="Calibri" w:eastAsia="Calibri" w:hAnsi="Calibri" w:cs="Times New Roman"/>
          <w:spacing w:val="6"/>
          <w:szCs w:val="24"/>
        </w:rPr>
        <w:t xml:space="preserve"> </w:t>
      </w:r>
      <w:r w:rsidRPr="009F0D32">
        <w:rPr>
          <w:rFonts w:ascii="Calibri" w:eastAsia="Calibri" w:hAnsi="Calibri" w:cs="Times New Roman"/>
          <w:szCs w:val="24"/>
        </w:rPr>
        <w:t>such</w:t>
      </w:r>
      <w:r w:rsidRPr="009F0D32">
        <w:rPr>
          <w:rFonts w:ascii="Calibri" w:eastAsia="Calibri" w:hAnsi="Calibri" w:cs="Times New Roman"/>
          <w:spacing w:val="6"/>
          <w:szCs w:val="24"/>
        </w:rPr>
        <w:t xml:space="preserve"> </w:t>
      </w:r>
      <w:r w:rsidRPr="009F0D32">
        <w:rPr>
          <w:rFonts w:ascii="Calibri" w:eastAsia="Calibri" w:hAnsi="Calibri" w:cs="Times New Roman"/>
          <w:szCs w:val="24"/>
        </w:rPr>
        <w:t>as</w:t>
      </w:r>
      <w:r w:rsidRPr="009F0D32">
        <w:rPr>
          <w:rFonts w:ascii="Calibri" w:eastAsia="Calibri" w:hAnsi="Calibri" w:cs="Times New Roman"/>
          <w:spacing w:val="6"/>
          <w:szCs w:val="24"/>
        </w:rPr>
        <w:t xml:space="preserve"> </w:t>
      </w:r>
      <w:r w:rsidRPr="009F0D32">
        <w:rPr>
          <w:rFonts w:ascii="Calibri" w:eastAsia="Calibri" w:hAnsi="Calibri" w:cs="Times New Roman"/>
          <w:szCs w:val="24"/>
        </w:rPr>
        <w:t>heterosexual contact</w:t>
      </w:r>
      <w:r w:rsidRPr="009F0D32">
        <w:rPr>
          <w:rFonts w:ascii="Calibri" w:eastAsia="Calibri" w:hAnsi="Calibri" w:cs="Times New Roman"/>
          <w:spacing w:val="6"/>
          <w:szCs w:val="24"/>
        </w:rPr>
        <w:t xml:space="preserve"> </w:t>
      </w:r>
      <w:r w:rsidRPr="009F0D32">
        <w:rPr>
          <w:rFonts w:ascii="Calibri" w:eastAsia="Calibri" w:hAnsi="Calibri" w:cs="Times New Roman"/>
          <w:szCs w:val="24"/>
        </w:rPr>
        <w:t>with</w:t>
      </w:r>
      <w:r w:rsidRPr="009F0D32">
        <w:rPr>
          <w:rFonts w:ascii="Calibri" w:eastAsia="Calibri" w:hAnsi="Calibri" w:cs="Times New Roman"/>
          <w:spacing w:val="6"/>
          <w:szCs w:val="24"/>
        </w:rPr>
        <w:t xml:space="preserve"> </w:t>
      </w:r>
      <w:r w:rsidRPr="009F0D32">
        <w:rPr>
          <w:rFonts w:ascii="Calibri" w:eastAsia="Calibri" w:hAnsi="Calibri" w:cs="Times New Roman"/>
          <w:szCs w:val="24"/>
        </w:rPr>
        <w:t>a</w:t>
      </w:r>
      <w:r w:rsidRPr="009F0D32">
        <w:rPr>
          <w:rFonts w:ascii="Calibri" w:eastAsia="Calibri" w:hAnsi="Calibri" w:cs="Times New Roman"/>
          <w:spacing w:val="6"/>
          <w:szCs w:val="24"/>
        </w:rPr>
        <w:t xml:space="preserve"> </w:t>
      </w:r>
      <w:r w:rsidRPr="009F0D32">
        <w:rPr>
          <w:rFonts w:ascii="Calibri" w:eastAsia="Calibri" w:hAnsi="Calibri" w:cs="Times New Roman"/>
          <w:szCs w:val="24"/>
        </w:rPr>
        <w:t>person</w:t>
      </w:r>
      <w:r w:rsidRPr="009F0D32">
        <w:rPr>
          <w:rFonts w:ascii="Calibri" w:eastAsia="Calibri" w:hAnsi="Calibri" w:cs="Times New Roman"/>
          <w:spacing w:val="6"/>
          <w:szCs w:val="24"/>
        </w:rPr>
        <w:t xml:space="preserve"> </w:t>
      </w:r>
      <w:r w:rsidRPr="009F0D32">
        <w:rPr>
          <w:rFonts w:ascii="Calibri" w:eastAsia="Calibri" w:hAnsi="Calibri" w:cs="Times New Roman"/>
          <w:szCs w:val="24"/>
        </w:rPr>
        <w:t>infected</w:t>
      </w:r>
      <w:r w:rsidRPr="009F0D32">
        <w:rPr>
          <w:rFonts w:ascii="Calibri" w:eastAsia="Calibri" w:hAnsi="Calibri" w:cs="Times New Roman"/>
          <w:spacing w:val="6"/>
          <w:szCs w:val="24"/>
        </w:rPr>
        <w:t xml:space="preserve"> </w:t>
      </w:r>
      <w:r w:rsidRPr="009F0D32">
        <w:rPr>
          <w:rFonts w:ascii="Calibri" w:eastAsia="Calibri" w:hAnsi="Calibri" w:cs="Times New Roman"/>
          <w:szCs w:val="24"/>
        </w:rPr>
        <w:t>through</w:t>
      </w:r>
      <w:r w:rsidRPr="009F0D32">
        <w:rPr>
          <w:rFonts w:ascii="Calibri" w:eastAsia="Calibri" w:hAnsi="Calibri" w:cs="Times New Roman"/>
          <w:spacing w:val="6"/>
          <w:szCs w:val="24"/>
        </w:rPr>
        <w:t xml:space="preserve"> </w:t>
      </w:r>
      <w:r w:rsidRPr="009F0D32">
        <w:rPr>
          <w:rFonts w:ascii="Calibri" w:eastAsia="Calibri" w:hAnsi="Calibri" w:cs="Times New Roman"/>
          <w:szCs w:val="24"/>
        </w:rPr>
        <w:t>a</w:t>
      </w:r>
      <w:r w:rsidRPr="009F0D32">
        <w:rPr>
          <w:rFonts w:ascii="Calibri" w:eastAsia="Calibri" w:hAnsi="Calibri" w:cs="Times New Roman"/>
          <w:spacing w:val="6"/>
          <w:szCs w:val="24"/>
        </w:rPr>
        <w:t xml:space="preserve"> </w:t>
      </w:r>
      <w:r w:rsidRPr="009F0D32">
        <w:rPr>
          <w:rFonts w:ascii="Calibri" w:eastAsia="Calibri" w:hAnsi="Calibri" w:cs="Times New Roman"/>
          <w:szCs w:val="24"/>
        </w:rPr>
        <w:t>blood</w:t>
      </w:r>
      <w:r w:rsidRPr="009F0D32">
        <w:rPr>
          <w:rFonts w:ascii="Calibri" w:eastAsia="Calibri" w:hAnsi="Calibri" w:cs="Times New Roman"/>
          <w:spacing w:val="6"/>
          <w:szCs w:val="24"/>
        </w:rPr>
        <w:t xml:space="preserve"> </w:t>
      </w:r>
      <w:r w:rsidRPr="009F0D32">
        <w:rPr>
          <w:rFonts w:ascii="Calibri" w:eastAsia="Calibri" w:hAnsi="Calibri" w:cs="Times New Roman"/>
          <w:szCs w:val="24"/>
        </w:rPr>
        <w:t>transfusion.</w:t>
      </w:r>
    </w:p>
    <w:p w14:paraId="60A968A9" w14:textId="77777777" w:rsidR="00B24AED" w:rsidRPr="009F0D32" w:rsidRDefault="00B24AED" w:rsidP="00B24AED">
      <w:pPr>
        <w:numPr>
          <w:ilvl w:val="4"/>
          <w:numId w:val="55"/>
        </w:numPr>
        <w:spacing w:after="0" w:line="240" w:lineRule="auto"/>
        <w:contextualSpacing/>
        <w:rPr>
          <w:rFonts w:ascii="Calibri" w:eastAsia="Calibri" w:hAnsi="Calibri" w:cs="Calibri"/>
          <w:b/>
          <w:bCs/>
          <w:szCs w:val="24"/>
        </w:rPr>
      </w:pPr>
      <w:r w:rsidRPr="009F0D32">
        <w:rPr>
          <w:rFonts w:ascii="Calibri" w:eastAsia="Calibri" w:hAnsi="Calibri" w:cs="Calibri"/>
          <w:b/>
          <w:bCs/>
          <w:szCs w:val="24"/>
        </w:rPr>
        <w:t xml:space="preserve">Other:  </w:t>
      </w:r>
      <w:r w:rsidRPr="009F0D32">
        <w:rPr>
          <w:rFonts w:ascii="Calibri" w:eastAsia="Calibri" w:hAnsi="Calibri" w:cs="Times New Roman"/>
          <w:szCs w:val="24"/>
        </w:rPr>
        <w:t>Cases among persons with other known exposure modes, including receipt of clotting factor, receipt of transfusion or transplant, and mother-to-child transmission through pregnancy, childbirth, or breastfeeding (perinatal transmission).</w:t>
      </w:r>
    </w:p>
    <w:p w14:paraId="5E211454" w14:textId="77777777" w:rsidR="00B24AED" w:rsidRPr="009F0D32" w:rsidRDefault="00B24AED" w:rsidP="00B24AED">
      <w:pPr>
        <w:numPr>
          <w:ilvl w:val="4"/>
          <w:numId w:val="55"/>
        </w:numPr>
        <w:spacing w:after="0" w:line="240" w:lineRule="auto"/>
        <w:contextualSpacing/>
        <w:rPr>
          <w:rFonts w:ascii="Calibri" w:eastAsia="Calibri" w:hAnsi="Calibri" w:cs="Calibri"/>
          <w:szCs w:val="24"/>
        </w:rPr>
      </w:pPr>
      <w:r w:rsidRPr="009F0D32">
        <w:rPr>
          <w:rFonts w:ascii="Calibri" w:eastAsia="Calibri" w:hAnsi="Calibri" w:cs="Times New Roman"/>
          <w:b/>
          <w:bCs/>
          <w:szCs w:val="24"/>
        </w:rPr>
        <w:t xml:space="preserve">Presumed Heterosexual:  </w:t>
      </w:r>
      <w:r w:rsidRPr="009F0D32">
        <w:rPr>
          <w:rFonts w:ascii="Calibri" w:eastAsia="Calibri" w:hAnsi="Calibri" w:cs="Calibri"/>
          <w:szCs w:val="24"/>
        </w:rPr>
        <w:t>The presumed heterosexual risk category is used by BIDLS exclusively for individuals assigned female at birth to identify HIV exposure mode when sex with individuals that identify as male was the only reported risk factor, there was no evidence of current or past IDU, and behavioral risk and HIV status information about sexual partners that identify as male was unknown. The rationale for the application of the presumed heterosexual risk category to individuals assigned female at birth only has been addressed in the MDPH Office of HIV report “Intersecting Risks: HIV Infection among Heterosexual Women and Men in Massachusetts” (2010).</w:t>
      </w:r>
    </w:p>
    <w:p w14:paraId="3615BACD" w14:textId="77777777" w:rsidR="00B24AED" w:rsidRPr="009F0D32" w:rsidRDefault="00B24AED" w:rsidP="00B24AED">
      <w:pPr>
        <w:widowControl w:val="0"/>
        <w:numPr>
          <w:ilvl w:val="0"/>
          <w:numId w:val="56"/>
        </w:numPr>
        <w:autoSpaceDE w:val="0"/>
        <w:autoSpaceDN w:val="0"/>
        <w:adjustRightInd w:val="0"/>
        <w:spacing w:after="0" w:line="240" w:lineRule="auto"/>
        <w:contextualSpacing/>
        <w:rPr>
          <w:rFonts w:ascii="Calibri" w:eastAsia="Calibri" w:hAnsi="Calibri" w:cs="Times New Roman"/>
          <w:szCs w:val="24"/>
        </w:rPr>
      </w:pPr>
      <w:r w:rsidRPr="009F0D32">
        <w:rPr>
          <w:rFonts w:ascii="Calibri" w:eastAsia="Calibri" w:hAnsi="Calibri" w:cs="Times New Roman"/>
          <w:b/>
          <w:bCs/>
          <w:szCs w:val="24"/>
        </w:rPr>
        <w:t>NIR</w:t>
      </w:r>
      <w:r w:rsidRPr="009F0D32">
        <w:rPr>
          <w:rFonts w:ascii="Calibri" w:eastAsia="Calibri" w:hAnsi="Calibri" w:cs="Times New Roman"/>
          <w:b/>
          <w:bCs/>
          <w:spacing w:val="6"/>
          <w:szCs w:val="24"/>
        </w:rPr>
        <w:t xml:space="preserve"> </w:t>
      </w:r>
      <w:r w:rsidRPr="009F0D32">
        <w:rPr>
          <w:rFonts w:ascii="Calibri" w:eastAsia="Calibri" w:hAnsi="Calibri" w:cs="Times New Roman"/>
          <w:b/>
          <w:bCs/>
          <w:szCs w:val="24"/>
        </w:rPr>
        <w:t>(No</w:t>
      </w:r>
      <w:r w:rsidRPr="009F0D32">
        <w:rPr>
          <w:rFonts w:ascii="Calibri" w:eastAsia="Calibri" w:hAnsi="Calibri" w:cs="Times New Roman"/>
          <w:b/>
          <w:bCs/>
          <w:spacing w:val="6"/>
          <w:szCs w:val="24"/>
        </w:rPr>
        <w:t xml:space="preserve"> </w:t>
      </w:r>
      <w:r w:rsidRPr="009F0D32">
        <w:rPr>
          <w:rFonts w:ascii="Calibri" w:eastAsia="Calibri" w:hAnsi="Calibri" w:cs="Times New Roman"/>
          <w:b/>
          <w:bCs/>
          <w:szCs w:val="24"/>
        </w:rPr>
        <w:t>Identified</w:t>
      </w:r>
      <w:r w:rsidRPr="009F0D32">
        <w:rPr>
          <w:rFonts w:ascii="Calibri" w:eastAsia="Calibri" w:hAnsi="Calibri" w:cs="Times New Roman"/>
          <w:b/>
          <w:bCs/>
          <w:spacing w:val="6"/>
          <w:szCs w:val="24"/>
        </w:rPr>
        <w:t xml:space="preserve"> </w:t>
      </w:r>
      <w:r w:rsidRPr="009F0D32">
        <w:rPr>
          <w:rFonts w:ascii="Calibri" w:eastAsia="Calibri" w:hAnsi="Calibri" w:cs="Times New Roman"/>
          <w:b/>
          <w:bCs/>
          <w:szCs w:val="24"/>
        </w:rPr>
        <w:t xml:space="preserve">Risk): </w:t>
      </w:r>
      <w:r w:rsidRPr="009F0D32">
        <w:rPr>
          <w:rFonts w:ascii="Calibri" w:eastAsia="Calibri" w:hAnsi="Calibri" w:cs="Times New Roman"/>
          <w:b/>
          <w:bCs/>
          <w:spacing w:val="11"/>
          <w:szCs w:val="24"/>
        </w:rPr>
        <w:t xml:space="preserve"> </w:t>
      </w:r>
      <w:r w:rsidRPr="009F0D32">
        <w:rPr>
          <w:rFonts w:ascii="Calibri" w:eastAsia="Calibri" w:hAnsi="Calibri" w:cs="Times New Roman"/>
          <w:spacing w:val="-5"/>
          <w:szCs w:val="24"/>
        </w:rPr>
        <w:t>Case</w:t>
      </w:r>
      <w:r w:rsidRPr="009F0D32">
        <w:rPr>
          <w:rFonts w:ascii="Calibri" w:eastAsia="Calibri" w:hAnsi="Calibri" w:cs="Times New Roman"/>
          <w:szCs w:val="24"/>
        </w:rPr>
        <w:t>s</w:t>
      </w:r>
      <w:r w:rsidRPr="009F0D32">
        <w:rPr>
          <w:rFonts w:ascii="Calibri" w:eastAsia="Calibri" w:hAnsi="Calibri" w:cs="Times New Roman"/>
          <w:spacing w:val="-4"/>
          <w:szCs w:val="24"/>
        </w:rPr>
        <w:t xml:space="preserve"> among </w:t>
      </w:r>
      <w:r w:rsidRPr="009F0D32">
        <w:rPr>
          <w:rFonts w:ascii="Calibri" w:eastAsia="Calibri" w:hAnsi="Calibri" w:cs="Times New Roman"/>
          <w:spacing w:val="-5"/>
          <w:szCs w:val="24"/>
        </w:rPr>
        <w:t>person</w:t>
      </w:r>
      <w:r w:rsidRPr="009F0D32">
        <w:rPr>
          <w:rFonts w:ascii="Calibri" w:eastAsia="Calibri" w:hAnsi="Calibri" w:cs="Times New Roman"/>
          <w:szCs w:val="24"/>
        </w:rPr>
        <w:t>s</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wit</w:t>
      </w:r>
      <w:r w:rsidRPr="009F0D32">
        <w:rPr>
          <w:rFonts w:ascii="Calibri" w:eastAsia="Calibri" w:hAnsi="Calibri" w:cs="Times New Roman"/>
          <w:szCs w:val="24"/>
        </w:rPr>
        <w:t>h</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n</w:t>
      </w:r>
      <w:r w:rsidRPr="009F0D32">
        <w:rPr>
          <w:rFonts w:ascii="Calibri" w:eastAsia="Calibri" w:hAnsi="Calibri" w:cs="Times New Roman"/>
          <w:szCs w:val="24"/>
        </w:rPr>
        <w:t>o</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reporte</w:t>
      </w:r>
      <w:r w:rsidRPr="009F0D32">
        <w:rPr>
          <w:rFonts w:ascii="Calibri" w:eastAsia="Calibri" w:hAnsi="Calibri" w:cs="Times New Roman"/>
          <w:szCs w:val="24"/>
        </w:rPr>
        <w:t>d</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histor</w:t>
      </w:r>
      <w:r w:rsidRPr="009F0D32">
        <w:rPr>
          <w:rFonts w:ascii="Calibri" w:eastAsia="Calibri" w:hAnsi="Calibri" w:cs="Times New Roman"/>
          <w:szCs w:val="24"/>
        </w:rPr>
        <w:t>y</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o</w:t>
      </w:r>
      <w:r w:rsidRPr="009F0D32">
        <w:rPr>
          <w:rFonts w:ascii="Calibri" w:eastAsia="Calibri" w:hAnsi="Calibri" w:cs="Times New Roman"/>
          <w:szCs w:val="24"/>
        </w:rPr>
        <w:t>f</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exposur</w:t>
      </w:r>
      <w:r w:rsidRPr="009F0D32">
        <w:rPr>
          <w:rFonts w:ascii="Calibri" w:eastAsia="Calibri" w:hAnsi="Calibri" w:cs="Times New Roman"/>
          <w:szCs w:val="24"/>
        </w:rPr>
        <w:t>e</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t</w:t>
      </w:r>
      <w:r w:rsidRPr="009F0D32">
        <w:rPr>
          <w:rFonts w:ascii="Calibri" w:eastAsia="Calibri" w:hAnsi="Calibri" w:cs="Times New Roman"/>
          <w:szCs w:val="24"/>
        </w:rPr>
        <w:t>o</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HI</w:t>
      </w:r>
      <w:r w:rsidRPr="009F0D32">
        <w:rPr>
          <w:rFonts w:ascii="Calibri" w:eastAsia="Calibri" w:hAnsi="Calibri" w:cs="Times New Roman"/>
          <w:szCs w:val="24"/>
        </w:rPr>
        <w:t>V</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throug</w:t>
      </w:r>
      <w:r w:rsidRPr="009F0D32">
        <w:rPr>
          <w:rFonts w:ascii="Calibri" w:eastAsia="Calibri" w:hAnsi="Calibri" w:cs="Times New Roman"/>
          <w:szCs w:val="24"/>
        </w:rPr>
        <w:t xml:space="preserve">h </w:t>
      </w:r>
      <w:r w:rsidRPr="009F0D32">
        <w:rPr>
          <w:rFonts w:ascii="Calibri" w:eastAsia="Calibri" w:hAnsi="Calibri" w:cs="Times New Roman"/>
          <w:spacing w:val="-5"/>
          <w:szCs w:val="24"/>
        </w:rPr>
        <w:t>an</w:t>
      </w:r>
      <w:r w:rsidRPr="009F0D32">
        <w:rPr>
          <w:rFonts w:ascii="Calibri" w:eastAsia="Calibri" w:hAnsi="Calibri" w:cs="Times New Roman"/>
          <w:szCs w:val="24"/>
        </w:rPr>
        <w:t>y</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o</w:t>
      </w:r>
      <w:r w:rsidRPr="009F0D32">
        <w:rPr>
          <w:rFonts w:ascii="Calibri" w:eastAsia="Calibri" w:hAnsi="Calibri" w:cs="Times New Roman"/>
          <w:szCs w:val="24"/>
        </w:rPr>
        <w:t>f</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th</w:t>
      </w:r>
      <w:r w:rsidRPr="009F0D32">
        <w:rPr>
          <w:rFonts w:ascii="Calibri" w:eastAsia="Calibri" w:hAnsi="Calibri" w:cs="Times New Roman"/>
          <w:szCs w:val="24"/>
        </w:rPr>
        <w:t>e</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liste</w:t>
      </w:r>
      <w:r w:rsidRPr="009F0D32">
        <w:rPr>
          <w:rFonts w:ascii="Calibri" w:eastAsia="Calibri" w:hAnsi="Calibri" w:cs="Times New Roman"/>
          <w:szCs w:val="24"/>
        </w:rPr>
        <w:t>d</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exposur</w:t>
      </w:r>
      <w:r w:rsidRPr="009F0D32">
        <w:rPr>
          <w:rFonts w:ascii="Calibri" w:eastAsia="Calibri" w:hAnsi="Calibri" w:cs="Times New Roman"/>
          <w:szCs w:val="24"/>
        </w:rPr>
        <w:t>e</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categories</w:t>
      </w:r>
      <w:r w:rsidRPr="009F0D32">
        <w:rPr>
          <w:rFonts w:ascii="Calibri" w:eastAsia="Calibri" w:hAnsi="Calibri" w:cs="Times New Roman"/>
          <w:szCs w:val="24"/>
        </w:rPr>
        <w:t xml:space="preserve">. </w:t>
      </w:r>
      <w:r w:rsidRPr="009F0D32">
        <w:rPr>
          <w:rFonts w:ascii="Calibri" w:eastAsia="Calibri" w:hAnsi="Calibri" w:cs="Times New Roman"/>
          <w:spacing w:val="-5"/>
          <w:szCs w:val="24"/>
        </w:rPr>
        <w:t>Follow-u</w:t>
      </w:r>
      <w:r w:rsidRPr="009F0D32">
        <w:rPr>
          <w:rFonts w:ascii="Calibri" w:eastAsia="Calibri" w:hAnsi="Calibri" w:cs="Times New Roman"/>
          <w:szCs w:val="24"/>
        </w:rPr>
        <w:t>p</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i</w:t>
      </w:r>
      <w:r w:rsidRPr="009F0D32">
        <w:rPr>
          <w:rFonts w:ascii="Calibri" w:eastAsia="Calibri" w:hAnsi="Calibri" w:cs="Times New Roman"/>
          <w:szCs w:val="24"/>
        </w:rPr>
        <w:t>s</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conducte</w:t>
      </w:r>
      <w:r w:rsidRPr="009F0D32">
        <w:rPr>
          <w:rFonts w:ascii="Calibri" w:eastAsia="Calibri" w:hAnsi="Calibri" w:cs="Times New Roman"/>
          <w:szCs w:val="24"/>
        </w:rPr>
        <w:t>d</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t</w:t>
      </w:r>
      <w:r w:rsidRPr="009F0D32">
        <w:rPr>
          <w:rFonts w:ascii="Calibri" w:eastAsia="Calibri" w:hAnsi="Calibri" w:cs="Times New Roman"/>
          <w:szCs w:val="24"/>
        </w:rPr>
        <w:t>o</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determin</w:t>
      </w:r>
      <w:r w:rsidRPr="009F0D32">
        <w:rPr>
          <w:rFonts w:ascii="Calibri" w:eastAsia="Calibri" w:hAnsi="Calibri" w:cs="Times New Roman"/>
          <w:szCs w:val="24"/>
        </w:rPr>
        <w:t>e</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ris</w:t>
      </w:r>
      <w:r w:rsidRPr="009F0D32">
        <w:rPr>
          <w:rFonts w:ascii="Calibri" w:eastAsia="Calibri" w:hAnsi="Calibri" w:cs="Times New Roman"/>
          <w:szCs w:val="24"/>
        </w:rPr>
        <w:t>k</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fo</w:t>
      </w:r>
      <w:r w:rsidRPr="009F0D32">
        <w:rPr>
          <w:rFonts w:ascii="Calibri" w:eastAsia="Calibri" w:hAnsi="Calibri" w:cs="Times New Roman"/>
          <w:szCs w:val="24"/>
        </w:rPr>
        <w:t>r</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thos</w:t>
      </w:r>
      <w:r w:rsidRPr="009F0D32">
        <w:rPr>
          <w:rFonts w:ascii="Calibri" w:eastAsia="Calibri" w:hAnsi="Calibri" w:cs="Times New Roman"/>
          <w:szCs w:val="24"/>
        </w:rPr>
        <w:t>e</w:t>
      </w:r>
      <w:r w:rsidRPr="009F0D32">
        <w:rPr>
          <w:rFonts w:ascii="Calibri" w:eastAsia="Calibri" w:hAnsi="Calibri" w:cs="Times New Roman"/>
          <w:spacing w:val="-4"/>
          <w:szCs w:val="24"/>
        </w:rPr>
        <w:t xml:space="preserve"> </w:t>
      </w:r>
      <w:r w:rsidRPr="009F0D32">
        <w:rPr>
          <w:rFonts w:ascii="Calibri" w:eastAsia="Calibri" w:hAnsi="Calibri" w:cs="Times New Roman"/>
          <w:spacing w:val="-5"/>
          <w:szCs w:val="24"/>
        </w:rPr>
        <w:t>case</w:t>
      </w:r>
      <w:r w:rsidRPr="009F0D32">
        <w:rPr>
          <w:rFonts w:ascii="Calibri" w:eastAsia="Calibri" w:hAnsi="Calibri" w:cs="Times New Roman"/>
          <w:szCs w:val="24"/>
        </w:rPr>
        <w:t>s that</w:t>
      </w:r>
      <w:r w:rsidRPr="009F0D32">
        <w:rPr>
          <w:rFonts w:ascii="Calibri" w:eastAsia="Calibri" w:hAnsi="Calibri" w:cs="Times New Roman"/>
          <w:spacing w:val="6"/>
          <w:szCs w:val="24"/>
        </w:rPr>
        <w:t xml:space="preserve"> </w:t>
      </w:r>
      <w:r w:rsidRPr="009F0D32">
        <w:rPr>
          <w:rFonts w:ascii="Calibri" w:eastAsia="Calibri" w:hAnsi="Calibri" w:cs="Times New Roman"/>
          <w:szCs w:val="24"/>
        </w:rPr>
        <w:t>are</w:t>
      </w:r>
      <w:r w:rsidRPr="009F0D32">
        <w:rPr>
          <w:rFonts w:ascii="Calibri" w:eastAsia="Calibri" w:hAnsi="Calibri" w:cs="Times New Roman"/>
          <w:spacing w:val="6"/>
          <w:szCs w:val="24"/>
        </w:rPr>
        <w:t xml:space="preserve"> </w:t>
      </w:r>
      <w:r w:rsidRPr="009F0D32">
        <w:rPr>
          <w:rFonts w:ascii="Calibri" w:eastAsia="Calibri" w:hAnsi="Calibri" w:cs="Times New Roman"/>
          <w:szCs w:val="24"/>
        </w:rPr>
        <w:t>initially</w:t>
      </w:r>
      <w:r w:rsidRPr="009F0D32">
        <w:rPr>
          <w:rFonts w:ascii="Calibri" w:eastAsia="Calibri" w:hAnsi="Calibri" w:cs="Times New Roman"/>
          <w:spacing w:val="6"/>
          <w:szCs w:val="24"/>
        </w:rPr>
        <w:t xml:space="preserve"> </w:t>
      </w:r>
      <w:r w:rsidRPr="009F0D32">
        <w:rPr>
          <w:rFonts w:ascii="Calibri" w:eastAsia="Calibri" w:hAnsi="Calibri" w:cs="Times New Roman"/>
          <w:szCs w:val="24"/>
        </w:rPr>
        <w:t>reported</w:t>
      </w:r>
      <w:r w:rsidRPr="009F0D32">
        <w:rPr>
          <w:rFonts w:ascii="Calibri" w:eastAsia="Calibri" w:hAnsi="Calibri" w:cs="Times New Roman"/>
          <w:spacing w:val="6"/>
          <w:szCs w:val="24"/>
        </w:rPr>
        <w:t xml:space="preserve"> </w:t>
      </w:r>
      <w:r w:rsidRPr="009F0D32">
        <w:rPr>
          <w:rFonts w:ascii="Calibri" w:eastAsia="Calibri" w:hAnsi="Calibri" w:cs="Times New Roman"/>
          <w:szCs w:val="24"/>
        </w:rPr>
        <w:t>without</w:t>
      </w:r>
      <w:r w:rsidRPr="009F0D32">
        <w:rPr>
          <w:rFonts w:ascii="Calibri" w:eastAsia="Calibri" w:hAnsi="Calibri" w:cs="Times New Roman"/>
          <w:spacing w:val="6"/>
          <w:szCs w:val="24"/>
        </w:rPr>
        <w:t xml:space="preserve"> </w:t>
      </w:r>
      <w:r w:rsidRPr="009F0D32">
        <w:rPr>
          <w:rFonts w:ascii="Calibri" w:eastAsia="Calibri" w:hAnsi="Calibri" w:cs="Times New Roman"/>
          <w:szCs w:val="24"/>
        </w:rPr>
        <w:t>a</w:t>
      </w:r>
      <w:r w:rsidRPr="009F0D32">
        <w:rPr>
          <w:rFonts w:ascii="Calibri" w:eastAsia="Calibri" w:hAnsi="Calibri" w:cs="Times New Roman"/>
          <w:spacing w:val="6"/>
          <w:szCs w:val="24"/>
        </w:rPr>
        <w:t xml:space="preserve"> </w:t>
      </w:r>
      <w:r w:rsidRPr="009F0D32">
        <w:rPr>
          <w:rFonts w:ascii="Calibri" w:eastAsia="Calibri" w:hAnsi="Calibri" w:cs="Times New Roman"/>
          <w:szCs w:val="24"/>
        </w:rPr>
        <w:t>risk</w:t>
      </w:r>
      <w:r w:rsidRPr="009F0D32">
        <w:rPr>
          <w:rFonts w:ascii="Calibri" w:eastAsia="Calibri" w:hAnsi="Calibri" w:cs="Times New Roman"/>
          <w:spacing w:val="6"/>
          <w:szCs w:val="24"/>
        </w:rPr>
        <w:t xml:space="preserve"> </w:t>
      </w:r>
      <w:r w:rsidRPr="009F0D32">
        <w:rPr>
          <w:rFonts w:ascii="Calibri" w:eastAsia="Calibri" w:hAnsi="Calibri" w:cs="Times New Roman"/>
          <w:szCs w:val="24"/>
        </w:rPr>
        <w:t>identified. Includes cases among individuals assigned male at birth who were previously categorized in Massachusetts as Presumed Heterosexual.</w:t>
      </w:r>
    </w:p>
    <w:p w14:paraId="1F753ECD" w14:textId="77777777" w:rsidR="009F0D32" w:rsidRPr="009F0D32" w:rsidRDefault="009F0D32" w:rsidP="009F0D32">
      <w:pPr>
        <w:widowControl w:val="0"/>
        <w:autoSpaceDE w:val="0"/>
        <w:autoSpaceDN w:val="0"/>
        <w:adjustRightInd w:val="0"/>
        <w:spacing w:after="0" w:line="240" w:lineRule="auto"/>
        <w:ind w:left="360"/>
        <w:contextualSpacing/>
        <w:rPr>
          <w:rFonts w:ascii="Calibri" w:eastAsia="Calibri" w:hAnsi="Calibri" w:cs="Times New Roman"/>
          <w:szCs w:val="24"/>
        </w:rPr>
      </w:pPr>
    </w:p>
    <w:p w14:paraId="3592E9EC" w14:textId="77777777" w:rsidR="00B24AED" w:rsidRPr="00DD6F6F" w:rsidRDefault="00B24AED" w:rsidP="00DD6F6F">
      <w:pPr>
        <w:pStyle w:val="Heading2"/>
        <w:numPr>
          <w:ilvl w:val="0"/>
          <w:numId w:val="57"/>
        </w:numPr>
        <w:spacing w:before="0" w:line="240" w:lineRule="auto"/>
        <w:rPr>
          <w:rFonts w:asciiTheme="minorHAnsi" w:hAnsiTheme="minorHAnsi" w:cstheme="minorHAnsi"/>
          <w:b/>
          <w:color w:val="auto"/>
          <w:sz w:val="24"/>
          <w:szCs w:val="24"/>
        </w:rPr>
      </w:pPr>
      <w:r w:rsidRPr="00DD6F6F">
        <w:rPr>
          <w:rFonts w:asciiTheme="minorHAnsi" w:hAnsiTheme="minorHAnsi" w:cstheme="minorHAnsi"/>
          <w:b/>
          <w:color w:val="auto"/>
          <w:sz w:val="24"/>
          <w:szCs w:val="24"/>
        </w:rPr>
        <w:t>Cell suppression methodology:</w:t>
      </w:r>
    </w:p>
    <w:p w14:paraId="6024CAE4" w14:textId="77777777" w:rsidR="00B24AED" w:rsidRPr="009F0D32" w:rsidRDefault="00B24AED" w:rsidP="00B24AED">
      <w:pPr>
        <w:spacing w:after="0" w:line="240" w:lineRule="auto"/>
        <w:rPr>
          <w:szCs w:val="24"/>
        </w:rPr>
      </w:pPr>
    </w:p>
    <w:p w14:paraId="7E886397" w14:textId="77777777" w:rsidR="00B24AED" w:rsidRPr="009F0D32" w:rsidRDefault="00B24AED" w:rsidP="00B24AED">
      <w:pPr>
        <w:spacing w:after="0" w:line="240" w:lineRule="auto"/>
        <w:rPr>
          <w:szCs w:val="24"/>
        </w:rPr>
      </w:pPr>
      <w:r w:rsidRPr="009F0D32">
        <w:rPr>
          <w:szCs w:val="24"/>
        </w:rPr>
        <w:t>Values one through four are suppressed for denominator populations less than 50,000 or for unknown population sizes. Additional values of zero and greater than or equal to five may be suppressed to prevent back calculation. Values less than five are not suppressed for unknown health service region or for compound categories (categories containing two or more subcategories, such as ‘other/undetermined’ race/ethnicity or ‘other’ exposure modes, which includes pediatric, blood, and blood product exposure modes), because the exact count of each subcategory cannot be determined.</w:t>
      </w:r>
    </w:p>
    <w:p w14:paraId="5161A518" w14:textId="77777777" w:rsidR="00B24AED" w:rsidRPr="00030CFD" w:rsidRDefault="00B24AED" w:rsidP="00B24AED">
      <w:pPr>
        <w:spacing w:after="0" w:line="240" w:lineRule="auto"/>
        <w:rPr>
          <w:rFonts w:cstheme="minorHAnsi"/>
          <w:b/>
          <w:color w:val="EE0000"/>
          <w:szCs w:val="24"/>
        </w:rPr>
      </w:pPr>
    </w:p>
    <w:p w14:paraId="2A0772B2" w14:textId="77777777" w:rsidR="00B24AED" w:rsidRPr="00DD6F6F" w:rsidRDefault="00B24AED" w:rsidP="00DD6F6F">
      <w:pPr>
        <w:pStyle w:val="Heading2"/>
        <w:numPr>
          <w:ilvl w:val="0"/>
          <w:numId w:val="57"/>
        </w:numPr>
        <w:spacing w:before="0" w:line="240" w:lineRule="auto"/>
        <w:rPr>
          <w:rFonts w:asciiTheme="minorHAnsi" w:hAnsiTheme="minorHAnsi" w:cstheme="minorHAnsi"/>
          <w:b/>
          <w:color w:val="auto"/>
          <w:sz w:val="24"/>
          <w:szCs w:val="24"/>
        </w:rPr>
      </w:pPr>
      <w:r w:rsidRPr="00DD6F6F">
        <w:rPr>
          <w:rFonts w:asciiTheme="minorHAnsi" w:hAnsiTheme="minorHAnsi" w:cstheme="minorHAnsi"/>
          <w:b/>
          <w:color w:val="auto"/>
          <w:sz w:val="24"/>
          <w:szCs w:val="24"/>
        </w:rPr>
        <w:t>Population estimates used for rate calculations</w:t>
      </w:r>
    </w:p>
    <w:p w14:paraId="7AC7DC7E" w14:textId="77777777" w:rsidR="00B24AED" w:rsidRPr="009F0D32" w:rsidRDefault="00B24AED" w:rsidP="00B24AED">
      <w:pPr>
        <w:spacing w:after="0" w:line="240" w:lineRule="auto"/>
        <w:rPr>
          <w:rFonts w:cstheme="minorHAnsi"/>
          <w:b/>
          <w:szCs w:val="24"/>
        </w:rPr>
      </w:pPr>
    </w:p>
    <w:p w14:paraId="6062D910" w14:textId="77777777" w:rsidR="00B24AED" w:rsidRPr="009F0D32" w:rsidRDefault="00B24AED" w:rsidP="00B24AED">
      <w:pPr>
        <w:spacing w:after="0" w:line="240" w:lineRule="auto"/>
        <w:rPr>
          <w:rFonts w:cstheme="minorHAnsi"/>
          <w:szCs w:val="24"/>
          <w:shd w:val="clear" w:color="auto" w:fill="FFFFFF"/>
        </w:rPr>
      </w:pPr>
      <w:r w:rsidRPr="009F0D32">
        <w:rPr>
          <w:rFonts w:ascii="Calibri" w:hAnsi="Calibri"/>
          <w:szCs w:val="24"/>
        </w:rPr>
        <w:t xml:space="preserve">As of 1/1/2020, BIDLS calculates rates per 100,000 population using denominators estimated by the University of Massachusetts Donahue Institute using a modified Hamilton-Perry model. 2020 population estimates were used for single-year rates; for pooled year rates </w:t>
      </w:r>
      <w:r w:rsidRPr="009F0D32">
        <w:rPr>
          <w:rFonts w:cstheme="minorHAnsi"/>
          <w:szCs w:val="24"/>
          <w:shd w:val="clear" w:color="auto" w:fill="FFFFFF"/>
        </w:rPr>
        <w:t xml:space="preserve">(i.e., 2019-2021), the 2020 population estimates were multiplied by three. </w:t>
      </w:r>
      <w:r w:rsidRPr="009F0D32">
        <w:rPr>
          <w:rFonts w:ascii="Calibri" w:hAnsi="Calibri"/>
          <w:szCs w:val="24"/>
        </w:rPr>
        <w:t>For more information, see: Strate S, et al. Small Area Population Estimates for 2011 through 2020, report published Oct 2016, and</w:t>
      </w:r>
      <w:r w:rsidRPr="009F0D32">
        <w:t xml:space="preserve"> </w:t>
      </w:r>
      <w:hyperlink r:id="rId60" w:history="1">
        <w:r w:rsidRPr="009F0D32">
          <w:rPr>
            <w:rStyle w:val="Hyperlink"/>
            <w:color w:val="3333FF"/>
          </w:rPr>
          <w:t>http://www.donahue.umassp.edu/business-groups/economic-public-policy-research/massachusetts-population-estimates-program</w:t>
        </w:r>
      </w:hyperlink>
      <w:r w:rsidRPr="009F0D32">
        <w:t>.</w:t>
      </w:r>
      <w:r w:rsidRPr="009F0D32">
        <w:rPr>
          <w:rFonts w:ascii="Calibri" w:hAnsi="Calibri"/>
          <w:szCs w:val="24"/>
        </w:rPr>
        <w:t xml:space="preserve"> Note that rates and trends calculated using previous methods cannot be compared to these.</w:t>
      </w:r>
    </w:p>
    <w:p w14:paraId="4B2E2E6D" w14:textId="77777777" w:rsidR="00B24AED" w:rsidRPr="009F0D32" w:rsidRDefault="00B24AED" w:rsidP="00B24AED">
      <w:pPr>
        <w:spacing w:after="0" w:line="240" w:lineRule="auto"/>
        <w:rPr>
          <w:rFonts w:cstheme="minorHAnsi"/>
          <w:bCs/>
          <w:szCs w:val="24"/>
        </w:rPr>
      </w:pPr>
    </w:p>
    <w:p w14:paraId="45B7EFDA" w14:textId="77777777" w:rsidR="00B24AED" w:rsidRPr="00DD6F6F" w:rsidRDefault="00B24AED" w:rsidP="00DD6F6F">
      <w:pPr>
        <w:pStyle w:val="Heading2"/>
        <w:numPr>
          <w:ilvl w:val="0"/>
          <w:numId w:val="57"/>
        </w:numPr>
        <w:spacing w:before="0" w:line="240" w:lineRule="auto"/>
        <w:rPr>
          <w:rFonts w:asciiTheme="minorHAnsi" w:hAnsiTheme="minorHAnsi" w:cstheme="minorHAnsi"/>
          <w:b/>
          <w:color w:val="auto"/>
          <w:sz w:val="24"/>
          <w:szCs w:val="24"/>
        </w:rPr>
      </w:pPr>
      <w:r w:rsidRPr="00DD6F6F">
        <w:rPr>
          <w:rFonts w:asciiTheme="minorHAnsi" w:hAnsiTheme="minorHAnsi" w:cstheme="minorHAnsi"/>
          <w:b/>
          <w:color w:val="auto"/>
          <w:sz w:val="24"/>
          <w:szCs w:val="24"/>
        </w:rPr>
        <w:t>Rates based on numerators &lt;12</w:t>
      </w:r>
    </w:p>
    <w:p w14:paraId="2EE50A48" w14:textId="77777777" w:rsidR="00960EC3" w:rsidRPr="009F0D32" w:rsidRDefault="00B24AED" w:rsidP="00960EC3">
      <w:pPr>
        <w:spacing w:after="0" w:line="240" w:lineRule="auto"/>
        <w:rPr>
          <w:rFonts w:cs="Arial"/>
          <w:b/>
          <w:bCs/>
          <w:szCs w:val="24"/>
        </w:rPr>
      </w:pPr>
      <w:r w:rsidRPr="009F0D32">
        <w:rPr>
          <w:rFonts w:cs="Arial"/>
          <w:szCs w:val="24"/>
        </w:rPr>
        <w:br/>
        <w:t>Rates based on numerators &lt;12 are marked with an asterisk (*) and should be interpreted with caution.</w:t>
      </w:r>
    </w:p>
    <w:p w14:paraId="546BC23B" w14:textId="77777777" w:rsidR="00960EC3" w:rsidRPr="00030CFD" w:rsidRDefault="00960EC3" w:rsidP="00960EC3">
      <w:pPr>
        <w:spacing w:after="0" w:line="240" w:lineRule="auto"/>
        <w:rPr>
          <w:rFonts w:cs="Arial"/>
          <w:b/>
          <w:bCs/>
          <w:color w:val="EE0000"/>
          <w:szCs w:val="24"/>
        </w:rPr>
      </w:pPr>
    </w:p>
    <w:p w14:paraId="1666E09E" w14:textId="23C840D4" w:rsidR="00B24AED" w:rsidRPr="00DD6F6F" w:rsidRDefault="00B24AED" w:rsidP="00DD6F6F">
      <w:pPr>
        <w:pStyle w:val="Heading2"/>
        <w:numPr>
          <w:ilvl w:val="0"/>
          <w:numId w:val="57"/>
        </w:numPr>
        <w:spacing w:before="0" w:line="240" w:lineRule="auto"/>
        <w:rPr>
          <w:rFonts w:asciiTheme="minorHAnsi" w:hAnsiTheme="minorHAnsi" w:cstheme="minorHAnsi"/>
          <w:b/>
          <w:color w:val="auto"/>
          <w:sz w:val="24"/>
          <w:szCs w:val="24"/>
        </w:rPr>
      </w:pPr>
      <w:r w:rsidRPr="00DD6F6F">
        <w:rPr>
          <w:rFonts w:asciiTheme="minorHAnsi" w:hAnsiTheme="minorHAnsi" w:cstheme="minorHAnsi"/>
          <w:b/>
          <w:color w:val="auto"/>
          <w:sz w:val="24"/>
          <w:szCs w:val="24"/>
        </w:rPr>
        <w:t>Explanation of age-adjusted rates</w:t>
      </w:r>
    </w:p>
    <w:p w14:paraId="03C3C2FA" w14:textId="77777777" w:rsidR="00B24AED" w:rsidRPr="00030CFD" w:rsidRDefault="00B24AED" w:rsidP="00B24AED">
      <w:pPr>
        <w:spacing w:after="0" w:line="240" w:lineRule="auto"/>
        <w:rPr>
          <w:rFonts w:cstheme="minorHAnsi"/>
          <w:b/>
          <w:color w:val="EE0000"/>
          <w:szCs w:val="24"/>
        </w:rPr>
      </w:pPr>
    </w:p>
    <w:p w14:paraId="1BD71445" w14:textId="77777777" w:rsidR="009F0D32" w:rsidRPr="00EF6B03" w:rsidRDefault="009F0D32" w:rsidP="009F0D32">
      <w:pPr>
        <w:pStyle w:val="HTMLPreformatted"/>
        <w:rPr>
          <w:rFonts w:asciiTheme="minorHAnsi" w:hAnsiTheme="minorHAnsi" w:cstheme="minorHAnsi"/>
          <w:sz w:val="24"/>
          <w:szCs w:val="24"/>
        </w:rPr>
      </w:pPr>
      <w:r w:rsidRPr="00EF6B03">
        <w:rPr>
          <w:rFonts w:asciiTheme="minorHAnsi" w:hAnsiTheme="minorHAnsi" w:cstheme="minorHAnsi"/>
          <w:sz w:val="24"/>
          <w:szCs w:val="24"/>
        </w:rPr>
        <w:t xml:space="preserve">A rate of a disease per 100,000 population is a useful way to compare groups with substantially different population sizes rather than relying on the raw number of cases. For example, the number of individuals living with HIV infection (PLWH) on December 31, 2024 who are Hispanic/Latinx is 7,052, whereas the number of individuals living with HIV infection who are white (non-Hispanic) is 9,033. Although the </w:t>
      </w:r>
      <w:r w:rsidRPr="00EF6B03">
        <w:rPr>
          <w:rFonts w:asciiTheme="minorHAnsi" w:hAnsiTheme="minorHAnsi" w:cstheme="minorHAnsi"/>
          <w:i/>
          <w:sz w:val="24"/>
          <w:szCs w:val="24"/>
        </w:rPr>
        <w:t>number</w:t>
      </w:r>
      <w:r w:rsidRPr="00EF6B03">
        <w:rPr>
          <w:rFonts w:asciiTheme="minorHAnsi" w:hAnsiTheme="minorHAnsi" w:cstheme="minorHAnsi"/>
          <w:sz w:val="24"/>
          <w:szCs w:val="24"/>
        </w:rPr>
        <w:t xml:space="preserve"> of individuals living with HIV infection who are Hispanic/Latinx in Massachusetts is smaller than the number of individuals living with HIV infection who are white (non-Hispanic), we also need to consider that there are far fewer individuals of Hispanic/Latinx heritage living in Massachusetts than white (non-Hispanic) individuals. Hispanic/Latinx individuals represent 12% of the Massachusetts population compared to white (non-Hispanic) individuals who represent 71% of the population. </w:t>
      </w:r>
      <w:r w:rsidRPr="00EF6B03">
        <w:rPr>
          <w:rStyle w:val="HTMLTypewriter"/>
          <w:rFonts w:asciiTheme="minorHAnsi" w:hAnsiTheme="minorHAnsi" w:cstheme="minorHAnsi"/>
          <w:sz w:val="24"/>
          <w:szCs w:val="24"/>
        </w:rPr>
        <w:t>If HIV had the same impact on the Hispanic/Latinx population of the state as on the white (non-Hispanic) population, then there should be six times as many cases in white (non-Hispanic) individuals, but there are less than twice as many.</w:t>
      </w:r>
      <w:r w:rsidRPr="00EF6B03">
        <w:rPr>
          <w:rFonts w:asciiTheme="minorHAnsi" w:hAnsiTheme="minorHAnsi" w:cstheme="minorHAnsi"/>
          <w:sz w:val="24"/>
          <w:szCs w:val="24"/>
        </w:rPr>
        <w:t xml:space="preserve"> By calculating a rate which takes into consideration the differences in the population size, it is evident that the number of individuals living with HIV infection for every 100,000 Hispanic/Latinx individuals in Massachusetts is much higher than the rate for every 100,000 white (non-Hispanic) individuals. </w:t>
      </w:r>
      <w:r w:rsidRPr="00EF6B03">
        <w:rPr>
          <w:rStyle w:val="HTMLTypewriter"/>
          <w:rFonts w:asciiTheme="minorHAnsi" w:hAnsiTheme="minorHAnsi" w:cstheme="minorHAnsi"/>
          <w:sz w:val="24"/>
          <w:szCs w:val="24"/>
        </w:rPr>
        <w:t>This is called a "crude rate" and is calculated by dividing the number of individuals living with HIV infection by the population of interest (the total number of Hispanic/Latinx individuals in Massachusetts, for example) and multiplying by 100,000</w:t>
      </w:r>
      <w:r w:rsidRPr="00EF6B03">
        <w:rPr>
          <w:rFonts w:asciiTheme="minorHAnsi" w:hAnsiTheme="minorHAnsi" w:cstheme="minorHAnsi"/>
          <w:sz w:val="24"/>
          <w:szCs w:val="24"/>
        </w:rPr>
        <w:t>. (See example below.)</w:t>
      </w:r>
    </w:p>
    <w:p w14:paraId="25315B48" w14:textId="77777777" w:rsidR="009F0D32" w:rsidRPr="00EF6B03" w:rsidRDefault="009F0D32" w:rsidP="009F0D32">
      <w:pPr>
        <w:pStyle w:val="HTMLPreformatted"/>
        <w:rPr>
          <w:rFonts w:asciiTheme="minorHAnsi" w:hAnsiTheme="minorHAnsi" w:cstheme="minorHAnsi"/>
          <w:sz w:val="24"/>
          <w:szCs w:val="24"/>
        </w:rPr>
      </w:pPr>
      <w:r w:rsidRPr="00EF6B03">
        <w:rPr>
          <w:rFonts w:asciiTheme="minorHAnsi" w:hAnsiTheme="minorHAnsi" w:cstheme="minorHAnsi"/>
          <w:sz w:val="24"/>
          <w:szCs w:val="24"/>
        </w:rPr>
        <w:t xml:space="preserve">  </w:t>
      </w:r>
    </w:p>
    <w:p w14:paraId="7187A62E" w14:textId="77777777" w:rsidR="009F0D32" w:rsidRPr="00EF6B03" w:rsidRDefault="009F0D32" w:rsidP="00293C35">
      <w:pPr>
        <w:rPr>
          <w:i/>
        </w:rPr>
      </w:pPr>
      <w:r w:rsidRPr="00EF6B03">
        <w:t>Example: Calculation of crude HIV prevalence rate for white (non-Hispanic) individuals, Massachusetts (18</w:t>
      </w:r>
      <w:r>
        <w:t>6.9</w:t>
      </w:r>
      <w:r w:rsidRPr="00EF6B03">
        <w:t xml:space="preserve"> per 100,000)</w:t>
      </w:r>
    </w:p>
    <w:p w14:paraId="7BFF286C" w14:textId="77777777" w:rsidR="009F0D32" w:rsidRPr="009556E3" w:rsidRDefault="009F0D32" w:rsidP="009F0D32">
      <w:pPr>
        <w:spacing w:after="0" w:line="240" w:lineRule="auto"/>
        <w:rPr>
          <w:rFonts w:cstheme="minorHAnsi"/>
          <w:color w:val="EE0000"/>
          <w:szCs w:val="24"/>
        </w:rPr>
      </w:pPr>
    </w:p>
    <w:tbl>
      <w:tblPr>
        <w:tblStyle w:val="PlainTable2"/>
        <w:tblW w:w="9812" w:type="dxa"/>
        <w:tblLook w:val="01E0" w:firstRow="1" w:lastRow="1" w:firstColumn="1" w:lastColumn="1" w:noHBand="0" w:noVBand="0"/>
      </w:tblPr>
      <w:tblGrid>
        <w:gridCol w:w="3348"/>
        <w:gridCol w:w="6464"/>
      </w:tblGrid>
      <w:tr w:rsidR="009F0D32" w:rsidRPr="009556E3" w14:paraId="1D05F82C" w14:textId="77777777" w:rsidTr="00F176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06BE9EDD" w14:textId="77777777" w:rsidR="009F0D32" w:rsidRPr="00EF6B03" w:rsidRDefault="009F0D32" w:rsidP="00F17657">
            <w:pPr>
              <w:jc w:val="center"/>
              <w:rPr>
                <w:rFonts w:cstheme="minorHAnsi"/>
                <w:szCs w:val="24"/>
              </w:rPr>
            </w:pPr>
            <w:r w:rsidRPr="00EF6B03">
              <w:rPr>
                <w:rFonts w:cstheme="minorHAnsi"/>
                <w:szCs w:val="24"/>
              </w:rPr>
              <w:t>Crude HIV prevalence rate for white (non-Hispanic) individuals</w:t>
            </w:r>
          </w:p>
        </w:tc>
        <w:tc>
          <w:tcPr>
            <w:cnfStyle w:val="000100000000" w:firstRow="0" w:lastRow="0" w:firstColumn="0" w:lastColumn="1" w:oddVBand="0" w:evenVBand="0" w:oddHBand="0" w:evenHBand="0" w:firstRowFirstColumn="0" w:firstRowLastColumn="0" w:lastRowFirstColumn="0" w:lastRowLastColumn="0"/>
            <w:tcW w:w="6464" w:type="dxa"/>
          </w:tcPr>
          <w:p w14:paraId="59E13FDA" w14:textId="77777777" w:rsidR="009F0D32" w:rsidRPr="00EF6B03" w:rsidRDefault="009F0D32" w:rsidP="00F17657">
            <w:pPr>
              <w:rPr>
                <w:rFonts w:cstheme="minorHAnsi"/>
                <w:b w:val="0"/>
                <w:bCs w:val="0"/>
                <w:szCs w:val="24"/>
              </w:rPr>
            </w:pPr>
          </w:p>
          <w:p w14:paraId="315B778C" w14:textId="77777777" w:rsidR="009F0D32" w:rsidRPr="00EF6B03" w:rsidRDefault="009F0D32" w:rsidP="00F17657">
            <w:pPr>
              <w:rPr>
                <w:rFonts w:cstheme="minorHAnsi"/>
                <w:b w:val="0"/>
                <w:bCs w:val="0"/>
                <w:szCs w:val="24"/>
              </w:rPr>
            </w:pPr>
            <w:r w:rsidRPr="00EF6B03">
              <w:rPr>
                <w:rFonts w:cstheme="minorHAnsi"/>
                <w:b w:val="0"/>
                <w:bCs w:val="0"/>
                <w:szCs w:val="24"/>
              </w:rPr>
              <w:t>= [number of white (non-Hispanic) individuals living with HIV infection ÷ population size of white (non-Hispanic) individuals] ×100,000</w:t>
            </w:r>
          </w:p>
        </w:tc>
      </w:tr>
      <w:tr w:rsidR="009F0D32" w:rsidRPr="009556E3" w14:paraId="6C7E026D" w14:textId="77777777" w:rsidTr="00F17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090E8050" w14:textId="77777777" w:rsidR="009F0D32" w:rsidRPr="00EF6B03" w:rsidRDefault="009F0D32" w:rsidP="00F17657">
            <w:pPr>
              <w:rPr>
                <w:rFonts w:cstheme="minorHAnsi"/>
                <w:szCs w:val="24"/>
              </w:rPr>
            </w:pPr>
          </w:p>
        </w:tc>
        <w:tc>
          <w:tcPr>
            <w:cnfStyle w:val="000100000000" w:firstRow="0" w:lastRow="0" w:firstColumn="0" w:lastColumn="1" w:oddVBand="0" w:evenVBand="0" w:oddHBand="0" w:evenHBand="0" w:firstRowFirstColumn="0" w:firstRowLastColumn="0" w:lastRowFirstColumn="0" w:lastRowLastColumn="0"/>
            <w:tcW w:w="6464" w:type="dxa"/>
          </w:tcPr>
          <w:p w14:paraId="0C5D25C1" w14:textId="77777777" w:rsidR="009F0D32" w:rsidRPr="00EF6B03" w:rsidRDefault="009F0D32" w:rsidP="00F17657">
            <w:pPr>
              <w:rPr>
                <w:rFonts w:cstheme="minorHAnsi"/>
                <w:b w:val="0"/>
                <w:bCs w:val="0"/>
                <w:szCs w:val="24"/>
              </w:rPr>
            </w:pPr>
            <w:r w:rsidRPr="00EF6B03">
              <w:rPr>
                <w:rFonts w:cstheme="minorHAnsi"/>
                <w:b w:val="0"/>
                <w:bCs w:val="0"/>
                <w:szCs w:val="24"/>
              </w:rPr>
              <w:t>= (9,033/4,832,394.52) ×100,000</w:t>
            </w:r>
          </w:p>
        </w:tc>
      </w:tr>
      <w:tr w:rsidR="009F0D32" w:rsidRPr="009556E3" w14:paraId="42BA3019" w14:textId="77777777" w:rsidTr="00F17657">
        <w:tc>
          <w:tcPr>
            <w:cnfStyle w:val="001000000000" w:firstRow="0" w:lastRow="0" w:firstColumn="1" w:lastColumn="0" w:oddVBand="0" w:evenVBand="0" w:oddHBand="0" w:evenHBand="0" w:firstRowFirstColumn="0" w:firstRowLastColumn="0" w:lastRowFirstColumn="0" w:lastRowLastColumn="0"/>
            <w:tcW w:w="3348" w:type="dxa"/>
          </w:tcPr>
          <w:p w14:paraId="392FFAF8" w14:textId="77777777" w:rsidR="009F0D32" w:rsidRPr="00EF6B03" w:rsidRDefault="009F0D32" w:rsidP="00F17657">
            <w:pPr>
              <w:rPr>
                <w:rFonts w:cstheme="minorHAnsi"/>
                <w:szCs w:val="24"/>
              </w:rPr>
            </w:pPr>
          </w:p>
        </w:tc>
        <w:tc>
          <w:tcPr>
            <w:cnfStyle w:val="000100000000" w:firstRow="0" w:lastRow="0" w:firstColumn="0" w:lastColumn="1" w:oddVBand="0" w:evenVBand="0" w:oddHBand="0" w:evenHBand="0" w:firstRowFirstColumn="0" w:firstRowLastColumn="0" w:lastRowFirstColumn="0" w:lastRowLastColumn="0"/>
            <w:tcW w:w="6464" w:type="dxa"/>
          </w:tcPr>
          <w:p w14:paraId="00BBE12D" w14:textId="77777777" w:rsidR="009F0D32" w:rsidRPr="00EF6B03" w:rsidRDefault="009F0D32" w:rsidP="00F17657">
            <w:pPr>
              <w:rPr>
                <w:rFonts w:cstheme="minorHAnsi"/>
                <w:b w:val="0"/>
                <w:bCs w:val="0"/>
                <w:szCs w:val="24"/>
              </w:rPr>
            </w:pPr>
            <w:r w:rsidRPr="00EF6B03">
              <w:rPr>
                <w:rFonts w:cstheme="minorHAnsi"/>
                <w:b w:val="0"/>
                <w:bCs w:val="0"/>
                <w:szCs w:val="24"/>
              </w:rPr>
              <w:t>= (0.001869260) ×100,000</w:t>
            </w:r>
          </w:p>
        </w:tc>
      </w:tr>
      <w:tr w:rsidR="009F0D32" w:rsidRPr="009556E3" w14:paraId="4E171D75" w14:textId="77777777" w:rsidTr="00F1765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7BD40420" w14:textId="77777777" w:rsidR="009F0D32" w:rsidRPr="00EF6B03" w:rsidRDefault="009F0D32" w:rsidP="00F17657">
            <w:pPr>
              <w:rPr>
                <w:rFonts w:cstheme="minorHAnsi"/>
                <w:szCs w:val="24"/>
              </w:rPr>
            </w:pPr>
          </w:p>
        </w:tc>
        <w:tc>
          <w:tcPr>
            <w:cnfStyle w:val="000100000000" w:firstRow="0" w:lastRow="0" w:firstColumn="0" w:lastColumn="1" w:oddVBand="0" w:evenVBand="0" w:oddHBand="0" w:evenHBand="0" w:firstRowFirstColumn="0" w:firstRowLastColumn="0" w:lastRowFirstColumn="0" w:lastRowLastColumn="0"/>
            <w:tcW w:w="6464" w:type="dxa"/>
          </w:tcPr>
          <w:p w14:paraId="0FAF2B26" w14:textId="77777777" w:rsidR="009F0D32" w:rsidRPr="00EF6B03" w:rsidRDefault="009F0D32" w:rsidP="00F17657">
            <w:pPr>
              <w:rPr>
                <w:rFonts w:cstheme="minorHAnsi"/>
                <w:b w:val="0"/>
                <w:bCs w:val="0"/>
                <w:szCs w:val="24"/>
              </w:rPr>
            </w:pPr>
            <w:r w:rsidRPr="00EF6B03">
              <w:rPr>
                <w:rFonts w:cstheme="minorHAnsi"/>
                <w:b w:val="0"/>
                <w:bCs w:val="0"/>
                <w:szCs w:val="24"/>
              </w:rPr>
              <w:t>= 186.9</w:t>
            </w:r>
          </w:p>
        </w:tc>
      </w:tr>
    </w:tbl>
    <w:p w14:paraId="67D1E45F" w14:textId="77777777" w:rsidR="009F0D32" w:rsidRPr="00EF6B03" w:rsidRDefault="009F0D32" w:rsidP="009F0D32">
      <w:pPr>
        <w:spacing w:after="0" w:line="240" w:lineRule="auto"/>
        <w:rPr>
          <w:rFonts w:cstheme="minorHAnsi"/>
          <w:szCs w:val="24"/>
        </w:rPr>
      </w:pPr>
    </w:p>
    <w:p w14:paraId="69B00D7C" w14:textId="7A330CAA" w:rsidR="00B24AED" w:rsidRPr="00030CFD" w:rsidRDefault="009F0D32" w:rsidP="009F0D32">
      <w:pPr>
        <w:spacing w:after="0" w:line="240" w:lineRule="auto"/>
        <w:rPr>
          <w:rFonts w:eastAsia="Times New Roman" w:cstheme="minorHAnsi"/>
          <w:color w:val="EE0000"/>
          <w:szCs w:val="24"/>
        </w:rPr>
      </w:pPr>
      <w:r w:rsidRPr="00EF6B03">
        <w:rPr>
          <w:rFonts w:eastAsia="Times New Roman" w:cstheme="minorHAnsi"/>
          <w:szCs w:val="24"/>
        </w:rPr>
        <w:t xml:space="preserve">However, sometimes, in addition to the population size being different, the age composition of the populations is different. In Massachusetts, the black (non-Hispanic) and Hispanic/Latinx populations </w:t>
      </w:r>
      <w:r w:rsidRPr="00EF6B03">
        <w:rPr>
          <w:rFonts w:eastAsia="Times New Roman" w:cstheme="minorHAnsi"/>
          <w:szCs w:val="24"/>
        </w:rPr>
        <w:lastRenderedPageBreak/>
        <w:t>are on average younger than white (non-Hispanic) population (medians: 29.7 years and 24.5 years vs. 38.8 years, respectively). Therefore, it is necessary to age-adjust the HIV prevalence rate to get a true comparison of the impact of the disease across racial/ethnic groups without an effect from the differences in age composition. Age-adjustment of rates minimizes the distortion created by differences in age composition. Age-adjusted rates are calculated by weighting the age-specific rates for a given population by the age distribution of a standard population. The weighted age-specific rates are then summed to produce the adjusted rate for all ages combined</w:t>
      </w:r>
      <w:r w:rsidR="00B24AED" w:rsidRPr="00030CFD">
        <w:rPr>
          <w:rFonts w:eastAsia="Times New Roman" w:cstheme="minorHAnsi"/>
          <w:color w:val="EE0000"/>
          <w:szCs w:val="24"/>
        </w:rPr>
        <w:t>.</w:t>
      </w:r>
    </w:p>
    <w:p w14:paraId="2202359A" w14:textId="77777777" w:rsidR="00B24AED" w:rsidRPr="00030CFD" w:rsidRDefault="00B24AED" w:rsidP="00B24AED">
      <w:pPr>
        <w:spacing w:after="0" w:line="240" w:lineRule="auto"/>
        <w:rPr>
          <w:rFonts w:eastAsia="Times New Roman" w:cstheme="minorHAnsi"/>
          <w:color w:val="EE0000"/>
          <w:szCs w:val="24"/>
        </w:rPr>
      </w:pPr>
    </w:p>
    <w:p w14:paraId="49CF0978" w14:textId="77777777" w:rsidR="00B24AED" w:rsidRPr="00DD6F6F" w:rsidRDefault="00B24AED" w:rsidP="00DD6F6F">
      <w:pPr>
        <w:pStyle w:val="Heading2"/>
        <w:numPr>
          <w:ilvl w:val="0"/>
          <w:numId w:val="57"/>
        </w:numPr>
        <w:spacing w:before="0" w:line="240" w:lineRule="auto"/>
        <w:rPr>
          <w:rFonts w:asciiTheme="minorHAnsi" w:hAnsiTheme="minorHAnsi" w:cstheme="minorHAnsi"/>
          <w:b/>
          <w:color w:val="auto"/>
          <w:sz w:val="24"/>
          <w:szCs w:val="24"/>
        </w:rPr>
      </w:pPr>
      <w:bookmarkStart w:id="14" w:name="technical_note_xx"/>
      <w:bookmarkEnd w:id="14"/>
      <w:r w:rsidRPr="00DD6F6F">
        <w:rPr>
          <w:rFonts w:asciiTheme="minorHAnsi" w:hAnsiTheme="minorHAnsi" w:cstheme="minorHAnsi"/>
          <w:b/>
          <w:color w:val="auto"/>
          <w:sz w:val="24"/>
          <w:szCs w:val="24"/>
        </w:rPr>
        <w:t>HIV Care Continuum Indicator Definitions:</w:t>
      </w:r>
    </w:p>
    <w:p w14:paraId="26AB2719" w14:textId="77777777" w:rsidR="00B24AED" w:rsidRPr="009F0D32" w:rsidRDefault="00B24AED" w:rsidP="00B24AED">
      <w:pPr>
        <w:spacing w:after="0" w:line="240" w:lineRule="auto"/>
        <w:rPr>
          <w:rFonts w:eastAsia="Times New Roman" w:cstheme="minorHAnsi"/>
          <w:b/>
          <w:bCs/>
          <w:szCs w:val="24"/>
        </w:rPr>
      </w:pPr>
    </w:p>
    <w:p w14:paraId="22309020" w14:textId="77777777" w:rsidR="009F0D32" w:rsidRPr="009F0D32" w:rsidRDefault="009F0D32" w:rsidP="009F0D32">
      <w:pPr>
        <w:pStyle w:val="ListParagraph"/>
        <w:numPr>
          <w:ilvl w:val="0"/>
          <w:numId w:val="56"/>
        </w:numPr>
        <w:spacing w:after="120" w:line="240" w:lineRule="auto"/>
        <w:contextualSpacing w:val="0"/>
        <w:rPr>
          <w:rFonts w:eastAsia="Times New Roman" w:cstheme="minorHAnsi"/>
          <w:szCs w:val="24"/>
        </w:rPr>
      </w:pPr>
      <w:r w:rsidRPr="009F0D32">
        <w:rPr>
          <w:rFonts w:eastAsia="Times New Roman" w:cstheme="minorHAnsi"/>
          <w:szCs w:val="24"/>
        </w:rPr>
        <w:t>HIV care continuum among individuals newly diagnosed with HIV infection in Massachusetts: “Newly Diagnosed” includes individuals diagnosed in 2023, alive through 12/31/2024, and living in Massachusetts based on last known address. “Linked to Care” is defined as having ≥1 viral load (VL) or CD4 test result within 3 months of diagnosis. “Retained in Care” is defined as having ≥2 VL or CD4 test results at least 3 months apart during the 12-month period after diagnosis. “Virally Suppressed” is defined as having a VL &lt;200 copies/mL for the most recent VL test drawn during the 12-month period after diagnosis.</w:t>
      </w:r>
    </w:p>
    <w:p w14:paraId="34FD288D" w14:textId="59802C54" w:rsidR="00B24AED" w:rsidRDefault="009F0D32" w:rsidP="009F0D32">
      <w:pPr>
        <w:pStyle w:val="ListParagraph"/>
        <w:numPr>
          <w:ilvl w:val="0"/>
          <w:numId w:val="56"/>
        </w:numPr>
        <w:spacing w:after="0" w:line="240" w:lineRule="auto"/>
        <w:rPr>
          <w:rFonts w:eastAsia="Times New Roman" w:cstheme="minorHAnsi"/>
          <w:szCs w:val="24"/>
        </w:rPr>
      </w:pPr>
      <w:r w:rsidRPr="009F0D32">
        <w:rPr>
          <w:rFonts w:eastAsia="Times New Roman" w:cstheme="minorHAnsi"/>
          <w:szCs w:val="24"/>
        </w:rPr>
        <w:t>HIV care continuum among persons living with HIV infection (PLWH) in Massachusetts: “PLWH” refers to individuals diagnosed through 2023, alive through 12/31/2024, and living in Massachusetts based on last known address. “Engaged in Care” is defined as having ≥1 VL or CD4 test result in 2024. “Retained in Care” is defined as having ≥2 VL or CD4 test results at least 3 months apart in 2024. “Virally Suppressed” is defined as having a VL &lt;200 copies/mL for the most recent VL test drawn in 2024.</w:t>
      </w:r>
    </w:p>
    <w:p w14:paraId="0F959D74" w14:textId="77777777" w:rsidR="009F0D32" w:rsidRDefault="009F0D32" w:rsidP="009F0D32">
      <w:pPr>
        <w:spacing w:after="0" w:line="240" w:lineRule="auto"/>
        <w:rPr>
          <w:rFonts w:eastAsia="Times New Roman" w:cstheme="minorHAnsi"/>
          <w:szCs w:val="24"/>
        </w:rPr>
      </w:pPr>
    </w:p>
    <w:p w14:paraId="5735B9AE" w14:textId="77777777" w:rsidR="00B24AED" w:rsidRPr="00DD6F6F" w:rsidRDefault="00B24AED" w:rsidP="00DD6F6F">
      <w:pPr>
        <w:pStyle w:val="Heading2"/>
        <w:numPr>
          <w:ilvl w:val="0"/>
          <w:numId w:val="57"/>
        </w:numPr>
        <w:spacing w:before="0" w:line="240" w:lineRule="auto"/>
        <w:rPr>
          <w:rFonts w:asciiTheme="minorHAnsi" w:hAnsiTheme="minorHAnsi" w:cstheme="minorHAnsi"/>
          <w:b/>
          <w:color w:val="auto"/>
          <w:sz w:val="24"/>
          <w:szCs w:val="24"/>
        </w:rPr>
      </w:pPr>
      <w:r w:rsidRPr="00DD6F6F">
        <w:rPr>
          <w:rFonts w:asciiTheme="minorHAnsi" w:hAnsiTheme="minorHAnsi" w:cstheme="minorHAnsi"/>
          <w:b/>
          <w:color w:val="auto"/>
          <w:sz w:val="24"/>
          <w:szCs w:val="24"/>
        </w:rPr>
        <w:t>AIDS Progression</w:t>
      </w:r>
    </w:p>
    <w:p w14:paraId="43211CF4" w14:textId="77777777" w:rsidR="00B24AED" w:rsidRPr="009F0D32" w:rsidRDefault="00B24AED" w:rsidP="00B24AED">
      <w:pPr>
        <w:spacing w:after="0" w:line="240" w:lineRule="auto"/>
        <w:rPr>
          <w:rFonts w:eastAsia="Times New Roman" w:cstheme="minorHAnsi"/>
          <w:szCs w:val="24"/>
        </w:rPr>
      </w:pPr>
    </w:p>
    <w:p w14:paraId="6860A730" w14:textId="77777777" w:rsidR="00B24AED" w:rsidRPr="009F0D32" w:rsidRDefault="00B24AED" w:rsidP="00B24AED">
      <w:pPr>
        <w:spacing w:after="0" w:line="240" w:lineRule="auto"/>
        <w:rPr>
          <w:rFonts w:eastAsia="Times New Roman" w:cstheme="minorHAnsi"/>
          <w:szCs w:val="24"/>
        </w:rPr>
      </w:pPr>
      <w:r w:rsidRPr="009F0D32">
        <w:rPr>
          <w:rFonts w:eastAsia="Times New Roman" w:cstheme="minorHAnsi"/>
          <w:szCs w:val="24"/>
        </w:rPr>
        <w:t xml:space="preserve">Progression to AIDS refers to individuals diagnosed with HIV while living in Massachusetts who were later diagnosed with AIDS while living in Massachusetts. Individuals diagnosed with HIV or AIDS outside of Massachusetts are excluded. Individuals diagnosed with HIV and AIDS concurrently (AIDS diagnosis within 2 months of HIV diagnosis) are also excluded. Year refers to year of AIDS diagnosis. </w:t>
      </w:r>
    </w:p>
    <w:sectPr w:rsidR="00B24AED" w:rsidRPr="009F0D32" w:rsidSect="00D719CA">
      <w:headerReference w:type="default" r:id="rId61"/>
      <w:headerReference w:type="first" r:id="rId62"/>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420FB9" w14:textId="77777777" w:rsidR="00A90F15" w:rsidRDefault="00A90F15" w:rsidP="00996F3A">
      <w:pPr>
        <w:spacing w:after="0" w:line="240" w:lineRule="auto"/>
      </w:pPr>
      <w:r>
        <w:separator/>
      </w:r>
    </w:p>
  </w:endnote>
  <w:endnote w:type="continuationSeparator" w:id="0">
    <w:p w14:paraId="7AE301D4" w14:textId="77777777" w:rsidR="00A90F15" w:rsidRDefault="00A90F15" w:rsidP="00996F3A">
      <w:pPr>
        <w:spacing w:after="0" w:line="240" w:lineRule="auto"/>
      </w:pPr>
      <w:r>
        <w:continuationSeparator/>
      </w:r>
    </w:p>
  </w:endnote>
  <w:endnote w:type="continuationNotice" w:id="1">
    <w:p w14:paraId="70B2658E" w14:textId="77777777" w:rsidR="00A90F15" w:rsidRDefault="00A90F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9020055"/>
      <w:docPartObj>
        <w:docPartGallery w:val="Page Numbers (Bottom of Page)"/>
        <w:docPartUnique/>
      </w:docPartObj>
    </w:sdtPr>
    <w:sdtEndPr>
      <w:rPr>
        <w:noProof/>
        <w:sz w:val="20"/>
        <w:szCs w:val="20"/>
      </w:rPr>
    </w:sdtEndPr>
    <w:sdtContent>
      <w:p w14:paraId="56C5AAF0" w14:textId="5437285C" w:rsidR="00996F3A" w:rsidRPr="00376D00" w:rsidRDefault="00996F3A" w:rsidP="00376D00">
        <w:pPr>
          <w:pStyle w:val="Footer"/>
          <w:jc w:val="right"/>
          <w:rPr>
            <w:sz w:val="20"/>
            <w:szCs w:val="20"/>
          </w:rPr>
        </w:pPr>
        <w:r w:rsidRPr="006722A2">
          <w:rPr>
            <w:sz w:val="20"/>
            <w:szCs w:val="20"/>
          </w:rPr>
          <w:fldChar w:fldCharType="begin"/>
        </w:r>
        <w:r w:rsidRPr="006722A2">
          <w:rPr>
            <w:sz w:val="20"/>
            <w:szCs w:val="20"/>
          </w:rPr>
          <w:instrText xml:space="preserve"> PAGE   \* MERGEFORMAT </w:instrText>
        </w:r>
        <w:r w:rsidRPr="006722A2">
          <w:rPr>
            <w:sz w:val="20"/>
            <w:szCs w:val="20"/>
          </w:rPr>
          <w:fldChar w:fldCharType="separate"/>
        </w:r>
        <w:r w:rsidRPr="006722A2">
          <w:rPr>
            <w:noProof/>
            <w:sz w:val="20"/>
            <w:szCs w:val="20"/>
          </w:rPr>
          <w:t>2</w:t>
        </w:r>
        <w:r w:rsidRPr="006722A2">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88FB9" w14:textId="7A179F8B" w:rsidR="00996F3A" w:rsidRPr="00376D00" w:rsidRDefault="00996F3A" w:rsidP="00376D00">
    <w:pPr>
      <w:pStyle w:val="Footer"/>
      <w:jc w:val="right"/>
      <w:rPr>
        <w:sz w:val="20"/>
        <w:szCs w:val="18"/>
      </w:rPr>
    </w:pPr>
    <w:r w:rsidRPr="00376D00">
      <w:rPr>
        <w:sz w:val="20"/>
        <w:szCs w:val="18"/>
      </w:rPr>
      <w:fldChar w:fldCharType="begin"/>
    </w:r>
    <w:r w:rsidRPr="00376D00">
      <w:rPr>
        <w:sz w:val="20"/>
        <w:szCs w:val="18"/>
      </w:rPr>
      <w:instrText xml:space="preserve"> PAGE   \* MERGEFORMAT </w:instrText>
    </w:r>
    <w:r w:rsidRPr="00376D00">
      <w:rPr>
        <w:sz w:val="20"/>
        <w:szCs w:val="18"/>
      </w:rPr>
      <w:fldChar w:fldCharType="separate"/>
    </w:r>
    <w:r w:rsidRPr="00376D00">
      <w:rPr>
        <w:noProof/>
        <w:sz w:val="20"/>
        <w:szCs w:val="18"/>
      </w:rPr>
      <w:t>2</w:t>
    </w:r>
    <w:r w:rsidRPr="00376D00">
      <w:rPr>
        <w:noProof/>
        <w:sz w:val="2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FAA18" w14:textId="77777777" w:rsidR="00A90F15" w:rsidRDefault="00A90F15" w:rsidP="00996F3A">
      <w:pPr>
        <w:spacing w:after="0" w:line="240" w:lineRule="auto"/>
      </w:pPr>
      <w:r>
        <w:separator/>
      </w:r>
    </w:p>
  </w:footnote>
  <w:footnote w:type="continuationSeparator" w:id="0">
    <w:p w14:paraId="66B1D904" w14:textId="77777777" w:rsidR="00A90F15" w:rsidRDefault="00A90F15" w:rsidP="00996F3A">
      <w:pPr>
        <w:spacing w:after="0" w:line="240" w:lineRule="auto"/>
      </w:pPr>
      <w:r>
        <w:continuationSeparator/>
      </w:r>
    </w:p>
  </w:footnote>
  <w:footnote w:type="continuationNotice" w:id="1">
    <w:p w14:paraId="44EDAB05" w14:textId="77777777" w:rsidR="00A90F15" w:rsidRDefault="00A90F15">
      <w:pPr>
        <w:spacing w:after="0" w:line="240" w:lineRule="auto"/>
      </w:pPr>
    </w:p>
  </w:footnote>
  <w:footnote w:id="2">
    <w:p w14:paraId="43F55238" w14:textId="2D98BFCD" w:rsidR="00E42D9B" w:rsidRDefault="00E42D9B">
      <w:pPr>
        <w:pStyle w:val="FootnoteText"/>
      </w:pPr>
      <w:r w:rsidRPr="00C2658D">
        <w:rPr>
          <w:rStyle w:val="FootnoteReference"/>
          <w:sz w:val="18"/>
          <w:szCs w:val="18"/>
        </w:rPr>
        <w:footnoteRef/>
      </w:r>
      <w:r w:rsidRPr="00C2658D">
        <w:rPr>
          <w:sz w:val="18"/>
          <w:szCs w:val="18"/>
        </w:rPr>
        <w:t xml:space="preserve"> Providers may use this number to report individuals newly diagnosed with a notifiable sexually transmitted infection, including HIV, or request partner services. Partner services is a free and confidential service for individuals recently diagnosed with a priority infection. The client-centered program offers counseling, linkage to other health and social services, anonymous notification of partners who were exposed and assistance with getting testing and treatment. For more information</w:t>
      </w:r>
      <w:r w:rsidRPr="00C2658D">
        <w:rPr>
          <w:sz w:val="18"/>
          <w:szCs w:val="18"/>
          <w:u w:val="single"/>
        </w:rPr>
        <w:t>,</w:t>
      </w:r>
      <w:r w:rsidRPr="00C2658D">
        <w:rPr>
          <w:sz w:val="18"/>
          <w:szCs w:val="18"/>
        </w:rPr>
        <w:t> see: </w:t>
      </w:r>
      <w:hyperlink r:id="rId1" w:history="1">
        <w:r w:rsidRPr="00C2658D">
          <w:rPr>
            <w:rStyle w:val="Hyperlink"/>
            <w:i/>
            <w:iCs/>
            <w:color w:val="0000FF"/>
            <w:sz w:val="18"/>
            <w:szCs w:val="18"/>
          </w:rPr>
          <w:t>https://www.mass.gov/service-details/partner-services-program-information-for-healthcare-providers</w:t>
        </w:r>
      </w:hyperlink>
      <w:r w:rsidRPr="00C2658D">
        <w:rPr>
          <w:color w:val="0000FF"/>
          <w:sz w:val="18"/>
          <w:szCs w:val="18"/>
        </w:rPr>
        <w:t>) </w:t>
      </w:r>
    </w:p>
  </w:footnote>
  <w:footnote w:id="3">
    <w:p w14:paraId="336FB3C1" w14:textId="671DC465" w:rsidR="003463B6" w:rsidRDefault="003463B6" w:rsidP="003463B6">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w:t>
      </w:r>
      <w:r w:rsidR="002D6DD1">
        <w:t>in the interpretation of 2020–2022 data</w:t>
      </w:r>
      <w:r>
        <w:t>.</w:t>
      </w:r>
    </w:p>
  </w:footnote>
  <w:footnote w:id="4">
    <w:p w14:paraId="36D892AE" w14:textId="349EE201" w:rsidR="001C2856" w:rsidRDefault="001C2856">
      <w:pPr>
        <w:pStyle w:val="FootnoteText"/>
      </w:pPr>
      <w:r>
        <w:rPr>
          <w:rStyle w:val="FootnoteReference"/>
        </w:rPr>
        <w:footnoteRef/>
      </w:r>
      <w:r>
        <w:t xml:space="preserve"> </w:t>
      </w:r>
      <w:r w:rsidRPr="001C2856">
        <w:t>For more information, see: Charles Alpren et al. “Opioid Use Fueling HIV Transmission in an Urban Setting: An Outbreak of HIV Infection Among People Who Inject Drugs—Massachusetts, 2015–2018”, </w:t>
      </w:r>
      <w:r w:rsidRPr="001C2856">
        <w:rPr>
          <w:i/>
          <w:iCs/>
        </w:rPr>
        <w:t>American Journal of Public Health</w:t>
      </w:r>
      <w:r w:rsidRPr="001C2856">
        <w:t xml:space="preserve"> 110, no. 1 (January 1, 2020): pp. 37-44. </w:t>
      </w:r>
      <w:hyperlink r:id="rId2" w:history="1">
        <w:r w:rsidRPr="00054385">
          <w:rPr>
            <w:rStyle w:val="Hyperlink"/>
            <w:color w:val="3333FF"/>
          </w:rPr>
          <w:t>https://doi.org/10.2105/AJPH.2019.305366</w:t>
        </w:r>
      </w:hyperlink>
    </w:p>
  </w:footnote>
  <w:footnote w:id="5">
    <w:p w14:paraId="395570E3" w14:textId="4C612E0E" w:rsidR="00CA2ADE" w:rsidRDefault="00CA2ADE" w:rsidP="00CA2ADE">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w:t>
      </w:r>
      <w:r w:rsidR="002D6DD1">
        <w:t>in the interpretation of 2020–2022 data</w:t>
      </w:r>
      <w:r>
        <w:t>.</w:t>
      </w:r>
    </w:p>
  </w:footnote>
  <w:footnote w:id="6">
    <w:p w14:paraId="38B6B2AC" w14:textId="55E96013" w:rsidR="001C2856" w:rsidRDefault="001C2856">
      <w:pPr>
        <w:pStyle w:val="FootnoteText"/>
      </w:pPr>
      <w:r>
        <w:rPr>
          <w:rStyle w:val="FootnoteReference"/>
        </w:rPr>
        <w:footnoteRef/>
      </w:r>
      <w:r>
        <w:t xml:space="preserve"> </w:t>
      </w:r>
      <w:r w:rsidRPr="001C2856">
        <w:t xml:space="preserve">For more information, see: Joint MDPH and BPHC Clinical Advisory: Increase in newly diagnosed HIV infections among persons who inject drugs in Boston, March 15, 2021, available at: </w:t>
      </w:r>
      <w:hyperlink r:id="rId3" w:history="1">
        <w:r w:rsidRPr="00054385">
          <w:rPr>
            <w:rStyle w:val="Hyperlink"/>
            <w:color w:val="3333FF"/>
          </w:rPr>
          <w:t>https://www.mass.gov/doc/joint-mdph-and-bphc-clinical-advisory-hiv-transmission-through-injection-drug-use-in-boston-march-15-2021/download</w:t>
        </w:r>
      </w:hyperlink>
    </w:p>
  </w:footnote>
  <w:footnote w:id="7">
    <w:p w14:paraId="29031F4D" w14:textId="307CE164" w:rsidR="00CA2ADE" w:rsidRDefault="00CA2ADE" w:rsidP="00CA2ADE">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w:t>
      </w:r>
      <w:r w:rsidR="002D6DD1">
        <w:t>in the interpretation of 2020–2022 data</w:t>
      </w:r>
      <w:r>
        <w:t>.</w:t>
      </w:r>
    </w:p>
  </w:footnote>
  <w:footnote w:id="8">
    <w:p w14:paraId="03C264E4" w14:textId="17674A7C" w:rsidR="11AD1994" w:rsidRDefault="11AD1994" w:rsidP="0086021D">
      <w:pPr>
        <w:pStyle w:val="FootnoteText"/>
      </w:pPr>
      <w:r w:rsidRPr="11AD1994">
        <w:rPr>
          <w:rStyle w:val="FootnoteReference"/>
        </w:rPr>
        <w:footnoteRef/>
      </w:r>
      <w:r>
        <w:t xml:space="preserve"> </w:t>
      </w:r>
      <w:r w:rsidRPr="11AD1994">
        <w:rPr>
          <w:rFonts w:ascii="Calibri" w:eastAsia="Calibri" w:hAnsi="Calibri" w:cs="Calibri"/>
          <w:color w:val="000000" w:themeColor="text1"/>
        </w:rPr>
        <w:t>External causes of injuries include intentional injuries (e.g., homicide and suicide), unintentional injuries (e.g., motor vehicle and non-transport related accidents), and injuries of undetermined intent.</w:t>
      </w:r>
    </w:p>
  </w:footnote>
  <w:footnote w:id="9">
    <w:p w14:paraId="3274FC63" w14:textId="77777777" w:rsidR="00FE1A63" w:rsidRDefault="00FE1A63" w:rsidP="00FE1A63">
      <w:pPr>
        <w:pStyle w:val="FootnoteText"/>
      </w:pPr>
      <w:r>
        <w:rPr>
          <w:rStyle w:val="FootnoteReference"/>
        </w:rPr>
        <w:footnoteRef/>
      </w:r>
      <w:r>
        <w:t xml:space="preserve"> </w:t>
      </w:r>
      <w:r>
        <w:rPr>
          <w:szCs w:val="24"/>
        </w:rPr>
        <w:t>F</w:t>
      </w:r>
      <w:r w:rsidRPr="00FE1A63">
        <w:rPr>
          <w:szCs w:val="24"/>
        </w:rPr>
        <w:t>inal cause of death is not yet available for all 2024 deaths among individuals with HIV as of 7/1/2025</w:t>
      </w:r>
      <w:r>
        <w:rPr>
          <w:szCs w:val="24"/>
        </w:rPr>
        <w:t>.</w:t>
      </w:r>
    </w:p>
  </w:footnote>
  <w:footnote w:id="10">
    <w:p w14:paraId="458BA527" w14:textId="3917EA8D" w:rsidR="00A01EAF" w:rsidRDefault="00A01EAF" w:rsidP="00A01EAF">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w:t>
      </w:r>
      <w:r w:rsidR="002D6DD1">
        <w:t>in the interpretation of 2020–2022 data</w:t>
      </w:r>
      <w:r>
        <w:t>.</w:t>
      </w:r>
    </w:p>
  </w:footnote>
  <w:footnote w:id="11">
    <w:p w14:paraId="25E76FB1" w14:textId="484556FA" w:rsidR="00AD33B4" w:rsidRDefault="00AD33B4">
      <w:pPr>
        <w:pStyle w:val="FootnoteText"/>
      </w:pPr>
      <w:r>
        <w:rPr>
          <w:rStyle w:val="FootnoteReference"/>
        </w:rPr>
        <w:footnoteRef/>
      </w:r>
      <w:r>
        <w:t xml:space="preserve"> </w:t>
      </w:r>
      <w:r w:rsidRPr="00AD33B4">
        <w:t>Data Source for Massachusetts death data: Office of Population Health, Massachusetts Department of Public Health. Note: 2023 death data are preliminary</w:t>
      </w:r>
      <w:r w:rsidR="00990C5C">
        <w:t xml:space="preserve"> and 2024 death data are not yet available</w:t>
      </w:r>
      <w:r w:rsidRPr="00AD33B4">
        <w:t>.</w:t>
      </w:r>
      <w:r w:rsidRPr="00AD33B4">
        <w:rPr>
          <w:vertAlign w:val="superscript"/>
        </w:rPr>
        <w:t xml:space="preserve"> </w:t>
      </w:r>
    </w:p>
  </w:footnote>
  <w:footnote w:id="12">
    <w:p w14:paraId="4E4EEB31" w14:textId="77777777" w:rsidR="00FE1A63" w:rsidRDefault="00FE1A63" w:rsidP="00FE1A63">
      <w:pPr>
        <w:pStyle w:val="FootnoteText"/>
      </w:pPr>
      <w:r>
        <w:rPr>
          <w:rStyle w:val="FootnoteReference"/>
        </w:rPr>
        <w:footnoteRef/>
      </w:r>
      <w:r>
        <w:t xml:space="preserve"> </w:t>
      </w:r>
      <w:r>
        <w:rPr>
          <w:szCs w:val="24"/>
        </w:rPr>
        <w:t>F</w:t>
      </w:r>
      <w:r w:rsidRPr="00FE1A63">
        <w:rPr>
          <w:szCs w:val="24"/>
        </w:rPr>
        <w:t>inal cause of death is not yet available for all 2024 deaths among individuals with HIV as of 7/1/2025</w:t>
      </w:r>
      <w:r>
        <w:rPr>
          <w:szCs w:val="24"/>
        </w:rPr>
        <w:t>.</w:t>
      </w:r>
    </w:p>
  </w:footnote>
  <w:footnote w:id="13">
    <w:p w14:paraId="09D7A7C0" w14:textId="514C022A" w:rsidR="007577F5" w:rsidRDefault="007577F5">
      <w:pPr>
        <w:pStyle w:val="FootnoteText"/>
      </w:pPr>
      <w:r>
        <w:rPr>
          <w:rStyle w:val="FootnoteReference"/>
        </w:rPr>
        <w:footnoteRef/>
      </w:r>
      <w:r>
        <w:t xml:space="preserve"> </w:t>
      </w:r>
      <w:r w:rsidRPr="007577F5">
        <w:t>Among cities that reported at least 12 HIV infections during 20</w:t>
      </w:r>
      <w:r w:rsidR="00E5247A">
        <w:t>2</w:t>
      </w:r>
      <w:r w:rsidR="00854970">
        <w:t>2</w:t>
      </w:r>
      <w:r w:rsidR="003513D5" w:rsidRPr="003513D5">
        <w:t>–</w:t>
      </w:r>
      <w:r w:rsidRPr="007577F5">
        <w:t>202</w:t>
      </w:r>
      <w:r w:rsidR="00854970">
        <w:t>4</w:t>
      </w:r>
      <w:r w:rsidRPr="007577F5">
        <w:t>.</w:t>
      </w:r>
    </w:p>
  </w:footnote>
  <w:footnote w:id="14">
    <w:p w14:paraId="08EFFF22" w14:textId="5408663E" w:rsidR="00641F4F" w:rsidRDefault="00641F4F">
      <w:pPr>
        <w:pStyle w:val="FootnoteText"/>
      </w:pPr>
      <w:r>
        <w:rPr>
          <w:rStyle w:val="FootnoteReference"/>
        </w:rPr>
        <w:footnoteRef/>
      </w:r>
      <w:r w:rsidR="260B539A">
        <w:t xml:space="preserve"> </w:t>
      </w:r>
      <w:r w:rsidR="260B539A" w:rsidRPr="00641F4F">
        <w:t>Virally Suppressed” is defined as having a VL &lt;200 copies/mL for the most recent VL test drawn during the 12-month period after diagnosis.</w:t>
      </w:r>
    </w:p>
  </w:footnote>
  <w:footnote w:id="15">
    <w:p w14:paraId="2F7BEC52" w14:textId="0EAAD9C0" w:rsidR="00641F4F" w:rsidRDefault="00641F4F">
      <w:pPr>
        <w:pStyle w:val="FootnoteText"/>
      </w:pPr>
      <w:r>
        <w:rPr>
          <w:rStyle w:val="FootnoteReference"/>
        </w:rPr>
        <w:footnoteRef/>
      </w:r>
      <w:r>
        <w:t xml:space="preserve"> </w:t>
      </w:r>
      <w:r w:rsidRPr="00641F4F">
        <w:t xml:space="preserve">“Linked to Care” is defined as having ≥1 viral load (VL) or CD4 test result within 3 months of diagnosis. </w:t>
      </w:r>
    </w:p>
  </w:footnote>
  <w:footnote w:id="16">
    <w:p w14:paraId="0E576A79" w14:textId="27B518A5" w:rsidR="00641F4F" w:rsidRDefault="00641F4F">
      <w:pPr>
        <w:pStyle w:val="FootnoteText"/>
      </w:pPr>
      <w:r>
        <w:rPr>
          <w:rStyle w:val="FootnoteReference"/>
        </w:rPr>
        <w:footnoteRef/>
      </w:r>
      <w:r>
        <w:t xml:space="preserve"> </w:t>
      </w:r>
      <w:r w:rsidRPr="00641F4F">
        <w:t>“Retained in Care” is defined as having ≥2 VL or CD4 test results at least 3 months apart during the 12-month period after diagnosis.</w:t>
      </w:r>
    </w:p>
  </w:footnote>
  <w:footnote w:id="17">
    <w:p w14:paraId="66D2EA89" w14:textId="145D130A" w:rsidR="00D91DEE" w:rsidRDefault="00D91DEE" w:rsidP="00D91DEE">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w:t>
      </w:r>
      <w:r w:rsidR="002D6DD1">
        <w:t>in the interpretation of 2020–2022 data</w:t>
      </w:r>
      <w:r>
        <w:t>.</w:t>
      </w:r>
    </w:p>
  </w:footnote>
  <w:footnote w:id="18">
    <w:p w14:paraId="5E9BFBC8" w14:textId="6AE61419" w:rsidR="00641F4F" w:rsidRDefault="00641F4F">
      <w:pPr>
        <w:pStyle w:val="FootnoteText"/>
      </w:pPr>
      <w:r>
        <w:rPr>
          <w:rStyle w:val="FootnoteReference"/>
        </w:rPr>
        <w:footnoteRef/>
      </w:r>
      <w:r w:rsidR="260B539A">
        <w:t xml:space="preserve"> </w:t>
      </w:r>
      <w:r w:rsidR="260B539A" w:rsidRPr="00641F4F">
        <w:t>“Virally Suppressed” is defined as having a VL &lt;200 copies/mL for the most recent VL test drawn in 202</w:t>
      </w:r>
      <w:r w:rsidR="003E517E">
        <w:t>4</w:t>
      </w:r>
      <w:r w:rsidR="260B539A" w:rsidRPr="00641F4F">
        <w:t>.</w:t>
      </w:r>
    </w:p>
  </w:footnote>
  <w:footnote w:id="19">
    <w:p w14:paraId="6F200F32" w14:textId="21E2D0DC" w:rsidR="00641F4F" w:rsidRDefault="00641F4F">
      <w:pPr>
        <w:pStyle w:val="FootnoteText"/>
      </w:pPr>
      <w:r>
        <w:rPr>
          <w:rStyle w:val="FootnoteReference"/>
        </w:rPr>
        <w:footnoteRef/>
      </w:r>
      <w:r>
        <w:t xml:space="preserve"> </w:t>
      </w:r>
      <w:r w:rsidR="00265A59" w:rsidRPr="00265A59">
        <w:t>“Engaged in Care” is defined as having ≥1 VL or CD4 test result in 202</w:t>
      </w:r>
      <w:r w:rsidR="003E517E">
        <w:t>4</w:t>
      </w:r>
      <w:r w:rsidR="00265A59" w:rsidRPr="00265A59">
        <w:t xml:space="preserve">. </w:t>
      </w:r>
    </w:p>
  </w:footnote>
  <w:footnote w:id="20">
    <w:p w14:paraId="3B18EF74" w14:textId="0471FEEC" w:rsidR="00265A59" w:rsidRDefault="00265A59">
      <w:pPr>
        <w:pStyle w:val="FootnoteText"/>
      </w:pPr>
      <w:r>
        <w:rPr>
          <w:rStyle w:val="FootnoteReference"/>
        </w:rPr>
        <w:footnoteRef/>
      </w:r>
      <w:r>
        <w:t xml:space="preserve"> </w:t>
      </w:r>
      <w:r w:rsidRPr="00265A59">
        <w:t>“Retained in Care” is defined as having ≥2 VL or CD4 test results at least 3 months apart in 202</w:t>
      </w:r>
      <w:r w:rsidR="003E517E">
        <w:t>4</w:t>
      </w:r>
      <w:r w:rsidRPr="00265A59">
        <w:t>.</w:t>
      </w:r>
    </w:p>
  </w:footnote>
  <w:footnote w:id="21">
    <w:p w14:paraId="2724BAC9" w14:textId="6AD84200" w:rsidR="001D733B" w:rsidRDefault="001D733B" w:rsidP="001D733B">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w:t>
      </w:r>
      <w:r w:rsidR="002D6DD1">
        <w:t>in the interpretation of 2020–2022 data</w:t>
      </w:r>
      <w:r>
        <w:t>.</w:t>
      </w:r>
    </w:p>
  </w:footnote>
  <w:footnote w:id="22">
    <w:p w14:paraId="2700E20F" w14:textId="22122B2A" w:rsidR="00D90FD3" w:rsidRDefault="00D90FD3" w:rsidP="00D90FD3">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w:t>
      </w:r>
      <w:r w:rsidR="002D6DD1">
        <w:t>in the interpretation of 2020–2022 data</w:t>
      </w:r>
      <w:r>
        <w:t>.</w:t>
      </w:r>
    </w:p>
  </w:footnote>
  <w:footnote w:id="23">
    <w:p w14:paraId="21059084" w14:textId="0452899E" w:rsidR="00CE3E04" w:rsidRPr="000172D7" w:rsidRDefault="00CE3E04" w:rsidP="00CE3E04">
      <w:pPr>
        <w:pStyle w:val="FootnoteText"/>
      </w:pPr>
      <w:r w:rsidRPr="00954B45">
        <w:rPr>
          <w:rStyle w:val="FootnoteReference"/>
          <w:sz w:val="18"/>
          <w:szCs w:val="18"/>
        </w:rPr>
        <w:footnoteRef/>
      </w:r>
      <w:r w:rsidRPr="00954B45">
        <w:rPr>
          <w:sz w:val="18"/>
          <w:szCs w:val="18"/>
        </w:rPr>
        <w:t xml:space="preserve"> Please consider the impact of the COVID-19 pandemic on infectious disease screening, treatment, and </w:t>
      </w:r>
      <w:r w:rsidR="00B20E46">
        <w:rPr>
          <w:sz w:val="18"/>
          <w:szCs w:val="18"/>
        </w:rPr>
        <w:t xml:space="preserve">surveillance </w:t>
      </w:r>
      <w:r w:rsidR="002D6DD1">
        <w:rPr>
          <w:sz w:val="18"/>
          <w:szCs w:val="18"/>
        </w:rPr>
        <w:t>in the interpretation of 2020–2022 data</w:t>
      </w:r>
      <w:r w:rsidRPr="000172D7">
        <w:rPr>
          <w:sz w:val="18"/>
          <w:szCs w:val="18"/>
        </w:rPr>
        <w:t>.</w:t>
      </w:r>
    </w:p>
  </w:footnote>
  <w:footnote w:id="24">
    <w:p w14:paraId="55DCF7E8" w14:textId="3757DDAC" w:rsidR="00CF4744" w:rsidRPr="00D921A6" w:rsidRDefault="00CF4744" w:rsidP="00B91A81">
      <w:pPr>
        <w:pStyle w:val="FootnoteText"/>
        <w:rPr>
          <w:sz w:val="18"/>
          <w:szCs w:val="18"/>
        </w:rPr>
      </w:pPr>
      <w:r w:rsidRPr="000172D7">
        <w:rPr>
          <w:rStyle w:val="FootnoteReference"/>
          <w:sz w:val="18"/>
          <w:szCs w:val="18"/>
        </w:rPr>
        <w:footnoteRef/>
      </w:r>
      <w:r w:rsidRPr="000172D7">
        <w:rPr>
          <w:sz w:val="18"/>
          <w:szCs w:val="18"/>
        </w:rPr>
        <w:t xml:space="preserve"> All individuals diagnosed with HIV infection from 201</w:t>
      </w:r>
      <w:r w:rsidR="00F634D1">
        <w:rPr>
          <w:sz w:val="18"/>
          <w:szCs w:val="18"/>
        </w:rPr>
        <w:t>5</w:t>
      </w:r>
      <w:r w:rsidRPr="000172D7">
        <w:rPr>
          <w:sz w:val="18"/>
          <w:szCs w:val="18"/>
        </w:rPr>
        <w:t>-202</w:t>
      </w:r>
      <w:r w:rsidR="00F634D1">
        <w:rPr>
          <w:sz w:val="18"/>
          <w:szCs w:val="18"/>
        </w:rPr>
        <w:t>4</w:t>
      </w:r>
      <w:r w:rsidRPr="000172D7">
        <w:rPr>
          <w:sz w:val="18"/>
          <w:szCs w:val="18"/>
        </w:rPr>
        <w:t xml:space="preserve"> with other exposure mode were pediatric exposures</w:t>
      </w:r>
    </w:p>
  </w:footnote>
  <w:footnote w:id="25">
    <w:p w14:paraId="191F60EA" w14:textId="16163925" w:rsidR="00CF4744" w:rsidRPr="00D921A6" w:rsidRDefault="00CF4744" w:rsidP="00B91A81">
      <w:pPr>
        <w:pStyle w:val="FootnoteText"/>
        <w:rPr>
          <w:sz w:val="18"/>
          <w:szCs w:val="18"/>
        </w:rPr>
      </w:pPr>
      <w:r w:rsidRPr="00D921A6">
        <w:rPr>
          <w:rStyle w:val="FootnoteReference"/>
          <w:sz w:val="18"/>
          <w:szCs w:val="18"/>
        </w:rPr>
        <w:footnoteRef/>
      </w:r>
      <w:r w:rsidRPr="00D921A6">
        <w:rPr>
          <w:sz w:val="18"/>
          <w:szCs w:val="18"/>
        </w:rPr>
        <w:t xml:space="preserve"> 99% of individuals diagnosed with HIV infection from 201</w:t>
      </w:r>
      <w:r>
        <w:rPr>
          <w:sz w:val="18"/>
          <w:szCs w:val="18"/>
        </w:rPr>
        <w:t>5</w:t>
      </w:r>
      <w:r w:rsidRPr="00D921A6">
        <w:rPr>
          <w:sz w:val="18"/>
          <w:szCs w:val="18"/>
        </w:rPr>
        <w:t>–20</w:t>
      </w:r>
      <w:r>
        <w:rPr>
          <w:sz w:val="18"/>
          <w:szCs w:val="18"/>
        </w:rPr>
        <w:t>24</w:t>
      </w:r>
      <w:r w:rsidRPr="00D921A6">
        <w:rPr>
          <w:sz w:val="18"/>
          <w:szCs w:val="18"/>
        </w:rPr>
        <w:t xml:space="preserve"> who were born in a US dependency were born in Puerto Rico</w:t>
      </w:r>
    </w:p>
    <w:p w14:paraId="63D5BE7B" w14:textId="77777777" w:rsidR="00CF4744" w:rsidRDefault="00CF4744" w:rsidP="00B91A81">
      <w:pPr>
        <w:pStyle w:val="FootnoteText"/>
      </w:pPr>
    </w:p>
  </w:footnote>
  <w:footnote w:id="26">
    <w:p w14:paraId="7A1500CE" w14:textId="66504E4C" w:rsidR="0038706B" w:rsidRDefault="0038706B" w:rsidP="0038706B">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w:t>
      </w:r>
      <w:r w:rsidR="002D6DD1">
        <w:t>in the interpretation of 2020–2022 data</w:t>
      </w:r>
      <w:r>
        <w:t>.</w:t>
      </w:r>
    </w:p>
  </w:footnote>
  <w:footnote w:id="27">
    <w:p w14:paraId="2D2D21A3" w14:textId="7FDD3C3C" w:rsidR="0023426B" w:rsidRDefault="0023426B">
      <w:pPr>
        <w:pStyle w:val="FootnoteText"/>
      </w:pPr>
      <w:r>
        <w:rPr>
          <w:rStyle w:val="FootnoteReference"/>
        </w:rPr>
        <w:footnoteRef/>
      </w:r>
      <w:r>
        <w:t xml:space="preserve"> While the majority of pediatric exposures are confirmed perinatal exposures, </w:t>
      </w:r>
      <w:r w:rsidR="0062265E">
        <w:t xml:space="preserve">this category also includes a small </w:t>
      </w:r>
      <w:r w:rsidR="00455D88">
        <w:t>number of</w:t>
      </w:r>
      <w:r w:rsidR="0062265E">
        <w:t xml:space="preserve"> pediatric cases with insufficient documentation of maternal HIV status to confirm perinatal exposure. </w:t>
      </w:r>
    </w:p>
  </w:footnote>
  <w:footnote w:id="28">
    <w:p w14:paraId="486BAD7D" w14:textId="77777777" w:rsidR="0038706B" w:rsidRPr="0038706B" w:rsidRDefault="0038706B" w:rsidP="0038706B">
      <w:pPr>
        <w:pStyle w:val="FootnoteText"/>
      </w:pPr>
      <w:r>
        <w:rPr>
          <w:rStyle w:val="FootnoteReference"/>
        </w:rPr>
        <w:footnoteRef/>
      </w:r>
      <w:r>
        <w:t xml:space="preserve"> </w:t>
      </w:r>
      <w:r w:rsidRPr="0038706B">
        <w:t>For more information, see: Charles Alpren et al. “Opioid Use Fueling HIV Transmission in an Urban Setting: An Outbreak of HIV Infection Among People Who Inject Drugs—Massachusetts, 2015–2018”, </w:t>
      </w:r>
      <w:r w:rsidRPr="0038706B">
        <w:rPr>
          <w:i/>
          <w:iCs/>
        </w:rPr>
        <w:t>American Journal of Public Health</w:t>
      </w:r>
      <w:r w:rsidRPr="0038706B">
        <w:t xml:space="preserve"> 110, no. 1 (January 1, 2020): pp. 37-44. </w:t>
      </w:r>
      <w:hyperlink r:id="rId4" w:history="1">
        <w:r w:rsidRPr="00AD5513">
          <w:rPr>
            <w:rStyle w:val="Hyperlink"/>
            <w:color w:val="3333FF"/>
          </w:rPr>
          <w:t>https://doi.org/10.2105/AJPH.2019.305366</w:t>
        </w:r>
      </w:hyperlink>
      <w:r w:rsidRPr="0038706B">
        <w:t xml:space="preserve"> and</w:t>
      </w:r>
    </w:p>
    <w:p w14:paraId="3FFE2556" w14:textId="51DF18BA" w:rsidR="0038706B" w:rsidRDefault="0038706B">
      <w:pPr>
        <w:pStyle w:val="FootnoteText"/>
      </w:pPr>
      <w:r w:rsidRPr="0038706B">
        <w:t xml:space="preserve">Joint MDPH and BPHC Clinical Advisory: Increase in newly diagnosed HIV infections among persons who inject drugs in Boston, March 15, 2021, available at: </w:t>
      </w:r>
      <w:hyperlink r:id="rId5" w:history="1">
        <w:r w:rsidRPr="00AD5513">
          <w:rPr>
            <w:rStyle w:val="Hyperlink"/>
            <w:color w:val="3333FF"/>
          </w:rPr>
          <w:t>https://www.mass.gov/doc/joint-mdph-and-bphc-clinical-advisory-hiv-transmission-through-injection-drug-use-in-boston-march-15-2021/download</w:t>
        </w:r>
      </w:hyperlink>
    </w:p>
  </w:footnote>
  <w:footnote w:id="29">
    <w:p w14:paraId="233D1683" w14:textId="61323FAF" w:rsidR="002670E6" w:rsidRDefault="002670E6" w:rsidP="002670E6">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w:t>
      </w:r>
      <w:r w:rsidR="002D6DD1">
        <w:t>in the interpretation of 2020–2022 data</w:t>
      </w:r>
      <w:r>
        <w:t>.</w:t>
      </w:r>
    </w:p>
  </w:footnote>
  <w:footnote w:id="30">
    <w:p w14:paraId="16269DD0" w14:textId="70CB284D" w:rsidR="00175A04" w:rsidRDefault="00175A04" w:rsidP="00344914">
      <w:pPr>
        <w:pStyle w:val="FootnoteText"/>
      </w:pPr>
      <w:r w:rsidRPr="000172D7">
        <w:rPr>
          <w:rStyle w:val="FootnoteReference"/>
        </w:rPr>
        <w:footnoteRef/>
      </w:r>
      <w:r w:rsidRPr="000172D7">
        <w:t xml:space="preserve"> All individuals diagnosed with HIV infection from 2015–2024 with other exposure mode were pediatric exposures</w:t>
      </w:r>
    </w:p>
  </w:footnote>
  <w:footnote w:id="31">
    <w:p w14:paraId="6280E783" w14:textId="7D383A31" w:rsidR="00175A04" w:rsidRDefault="00175A04" w:rsidP="00344914">
      <w:pPr>
        <w:pStyle w:val="FootnoteText"/>
      </w:pPr>
      <w:r>
        <w:rPr>
          <w:rStyle w:val="FootnoteReference"/>
        </w:rPr>
        <w:footnoteRef/>
      </w:r>
      <w:r>
        <w:t xml:space="preserve"> 99%</w:t>
      </w:r>
      <w:r w:rsidRPr="008704F2">
        <w:t xml:space="preserve"> of individuals diagnosed with HIV infection from 201</w:t>
      </w:r>
      <w:r>
        <w:t>5</w:t>
      </w:r>
      <w:r w:rsidRPr="008704F2">
        <w:t>–20</w:t>
      </w:r>
      <w:r>
        <w:t>24</w:t>
      </w:r>
      <w:r w:rsidRPr="008704F2">
        <w:t xml:space="preserve"> who were born in a US dependency (USD) were born in Puerto Rico (PR)</w:t>
      </w:r>
    </w:p>
  </w:footnote>
  <w:footnote w:id="32">
    <w:p w14:paraId="77EE0975" w14:textId="3002C794" w:rsidR="003C0F28" w:rsidRDefault="003C0F28" w:rsidP="003C0F28">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w:t>
      </w:r>
      <w:r w:rsidR="002D6DD1">
        <w:t>in the interpretation of 2020–2022 data</w:t>
      </w:r>
      <w:r>
        <w:t>.</w:t>
      </w:r>
    </w:p>
  </w:footnote>
  <w:footnote w:id="33">
    <w:p w14:paraId="6497FDDD" w14:textId="5D498C4C" w:rsidR="00EF2351" w:rsidRDefault="00EF2351" w:rsidP="00EF2351">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w:t>
      </w:r>
      <w:r w:rsidR="002D6DD1">
        <w:t>in the interpretation of 2020–2022 data</w:t>
      </w:r>
      <w:r>
        <w:t>.</w:t>
      </w:r>
    </w:p>
  </w:footnote>
  <w:footnote w:id="34">
    <w:p w14:paraId="3BA79427" w14:textId="0BB61B36" w:rsidR="002C50C1" w:rsidRDefault="002C50C1" w:rsidP="002C50C1">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w:t>
      </w:r>
      <w:r w:rsidR="002D6DD1">
        <w:t>in the interpretation of 2020–2022 data</w:t>
      </w:r>
      <w:r>
        <w:t>.</w:t>
      </w:r>
    </w:p>
  </w:footnote>
  <w:footnote w:id="35">
    <w:p w14:paraId="2F73D4D3" w14:textId="50821E33" w:rsidR="00C31277" w:rsidRDefault="00C31277" w:rsidP="00C31277">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w:t>
      </w:r>
      <w:r w:rsidR="002D6DD1">
        <w:t>in the interpretation of 2020–2022 data</w:t>
      </w:r>
      <w:r>
        <w:t>.</w:t>
      </w:r>
    </w:p>
  </w:footnote>
  <w:footnote w:id="36">
    <w:p w14:paraId="135CE857" w14:textId="27649B3B" w:rsidR="004B44BE" w:rsidRDefault="004B44BE" w:rsidP="004B44BE">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w:t>
      </w:r>
      <w:r w:rsidR="002D6DD1">
        <w:t>in the interpretation of 2020–2022 data</w:t>
      </w:r>
      <w:r>
        <w:t>.</w:t>
      </w:r>
    </w:p>
  </w:footnote>
  <w:footnote w:id="37">
    <w:p w14:paraId="2092AD07" w14:textId="3DBF4709" w:rsidR="004B44BE" w:rsidRDefault="004B44BE">
      <w:pPr>
        <w:pStyle w:val="FootnoteText"/>
      </w:pPr>
      <w:r>
        <w:rPr>
          <w:rStyle w:val="FootnoteReference"/>
        </w:rPr>
        <w:footnoteRef/>
      </w:r>
      <w:r>
        <w:t xml:space="preserve"> </w:t>
      </w:r>
      <w:r w:rsidRPr="004B44BE">
        <w:t>As of 1/1/2020, BIDLS calculates rates per 100,000 population using denominators estimated by the University of Massachusetts Donahue Institute using a modified Hamilton-Perry model (Strate S, et al. Small Area Population Estimates for 2011 through 2020, report published Oct 2016). Note that rates and trends calculated using previous methods cannot be compared to these. All rates are age-adjusted using the 2000 US standard population.</w:t>
      </w:r>
    </w:p>
  </w:footnote>
  <w:footnote w:id="38">
    <w:p w14:paraId="17EDCE93" w14:textId="0332948A" w:rsidR="00B52799" w:rsidRDefault="00B52799" w:rsidP="00B52799">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w:t>
      </w:r>
      <w:r w:rsidR="002D6DD1">
        <w:t>in the interpretation of 2020–2022 data</w:t>
      </w:r>
      <w:r>
        <w:t>.</w:t>
      </w:r>
    </w:p>
  </w:footnote>
  <w:footnote w:id="39">
    <w:p w14:paraId="126CB646" w14:textId="2DC4C474" w:rsidR="009127C1" w:rsidRDefault="009127C1" w:rsidP="009127C1">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w:t>
      </w:r>
      <w:r w:rsidR="002D6DD1">
        <w:t>in the interpretation of 2020–2022 data</w:t>
      </w:r>
      <w:r>
        <w:t>.</w:t>
      </w:r>
    </w:p>
  </w:footnote>
  <w:footnote w:id="40">
    <w:p w14:paraId="568B2117" w14:textId="62A31C09" w:rsidR="00AE1B30" w:rsidRDefault="00AE1B30" w:rsidP="00AE1B30">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w:t>
      </w:r>
      <w:r w:rsidR="002D6DD1">
        <w:t>in the interpretation of 2020–2022 data</w:t>
      </w:r>
      <w:r>
        <w:t>.</w:t>
      </w:r>
    </w:p>
  </w:footnote>
  <w:footnote w:id="41">
    <w:p w14:paraId="7BC64FF5" w14:textId="4D6E7C7F" w:rsidR="00F012AE" w:rsidRDefault="00F012AE" w:rsidP="00F012AE">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w:t>
      </w:r>
      <w:r w:rsidR="002D6DD1">
        <w:t>in the interpretation of 2020–2022 data</w:t>
      </w:r>
      <w:r>
        <w:t>.</w:t>
      </w:r>
    </w:p>
  </w:footnote>
  <w:footnote w:id="42">
    <w:p w14:paraId="6E5769DB" w14:textId="56964BAD" w:rsidR="00973165" w:rsidRDefault="00973165">
      <w:pPr>
        <w:pStyle w:val="FootnoteText"/>
      </w:pPr>
      <w:r>
        <w:rPr>
          <w:rStyle w:val="FootnoteReference"/>
        </w:rPr>
        <w:footnoteRef/>
      </w:r>
      <w:r>
        <w:t xml:space="preserve"> </w:t>
      </w:r>
      <w:r w:rsidRPr="00973165">
        <w:t>As of 1/1/2020, BIDLS calculates rates per 100,000 population using denominators estimated by the University of Massachusetts Donahue Institute using a modified Hamilton-Perry model (Strate S, et al. Small Area Population Estimates for 2011 through 2020, report published Oct 2016). Note that rates and trends calculated using previous methods cannot be compared to these. All rates are age-adjusted using the 2000 US standard population.</w:t>
      </w:r>
    </w:p>
  </w:footnote>
  <w:footnote w:id="43">
    <w:p w14:paraId="3BB4EDD9" w14:textId="14BD075F" w:rsidR="00973165" w:rsidRDefault="00973165" w:rsidP="00973165">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w:t>
      </w:r>
      <w:r w:rsidR="002D6DD1">
        <w:t>in the interpretation of 2020–2022 data</w:t>
      </w:r>
      <w:r>
        <w:t>.</w:t>
      </w:r>
    </w:p>
  </w:footnote>
  <w:footnote w:id="44">
    <w:p w14:paraId="55B332BD" w14:textId="04B47A72" w:rsidR="005303E3" w:rsidRDefault="005303E3" w:rsidP="005303E3">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w:t>
      </w:r>
      <w:r w:rsidR="002D6DD1">
        <w:t>in the interpretation of 2020–2022 data</w:t>
      </w:r>
      <w:r>
        <w:t>.</w:t>
      </w:r>
    </w:p>
  </w:footnote>
  <w:footnote w:id="45">
    <w:p w14:paraId="4012CBF8" w14:textId="0B84D4AA" w:rsidR="005303E3" w:rsidRDefault="005303E3">
      <w:pPr>
        <w:pStyle w:val="FootnoteText"/>
      </w:pPr>
      <w:r>
        <w:rPr>
          <w:rStyle w:val="FootnoteReference"/>
        </w:rPr>
        <w:footnoteRef/>
      </w:r>
      <w:r>
        <w:t xml:space="preserve"> </w:t>
      </w:r>
      <w:r w:rsidR="00D872BE" w:rsidRPr="00D872BE">
        <w:t>Data Source for Massachusetts death data: Office of Population Health, Massachusetts Department of Public Health.</w:t>
      </w:r>
      <w:r w:rsidR="00FC1148">
        <w:t xml:space="preserve"> </w:t>
      </w:r>
      <w:r w:rsidR="00F63A73">
        <w:t xml:space="preserve">Note: </w:t>
      </w:r>
      <w:r w:rsidR="00013D94">
        <w:t xml:space="preserve">2023 </w:t>
      </w:r>
      <w:r w:rsidR="00F63A73">
        <w:t>death</w:t>
      </w:r>
      <w:r w:rsidR="00FC1148">
        <w:t xml:space="preserve"> data are preliminary</w:t>
      </w:r>
      <w:r w:rsidR="00D92D0D">
        <w:t xml:space="preserve"> and 2024 death data are not yet available</w:t>
      </w:r>
      <w:r w:rsidR="00FC1148">
        <w:t>.</w:t>
      </w:r>
      <w:r w:rsidR="006B338C">
        <w:t xml:space="preserve"> </w:t>
      </w:r>
    </w:p>
  </w:footnote>
  <w:footnote w:id="46">
    <w:p w14:paraId="000B3A7E" w14:textId="0BC6B740" w:rsidR="00D872BE" w:rsidRDefault="00D872BE">
      <w:pPr>
        <w:pStyle w:val="FootnoteText"/>
      </w:pPr>
      <w:r>
        <w:rPr>
          <w:rStyle w:val="FootnoteReference"/>
        </w:rPr>
        <w:footnoteRef/>
      </w:r>
      <w:r>
        <w:t xml:space="preserve"> </w:t>
      </w:r>
      <w:r w:rsidRPr="00D872BE">
        <w:t>As of 1/1/2020, BIDLS calculates rates per 100,000 population using denominators estimated by the University of Massachusetts Donahue Institute using a modified Hamilton-Perry model (Strate S, et al. Small Area Population Estimates for 2011 through 2020, report published Oct 2016). Note that rates and trends calculated using previous methods cannot be compared to these. All rates are age-adjusted using the 2000 US standard population.</w:t>
      </w:r>
    </w:p>
  </w:footnote>
  <w:footnote w:id="47">
    <w:p w14:paraId="2D3AA01F" w14:textId="56FAA88D" w:rsidR="00C51C3C" w:rsidRDefault="00C51C3C" w:rsidP="00C51C3C">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w:t>
      </w:r>
      <w:r w:rsidR="002D6DD1">
        <w:t>in the interpretation of 2020–2022 data</w:t>
      </w:r>
      <w:r>
        <w:t>.</w:t>
      </w:r>
    </w:p>
  </w:footnote>
  <w:footnote w:id="48">
    <w:p w14:paraId="6B96871F" w14:textId="6060B885" w:rsidR="00F94121" w:rsidRDefault="00F94121">
      <w:pPr>
        <w:pStyle w:val="FootnoteText"/>
      </w:pPr>
      <w:r>
        <w:rPr>
          <w:rStyle w:val="FootnoteReference"/>
        </w:rPr>
        <w:footnoteRef/>
      </w:r>
      <w:r>
        <w:t xml:space="preserve"> </w:t>
      </w:r>
      <w:r w:rsidRPr="00D872BE">
        <w:t>Data Source for Massachusetts death data: Office of Population Health, Massachusetts Department of Public Health.</w:t>
      </w:r>
      <w:r w:rsidR="00414785">
        <w:t xml:space="preserve"> </w:t>
      </w:r>
      <w:r w:rsidR="00F63A73">
        <w:t xml:space="preserve">Note: </w:t>
      </w:r>
      <w:r w:rsidR="00D628FA">
        <w:t xml:space="preserve">2023 </w:t>
      </w:r>
      <w:r w:rsidR="00F63A73">
        <w:t>death</w:t>
      </w:r>
      <w:r w:rsidR="00414785">
        <w:t xml:space="preserve"> data are preliminary</w:t>
      </w:r>
      <w:r w:rsidR="004975D8">
        <w:t xml:space="preserve"> and 2024 death data are not yet available</w:t>
      </w:r>
      <w:r w:rsidR="00414785">
        <w:t>.</w:t>
      </w:r>
    </w:p>
  </w:footnote>
  <w:footnote w:id="49">
    <w:p w14:paraId="77EB432C" w14:textId="3DABBE91" w:rsidR="00025CE5" w:rsidRDefault="00025CE5" w:rsidP="00025CE5">
      <w:pPr>
        <w:spacing w:after="0"/>
      </w:pPr>
      <w:r w:rsidRPr="011724CB">
        <w:rPr>
          <w:rStyle w:val="FootnoteReference"/>
        </w:rPr>
        <w:footnoteRef/>
      </w:r>
      <w:r w:rsidRPr="00C16D0B">
        <w:rPr>
          <w:rFonts w:cstheme="minorHAnsi"/>
          <w:sz w:val="20"/>
          <w:szCs w:val="20"/>
        </w:rPr>
        <w:t xml:space="preserve"> </w:t>
      </w:r>
      <w:r w:rsidRPr="00C16D0B">
        <w:rPr>
          <w:rFonts w:eastAsia="Arial Narrow" w:cstheme="minorHAnsi"/>
          <w:color w:val="000000" w:themeColor="text1"/>
          <w:sz w:val="20"/>
          <w:szCs w:val="20"/>
        </w:rPr>
        <w:t>External causes of injuries include intentional injuries (e.g., homicide and suicide), unintentional injuries (e.g., motor vehicle and non-transport related accidents), and injuries of undetermined intent.</w:t>
      </w:r>
    </w:p>
  </w:footnote>
  <w:footnote w:id="50">
    <w:p w14:paraId="0CEE9777" w14:textId="41CAAE72" w:rsidR="00FE1A63" w:rsidRDefault="00FE1A63">
      <w:pPr>
        <w:pStyle w:val="FootnoteText"/>
      </w:pPr>
      <w:r>
        <w:rPr>
          <w:rStyle w:val="FootnoteReference"/>
        </w:rPr>
        <w:footnoteRef/>
      </w:r>
      <w:r>
        <w:t xml:space="preserve"> </w:t>
      </w:r>
      <w:r w:rsidRPr="00FE1A63">
        <w:t>Final cause of death is not yet available for all 2024 deaths among individuals with HIV as of 7/1/2025.</w:t>
      </w:r>
    </w:p>
  </w:footnote>
  <w:footnote w:id="51">
    <w:p w14:paraId="2D09D24E" w14:textId="32C44B62" w:rsidR="00CE0A84" w:rsidRDefault="00CE0A84" w:rsidP="00CE0A84">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w:t>
      </w:r>
      <w:r w:rsidR="002D6DD1">
        <w:t>in the interpretation of 2020–2022 data</w:t>
      </w:r>
      <w:r>
        <w:t>.</w:t>
      </w:r>
    </w:p>
  </w:footnote>
  <w:footnote w:id="52">
    <w:p w14:paraId="3AD5471D" w14:textId="5198B8D7" w:rsidR="007156A8" w:rsidRDefault="007156A8">
      <w:pPr>
        <w:pStyle w:val="FootnoteText"/>
      </w:pPr>
      <w:r>
        <w:rPr>
          <w:rStyle w:val="FootnoteReference"/>
        </w:rPr>
        <w:footnoteRef/>
      </w:r>
      <w:r>
        <w:t xml:space="preserve"> </w:t>
      </w:r>
      <w:r w:rsidRPr="007156A8">
        <w:t>As of 1/1/2020, BIDLS calculates rates per 100,000 population using denominators estimated by the University of Massachusetts Donahue Institute using a modified Hamilton-Perry model (Strate S, et al. Small Area Population Estimates for 2011 through 2020, report published Oct 2016). Note that rates and trends calculated using previous methods cannot be compared to these. All rates are age-adjusted using the 2000 US standard population.</w:t>
      </w:r>
    </w:p>
  </w:footnote>
  <w:footnote w:id="53">
    <w:p w14:paraId="39C59096" w14:textId="438E4FC7" w:rsidR="00385620" w:rsidRDefault="00385620" w:rsidP="00385620">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w:t>
      </w:r>
      <w:r w:rsidR="002D6DD1">
        <w:t>in the interpretation of 2020–2022 data</w:t>
      </w:r>
      <w:r>
        <w:t>.</w:t>
      </w:r>
    </w:p>
  </w:footnote>
  <w:footnote w:id="54">
    <w:p w14:paraId="6C5F2392" w14:textId="77777777" w:rsidR="00385620" w:rsidRDefault="00385620" w:rsidP="00385620">
      <w:pPr>
        <w:spacing w:after="0"/>
      </w:pPr>
      <w:r w:rsidRPr="011724CB">
        <w:rPr>
          <w:rStyle w:val="FootnoteReference"/>
        </w:rPr>
        <w:footnoteRef/>
      </w:r>
      <w:r w:rsidRPr="00C16D0B">
        <w:rPr>
          <w:rFonts w:cstheme="minorHAnsi"/>
          <w:sz w:val="20"/>
          <w:szCs w:val="20"/>
        </w:rPr>
        <w:t xml:space="preserve"> </w:t>
      </w:r>
      <w:r w:rsidRPr="00C16D0B">
        <w:rPr>
          <w:rFonts w:eastAsia="Arial Narrow" w:cstheme="minorHAnsi"/>
          <w:color w:val="000000" w:themeColor="text1"/>
          <w:sz w:val="20"/>
          <w:szCs w:val="20"/>
        </w:rPr>
        <w:t>External causes of injuries include intentional injuries (e.g., homicide and suicide), unintentional injuries (e.g., motor vehicle and non-transport related accidents), and injuries of undetermined intent.</w:t>
      </w:r>
    </w:p>
  </w:footnote>
  <w:footnote w:id="55">
    <w:p w14:paraId="43EAEBA9" w14:textId="77777777" w:rsidR="00865393" w:rsidRDefault="00865393" w:rsidP="00865393">
      <w:pPr>
        <w:pStyle w:val="FootnoteText"/>
      </w:pPr>
      <w:r>
        <w:rPr>
          <w:rStyle w:val="FootnoteReference"/>
        </w:rPr>
        <w:footnoteRef/>
      </w:r>
      <w:r>
        <w:t xml:space="preserve"> </w:t>
      </w:r>
      <w:r w:rsidRPr="00FE1A63">
        <w:t>Final cause of death is not yet available for all 2024 deaths among individuals with HIV as of 7/1/2025.</w:t>
      </w:r>
    </w:p>
  </w:footnote>
  <w:footnote w:id="56">
    <w:p w14:paraId="7CAEC5E1" w14:textId="152DC05F" w:rsidR="00326D32" w:rsidRDefault="00326D32" w:rsidP="007342BF">
      <w:pPr>
        <w:pStyle w:val="FootnoteText"/>
      </w:pPr>
      <w:r>
        <w:rPr>
          <w:rStyle w:val="FootnoteReference"/>
        </w:rPr>
        <w:footnoteRef/>
      </w:r>
      <w:r>
        <w:t xml:space="preserve"> </w:t>
      </w:r>
      <w:r w:rsidRPr="00FA1A4A">
        <w:t>Other includes pe</w:t>
      </w:r>
      <w:r>
        <w:t>diatric</w:t>
      </w:r>
      <w:r w:rsidRPr="00FA1A4A">
        <w:t xml:space="preserve"> and clotting factor/transfusion/transplant-related exposures</w:t>
      </w:r>
    </w:p>
  </w:footnote>
  <w:footnote w:id="57">
    <w:p w14:paraId="57EA4079" w14:textId="52965CA2" w:rsidR="00326D32" w:rsidRDefault="00326D32" w:rsidP="007342BF">
      <w:pPr>
        <w:pStyle w:val="FootnoteText"/>
      </w:pPr>
      <w:r>
        <w:rPr>
          <w:rStyle w:val="FootnoteReference"/>
        </w:rPr>
        <w:footnoteRef/>
      </w:r>
      <w:r>
        <w:t xml:space="preserve"> </w:t>
      </w:r>
      <w:r w:rsidRPr="00FA1A4A">
        <w:t>Ninety-nine percent of individuals reported with HIV/AIDS who died from 201</w:t>
      </w:r>
      <w:r>
        <w:t>4</w:t>
      </w:r>
      <w:r w:rsidRPr="00FA1A4A">
        <w:t>–20</w:t>
      </w:r>
      <w:r>
        <w:t>23</w:t>
      </w:r>
      <w:r w:rsidRPr="00FA1A4A">
        <w:t xml:space="preserve"> who were born in a US dependency (USD) were born in Puerto Rico (PR)</w:t>
      </w:r>
    </w:p>
  </w:footnote>
  <w:footnote w:id="58">
    <w:p w14:paraId="23350482" w14:textId="5DA1D092" w:rsidR="00272B03" w:rsidRDefault="00272B03" w:rsidP="00272B03">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w:t>
      </w:r>
      <w:r w:rsidR="002D6DD1">
        <w:t>in the interpretation of 2020–2022 data</w:t>
      </w:r>
      <w:r>
        <w:t>.</w:t>
      </w:r>
    </w:p>
  </w:footnote>
  <w:footnote w:id="59">
    <w:p w14:paraId="21C14CA0" w14:textId="4DE90FED" w:rsidR="00037B97" w:rsidRDefault="00037B97">
      <w:pPr>
        <w:pStyle w:val="FootnoteText"/>
      </w:pPr>
      <w:r>
        <w:rPr>
          <w:rStyle w:val="FootnoteReference"/>
        </w:rPr>
        <w:footnoteRef/>
      </w:r>
      <w:r w:rsidRPr="00037B97">
        <w:t>Deaths among individuals reported with HIV infection with a missing cause of death are excluded from this analysis (201</w:t>
      </w:r>
      <w:r w:rsidR="00BC7F9B">
        <w:t>5</w:t>
      </w:r>
      <w:r w:rsidRPr="00037B97">
        <w:t>–202</w:t>
      </w:r>
      <w:r w:rsidR="00BC7F9B">
        <w:t>3</w:t>
      </w:r>
      <w:r w:rsidRPr="00037B97">
        <w:t xml:space="preserve"> N=</w:t>
      </w:r>
      <w:r w:rsidR="00BC7F9B">
        <w:t>234</w:t>
      </w:r>
      <w:r w:rsidR="00D8767D">
        <w:t>)</w:t>
      </w:r>
      <w:r w:rsidRPr="00037B97">
        <w:t xml:space="preserve">. Data are presented for the most recent </w:t>
      </w:r>
      <w:r w:rsidR="00BD1A9E">
        <w:t>nine</w:t>
      </w:r>
      <w:r w:rsidRPr="00037B97">
        <w:t>-year period for which cause of death data was available.</w:t>
      </w:r>
    </w:p>
  </w:footnote>
  <w:footnote w:id="60">
    <w:p w14:paraId="2E099C42" w14:textId="4B0F93DF" w:rsidR="00574E67" w:rsidRDefault="00574E67" w:rsidP="00574E67">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w:t>
      </w:r>
      <w:r w:rsidR="002D6DD1">
        <w:t>in the interpretation of 2020–2022 data</w:t>
      </w:r>
      <w:r>
        <w:t>.</w:t>
      </w:r>
    </w:p>
  </w:footnote>
  <w:footnote w:id="61">
    <w:p w14:paraId="75D22CD2" w14:textId="235C6439" w:rsidR="003D1915" w:rsidRDefault="003D1915">
      <w:pPr>
        <w:pStyle w:val="FootnoteText"/>
      </w:pPr>
      <w:r>
        <w:rPr>
          <w:rStyle w:val="FootnoteReference"/>
        </w:rPr>
        <w:footnoteRef/>
      </w:r>
      <w:r>
        <w:t xml:space="preserve"> </w:t>
      </w:r>
      <w:r w:rsidRPr="003D1915">
        <w:t xml:space="preserve">External causes of injuries </w:t>
      </w:r>
      <w:r w:rsidR="00380219" w:rsidRPr="003D1915">
        <w:t>include</w:t>
      </w:r>
      <w:r w:rsidRPr="003D1915">
        <w:t xml:space="preserve"> intentional injuries (e.g., homicide and suicide), unintentional injuries (e.g., motor vehicle and non-transport related accidents), and injuries of undetermined intent.</w:t>
      </w:r>
    </w:p>
  </w:footnote>
  <w:footnote w:id="62">
    <w:p w14:paraId="0D744958" w14:textId="77777777" w:rsidR="00D820BC" w:rsidRDefault="00D820BC" w:rsidP="00D820BC">
      <w:pPr>
        <w:pStyle w:val="FootnoteText"/>
      </w:pPr>
      <w:r>
        <w:rPr>
          <w:rStyle w:val="FootnoteReference"/>
        </w:rPr>
        <w:footnoteRef/>
      </w:r>
      <w:r>
        <w:t xml:space="preserve"> </w:t>
      </w:r>
      <w:r w:rsidRPr="00BD1A9E">
        <w:t>Unintentional injuries include injuries such as motor vehicle-related and other transportation related deaths, falls, fires, and drownings that were not intended to occur</w:t>
      </w:r>
      <w:r>
        <w:t>.</w:t>
      </w:r>
    </w:p>
  </w:footnote>
  <w:footnote w:id="63">
    <w:p w14:paraId="0AB0D089" w14:textId="7FA66244" w:rsidR="009929BA" w:rsidRDefault="009929BA">
      <w:pPr>
        <w:pStyle w:val="FootnoteText"/>
      </w:pPr>
      <w:r>
        <w:rPr>
          <w:rStyle w:val="FootnoteReference"/>
        </w:rPr>
        <w:footnoteRef/>
      </w:r>
      <w:r>
        <w:t xml:space="preserve"> </w:t>
      </w:r>
      <w:r w:rsidRPr="009929BA">
        <w:t>Chronic Lower Respiratory Disease (ICD-10 title) corresponds to Chronic Obstructive Pulmonary Disease (COPD) (ICD-9 title). ICD10 codes for this cause of death are J40-J47</w:t>
      </w:r>
      <w:r>
        <w:t>.</w:t>
      </w:r>
    </w:p>
  </w:footnote>
  <w:footnote w:id="64">
    <w:p w14:paraId="68EA0B62" w14:textId="3ACE15B1" w:rsidR="00F21103" w:rsidRDefault="00F21103">
      <w:pPr>
        <w:pStyle w:val="FootnoteText"/>
      </w:pPr>
      <w:r>
        <w:rPr>
          <w:rStyle w:val="FootnoteReference"/>
        </w:rPr>
        <w:footnoteRef/>
      </w:r>
      <w:r>
        <w:t xml:space="preserve"> </w:t>
      </w:r>
      <w:r w:rsidRPr="00F21103">
        <w:t xml:space="preserve">Source: Massachusetts Department of Public Health, Office of Population Health. </w:t>
      </w:r>
      <w:r w:rsidR="003D1915">
        <w:t xml:space="preserve">Note: 2023 death data are </w:t>
      </w:r>
      <w:r w:rsidR="00930958">
        <w:t>preliminary,</w:t>
      </w:r>
      <w:r w:rsidR="00D820BC">
        <w:t xml:space="preserve"> and 2024 death data are not yet available</w:t>
      </w:r>
      <w:r w:rsidR="003D1915">
        <w:t>.</w:t>
      </w:r>
    </w:p>
  </w:footnote>
  <w:footnote w:id="65">
    <w:p w14:paraId="36FE453C" w14:textId="77597EE5" w:rsidR="001E08C0" w:rsidRDefault="001E08C0" w:rsidP="001E08C0">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w:t>
      </w:r>
      <w:r w:rsidR="002D6DD1">
        <w:t>in the interpretation of 2020–2022 data</w:t>
      </w:r>
      <w:r>
        <w:t>.</w:t>
      </w:r>
    </w:p>
  </w:footnote>
  <w:footnote w:id="66">
    <w:p w14:paraId="1074E7E6" w14:textId="4A2F145A" w:rsidR="003739DA" w:rsidRDefault="003739DA" w:rsidP="003739DA">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w:t>
      </w:r>
      <w:r w:rsidR="002D6DD1">
        <w:t>in the interpretation of 2020–2022 data</w:t>
      </w:r>
      <w:r>
        <w:t>.</w:t>
      </w:r>
    </w:p>
  </w:footnote>
  <w:footnote w:id="67">
    <w:p w14:paraId="2C8D7B1F" w14:textId="5FC3F622" w:rsidR="00DC1996" w:rsidRDefault="00DC1996">
      <w:pPr>
        <w:pStyle w:val="FootnoteText"/>
      </w:pPr>
      <w:r>
        <w:rPr>
          <w:rStyle w:val="FootnoteReference"/>
        </w:rPr>
        <w:footnoteRef/>
      </w:r>
      <w:r>
        <w:t xml:space="preserve"> </w:t>
      </w:r>
      <w:r w:rsidRPr="00DC1996">
        <w:t>As of 1/1/2020, BIDLS calculates rates per 100,000 population using denominators estimated by the University of Massachusetts Donahue Institute using a modified Hamilton-Perry model.</w:t>
      </w:r>
    </w:p>
  </w:footnote>
  <w:footnote w:id="68">
    <w:p w14:paraId="5A578B7B" w14:textId="4AA41AC2" w:rsidR="001507FF" w:rsidRDefault="001507FF" w:rsidP="001507FF">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w:t>
      </w:r>
      <w:r w:rsidR="002D6DD1">
        <w:t>in the interpretation of 2020–2022 data</w:t>
      </w:r>
      <w:r>
        <w:t>.</w:t>
      </w:r>
    </w:p>
  </w:footnote>
  <w:footnote w:id="69">
    <w:p w14:paraId="77E085CA" w14:textId="20C8C2E0" w:rsidR="00DC1996" w:rsidRDefault="00DC1996">
      <w:pPr>
        <w:pStyle w:val="FootnoteText"/>
      </w:pPr>
      <w:r>
        <w:rPr>
          <w:rStyle w:val="FootnoteReference"/>
        </w:rPr>
        <w:footnoteRef/>
      </w:r>
      <w:r>
        <w:t xml:space="preserve"> </w:t>
      </w:r>
      <w:r w:rsidRPr="00DC1996">
        <w:t>Among cities that reported at least 12 HIV infections during 20</w:t>
      </w:r>
      <w:r w:rsidR="004C33FA">
        <w:t>2</w:t>
      </w:r>
      <w:r w:rsidR="00996D82">
        <w:t>2</w:t>
      </w:r>
      <w:r w:rsidR="004C33FA">
        <w:t>–</w:t>
      </w:r>
      <w:r w:rsidRPr="00DC1996">
        <w:t>202</w:t>
      </w:r>
      <w:r w:rsidR="00996D82">
        <w:t>4</w:t>
      </w:r>
      <w:r w:rsidRPr="00DC1996">
        <w:t>.</w:t>
      </w:r>
    </w:p>
  </w:footnote>
  <w:footnote w:id="70">
    <w:p w14:paraId="1F628E2D" w14:textId="5B21C79D" w:rsidR="00DC1996" w:rsidRDefault="00DC1996">
      <w:pPr>
        <w:pStyle w:val="FootnoteText"/>
      </w:pPr>
      <w:r>
        <w:rPr>
          <w:rStyle w:val="FootnoteReference"/>
        </w:rPr>
        <w:footnoteRef/>
      </w:r>
      <w:r>
        <w:t xml:space="preserve"> </w:t>
      </w:r>
      <w:r w:rsidRPr="00DC1996">
        <w:t xml:space="preserve">For more information, see: Joint MDPH and BPHC Clinical Advisory: Increase in newly diagnosed HIV infections among persons who inject drugs in Boston, March 15, 2021, available at: </w:t>
      </w:r>
      <w:hyperlink r:id="rId6" w:history="1">
        <w:r w:rsidRPr="00D6750E">
          <w:rPr>
            <w:rStyle w:val="Hyperlink"/>
            <w:color w:val="3333FF"/>
          </w:rPr>
          <w:t>https://www.mass.gov/doc/joint-mdph-and-bphc-clinical-advisory-hiv-transmission-through-injection-drug-use-in-boston-march-15-2021/download</w:t>
        </w:r>
      </w:hyperlink>
      <w:r w:rsidRPr="00D6750E">
        <w:rPr>
          <w:color w:val="3333FF"/>
        </w:rPr>
        <w:t xml:space="preserve">  </w:t>
      </w:r>
    </w:p>
  </w:footnote>
  <w:footnote w:id="71">
    <w:p w14:paraId="0BD847FF" w14:textId="5B26B26E" w:rsidR="00617031" w:rsidRDefault="00617031" w:rsidP="00617031">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w:t>
      </w:r>
      <w:r w:rsidR="002D6DD1">
        <w:t>in the interpretation of 2020–2022 data</w:t>
      </w:r>
      <w:r>
        <w:t>.</w:t>
      </w:r>
    </w:p>
  </w:footnote>
  <w:footnote w:id="72">
    <w:p w14:paraId="46FF8F39" w14:textId="35E88E61" w:rsidR="00B47EB2" w:rsidRDefault="00B47EB2">
      <w:pPr>
        <w:pStyle w:val="FootnoteText"/>
      </w:pPr>
      <w:r>
        <w:rPr>
          <w:rStyle w:val="FootnoteReference"/>
        </w:rPr>
        <w:footnoteRef/>
      </w:r>
      <w:r>
        <w:t xml:space="preserve"> </w:t>
      </w:r>
      <w:r w:rsidRPr="00DC1996">
        <w:t>Among cities that reported at least 50 PLWH as of 12/31/202</w:t>
      </w:r>
      <w:r w:rsidR="00E630D9">
        <w:t>4</w:t>
      </w:r>
      <w:r w:rsidRPr="00DC1996">
        <w:t xml:space="preserve">. Note: </w:t>
      </w:r>
      <w:r w:rsidR="002E1DEC" w:rsidRPr="002E1DEC">
        <w:t>The rates of HIV prevalence for Provincetown, and Ayer are high because of small population sizes (3,663 and 8,479, respectively), as opposed to the number of cases (451 and 73, respectively). The rate of HIV prevalence in Ayer is also high due to the inclusion of incarcerated individuals housed at Federal Medical Center (FMC) Devens</w:t>
      </w:r>
      <w:r w:rsidR="006621E7" w:rsidRPr="006621E7">
        <w:t>.</w:t>
      </w:r>
    </w:p>
  </w:footnote>
  <w:footnote w:id="73">
    <w:p w14:paraId="7CFA118A" w14:textId="44C958C4" w:rsidR="00617031" w:rsidRDefault="00617031" w:rsidP="00617031">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w:t>
      </w:r>
      <w:r w:rsidR="002D6DD1">
        <w:t>in the interpretation of 2020–2022 data</w:t>
      </w:r>
      <w:r>
        <w:t>.</w:t>
      </w:r>
    </w:p>
  </w:footnote>
  <w:footnote w:id="74">
    <w:p w14:paraId="6C1E69E7" w14:textId="10B22499" w:rsidR="007F5CDD" w:rsidRDefault="007F5CDD" w:rsidP="007F5CDD">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w:t>
      </w:r>
      <w:r w:rsidR="002D6DD1">
        <w:t>in the interpretation of 2020–2022 data</w:t>
      </w:r>
      <w:r>
        <w:t>.</w:t>
      </w:r>
    </w:p>
  </w:footnote>
  <w:footnote w:id="75">
    <w:p w14:paraId="078A9937" w14:textId="3F5E3AD8" w:rsidR="006661EF" w:rsidRDefault="006661EF" w:rsidP="006661EF">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w:t>
      </w:r>
      <w:r w:rsidR="002D6DD1">
        <w:t>in the interpretation of 2020–2022 data</w:t>
      </w:r>
      <w:r>
        <w:t>.</w:t>
      </w:r>
    </w:p>
  </w:footnote>
  <w:footnote w:id="76">
    <w:p w14:paraId="5ABA6F75" w14:textId="0CE0F2CE" w:rsidR="0028230B" w:rsidRPr="00930950" w:rsidRDefault="0028230B">
      <w:pPr>
        <w:pStyle w:val="FootnoteText"/>
        <w:rPr>
          <w:b/>
          <w:bCs/>
          <w:color w:val="0000FF"/>
        </w:rPr>
      </w:pPr>
      <w:r>
        <w:rPr>
          <w:rStyle w:val="FootnoteReference"/>
        </w:rPr>
        <w:footnoteRef/>
      </w:r>
      <w:r>
        <w:t xml:space="preserve"> </w:t>
      </w:r>
      <w:r w:rsidRPr="00CF4526">
        <w:t xml:space="preserve">For definitions of the care continuum stages, see </w:t>
      </w:r>
      <w:hyperlink w:anchor="technical_note_xx" w:history="1">
        <w:r w:rsidR="00C65F51" w:rsidRPr="00C65F51">
          <w:rPr>
            <w:rStyle w:val="Hyperlink"/>
            <w:b/>
            <w:bCs/>
            <w:color w:val="0000FF"/>
          </w:rPr>
          <w:t>Technical Note XX</w:t>
        </w:r>
      </w:hyperlink>
    </w:p>
  </w:footnote>
  <w:footnote w:id="77">
    <w:p w14:paraId="0D6DE8CF" w14:textId="46A3E164" w:rsidR="00DD4651" w:rsidRDefault="00DD4651" w:rsidP="00DD4651">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w:t>
      </w:r>
      <w:r w:rsidR="002D6DD1">
        <w:t>in the interpretation of 2020–2022 data</w:t>
      </w:r>
      <w:r>
        <w:t>.</w:t>
      </w:r>
    </w:p>
  </w:footnote>
  <w:footnote w:id="78">
    <w:p w14:paraId="701B65DC" w14:textId="695DA30C" w:rsidR="00D84488" w:rsidRDefault="00D84488" w:rsidP="00D84488">
      <w:pPr>
        <w:pStyle w:val="FootnoteText"/>
      </w:pPr>
      <w:r>
        <w:rPr>
          <w:rStyle w:val="FootnoteReference"/>
        </w:rPr>
        <w:footnoteRef/>
      </w:r>
      <w:r>
        <w:t xml:space="preserve"> </w:t>
      </w:r>
      <w:r w:rsidRPr="001302DB">
        <w:t xml:space="preserve">Please consider the impact of the COVID-19 pandemic on infectious disease screening, treatment, and </w:t>
      </w:r>
      <w:r w:rsidR="00B20E46">
        <w:t xml:space="preserve">surveillance </w:t>
      </w:r>
      <w:r w:rsidR="002D6DD1">
        <w:t>in the interpretation of 2020–2022 data</w:t>
      </w:r>
      <w:r>
        <w:t>.</w:t>
      </w:r>
    </w:p>
  </w:footnote>
  <w:footnote w:id="79">
    <w:p w14:paraId="67798FE0" w14:textId="25CDD82A" w:rsidR="001B3544" w:rsidRDefault="001B3544">
      <w:pPr>
        <w:pStyle w:val="FootnoteText"/>
      </w:pPr>
      <w:r>
        <w:rPr>
          <w:rStyle w:val="FootnoteReference"/>
        </w:rPr>
        <w:footnoteRef/>
      </w:r>
      <w:r>
        <w:t xml:space="preserve"> </w:t>
      </w:r>
      <w:r w:rsidRPr="001B3544">
        <w:t xml:space="preserve">For more information, see: </w:t>
      </w:r>
      <w:hyperlink r:id="rId7" w:history="1">
        <w:r w:rsidRPr="00CF4526">
          <w:rPr>
            <w:rStyle w:val="Hyperlink"/>
            <w:color w:val="3333FF"/>
          </w:rPr>
          <w:t>https://www.atsdr.cdc.gov/placeandhealth/svi/index.html</w:t>
        </w:r>
      </w:hyperlink>
      <w:r w:rsidRPr="00CF4526">
        <w:rPr>
          <w:color w:val="3333FF"/>
        </w:rPr>
        <w:t xml:space="preserve"> </w:t>
      </w:r>
    </w:p>
  </w:footnote>
  <w:footnote w:id="80">
    <w:p w14:paraId="2E232E62" w14:textId="05D45B9E" w:rsidR="001B3544" w:rsidRDefault="001B3544">
      <w:pPr>
        <w:pStyle w:val="FootnoteText"/>
      </w:pPr>
      <w:r>
        <w:rPr>
          <w:rStyle w:val="FootnoteReference"/>
        </w:rPr>
        <w:footnoteRef/>
      </w:r>
      <w:r w:rsidR="00DC6C9E" w:rsidRPr="00DC6C9E">
        <w:t xml:space="preserve"> Gant, Z., Dailey, A., Hu, X. et al. A Census Tract–Level Examination of Diagnosed HIV Infection and Social Vulnerability among Black/African American, </w:t>
      </w:r>
      <w:r w:rsidR="002C5777">
        <w:t>Hispanic/Latinx</w:t>
      </w:r>
      <w:r w:rsidR="00DC6C9E" w:rsidRPr="00DC6C9E">
        <w:t xml:space="preserve">, and White Adults, 2018: United States. J. Racial and Ethnic Health Disparities (2022). </w:t>
      </w:r>
      <w:hyperlink r:id="rId8" w:history="1">
        <w:r w:rsidR="00DC6C9E" w:rsidRPr="00CF4526">
          <w:rPr>
            <w:rStyle w:val="Hyperlink"/>
            <w:color w:val="3333FF"/>
          </w:rPr>
          <w:t>https://doi.org/10.1007/s40615-022-01456-7</w:t>
        </w:r>
      </w:hyperlink>
      <w:r w:rsidR="00DC6C9E" w:rsidRPr="00CF4526">
        <w:rPr>
          <w:color w:val="3333FF"/>
        </w:rPr>
        <w:t xml:space="preserve">   </w:t>
      </w:r>
    </w:p>
  </w:footnote>
  <w:footnote w:id="81">
    <w:p w14:paraId="4DADDFCB" w14:textId="49256D5E" w:rsidR="00DC6C9E" w:rsidRDefault="00DC6C9E">
      <w:pPr>
        <w:pStyle w:val="FootnoteText"/>
      </w:pPr>
      <w:r>
        <w:rPr>
          <w:rStyle w:val="FootnoteReference"/>
        </w:rPr>
        <w:footnoteRef/>
      </w:r>
      <w:r w:rsidR="005A5BE0" w:rsidRPr="005A5BE0">
        <w:t xml:space="preserve"> Dasgupta S, Bowen VB, Leidner A, et al. Association Between Social Vulnerability and a County’s Risk for Becoming a COVID-19 Hotspot — United States, June 1–July 25, 2020. MMWR Morb Mortal Wkly Rep 2020;69:1535–1541. DOI: </w:t>
      </w:r>
      <w:hyperlink r:id="rId9" w:history="1">
        <w:r w:rsidR="005A5BE0" w:rsidRPr="00CF4526">
          <w:rPr>
            <w:rStyle w:val="Hyperlink"/>
            <w:color w:val="3333FF"/>
          </w:rPr>
          <w:t>http://dx.doi.org/10.15585/mmwr.mm6942a3</w:t>
        </w:r>
      </w:hyperlink>
      <w:r w:rsidR="005A5BE0" w:rsidRPr="00CF4526">
        <w:rPr>
          <w:color w:val="3333FF"/>
        </w:rPr>
        <w:t xml:space="preserve">   </w:t>
      </w:r>
    </w:p>
  </w:footnote>
  <w:footnote w:id="82">
    <w:p w14:paraId="65D66E4D" w14:textId="1A7E3ECC" w:rsidR="00253447" w:rsidRDefault="00253447" w:rsidP="00253447">
      <w:pPr>
        <w:pStyle w:val="FootnoteText"/>
      </w:pPr>
      <w:r>
        <w:rPr>
          <w:rStyle w:val="FootnoteReference"/>
        </w:rPr>
        <w:footnoteRef/>
      </w:r>
      <w:r>
        <w:t xml:space="preserve"> </w:t>
      </w:r>
      <w:r w:rsidRPr="001302DB">
        <w:t xml:space="preserve">Please consider the impact of the COVID-19 pandemic on infectious disease screening, treatment, and </w:t>
      </w:r>
      <w:r>
        <w:t xml:space="preserve">surveillance </w:t>
      </w:r>
      <w:r w:rsidR="002D6DD1">
        <w:t>in the interpretation of 2020–2022 data</w:t>
      </w:r>
      <w:r>
        <w:t>.</w:t>
      </w:r>
    </w:p>
  </w:footnote>
  <w:footnote w:id="83">
    <w:p w14:paraId="45662065" w14:textId="77777777" w:rsidR="00D73D44" w:rsidRDefault="00D73D44" w:rsidP="00D73D44">
      <w:pPr>
        <w:pStyle w:val="FootnoteText"/>
      </w:pPr>
      <w:r>
        <w:rPr>
          <w:rStyle w:val="FootnoteReference"/>
        </w:rPr>
        <w:footnoteRef/>
      </w:r>
      <w:r>
        <w:t xml:space="preserve"> </w:t>
      </w:r>
      <w:r w:rsidRPr="0000198C">
        <w:t xml:space="preserve">Source: Centers for Disease Control and Prevention and Health Resources and Services Administration. </w:t>
      </w:r>
      <w:r w:rsidRPr="0000198C">
        <w:rPr>
          <w:i/>
          <w:iCs/>
        </w:rPr>
        <w:t>Integrated Guidance for Developing Epidemiologic Profiles: HIV Prevention and Ryan White HIV/AIDS Program Planning</w:t>
      </w:r>
      <w:r w:rsidRPr="0000198C">
        <w:t xml:space="preserve">. Atlanta, Georgia: Centers for Disease Control and Prevention; 2022.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1AD1994" w14:paraId="44961A8C" w14:textId="77777777" w:rsidTr="0086021D">
      <w:trPr>
        <w:trHeight w:val="300"/>
      </w:trPr>
      <w:tc>
        <w:tcPr>
          <w:tcW w:w="3120" w:type="dxa"/>
        </w:tcPr>
        <w:p w14:paraId="3246DA21" w14:textId="4B3C5D7C" w:rsidR="11AD1994" w:rsidRDefault="11AD1994" w:rsidP="0086021D">
          <w:pPr>
            <w:pStyle w:val="Header"/>
            <w:ind w:left="-115"/>
          </w:pPr>
        </w:p>
      </w:tc>
      <w:tc>
        <w:tcPr>
          <w:tcW w:w="3120" w:type="dxa"/>
        </w:tcPr>
        <w:p w14:paraId="08318636" w14:textId="12F57487" w:rsidR="11AD1994" w:rsidRDefault="11AD1994" w:rsidP="0086021D">
          <w:pPr>
            <w:pStyle w:val="Header"/>
            <w:jc w:val="center"/>
          </w:pPr>
        </w:p>
      </w:tc>
      <w:tc>
        <w:tcPr>
          <w:tcW w:w="3120" w:type="dxa"/>
        </w:tcPr>
        <w:p w14:paraId="27BBAB22" w14:textId="5A5C96B0" w:rsidR="11AD1994" w:rsidRDefault="11AD1994" w:rsidP="0086021D">
          <w:pPr>
            <w:pStyle w:val="Header"/>
            <w:ind w:right="-115"/>
            <w:jc w:val="right"/>
          </w:pPr>
        </w:p>
      </w:tc>
    </w:tr>
  </w:tbl>
  <w:p w14:paraId="282F213E" w14:textId="7365C46F" w:rsidR="11AD1994" w:rsidRDefault="11AD1994" w:rsidP="008602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F3424" w14:textId="3CE10754" w:rsidR="0F5D6A8F" w:rsidRDefault="0F5D6A8F" w:rsidP="003346AB">
    <w:pPr>
      <w:pStyle w:val="Header"/>
      <w:rPr>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EADA1" w14:textId="239FE0AA" w:rsidR="0F5D6A8F" w:rsidRDefault="0F5D6A8F" w:rsidP="003346AB">
    <w:pPr>
      <w:pStyle w:val="Header"/>
      <w:rPr>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3248B" w14:textId="225E87CB" w:rsidR="0F5D6A8F" w:rsidRDefault="0F5D6A8F" w:rsidP="003346AB">
    <w:pPr>
      <w:pStyle w:val="Header"/>
      <w:rPr>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CDDC5" w14:textId="5BB7929B" w:rsidR="0F5D6A8F" w:rsidRDefault="0F5D6A8F" w:rsidP="003346AB">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9442E"/>
    <w:multiLevelType w:val="hybridMultilevel"/>
    <w:tmpl w:val="BDE47C6E"/>
    <w:lvl w:ilvl="0" w:tplc="EA72D7C0">
      <w:start w:val="1"/>
      <w:numFmt w:val="bullet"/>
      <w:lvlText w:val="•"/>
      <w:lvlJc w:val="left"/>
      <w:pPr>
        <w:tabs>
          <w:tab w:val="num" w:pos="720"/>
        </w:tabs>
        <w:ind w:left="720" w:hanging="360"/>
      </w:pPr>
      <w:rPr>
        <w:rFonts w:ascii="Arial" w:hAnsi="Arial" w:hint="default"/>
      </w:rPr>
    </w:lvl>
    <w:lvl w:ilvl="1" w:tplc="936AD9C2" w:tentative="1">
      <w:start w:val="1"/>
      <w:numFmt w:val="bullet"/>
      <w:lvlText w:val="•"/>
      <w:lvlJc w:val="left"/>
      <w:pPr>
        <w:tabs>
          <w:tab w:val="num" w:pos="1440"/>
        </w:tabs>
        <w:ind w:left="1440" w:hanging="360"/>
      </w:pPr>
      <w:rPr>
        <w:rFonts w:ascii="Arial" w:hAnsi="Arial" w:hint="default"/>
      </w:rPr>
    </w:lvl>
    <w:lvl w:ilvl="2" w:tplc="8286B16E" w:tentative="1">
      <w:start w:val="1"/>
      <w:numFmt w:val="bullet"/>
      <w:lvlText w:val="•"/>
      <w:lvlJc w:val="left"/>
      <w:pPr>
        <w:tabs>
          <w:tab w:val="num" w:pos="2160"/>
        </w:tabs>
        <w:ind w:left="2160" w:hanging="360"/>
      </w:pPr>
      <w:rPr>
        <w:rFonts w:ascii="Arial" w:hAnsi="Arial" w:hint="default"/>
      </w:rPr>
    </w:lvl>
    <w:lvl w:ilvl="3" w:tplc="572C949E" w:tentative="1">
      <w:start w:val="1"/>
      <w:numFmt w:val="bullet"/>
      <w:lvlText w:val="•"/>
      <w:lvlJc w:val="left"/>
      <w:pPr>
        <w:tabs>
          <w:tab w:val="num" w:pos="2880"/>
        </w:tabs>
        <w:ind w:left="2880" w:hanging="360"/>
      </w:pPr>
      <w:rPr>
        <w:rFonts w:ascii="Arial" w:hAnsi="Arial" w:hint="default"/>
      </w:rPr>
    </w:lvl>
    <w:lvl w:ilvl="4" w:tplc="194CD970" w:tentative="1">
      <w:start w:val="1"/>
      <w:numFmt w:val="bullet"/>
      <w:lvlText w:val="•"/>
      <w:lvlJc w:val="left"/>
      <w:pPr>
        <w:tabs>
          <w:tab w:val="num" w:pos="3600"/>
        </w:tabs>
        <w:ind w:left="3600" w:hanging="360"/>
      </w:pPr>
      <w:rPr>
        <w:rFonts w:ascii="Arial" w:hAnsi="Arial" w:hint="default"/>
      </w:rPr>
    </w:lvl>
    <w:lvl w:ilvl="5" w:tplc="2E3ACBF6" w:tentative="1">
      <w:start w:val="1"/>
      <w:numFmt w:val="bullet"/>
      <w:lvlText w:val="•"/>
      <w:lvlJc w:val="left"/>
      <w:pPr>
        <w:tabs>
          <w:tab w:val="num" w:pos="4320"/>
        </w:tabs>
        <w:ind w:left="4320" w:hanging="360"/>
      </w:pPr>
      <w:rPr>
        <w:rFonts w:ascii="Arial" w:hAnsi="Arial" w:hint="default"/>
      </w:rPr>
    </w:lvl>
    <w:lvl w:ilvl="6" w:tplc="4A74C16A" w:tentative="1">
      <w:start w:val="1"/>
      <w:numFmt w:val="bullet"/>
      <w:lvlText w:val="•"/>
      <w:lvlJc w:val="left"/>
      <w:pPr>
        <w:tabs>
          <w:tab w:val="num" w:pos="5040"/>
        </w:tabs>
        <w:ind w:left="5040" w:hanging="360"/>
      </w:pPr>
      <w:rPr>
        <w:rFonts w:ascii="Arial" w:hAnsi="Arial" w:hint="default"/>
      </w:rPr>
    </w:lvl>
    <w:lvl w:ilvl="7" w:tplc="73088948" w:tentative="1">
      <w:start w:val="1"/>
      <w:numFmt w:val="bullet"/>
      <w:lvlText w:val="•"/>
      <w:lvlJc w:val="left"/>
      <w:pPr>
        <w:tabs>
          <w:tab w:val="num" w:pos="5760"/>
        </w:tabs>
        <w:ind w:left="5760" w:hanging="360"/>
      </w:pPr>
      <w:rPr>
        <w:rFonts w:ascii="Arial" w:hAnsi="Arial" w:hint="default"/>
      </w:rPr>
    </w:lvl>
    <w:lvl w:ilvl="8" w:tplc="21A666B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CA7A7E"/>
    <w:multiLevelType w:val="hybridMultilevel"/>
    <w:tmpl w:val="02167E5A"/>
    <w:lvl w:ilvl="0" w:tplc="A0D491B8">
      <w:start w:val="1"/>
      <w:numFmt w:val="bullet"/>
      <w:lvlText w:val="•"/>
      <w:lvlJc w:val="left"/>
      <w:pPr>
        <w:tabs>
          <w:tab w:val="num" w:pos="720"/>
        </w:tabs>
        <w:ind w:left="720" w:hanging="360"/>
      </w:pPr>
      <w:rPr>
        <w:rFonts w:ascii="Arial" w:hAnsi="Arial" w:hint="default"/>
      </w:rPr>
    </w:lvl>
    <w:lvl w:ilvl="1" w:tplc="A5180070" w:tentative="1">
      <w:start w:val="1"/>
      <w:numFmt w:val="bullet"/>
      <w:lvlText w:val="•"/>
      <w:lvlJc w:val="left"/>
      <w:pPr>
        <w:tabs>
          <w:tab w:val="num" w:pos="1440"/>
        </w:tabs>
        <w:ind w:left="1440" w:hanging="360"/>
      </w:pPr>
      <w:rPr>
        <w:rFonts w:ascii="Arial" w:hAnsi="Arial" w:hint="default"/>
      </w:rPr>
    </w:lvl>
    <w:lvl w:ilvl="2" w:tplc="2742617A" w:tentative="1">
      <w:start w:val="1"/>
      <w:numFmt w:val="bullet"/>
      <w:lvlText w:val="•"/>
      <w:lvlJc w:val="left"/>
      <w:pPr>
        <w:tabs>
          <w:tab w:val="num" w:pos="2160"/>
        </w:tabs>
        <w:ind w:left="2160" w:hanging="360"/>
      </w:pPr>
      <w:rPr>
        <w:rFonts w:ascii="Arial" w:hAnsi="Arial" w:hint="default"/>
      </w:rPr>
    </w:lvl>
    <w:lvl w:ilvl="3" w:tplc="FA30A418" w:tentative="1">
      <w:start w:val="1"/>
      <w:numFmt w:val="bullet"/>
      <w:lvlText w:val="•"/>
      <w:lvlJc w:val="left"/>
      <w:pPr>
        <w:tabs>
          <w:tab w:val="num" w:pos="2880"/>
        </w:tabs>
        <w:ind w:left="2880" w:hanging="360"/>
      </w:pPr>
      <w:rPr>
        <w:rFonts w:ascii="Arial" w:hAnsi="Arial" w:hint="default"/>
      </w:rPr>
    </w:lvl>
    <w:lvl w:ilvl="4" w:tplc="B74210DC" w:tentative="1">
      <w:start w:val="1"/>
      <w:numFmt w:val="bullet"/>
      <w:lvlText w:val="•"/>
      <w:lvlJc w:val="left"/>
      <w:pPr>
        <w:tabs>
          <w:tab w:val="num" w:pos="3600"/>
        </w:tabs>
        <w:ind w:left="3600" w:hanging="360"/>
      </w:pPr>
      <w:rPr>
        <w:rFonts w:ascii="Arial" w:hAnsi="Arial" w:hint="default"/>
      </w:rPr>
    </w:lvl>
    <w:lvl w:ilvl="5" w:tplc="25FCB126" w:tentative="1">
      <w:start w:val="1"/>
      <w:numFmt w:val="bullet"/>
      <w:lvlText w:val="•"/>
      <w:lvlJc w:val="left"/>
      <w:pPr>
        <w:tabs>
          <w:tab w:val="num" w:pos="4320"/>
        </w:tabs>
        <w:ind w:left="4320" w:hanging="360"/>
      </w:pPr>
      <w:rPr>
        <w:rFonts w:ascii="Arial" w:hAnsi="Arial" w:hint="default"/>
      </w:rPr>
    </w:lvl>
    <w:lvl w:ilvl="6" w:tplc="ACA49EDE" w:tentative="1">
      <w:start w:val="1"/>
      <w:numFmt w:val="bullet"/>
      <w:lvlText w:val="•"/>
      <w:lvlJc w:val="left"/>
      <w:pPr>
        <w:tabs>
          <w:tab w:val="num" w:pos="5040"/>
        </w:tabs>
        <w:ind w:left="5040" w:hanging="360"/>
      </w:pPr>
      <w:rPr>
        <w:rFonts w:ascii="Arial" w:hAnsi="Arial" w:hint="default"/>
      </w:rPr>
    </w:lvl>
    <w:lvl w:ilvl="7" w:tplc="1A768EBE" w:tentative="1">
      <w:start w:val="1"/>
      <w:numFmt w:val="bullet"/>
      <w:lvlText w:val="•"/>
      <w:lvlJc w:val="left"/>
      <w:pPr>
        <w:tabs>
          <w:tab w:val="num" w:pos="5760"/>
        </w:tabs>
        <w:ind w:left="5760" w:hanging="360"/>
      </w:pPr>
      <w:rPr>
        <w:rFonts w:ascii="Arial" w:hAnsi="Arial" w:hint="default"/>
      </w:rPr>
    </w:lvl>
    <w:lvl w:ilvl="8" w:tplc="8C8686C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070560"/>
    <w:multiLevelType w:val="hybridMultilevel"/>
    <w:tmpl w:val="CFD82A78"/>
    <w:lvl w:ilvl="0" w:tplc="93721E70">
      <w:start w:val="1"/>
      <w:numFmt w:val="bullet"/>
      <w:lvlText w:val="•"/>
      <w:lvlJc w:val="left"/>
      <w:pPr>
        <w:tabs>
          <w:tab w:val="num" w:pos="720"/>
        </w:tabs>
        <w:ind w:left="720" w:hanging="360"/>
      </w:pPr>
      <w:rPr>
        <w:rFonts w:ascii="Arial" w:hAnsi="Arial" w:hint="default"/>
      </w:rPr>
    </w:lvl>
    <w:lvl w:ilvl="1" w:tplc="00CC0826" w:tentative="1">
      <w:start w:val="1"/>
      <w:numFmt w:val="bullet"/>
      <w:lvlText w:val="•"/>
      <w:lvlJc w:val="left"/>
      <w:pPr>
        <w:tabs>
          <w:tab w:val="num" w:pos="1440"/>
        </w:tabs>
        <w:ind w:left="1440" w:hanging="360"/>
      </w:pPr>
      <w:rPr>
        <w:rFonts w:ascii="Arial" w:hAnsi="Arial" w:hint="default"/>
      </w:rPr>
    </w:lvl>
    <w:lvl w:ilvl="2" w:tplc="119A7DE6" w:tentative="1">
      <w:start w:val="1"/>
      <w:numFmt w:val="bullet"/>
      <w:lvlText w:val="•"/>
      <w:lvlJc w:val="left"/>
      <w:pPr>
        <w:tabs>
          <w:tab w:val="num" w:pos="2160"/>
        </w:tabs>
        <w:ind w:left="2160" w:hanging="360"/>
      </w:pPr>
      <w:rPr>
        <w:rFonts w:ascii="Arial" w:hAnsi="Arial" w:hint="default"/>
      </w:rPr>
    </w:lvl>
    <w:lvl w:ilvl="3" w:tplc="4FD4C82C" w:tentative="1">
      <w:start w:val="1"/>
      <w:numFmt w:val="bullet"/>
      <w:lvlText w:val="•"/>
      <w:lvlJc w:val="left"/>
      <w:pPr>
        <w:tabs>
          <w:tab w:val="num" w:pos="2880"/>
        </w:tabs>
        <w:ind w:left="2880" w:hanging="360"/>
      </w:pPr>
      <w:rPr>
        <w:rFonts w:ascii="Arial" w:hAnsi="Arial" w:hint="default"/>
      </w:rPr>
    </w:lvl>
    <w:lvl w:ilvl="4" w:tplc="FCC25BE6" w:tentative="1">
      <w:start w:val="1"/>
      <w:numFmt w:val="bullet"/>
      <w:lvlText w:val="•"/>
      <w:lvlJc w:val="left"/>
      <w:pPr>
        <w:tabs>
          <w:tab w:val="num" w:pos="3600"/>
        </w:tabs>
        <w:ind w:left="3600" w:hanging="360"/>
      </w:pPr>
      <w:rPr>
        <w:rFonts w:ascii="Arial" w:hAnsi="Arial" w:hint="default"/>
      </w:rPr>
    </w:lvl>
    <w:lvl w:ilvl="5" w:tplc="D862B5E8" w:tentative="1">
      <w:start w:val="1"/>
      <w:numFmt w:val="bullet"/>
      <w:lvlText w:val="•"/>
      <w:lvlJc w:val="left"/>
      <w:pPr>
        <w:tabs>
          <w:tab w:val="num" w:pos="4320"/>
        </w:tabs>
        <w:ind w:left="4320" w:hanging="360"/>
      </w:pPr>
      <w:rPr>
        <w:rFonts w:ascii="Arial" w:hAnsi="Arial" w:hint="default"/>
      </w:rPr>
    </w:lvl>
    <w:lvl w:ilvl="6" w:tplc="0D90C8A8" w:tentative="1">
      <w:start w:val="1"/>
      <w:numFmt w:val="bullet"/>
      <w:lvlText w:val="•"/>
      <w:lvlJc w:val="left"/>
      <w:pPr>
        <w:tabs>
          <w:tab w:val="num" w:pos="5040"/>
        </w:tabs>
        <w:ind w:left="5040" w:hanging="360"/>
      </w:pPr>
      <w:rPr>
        <w:rFonts w:ascii="Arial" w:hAnsi="Arial" w:hint="default"/>
      </w:rPr>
    </w:lvl>
    <w:lvl w:ilvl="7" w:tplc="494EAC16" w:tentative="1">
      <w:start w:val="1"/>
      <w:numFmt w:val="bullet"/>
      <w:lvlText w:val="•"/>
      <w:lvlJc w:val="left"/>
      <w:pPr>
        <w:tabs>
          <w:tab w:val="num" w:pos="5760"/>
        </w:tabs>
        <w:ind w:left="5760" w:hanging="360"/>
      </w:pPr>
      <w:rPr>
        <w:rFonts w:ascii="Arial" w:hAnsi="Arial" w:hint="default"/>
      </w:rPr>
    </w:lvl>
    <w:lvl w:ilvl="8" w:tplc="4608378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37F4230"/>
    <w:multiLevelType w:val="hybridMultilevel"/>
    <w:tmpl w:val="A2D2E9F0"/>
    <w:lvl w:ilvl="0" w:tplc="7AF46A72">
      <w:start w:val="1"/>
      <w:numFmt w:val="upperRoman"/>
      <w:lvlText w:val="%1."/>
      <w:lvlJc w:val="left"/>
      <w:pPr>
        <w:ind w:left="720" w:hanging="720"/>
      </w:pPr>
      <w:rPr>
        <w:rFonts w:hint="default"/>
        <w:b/>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095C4A"/>
    <w:multiLevelType w:val="hybridMultilevel"/>
    <w:tmpl w:val="7946D8C8"/>
    <w:lvl w:ilvl="0" w:tplc="F98CF2EE">
      <w:start w:val="1"/>
      <w:numFmt w:val="bullet"/>
      <w:lvlText w:val="•"/>
      <w:lvlJc w:val="left"/>
      <w:pPr>
        <w:tabs>
          <w:tab w:val="num" w:pos="720"/>
        </w:tabs>
        <w:ind w:left="720" w:hanging="360"/>
      </w:pPr>
      <w:rPr>
        <w:rFonts w:ascii="Arial" w:hAnsi="Arial" w:hint="default"/>
      </w:rPr>
    </w:lvl>
    <w:lvl w:ilvl="1" w:tplc="219A78DA" w:tentative="1">
      <w:start w:val="1"/>
      <w:numFmt w:val="bullet"/>
      <w:lvlText w:val="•"/>
      <w:lvlJc w:val="left"/>
      <w:pPr>
        <w:tabs>
          <w:tab w:val="num" w:pos="1440"/>
        </w:tabs>
        <w:ind w:left="1440" w:hanging="360"/>
      </w:pPr>
      <w:rPr>
        <w:rFonts w:ascii="Arial" w:hAnsi="Arial" w:hint="default"/>
      </w:rPr>
    </w:lvl>
    <w:lvl w:ilvl="2" w:tplc="D3BC4B3C" w:tentative="1">
      <w:start w:val="1"/>
      <w:numFmt w:val="bullet"/>
      <w:lvlText w:val="•"/>
      <w:lvlJc w:val="left"/>
      <w:pPr>
        <w:tabs>
          <w:tab w:val="num" w:pos="2160"/>
        </w:tabs>
        <w:ind w:left="2160" w:hanging="360"/>
      </w:pPr>
      <w:rPr>
        <w:rFonts w:ascii="Arial" w:hAnsi="Arial" w:hint="default"/>
      </w:rPr>
    </w:lvl>
    <w:lvl w:ilvl="3" w:tplc="C9F8AD6C" w:tentative="1">
      <w:start w:val="1"/>
      <w:numFmt w:val="bullet"/>
      <w:lvlText w:val="•"/>
      <w:lvlJc w:val="left"/>
      <w:pPr>
        <w:tabs>
          <w:tab w:val="num" w:pos="2880"/>
        </w:tabs>
        <w:ind w:left="2880" w:hanging="360"/>
      </w:pPr>
      <w:rPr>
        <w:rFonts w:ascii="Arial" w:hAnsi="Arial" w:hint="default"/>
      </w:rPr>
    </w:lvl>
    <w:lvl w:ilvl="4" w:tplc="BC8CC59A" w:tentative="1">
      <w:start w:val="1"/>
      <w:numFmt w:val="bullet"/>
      <w:lvlText w:val="•"/>
      <w:lvlJc w:val="left"/>
      <w:pPr>
        <w:tabs>
          <w:tab w:val="num" w:pos="3600"/>
        </w:tabs>
        <w:ind w:left="3600" w:hanging="360"/>
      </w:pPr>
      <w:rPr>
        <w:rFonts w:ascii="Arial" w:hAnsi="Arial" w:hint="default"/>
      </w:rPr>
    </w:lvl>
    <w:lvl w:ilvl="5" w:tplc="333873E8" w:tentative="1">
      <w:start w:val="1"/>
      <w:numFmt w:val="bullet"/>
      <w:lvlText w:val="•"/>
      <w:lvlJc w:val="left"/>
      <w:pPr>
        <w:tabs>
          <w:tab w:val="num" w:pos="4320"/>
        </w:tabs>
        <w:ind w:left="4320" w:hanging="360"/>
      </w:pPr>
      <w:rPr>
        <w:rFonts w:ascii="Arial" w:hAnsi="Arial" w:hint="default"/>
      </w:rPr>
    </w:lvl>
    <w:lvl w:ilvl="6" w:tplc="EB8CF270" w:tentative="1">
      <w:start w:val="1"/>
      <w:numFmt w:val="bullet"/>
      <w:lvlText w:val="•"/>
      <w:lvlJc w:val="left"/>
      <w:pPr>
        <w:tabs>
          <w:tab w:val="num" w:pos="5040"/>
        </w:tabs>
        <w:ind w:left="5040" w:hanging="360"/>
      </w:pPr>
      <w:rPr>
        <w:rFonts w:ascii="Arial" w:hAnsi="Arial" w:hint="default"/>
      </w:rPr>
    </w:lvl>
    <w:lvl w:ilvl="7" w:tplc="4E80D99A" w:tentative="1">
      <w:start w:val="1"/>
      <w:numFmt w:val="bullet"/>
      <w:lvlText w:val="•"/>
      <w:lvlJc w:val="left"/>
      <w:pPr>
        <w:tabs>
          <w:tab w:val="num" w:pos="5760"/>
        </w:tabs>
        <w:ind w:left="5760" w:hanging="360"/>
      </w:pPr>
      <w:rPr>
        <w:rFonts w:ascii="Arial" w:hAnsi="Arial" w:hint="default"/>
      </w:rPr>
    </w:lvl>
    <w:lvl w:ilvl="8" w:tplc="669A7EB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6F04C96"/>
    <w:multiLevelType w:val="hybridMultilevel"/>
    <w:tmpl w:val="AFBEACEC"/>
    <w:lvl w:ilvl="0" w:tplc="6F4AFEB0">
      <w:start w:val="1"/>
      <w:numFmt w:val="bullet"/>
      <w:lvlText w:val="•"/>
      <w:lvlJc w:val="left"/>
      <w:pPr>
        <w:tabs>
          <w:tab w:val="num" w:pos="720"/>
        </w:tabs>
        <w:ind w:left="720" w:hanging="360"/>
      </w:pPr>
      <w:rPr>
        <w:rFonts w:ascii="Arial" w:hAnsi="Arial" w:hint="default"/>
      </w:rPr>
    </w:lvl>
    <w:lvl w:ilvl="1" w:tplc="50C60CA0" w:tentative="1">
      <w:start w:val="1"/>
      <w:numFmt w:val="bullet"/>
      <w:lvlText w:val="•"/>
      <w:lvlJc w:val="left"/>
      <w:pPr>
        <w:tabs>
          <w:tab w:val="num" w:pos="1440"/>
        </w:tabs>
        <w:ind w:left="1440" w:hanging="360"/>
      </w:pPr>
      <w:rPr>
        <w:rFonts w:ascii="Arial" w:hAnsi="Arial" w:hint="default"/>
      </w:rPr>
    </w:lvl>
    <w:lvl w:ilvl="2" w:tplc="9B049104" w:tentative="1">
      <w:start w:val="1"/>
      <w:numFmt w:val="bullet"/>
      <w:lvlText w:val="•"/>
      <w:lvlJc w:val="left"/>
      <w:pPr>
        <w:tabs>
          <w:tab w:val="num" w:pos="2160"/>
        </w:tabs>
        <w:ind w:left="2160" w:hanging="360"/>
      </w:pPr>
      <w:rPr>
        <w:rFonts w:ascii="Arial" w:hAnsi="Arial" w:hint="default"/>
      </w:rPr>
    </w:lvl>
    <w:lvl w:ilvl="3" w:tplc="BE0E9502" w:tentative="1">
      <w:start w:val="1"/>
      <w:numFmt w:val="bullet"/>
      <w:lvlText w:val="•"/>
      <w:lvlJc w:val="left"/>
      <w:pPr>
        <w:tabs>
          <w:tab w:val="num" w:pos="2880"/>
        </w:tabs>
        <w:ind w:left="2880" w:hanging="360"/>
      </w:pPr>
      <w:rPr>
        <w:rFonts w:ascii="Arial" w:hAnsi="Arial" w:hint="default"/>
      </w:rPr>
    </w:lvl>
    <w:lvl w:ilvl="4" w:tplc="08201F7E" w:tentative="1">
      <w:start w:val="1"/>
      <w:numFmt w:val="bullet"/>
      <w:lvlText w:val="•"/>
      <w:lvlJc w:val="left"/>
      <w:pPr>
        <w:tabs>
          <w:tab w:val="num" w:pos="3600"/>
        </w:tabs>
        <w:ind w:left="3600" w:hanging="360"/>
      </w:pPr>
      <w:rPr>
        <w:rFonts w:ascii="Arial" w:hAnsi="Arial" w:hint="default"/>
      </w:rPr>
    </w:lvl>
    <w:lvl w:ilvl="5" w:tplc="909C284E" w:tentative="1">
      <w:start w:val="1"/>
      <w:numFmt w:val="bullet"/>
      <w:lvlText w:val="•"/>
      <w:lvlJc w:val="left"/>
      <w:pPr>
        <w:tabs>
          <w:tab w:val="num" w:pos="4320"/>
        </w:tabs>
        <w:ind w:left="4320" w:hanging="360"/>
      </w:pPr>
      <w:rPr>
        <w:rFonts w:ascii="Arial" w:hAnsi="Arial" w:hint="default"/>
      </w:rPr>
    </w:lvl>
    <w:lvl w:ilvl="6" w:tplc="C430114E" w:tentative="1">
      <w:start w:val="1"/>
      <w:numFmt w:val="bullet"/>
      <w:lvlText w:val="•"/>
      <w:lvlJc w:val="left"/>
      <w:pPr>
        <w:tabs>
          <w:tab w:val="num" w:pos="5040"/>
        </w:tabs>
        <w:ind w:left="5040" w:hanging="360"/>
      </w:pPr>
      <w:rPr>
        <w:rFonts w:ascii="Arial" w:hAnsi="Arial" w:hint="default"/>
      </w:rPr>
    </w:lvl>
    <w:lvl w:ilvl="7" w:tplc="3EB41452" w:tentative="1">
      <w:start w:val="1"/>
      <w:numFmt w:val="bullet"/>
      <w:lvlText w:val="•"/>
      <w:lvlJc w:val="left"/>
      <w:pPr>
        <w:tabs>
          <w:tab w:val="num" w:pos="5760"/>
        </w:tabs>
        <w:ind w:left="5760" w:hanging="360"/>
      </w:pPr>
      <w:rPr>
        <w:rFonts w:ascii="Arial" w:hAnsi="Arial" w:hint="default"/>
      </w:rPr>
    </w:lvl>
    <w:lvl w:ilvl="8" w:tplc="00B2EB7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8B52635"/>
    <w:multiLevelType w:val="hybridMultilevel"/>
    <w:tmpl w:val="F904D304"/>
    <w:lvl w:ilvl="0" w:tplc="B73AD5E2">
      <w:start w:val="1"/>
      <w:numFmt w:val="bullet"/>
      <w:lvlText w:val="•"/>
      <w:lvlJc w:val="left"/>
      <w:pPr>
        <w:tabs>
          <w:tab w:val="num" w:pos="720"/>
        </w:tabs>
        <w:ind w:left="720" w:hanging="360"/>
      </w:pPr>
      <w:rPr>
        <w:rFonts w:ascii="Arial" w:hAnsi="Arial" w:hint="default"/>
      </w:rPr>
    </w:lvl>
    <w:lvl w:ilvl="1" w:tplc="D2D6FE60" w:tentative="1">
      <w:start w:val="1"/>
      <w:numFmt w:val="bullet"/>
      <w:lvlText w:val="•"/>
      <w:lvlJc w:val="left"/>
      <w:pPr>
        <w:tabs>
          <w:tab w:val="num" w:pos="1440"/>
        </w:tabs>
        <w:ind w:left="1440" w:hanging="360"/>
      </w:pPr>
      <w:rPr>
        <w:rFonts w:ascii="Arial" w:hAnsi="Arial" w:hint="default"/>
      </w:rPr>
    </w:lvl>
    <w:lvl w:ilvl="2" w:tplc="6E426570" w:tentative="1">
      <w:start w:val="1"/>
      <w:numFmt w:val="bullet"/>
      <w:lvlText w:val="•"/>
      <w:lvlJc w:val="left"/>
      <w:pPr>
        <w:tabs>
          <w:tab w:val="num" w:pos="2160"/>
        </w:tabs>
        <w:ind w:left="2160" w:hanging="360"/>
      </w:pPr>
      <w:rPr>
        <w:rFonts w:ascii="Arial" w:hAnsi="Arial" w:hint="default"/>
      </w:rPr>
    </w:lvl>
    <w:lvl w:ilvl="3" w:tplc="EE3275C2" w:tentative="1">
      <w:start w:val="1"/>
      <w:numFmt w:val="bullet"/>
      <w:lvlText w:val="•"/>
      <w:lvlJc w:val="left"/>
      <w:pPr>
        <w:tabs>
          <w:tab w:val="num" w:pos="2880"/>
        </w:tabs>
        <w:ind w:left="2880" w:hanging="360"/>
      </w:pPr>
      <w:rPr>
        <w:rFonts w:ascii="Arial" w:hAnsi="Arial" w:hint="default"/>
      </w:rPr>
    </w:lvl>
    <w:lvl w:ilvl="4" w:tplc="2C7621DE" w:tentative="1">
      <w:start w:val="1"/>
      <w:numFmt w:val="bullet"/>
      <w:lvlText w:val="•"/>
      <w:lvlJc w:val="left"/>
      <w:pPr>
        <w:tabs>
          <w:tab w:val="num" w:pos="3600"/>
        </w:tabs>
        <w:ind w:left="3600" w:hanging="360"/>
      </w:pPr>
      <w:rPr>
        <w:rFonts w:ascii="Arial" w:hAnsi="Arial" w:hint="default"/>
      </w:rPr>
    </w:lvl>
    <w:lvl w:ilvl="5" w:tplc="9C969B32" w:tentative="1">
      <w:start w:val="1"/>
      <w:numFmt w:val="bullet"/>
      <w:lvlText w:val="•"/>
      <w:lvlJc w:val="left"/>
      <w:pPr>
        <w:tabs>
          <w:tab w:val="num" w:pos="4320"/>
        </w:tabs>
        <w:ind w:left="4320" w:hanging="360"/>
      </w:pPr>
      <w:rPr>
        <w:rFonts w:ascii="Arial" w:hAnsi="Arial" w:hint="default"/>
      </w:rPr>
    </w:lvl>
    <w:lvl w:ilvl="6" w:tplc="5A76DA28" w:tentative="1">
      <w:start w:val="1"/>
      <w:numFmt w:val="bullet"/>
      <w:lvlText w:val="•"/>
      <w:lvlJc w:val="left"/>
      <w:pPr>
        <w:tabs>
          <w:tab w:val="num" w:pos="5040"/>
        </w:tabs>
        <w:ind w:left="5040" w:hanging="360"/>
      </w:pPr>
      <w:rPr>
        <w:rFonts w:ascii="Arial" w:hAnsi="Arial" w:hint="default"/>
      </w:rPr>
    </w:lvl>
    <w:lvl w:ilvl="7" w:tplc="B4B2C708" w:tentative="1">
      <w:start w:val="1"/>
      <w:numFmt w:val="bullet"/>
      <w:lvlText w:val="•"/>
      <w:lvlJc w:val="left"/>
      <w:pPr>
        <w:tabs>
          <w:tab w:val="num" w:pos="5760"/>
        </w:tabs>
        <w:ind w:left="5760" w:hanging="360"/>
      </w:pPr>
      <w:rPr>
        <w:rFonts w:ascii="Arial" w:hAnsi="Arial" w:hint="default"/>
      </w:rPr>
    </w:lvl>
    <w:lvl w:ilvl="8" w:tplc="070EF54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A337DEE"/>
    <w:multiLevelType w:val="hybridMultilevel"/>
    <w:tmpl w:val="B4BAC216"/>
    <w:lvl w:ilvl="0" w:tplc="63C02EB8">
      <w:start w:val="1"/>
      <w:numFmt w:val="bullet"/>
      <w:lvlText w:val="•"/>
      <w:lvlJc w:val="left"/>
      <w:pPr>
        <w:tabs>
          <w:tab w:val="num" w:pos="720"/>
        </w:tabs>
        <w:ind w:left="720" w:hanging="360"/>
      </w:pPr>
      <w:rPr>
        <w:rFonts w:ascii="Arial" w:hAnsi="Arial" w:hint="default"/>
      </w:rPr>
    </w:lvl>
    <w:lvl w:ilvl="1" w:tplc="D6086858" w:tentative="1">
      <w:start w:val="1"/>
      <w:numFmt w:val="bullet"/>
      <w:lvlText w:val="•"/>
      <w:lvlJc w:val="left"/>
      <w:pPr>
        <w:tabs>
          <w:tab w:val="num" w:pos="1440"/>
        </w:tabs>
        <w:ind w:left="1440" w:hanging="360"/>
      </w:pPr>
      <w:rPr>
        <w:rFonts w:ascii="Arial" w:hAnsi="Arial" w:hint="default"/>
      </w:rPr>
    </w:lvl>
    <w:lvl w:ilvl="2" w:tplc="5BF688A6" w:tentative="1">
      <w:start w:val="1"/>
      <w:numFmt w:val="bullet"/>
      <w:lvlText w:val="•"/>
      <w:lvlJc w:val="left"/>
      <w:pPr>
        <w:tabs>
          <w:tab w:val="num" w:pos="2160"/>
        </w:tabs>
        <w:ind w:left="2160" w:hanging="360"/>
      </w:pPr>
      <w:rPr>
        <w:rFonts w:ascii="Arial" w:hAnsi="Arial" w:hint="default"/>
      </w:rPr>
    </w:lvl>
    <w:lvl w:ilvl="3" w:tplc="A9F6AF56" w:tentative="1">
      <w:start w:val="1"/>
      <w:numFmt w:val="bullet"/>
      <w:lvlText w:val="•"/>
      <w:lvlJc w:val="left"/>
      <w:pPr>
        <w:tabs>
          <w:tab w:val="num" w:pos="2880"/>
        </w:tabs>
        <w:ind w:left="2880" w:hanging="360"/>
      </w:pPr>
      <w:rPr>
        <w:rFonts w:ascii="Arial" w:hAnsi="Arial" w:hint="default"/>
      </w:rPr>
    </w:lvl>
    <w:lvl w:ilvl="4" w:tplc="1BF0276E" w:tentative="1">
      <w:start w:val="1"/>
      <w:numFmt w:val="bullet"/>
      <w:lvlText w:val="•"/>
      <w:lvlJc w:val="left"/>
      <w:pPr>
        <w:tabs>
          <w:tab w:val="num" w:pos="3600"/>
        </w:tabs>
        <w:ind w:left="3600" w:hanging="360"/>
      </w:pPr>
      <w:rPr>
        <w:rFonts w:ascii="Arial" w:hAnsi="Arial" w:hint="default"/>
      </w:rPr>
    </w:lvl>
    <w:lvl w:ilvl="5" w:tplc="188AABDC" w:tentative="1">
      <w:start w:val="1"/>
      <w:numFmt w:val="bullet"/>
      <w:lvlText w:val="•"/>
      <w:lvlJc w:val="left"/>
      <w:pPr>
        <w:tabs>
          <w:tab w:val="num" w:pos="4320"/>
        </w:tabs>
        <w:ind w:left="4320" w:hanging="360"/>
      </w:pPr>
      <w:rPr>
        <w:rFonts w:ascii="Arial" w:hAnsi="Arial" w:hint="default"/>
      </w:rPr>
    </w:lvl>
    <w:lvl w:ilvl="6" w:tplc="AD9A757C" w:tentative="1">
      <w:start w:val="1"/>
      <w:numFmt w:val="bullet"/>
      <w:lvlText w:val="•"/>
      <w:lvlJc w:val="left"/>
      <w:pPr>
        <w:tabs>
          <w:tab w:val="num" w:pos="5040"/>
        </w:tabs>
        <w:ind w:left="5040" w:hanging="360"/>
      </w:pPr>
      <w:rPr>
        <w:rFonts w:ascii="Arial" w:hAnsi="Arial" w:hint="default"/>
      </w:rPr>
    </w:lvl>
    <w:lvl w:ilvl="7" w:tplc="86027C4A" w:tentative="1">
      <w:start w:val="1"/>
      <w:numFmt w:val="bullet"/>
      <w:lvlText w:val="•"/>
      <w:lvlJc w:val="left"/>
      <w:pPr>
        <w:tabs>
          <w:tab w:val="num" w:pos="5760"/>
        </w:tabs>
        <w:ind w:left="5760" w:hanging="360"/>
      </w:pPr>
      <w:rPr>
        <w:rFonts w:ascii="Arial" w:hAnsi="Arial" w:hint="default"/>
      </w:rPr>
    </w:lvl>
    <w:lvl w:ilvl="8" w:tplc="8E3888C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A941030"/>
    <w:multiLevelType w:val="hybridMultilevel"/>
    <w:tmpl w:val="4748ED4C"/>
    <w:lvl w:ilvl="0" w:tplc="465C9DD6">
      <w:start w:val="1"/>
      <w:numFmt w:val="bullet"/>
      <w:lvlText w:val="•"/>
      <w:lvlJc w:val="left"/>
      <w:pPr>
        <w:tabs>
          <w:tab w:val="num" w:pos="720"/>
        </w:tabs>
        <w:ind w:left="720" w:hanging="360"/>
      </w:pPr>
      <w:rPr>
        <w:rFonts w:ascii="Arial" w:hAnsi="Arial" w:hint="default"/>
      </w:rPr>
    </w:lvl>
    <w:lvl w:ilvl="1" w:tplc="A2A067AC" w:tentative="1">
      <w:start w:val="1"/>
      <w:numFmt w:val="bullet"/>
      <w:lvlText w:val="•"/>
      <w:lvlJc w:val="left"/>
      <w:pPr>
        <w:tabs>
          <w:tab w:val="num" w:pos="1440"/>
        </w:tabs>
        <w:ind w:left="1440" w:hanging="360"/>
      </w:pPr>
      <w:rPr>
        <w:rFonts w:ascii="Arial" w:hAnsi="Arial" w:hint="default"/>
      </w:rPr>
    </w:lvl>
    <w:lvl w:ilvl="2" w:tplc="878ED672" w:tentative="1">
      <w:start w:val="1"/>
      <w:numFmt w:val="bullet"/>
      <w:lvlText w:val="•"/>
      <w:lvlJc w:val="left"/>
      <w:pPr>
        <w:tabs>
          <w:tab w:val="num" w:pos="2160"/>
        </w:tabs>
        <w:ind w:left="2160" w:hanging="360"/>
      </w:pPr>
      <w:rPr>
        <w:rFonts w:ascii="Arial" w:hAnsi="Arial" w:hint="default"/>
      </w:rPr>
    </w:lvl>
    <w:lvl w:ilvl="3" w:tplc="79F64226" w:tentative="1">
      <w:start w:val="1"/>
      <w:numFmt w:val="bullet"/>
      <w:lvlText w:val="•"/>
      <w:lvlJc w:val="left"/>
      <w:pPr>
        <w:tabs>
          <w:tab w:val="num" w:pos="2880"/>
        </w:tabs>
        <w:ind w:left="2880" w:hanging="360"/>
      </w:pPr>
      <w:rPr>
        <w:rFonts w:ascii="Arial" w:hAnsi="Arial" w:hint="default"/>
      </w:rPr>
    </w:lvl>
    <w:lvl w:ilvl="4" w:tplc="3D38EC80" w:tentative="1">
      <w:start w:val="1"/>
      <w:numFmt w:val="bullet"/>
      <w:lvlText w:val="•"/>
      <w:lvlJc w:val="left"/>
      <w:pPr>
        <w:tabs>
          <w:tab w:val="num" w:pos="3600"/>
        </w:tabs>
        <w:ind w:left="3600" w:hanging="360"/>
      </w:pPr>
      <w:rPr>
        <w:rFonts w:ascii="Arial" w:hAnsi="Arial" w:hint="default"/>
      </w:rPr>
    </w:lvl>
    <w:lvl w:ilvl="5" w:tplc="B0E6EB3E" w:tentative="1">
      <w:start w:val="1"/>
      <w:numFmt w:val="bullet"/>
      <w:lvlText w:val="•"/>
      <w:lvlJc w:val="left"/>
      <w:pPr>
        <w:tabs>
          <w:tab w:val="num" w:pos="4320"/>
        </w:tabs>
        <w:ind w:left="4320" w:hanging="360"/>
      </w:pPr>
      <w:rPr>
        <w:rFonts w:ascii="Arial" w:hAnsi="Arial" w:hint="default"/>
      </w:rPr>
    </w:lvl>
    <w:lvl w:ilvl="6" w:tplc="34B42D88" w:tentative="1">
      <w:start w:val="1"/>
      <w:numFmt w:val="bullet"/>
      <w:lvlText w:val="•"/>
      <w:lvlJc w:val="left"/>
      <w:pPr>
        <w:tabs>
          <w:tab w:val="num" w:pos="5040"/>
        </w:tabs>
        <w:ind w:left="5040" w:hanging="360"/>
      </w:pPr>
      <w:rPr>
        <w:rFonts w:ascii="Arial" w:hAnsi="Arial" w:hint="default"/>
      </w:rPr>
    </w:lvl>
    <w:lvl w:ilvl="7" w:tplc="421A64F0" w:tentative="1">
      <w:start w:val="1"/>
      <w:numFmt w:val="bullet"/>
      <w:lvlText w:val="•"/>
      <w:lvlJc w:val="left"/>
      <w:pPr>
        <w:tabs>
          <w:tab w:val="num" w:pos="5760"/>
        </w:tabs>
        <w:ind w:left="5760" w:hanging="360"/>
      </w:pPr>
      <w:rPr>
        <w:rFonts w:ascii="Arial" w:hAnsi="Arial" w:hint="default"/>
      </w:rPr>
    </w:lvl>
    <w:lvl w:ilvl="8" w:tplc="DA06D88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B7A7957"/>
    <w:multiLevelType w:val="hybridMultilevel"/>
    <w:tmpl w:val="9D06728E"/>
    <w:lvl w:ilvl="0" w:tplc="4260DFEC">
      <w:start w:val="1"/>
      <w:numFmt w:val="bullet"/>
      <w:lvlText w:val="•"/>
      <w:lvlJc w:val="left"/>
      <w:pPr>
        <w:tabs>
          <w:tab w:val="num" w:pos="720"/>
        </w:tabs>
        <w:ind w:left="720" w:hanging="360"/>
      </w:pPr>
      <w:rPr>
        <w:rFonts w:ascii="Arial" w:hAnsi="Arial" w:hint="default"/>
      </w:rPr>
    </w:lvl>
    <w:lvl w:ilvl="1" w:tplc="027CC760" w:tentative="1">
      <w:start w:val="1"/>
      <w:numFmt w:val="bullet"/>
      <w:lvlText w:val="•"/>
      <w:lvlJc w:val="left"/>
      <w:pPr>
        <w:tabs>
          <w:tab w:val="num" w:pos="1440"/>
        </w:tabs>
        <w:ind w:left="1440" w:hanging="360"/>
      </w:pPr>
      <w:rPr>
        <w:rFonts w:ascii="Arial" w:hAnsi="Arial" w:hint="default"/>
      </w:rPr>
    </w:lvl>
    <w:lvl w:ilvl="2" w:tplc="4492FF1E" w:tentative="1">
      <w:start w:val="1"/>
      <w:numFmt w:val="bullet"/>
      <w:lvlText w:val="•"/>
      <w:lvlJc w:val="left"/>
      <w:pPr>
        <w:tabs>
          <w:tab w:val="num" w:pos="2160"/>
        </w:tabs>
        <w:ind w:left="2160" w:hanging="360"/>
      </w:pPr>
      <w:rPr>
        <w:rFonts w:ascii="Arial" w:hAnsi="Arial" w:hint="default"/>
      </w:rPr>
    </w:lvl>
    <w:lvl w:ilvl="3" w:tplc="C3F4FE96" w:tentative="1">
      <w:start w:val="1"/>
      <w:numFmt w:val="bullet"/>
      <w:lvlText w:val="•"/>
      <w:lvlJc w:val="left"/>
      <w:pPr>
        <w:tabs>
          <w:tab w:val="num" w:pos="2880"/>
        </w:tabs>
        <w:ind w:left="2880" w:hanging="360"/>
      </w:pPr>
      <w:rPr>
        <w:rFonts w:ascii="Arial" w:hAnsi="Arial" w:hint="default"/>
      </w:rPr>
    </w:lvl>
    <w:lvl w:ilvl="4" w:tplc="86EA2926" w:tentative="1">
      <w:start w:val="1"/>
      <w:numFmt w:val="bullet"/>
      <w:lvlText w:val="•"/>
      <w:lvlJc w:val="left"/>
      <w:pPr>
        <w:tabs>
          <w:tab w:val="num" w:pos="3600"/>
        </w:tabs>
        <w:ind w:left="3600" w:hanging="360"/>
      </w:pPr>
      <w:rPr>
        <w:rFonts w:ascii="Arial" w:hAnsi="Arial" w:hint="default"/>
      </w:rPr>
    </w:lvl>
    <w:lvl w:ilvl="5" w:tplc="F3B2940C" w:tentative="1">
      <w:start w:val="1"/>
      <w:numFmt w:val="bullet"/>
      <w:lvlText w:val="•"/>
      <w:lvlJc w:val="left"/>
      <w:pPr>
        <w:tabs>
          <w:tab w:val="num" w:pos="4320"/>
        </w:tabs>
        <w:ind w:left="4320" w:hanging="360"/>
      </w:pPr>
      <w:rPr>
        <w:rFonts w:ascii="Arial" w:hAnsi="Arial" w:hint="default"/>
      </w:rPr>
    </w:lvl>
    <w:lvl w:ilvl="6" w:tplc="02523FBE" w:tentative="1">
      <w:start w:val="1"/>
      <w:numFmt w:val="bullet"/>
      <w:lvlText w:val="•"/>
      <w:lvlJc w:val="left"/>
      <w:pPr>
        <w:tabs>
          <w:tab w:val="num" w:pos="5040"/>
        </w:tabs>
        <w:ind w:left="5040" w:hanging="360"/>
      </w:pPr>
      <w:rPr>
        <w:rFonts w:ascii="Arial" w:hAnsi="Arial" w:hint="default"/>
      </w:rPr>
    </w:lvl>
    <w:lvl w:ilvl="7" w:tplc="C460205C" w:tentative="1">
      <w:start w:val="1"/>
      <w:numFmt w:val="bullet"/>
      <w:lvlText w:val="•"/>
      <w:lvlJc w:val="left"/>
      <w:pPr>
        <w:tabs>
          <w:tab w:val="num" w:pos="5760"/>
        </w:tabs>
        <w:ind w:left="5760" w:hanging="360"/>
      </w:pPr>
      <w:rPr>
        <w:rFonts w:ascii="Arial" w:hAnsi="Arial" w:hint="default"/>
      </w:rPr>
    </w:lvl>
    <w:lvl w:ilvl="8" w:tplc="D3B2EFA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2F13D3"/>
    <w:multiLevelType w:val="hybridMultilevel"/>
    <w:tmpl w:val="687CDFC6"/>
    <w:lvl w:ilvl="0" w:tplc="71D6BEF4">
      <w:start w:val="1"/>
      <w:numFmt w:val="bullet"/>
      <w:lvlText w:val="•"/>
      <w:lvlJc w:val="left"/>
      <w:pPr>
        <w:tabs>
          <w:tab w:val="num" w:pos="720"/>
        </w:tabs>
        <w:ind w:left="720" w:hanging="360"/>
      </w:pPr>
      <w:rPr>
        <w:rFonts w:ascii="Arial" w:hAnsi="Arial" w:hint="default"/>
      </w:rPr>
    </w:lvl>
    <w:lvl w:ilvl="1" w:tplc="520E7110" w:tentative="1">
      <w:start w:val="1"/>
      <w:numFmt w:val="bullet"/>
      <w:lvlText w:val="•"/>
      <w:lvlJc w:val="left"/>
      <w:pPr>
        <w:tabs>
          <w:tab w:val="num" w:pos="1440"/>
        </w:tabs>
        <w:ind w:left="1440" w:hanging="360"/>
      </w:pPr>
      <w:rPr>
        <w:rFonts w:ascii="Arial" w:hAnsi="Arial" w:hint="default"/>
      </w:rPr>
    </w:lvl>
    <w:lvl w:ilvl="2" w:tplc="EC2E6510" w:tentative="1">
      <w:start w:val="1"/>
      <w:numFmt w:val="bullet"/>
      <w:lvlText w:val="•"/>
      <w:lvlJc w:val="left"/>
      <w:pPr>
        <w:tabs>
          <w:tab w:val="num" w:pos="2160"/>
        </w:tabs>
        <w:ind w:left="2160" w:hanging="360"/>
      </w:pPr>
      <w:rPr>
        <w:rFonts w:ascii="Arial" w:hAnsi="Arial" w:hint="default"/>
      </w:rPr>
    </w:lvl>
    <w:lvl w:ilvl="3" w:tplc="972E6A66" w:tentative="1">
      <w:start w:val="1"/>
      <w:numFmt w:val="bullet"/>
      <w:lvlText w:val="•"/>
      <w:lvlJc w:val="left"/>
      <w:pPr>
        <w:tabs>
          <w:tab w:val="num" w:pos="2880"/>
        </w:tabs>
        <w:ind w:left="2880" w:hanging="360"/>
      </w:pPr>
      <w:rPr>
        <w:rFonts w:ascii="Arial" w:hAnsi="Arial" w:hint="default"/>
      </w:rPr>
    </w:lvl>
    <w:lvl w:ilvl="4" w:tplc="35382B1E" w:tentative="1">
      <w:start w:val="1"/>
      <w:numFmt w:val="bullet"/>
      <w:lvlText w:val="•"/>
      <w:lvlJc w:val="left"/>
      <w:pPr>
        <w:tabs>
          <w:tab w:val="num" w:pos="3600"/>
        </w:tabs>
        <w:ind w:left="3600" w:hanging="360"/>
      </w:pPr>
      <w:rPr>
        <w:rFonts w:ascii="Arial" w:hAnsi="Arial" w:hint="default"/>
      </w:rPr>
    </w:lvl>
    <w:lvl w:ilvl="5" w:tplc="7D409EA6" w:tentative="1">
      <w:start w:val="1"/>
      <w:numFmt w:val="bullet"/>
      <w:lvlText w:val="•"/>
      <w:lvlJc w:val="left"/>
      <w:pPr>
        <w:tabs>
          <w:tab w:val="num" w:pos="4320"/>
        </w:tabs>
        <w:ind w:left="4320" w:hanging="360"/>
      </w:pPr>
      <w:rPr>
        <w:rFonts w:ascii="Arial" w:hAnsi="Arial" w:hint="default"/>
      </w:rPr>
    </w:lvl>
    <w:lvl w:ilvl="6" w:tplc="F058E9DC" w:tentative="1">
      <w:start w:val="1"/>
      <w:numFmt w:val="bullet"/>
      <w:lvlText w:val="•"/>
      <w:lvlJc w:val="left"/>
      <w:pPr>
        <w:tabs>
          <w:tab w:val="num" w:pos="5040"/>
        </w:tabs>
        <w:ind w:left="5040" w:hanging="360"/>
      </w:pPr>
      <w:rPr>
        <w:rFonts w:ascii="Arial" w:hAnsi="Arial" w:hint="default"/>
      </w:rPr>
    </w:lvl>
    <w:lvl w:ilvl="7" w:tplc="2FA67E20" w:tentative="1">
      <w:start w:val="1"/>
      <w:numFmt w:val="bullet"/>
      <w:lvlText w:val="•"/>
      <w:lvlJc w:val="left"/>
      <w:pPr>
        <w:tabs>
          <w:tab w:val="num" w:pos="5760"/>
        </w:tabs>
        <w:ind w:left="5760" w:hanging="360"/>
      </w:pPr>
      <w:rPr>
        <w:rFonts w:ascii="Arial" w:hAnsi="Arial" w:hint="default"/>
      </w:rPr>
    </w:lvl>
    <w:lvl w:ilvl="8" w:tplc="2BFAA54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CC17CEF"/>
    <w:multiLevelType w:val="hybridMultilevel"/>
    <w:tmpl w:val="856624F2"/>
    <w:lvl w:ilvl="0" w:tplc="E57A1C38">
      <w:start w:val="1"/>
      <w:numFmt w:val="bullet"/>
      <w:lvlText w:val="•"/>
      <w:lvlJc w:val="left"/>
      <w:pPr>
        <w:tabs>
          <w:tab w:val="num" w:pos="720"/>
        </w:tabs>
        <w:ind w:left="720" w:hanging="360"/>
      </w:pPr>
      <w:rPr>
        <w:rFonts w:ascii="Arial" w:hAnsi="Arial" w:hint="default"/>
      </w:rPr>
    </w:lvl>
    <w:lvl w:ilvl="1" w:tplc="DB5E5C42" w:tentative="1">
      <w:start w:val="1"/>
      <w:numFmt w:val="bullet"/>
      <w:lvlText w:val="•"/>
      <w:lvlJc w:val="left"/>
      <w:pPr>
        <w:tabs>
          <w:tab w:val="num" w:pos="1440"/>
        </w:tabs>
        <w:ind w:left="1440" w:hanging="360"/>
      </w:pPr>
      <w:rPr>
        <w:rFonts w:ascii="Arial" w:hAnsi="Arial" w:hint="default"/>
      </w:rPr>
    </w:lvl>
    <w:lvl w:ilvl="2" w:tplc="BF4070DE" w:tentative="1">
      <w:start w:val="1"/>
      <w:numFmt w:val="bullet"/>
      <w:lvlText w:val="•"/>
      <w:lvlJc w:val="left"/>
      <w:pPr>
        <w:tabs>
          <w:tab w:val="num" w:pos="2160"/>
        </w:tabs>
        <w:ind w:left="2160" w:hanging="360"/>
      </w:pPr>
      <w:rPr>
        <w:rFonts w:ascii="Arial" w:hAnsi="Arial" w:hint="default"/>
      </w:rPr>
    </w:lvl>
    <w:lvl w:ilvl="3" w:tplc="909C1AB8" w:tentative="1">
      <w:start w:val="1"/>
      <w:numFmt w:val="bullet"/>
      <w:lvlText w:val="•"/>
      <w:lvlJc w:val="left"/>
      <w:pPr>
        <w:tabs>
          <w:tab w:val="num" w:pos="2880"/>
        </w:tabs>
        <w:ind w:left="2880" w:hanging="360"/>
      </w:pPr>
      <w:rPr>
        <w:rFonts w:ascii="Arial" w:hAnsi="Arial" w:hint="default"/>
      </w:rPr>
    </w:lvl>
    <w:lvl w:ilvl="4" w:tplc="6E24C65C" w:tentative="1">
      <w:start w:val="1"/>
      <w:numFmt w:val="bullet"/>
      <w:lvlText w:val="•"/>
      <w:lvlJc w:val="left"/>
      <w:pPr>
        <w:tabs>
          <w:tab w:val="num" w:pos="3600"/>
        </w:tabs>
        <w:ind w:left="3600" w:hanging="360"/>
      </w:pPr>
      <w:rPr>
        <w:rFonts w:ascii="Arial" w:hAnsi="Arial" w:hint="default"/>
      </w:rPr>
    </w:lvl>
    <w:lvl w:ilvl="5" w:tplc="5E3A74EA" w:tentative="1">
      <w:start w:val="1"/>
      <w:numFmt w:val="bullet"/>
      <w:lvlText w:val="•"/>
      <w:lvlJc w:val="left"/>
      <w:pPr>
        <w:tabs>
          <w:tab w:val="num" w:pos="4320"/>
        </w:tabs>
        <w:ind w:left="4320" w:hanging="360"/>
      </w:pPr>
      <w:rPr>
        <w:rFonts w:ascii="Arial" w:hAnsi="Arial" w:hint="default"/>
      </w:rPr>
    </w:lvl>
    <w:lvl w:ilvl="6" w:tplc="D06A2C56" w:tentative="1">
      <w:start w:val="1"/>
      <w:numFmt w:val="bullet"/>
      <w:lvlText w:val="•"/>
      <w:lvlJc w:val="left"/>
      <w:pPr>
        <w:tabs>
          <w:tab w:val="num" w:pos="5040"/>
        </w:tabs>
        <w:ind w:left="5040" w:hanging="360"/>
      </w:pPr>
      <w:rPr>
        <w:rFonts w:ascii="Arial" w:hAnsi="Arial" w:hint="default"/>
      </w:rPr>
    </w:lvl>
    <w:lvl w:ilvl="7" w:tplc="489C1170" w:tentative="1">
      <w:start w:val="1"/>
      <w:numFmt w:val="bullet"/>
      <w:lvlText w:val="•"/>
      <w:lvlJc w:val="left"/>
      <w:pPr>
        <w:tabs>
          <w:tab w:val="num" w:pos="5760"/>
        </w:tabs>
        <w:ind w:left="5760" w:hanging="360"/>
      </w:pPr>
      <w:rPr>
        <w:rFonts w:ascii="Arial" w:hAnsi="Arial" w:hint="default"/>
      </w:rPr>
    </w:lvl>
    <w:lvl w:ilvl="8" w:tplc="53D6883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D2B4B8D"/>
    <w:multiLevelType w:val="hybridMultilevel"/>
    <w:tmpl w:val="34AAA48A"/>
    <w:lvl w:ilvl="0" w:tplc="9404C82E">
      <w:start w:val="20"/>
      <w:numFmt w:val="upperRoman"/>
      <w:lvlText w:val="%1."/>
      <w:lvlJc w:val="left"/>
      <w:pPr>
        <w:ind w:left="720" w:hanging="720"/>
      </w:pPr>
      <w:rPr>
        <w:rFonts w:hint="default"/>
        <w:b/>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2260DE"/>
    <w:multiLevelType w:val="hybridMultilevel"/>
    <w:tmpl w:val="C846987C"/>
    <w:lvl w:ilvl="0" w:tplc="5BEE3E36">
      <w:start w:val="1"/>
      <w:numFmt w:val="bullet"/>
      <w:lvlText w:val="•"/>
      <w:lvlJc w:val="left"/>
      <w:pPr>
        <w:tabs>
          <w:tab w:val="num" w:pos="720"/>
        </w:tabs>
        <w:ind w:left="720" w:hanging="360"/>
      </w:pPr>
      <w:rPr>
        <w:rFonts w:ascii="Arial" w:hAnsi="Arial" w:hint="default"/>
      </w:rPr>
    </w:lvl>
    <w:lvl w:ilvl="1" w:tplc="F1144746" w:tentative="1">
      <w:start w:val="1"/>
      <w:numFmt w:val="bullet"/>
      <w:lvlText w:val="•"/>
      <w:lvlJc w:val="left"/>
      <w:pPr>
        <w:tabs>
          <w:tab w:val="num" w:pos="1440"/>
        </w:tabs>
        <w:ind w:left="1440" w:hanging="360"/>
      </w:pPr>
      <w:rPr>
        <w:rFonts w:ascii="Arial" w:hAnsi="Arial" w:hint="default"/>
      </w:rPr>
    </w:lvl>
    <w:lvl w:ilvl="2" w:tplc="BE660538" w:tentative="1">
      <w:start w:val="1"/>
      <w:numFmt w:val="bullet"/>
      <w:lvlText w:val="•"/>
      <w:lvlJc w:val="left"/>
      <w:pPr>
        <w:tabs>
          <w:tab w:val="num" w:pos="2160"/>
        </w:tabs>
        <w:ind w:left="2160" w:hanging="360"/>
      </w:pPr>
      <w:rPr>
        <w:rFonts w:ascii="Arial" w:hAnsi="Arial" w:hint="default"/>
      </w:rPr>
    </w:lvl>
    <w:lvl w:ilvl="3" w:tplc="A2B22E48" w:tentative="1">
      <w:start w:val="1"/>
      <w:numFmt w:val="bullet"/>
      <w:lvlText w:val="•"/>
      <w:lvlJc w:val="left"/>
      <w:pPr>
        <w:tabs>
          <w:tab w:val="num" w:pos="2880"/>
        </w:tabs>
        <w:ind w:left="2880" w:hanging="360"/>
      </w:pPr>
      <w:rPr>
        <w:rFonts w:ascii="Arial" w:hAnsi="Arial" w:hint="default"/>
      </w:rPr>
    </w:lvl>
    <w:lvl w:ilvl="4" w:tplc="E20206D0" w:tentative="1">
      <w:start w:val="1"/>
      <w:numFmt w:val="bullet"/>
      <w:lvlText w:val="•"/>
      <w:lvlJc w:val="left"/>
      <w:pPr>
        <w:tabs>
          <w:tab w:val="num" w:pos="3600"/>
        </w:tabs>
        <w:ind w:left="3600" w:hanging="360"/>
      </w:pPr>
      <w:rPr>
        <w:rFonts w:ascii="Arial" w:hAnsi="Arial" w:hint="default"/>
      </w:rPr>
    </w:lvl>
    <w:lvl w:ilvl="5" w:tplc="CB7C09E0" w:tentative="1">
      <w:start w:val="1"/>
      <w:numFmt w:val="bullet"/>
      <w:lvlText w:val="•"/>
      <w:lvlJc w:val="left"/>
      <w:pPr>
        <w:tabs>
          <w:tab w:val="num" w:pos="4320"/>
        </w:tabs>
        <w:ind w:left="4320" w:hanging="360"/>
      </w:pPr>
      <w:rPr>
        <w:rFonts w:ascii="Arial" w:hAnsi="Arial" w:hint="default"/>
      </w:rPr>
    </w:lvl>
    <w:lvl w:ilvl="6" w:tplc="362A5918" w:tentative="1">
      <w:start w:val="1"/>
      <w:numFmt w:val="bullet"/>
      <w:lvlText w:val="•"/>
      <w:lvlJc w:val="left"/>
      <w:pPr>
        <w:tabs>
          <w:tab w:val="num" w:pos="5040"/>
        </w:tabs>
        <w:ind w:left="5040" w:hanging="360"/>
      </w:pPr>
      <w:rPr>
        <w:rFonts w:ascii="Arial" w:hAnsi="Arial" w:hint="default"/>
      </w:rPr>
    </w:lvl>
    <w:lvl w:ilvl="7" w:tplc="69184638" w:tentative="1">
      <w:start w:val="1"/>
      <w:numFmt w:val="bullet"/>
      <w:lvlText w:val="•"/>
      <w:lvlJc w:val="left"/>
      <w:pPr>
        <w:tabs>
          <w:tab w:val="num" w:pos="5760"/>
        </w:tabs>
        <w:ind w:left="5760" w:hanging="360"/>
      </w:pPr>
      <w:rPr>
        <w:rFonts w:ascii="Arial" w:hAnsi="Arial" w:hint="default"/>
      </w:rPr>
    </w:lvl>
    <w:lvl w:ilvl="8" w:tplc="3726FED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1DC6080"/>
    <w:multiLevelType w:val="hybridMultilevel"/>
    <w:tmpl w:val="91B2D056"/>
    <w:lvl w:ilvl="0" w:tplc="FE8E17AA">
      <w:start w:val="1"/>
      <w:numFmt w:val="bullet"/>
      <w:lvlText w:val="•"/>
      <w:lvlJc w:val="left"/>
      <w:pPr>
        <w:tabs>
          <w:tab w:val="num" w:pos="720"/>
        </w:tabs>
        <w:ind w:left="720" w:hanging="360"/>
      </w:pPr>
      <w:rPr>
        <w:rFonts w:ascii="Arial" w:hAnsi="Arial" w:hint="default"/>
      </w:rPr>
    </w:lvl>
    <w:lvl w:ilvl="1" w:tplc="3E1666FE" w:tentative="1">
      <w:start w:val="1"/>
      <w:numFmt w:val="bullet"/>
      <w:lvlText w:val="•"/>
      <w:lvlJc w:val="left"/>
      <w:pPr>
        <w:tabs>
          <w:tab w:val="num" w:pos="1440"/>
        </w:tabs>
        <w:ind w:left="1440" w:hanging="360"/>
      </w:pPr>
      <w:rPr>
        <w:rFonts w:ascii="Arial" w:hAnsi="Arial" w:hint="default"/>
      </w:rPr>
    </w:lvl>
    <w:lvl w:ilvl="2" w:tplc="AACE53DC" w:tentative="1">
      <w:start w:val="1"/>
      <w:numFmt w:val="bullet"/>
      <w:lvlText w:val="•"/>
      <w:lvlJc w:val="left"/>
      <w:pPr>
        <w:tabs>
          <w:tab w:val="num" w:pos="2160"/>
        </w:tabs>
        <w:ind w:left="2160" w:hanging="360"/>
      </w:pPr>
      <w:rPr>
        <w:rFonts w:ascii="Arial" w:hAnsi="Arial" w:hint="default"/>
      </w:rPr>
    </w:lvl>
    <w:lvl w:ilvl="3" w:tplc="977E325A" w:tentative="1">
      <w:start w:val="1"/>
      <w:numFmt w:val="bullet"/>
      <w:lvlText w:val="•"/>
      <w:lvlJc w:val="left"/>
      <w:pPr>
        <w:tabs>
          <w:tab w:val="num" w:pos="2880"/>
        </w:tabs>
        <w:ind w:left="2880" w:hanging="360"/>
      </w:pPr>
      <w:rPr>
        <w:rFonts w:ascii="Arial" w:hAnsi="Arial" w:hint="default"/>
      </w:rPr>
    </w:lvl>
    <w:lvl w:ilvl="4" w:tplc="2320DAC4" w:tentative="1">
      <w:start w:val="1"/>
      <w:numFmt w:val="bullet"/>
      <w:lvlText w:val="•"/>
      <w:lvlJc w:val="left"/>
      <w:pPr>
        <w:tabs>
          <w:tab w:val="num" w:pos="3600"/>
        </w:tabs>
        <w:ind w:left="3600" w:hanging="360"/>
      </w:pPr>
      <w:rPr>
        <w:rFonts w:ascii="Arial" w:hAnsi="Arial" w:hint="default"/>
      </w:rPr>
    </w:lvl>
    <w:lvl w:ilvl="5" w:tplc="48BEF6EA" w:tentative="1">
      <w:start w:val="1"/>
      <w:numFmt w:val="bullet"/>
      <w:lvlText w:val="•"/>
      <w:lvlJc w:val="left"/>
      <w:pPr>
        <w:tabs>
          <w:tab w:val="num" w:pos="4320"/>
        </w:tabs>
        <w:ind w:left="4320" w:hanging="360"/>
      </w:pPr>
      <w:rPr>
        <w:rFonts w:ascii="Arial" w:hAnsi="Arial" w:hint="default"/>
      </w:rPr>
    </w:lvl>
    <w:lvl w:ilvl="6" w:tplc="2070B302" w:tentative="1">
      <w:start w:val="1"/>
      <w:numFmt w:val="bullet"/>
      <w:lvlText w:val="•"/>
      <w:lvlJc w:val="left"/>
      <w:pPr>
        <w:tabs>
          <w:tab w:val="num" w:pos="5040"/>
        </w:tabs>
        <w:ind w:left="5040" w:hanging="360"/>
      </w:pPr>
      <w:rPr>
        <w:rFonts w:ascii="Arial" w:hAnsi="Arial" w:hint="default"/>
      </w:rPr>
    </w:lvl>
    <w:lvl w:ilvl="7" w:tplc="C12C5D8A" w:tentative="1">
      <w:start w:val="1"/>
      <w:numFmt w:val="bullet"/>
      <w:lvlText w:val="•"/>
      <w:lvlJc w:val="left"/>
      <w:pPr>
        <w:tabs>
          <w:tab w:val="num" w:pos="5760"/>
        </w:tabs>
        <w:ind w:left="5760" w:hanging="360"/>
      </w:pPr>
      <w:rPr>
        <w:rFonts w:ascii="Arial" w:hAnsi="Arial" w:hint="default"/>
      </w:rPr>
    </w:lvl>
    <w:lvl w:ilvl="8" w:tplc="E3E0A26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2A27A60"/>
    <w:multiLevelType w:val="hybridMultilevel"/>
    <w:tmpl w:val="F2C89066"/>
    <w:lvl w:ilvl="0" w:tplc="2DA0CA1A">
      <w:start w:val="1"/>
      <w:numFmt w:val="bullet"/>
      <w:lvlText w:val="•"/>
      <w:lvlJc w:val="left"/>
      <w:pPr>
        <w:tabs>
          <w:tab w:val="num" w:pos="720"/>
        </w:tabs>
        <w:ind w:left="720" w:hanging="360"/>
      </w:pPr>
      <w:rPr>
        <w:rFonts w:ascii="Arial" w:hAnsi="Arial" w:hint="default"/>
      </w:rPr>
    </w:lvl>
    <w:lvl w:ilvl="1" w:tplc="D726672E" w:tentative="1">
      <w:start w:val="1"/>
      <w:numFmt w:val="bullet"/>
      <w:lvlText w:val="•"/>
      <w:lvlJc w:val="left"/>
      <w:pPr>
        <w:tabs>
          <w:tab w:val="num" w:pos="1440"/>
        </w:tabs>
        <w:ind w:left="1440" w:hanging="360"/>
      </w:pPr>
      <w:rPr>
        <w:rFonts w:ascii="Arial" w:hAnsi="Arial" w:hint="default"/>
      </w:rPr>
    </w:lvl>
    <w:lvl w:ilvl="2" w:tplc="A5CAAF28" w:tentative="1">
      <w:start w:val="1"/>
      <w:numFmt w:val="bullet"/>
      <w:lvlText w:val="•"/>
      <w:lvlJc w:val="left"/>
      <w:pPr>
        <w:tabs>
          <w:tab w:val="num" w:pos="2160"/>
        </w:tabs>
        <w:ind w:left="2160" w:hanging="360"/>
      </w:pPr>
      <w:rPr>
        <w:rFonts w:ascii="Arial" w:hAnsi="Arial" w:hint="default"/>
      </w:rPr>
    </w:lvl>
    <w:lvl w:ilvl="3" w:tplc="437679F8" w:tentative="1">
      <w:start w:val="1"/>
      <w:numFmt w:val="bullet"/>
      <w:lvlText w:val="•"/>
      <w:lvlJc w:val="left"/>
      <w:pPr>
        <w:tabs>
          <w:tab w:val="num" w:pos="2880"/>
        </w:tabs>
        <w:ind w:left="2880" w:hanging="360"/>
      </w:pPr>
      <w:rPr>
        <w:rFonts w:ascii="Arial" w:hAnsi="Arial" w:hint="default"/>
      </w:rPr>
    </w:lvl>
    <w:lvl w:ilvl="4" w:tplc="9D7C1656" w:tentative="1">
      <w:start w:val="1"/>
      <w:numFmt w:val="bullet"/>
      <w:lvlText w:val="•"/>
      <w:lvlJc w:val="left"/>
      <w:pPr>
        <w:tabs>
          <w:tab w:val="num" w:pos="3600"/>
        </w:tabs>
        <w:ind w:left="3600" w:hanging="360"/>
      </w:pPr>
      <w:rPr>
        <w:rFonts w:ascii="Arial" w:hAnsi="Arial" w:hint="default"/>
      </w:rPr>
    </w:lvl>
    <w:lvl w:ilvl="5" w:tplc="633C4974" w:tentative="1">
      <w:start w:val="1"/>
      <w:numFmt w:val="bullet"/>
      <w:lvlText w:val="•"/>
      <w:lvlJc w:val="left"/>
      <w:pPr>
        <w:tabs>
          <w:tab w:val="num" w:pos="4320"/>
        </w:tabs>
        <w:ind w:left="4320" w:hanging="360"/>
      </w:pPr>
      <w:rPr>
        <w:rFonts w:ascii="Arial" w:hAnsi="Arial" w:hint="default"/>
      </w:rPr>
    </w:lvl>
    <w:lvl w:ilvl="6" w:tplc="5EFC50D6" w:tentative="1">
      <w:start w:val="1"/>
      <w:numFmt w:val="bullet"/>
      <w:lvlText w:val="•"/>
      <w:lvlJc w:val="left"/>
      <w:pPr>
        <w:tabs>
          <w:tab w:val="num" w:pos="5040"/>
        </w:tabs>
        <w:ind w:left="5040" w:hanging="360"/>
      </w:pPr>
      <w:rPr>
        <w:rFonts w:ascii="Arial" w:hAnsi="Arial" w:hint="default"/>
      </w:rPr>
    </w:lvl>
    <w:lvl w:ilvl="7" w:tplc="B82C027A" w:tentative="1">
      <w:start w:val="1"/>
      <w:numFmt w:val="bullet"/>
      <w:lvlText w:val="•"/>
      <w:lvlJc w:val="left"/>
      <w:pPr>
        <w:tabs>
          <w:tab w:val="num" w:pos="5760"/>
        </w:tabs>
        <w:ind w:left="5760" w:hanging="360"/>
      </w:pPr>
      <w:rPr>
        <w:rFonts w:ascii="Arial" w:hAnsi="Arial" w:hint="default"/>
      </w:rPr>
    </w:lvl>
    <w:lvl w:ilvl="8" w:tplc="72E41BA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2CE1766"/>
    <w:multiLevelType w:val="hybridMultilevel"/>
    <w:tmpl w:val="A6CEA460"/>
    <w:lvl w:ilvl="0" w:tplc="793C85C4">
      <w:start w:val="1"/>
      <w:numFmt w:val="bullet"/>
      <w:lvlText w:val="•"/>
      <w:lvlJc w:val="left"/>
      <w:pPr>
        <w:tabs>
          <w:tab w:val="num" w:pos="720"/>
        </w:tabs>
        <w:ind w:left="720" w:hanging="360"/>
      </w:pPr>
      <w:rPr>
        <w:rFonts w:ascii="Arial" w:hAnsi="Arial" w:hint="default"/>
      </w:rPr>
    </w:lvl>
    <w:lvl w:ilvl="1" w:tplc="2FD45EDC" w:tentative="1">
      <w:start w:val="1"/>
      <w:numFmt w:val="bullet"/>
      <w:lvlText w:val="•"/>
      <w:lvlJc w:val="left"/>
      <w:pPr>
        <w:tabs>
          <w:tab w:val="num" w:pos="1440"/>
        </w:tabs>
        <w:ind w:left="1440" w:hanging="360"/>
      </w:pPr>
      <w:rPr>
        <w:rFonts w:ascii="Arial" w:hAnsi="Arial" w:hint="default"/>
      </w:rPr>
    </w:lvl>
    <w:lvl w:ilvl="2" w:tplc="A6D6FC82" w:tentative="1">
      <w:start w:val="1"/>
      <w:numFmt w:val="bullet"/>
      <w:lvlText w:val="•"/>
      <w:lvlJc w:val="left"/>
      <w:pPr>
        <w:tabs>
          <w:tab w:val="num" w:pos="2160"/>
        </w:tabs>
        <w:ind w:left="2160" w:hanging="360"/>
      </w:pPr>
      <w:rPr>
        <w:rFonts w:ascii="Arial" w:hAnsi="Arial" w:hint="default"/>
      </w:rPr>
    </w:lvl>
    <w:lvl w:ilvl="3" w:tplc="93DCD722" w:tentative="1">
      <w:start w:val="1"/>
      <w:numFmt w:val="bullet"/>
      <w:lvlText w:val="•"/>
      <w:lvlJc w:val="left"/>
      <w:pPr>
        <w:tabs>
          <w:tab w:val="num" w:pos="2880"/>
        </w:tabs>
        <w:ind w:left="2880" w:hanging="360"/>
      </w:pPr>
      <w:rPr>
        <w:rFonts w:ascii="Arial" w:hAnsi="Arial" w:hint="default"/>
      </w:rPr>
    </w:lvl>
    <w:lvl w:ilvl="4" w:tplc="BFEA0D7E" w:tentative="1">
      <w:start w:val="1"/>
      <w:numFmt w:val="bullet"/>
      <w:lvlText w:val="•"/>
      <w:lvlJc w:val="left"/>
      <w:pPr>
        <w:tabs>
          <w:tab w:val="num" w:pos="3600"/>
        </w:tabs>
        <w:ind w:left="3600" w:hanging="360"/>
      </w:pPr>
      <w:rPr>
        <w:rFonts w:ascii="Arial" w:hAnsi="Arial" w:hint="default"/>
      </w:rPr>
    </w:lvl>
    <w:lvl w:ilvl="5" w:tplc="F086C89A" w:tentative="1">
      <w:start w:val="1"/>
      <w:numFmt w:val="bullet"/>
      <w:lvlText w:val="•"/>
      <w:lvlJc w:val="left"/>
      <w:pPr>
        <w:tabs>
          <w:tab w:val="num" w:pos="4320"/>
        </w:tabs>
        <w:ind w:left="4320" w:hanging="360"/>
      </w:pPr>
      <w:rPr>
        <w:rFonts w:ascii="Arial" w:hAnsi="Arial" w:hint="default"/>
      </w:rPr>
    </w:lvl>
    <w:lvl w:ilvl="6" w:tplc="3D3ED272" w:tentative="1">
      <w:start w:val="1"/>
      <w:numFmt w:val="bullet"/>
      <w:lvlText w:val="•"/>
      <w:lvlJc w:val="left"/>
      <w:pPr>
        <w:tabs>
          <w:tab w:val="num" w:pos="5040"/>
        </w:tabs>
        <w:ind w:left="5040" w:hanging="360"/>
      </w:pPr>
      <w:rPr>
        <w:rFonts w:ascii="Arial" w:hAnsi="Arial" w:hint="default"/>
      </w:rPr>
    </w:lvl>
    <w:lvl w:ilvl="7" w:tplc="1AF804D8" w:tentative="1">
      <w:start w:val="1"/>
      <w:numFmt w:val="bullet"/>
      <w:lvlText w:val="•"/>
      <w:lvlJc w:val="left"/>
      <w:pPr>
        <w:tabs>
          <w:tab w:val="num" w:pos="5760"/>
        </w:tabs>
        <w:ind w:left="5760" w:hanging="360"/>
      </w:pPr>
      <w:rPr>
        <w:rFonts w:ascii="Arial" w:hAnsi="Arial" w:hint="default"/>
      </w:rPr>
    </w:lvl>
    <w:lvl w:ilvl="8" w:tplc="3094E3F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3A31117"/>
    <w:multiLevelType w:val="hybridMultilevel"/>
    <w:tmpl w:val="C826DDBC"/>
    <w:lvl w:ilvl="0" w:tplc="304E8BC2">
      <w:start w:val="1"/>
      <w:numFmt w:val="bullet"/>
      <w:lvlText w:val="•"/>
      <w:lvlJc w:val="left"/>
      <w:pPr>
        <w:tabs>
          <w:tab w:val="num" w:pos="720"/>
        </w:tabs>
        <w:ind w:left="720" w:hanging="360"/>
      </w:pPr>
      <w:rPr>
        <w:rFonts w:ascii="Arial" w:hAnsi="Arial" w:hint="default"/>
      </w:rPr>
    </w:lvl>
    <w:lvl w:ilvl="1" w:tplc="F9E69A8A" w:tentative="1">
      <w:start w:val="1"/>
      <w:numFmt w:val="bullet"/>
      <w:lvlText w:val="•"/>
      <w:lvlJc w:val="left"/>
      <w:pPr>
        <w:tabs>
          <w:tab w:val="num" w:pos="1440"/>
        </w:tabs>
        <w:ind w:left="1440" w:hanging="360"/>
      </w:pPr>
      <w:rPr>
        <w:rFonts w:ascii="Arial" w:hAnsi="Arial" w:hint="default"/>
      </w:rPr>
    </w:lvl>
    <w:lvl w:ilvl="2" w:tplc="42088C70" w:tentative="1">
      <w:start w:val="1"/>
      <w:numFmt w:val="bullet"/>
      <w:lvlText w:val="•"/>
      <w:lvlJc w:val="left"/>
      <w:pPr>
        <w:tabs>
          <w:tab w:val="num" w:pos="2160"/>
        </w:tabs>
        <w:ind w:left="2160" w:hanging="360"/>
      </w:pPr>
      <w:rPr>
        <w:rFonts w:ascii="Arial" w:hAnsi="Arial" w:hint="default"/>
      </w:rPr>
    </w:lvl>
    <w:lvl w:ilvl="3" w:tplc="0C7660FA" w:tentative="1">
      <w:start w:val="1"/>
      <w:numFmt w:val="bullet"/>
      <w:lvlText w:val="•"/>
      <w:lvlJc w:val="left"/>
      <w:pPr>
        <w:tabs>
          <w:tab w:val="num" w:pos="2880"/>
        </w:tabs>
        <w:ind w:left="2880" w:hanging="360"/>
      </w:pPr>
      <w:rPr>
        <w:rFonts w:ascii="Arial" w:hAnsi="Arial" w:hint="default"/>
      </w:rPr>
    </w:lvl>
    <w:lvl w:ilvl="4" w:tplc="DAC08106" w:tentative="1">
      <w:start w:val="1"/>
      <w:numFmt w:val="bullet"/>
      <w:lvlText w:val="•"/>
      <w:lvlJc w:val="left"/>
      <w:pPr>
        <w:tabs>
          <w:tab w:val="num" w:pos="3600"/>
        </w:tabs>
        <w:ind w:left="3600" w:hanging="360"/>
      </w:pPr>
      <w:rPr>
        <w:rFonts w:ascii="Arial" w:hAnsi="Arial" w:hint="default"/>
      </w:rPr>
    </w:lvl>
    <w:lvl w:ilvl="5" w:tplc="4FB2E9FA" w:tentative="1">
      <w:start w:val="1"/>
      <w:numFmt w:val="bullet"/>
      <w:lvlText w:val="•"/>
      <w:lvlJc w:val="left"/>
      <w:pPr>
        <w:tabs>
          <w:tab w:val="num" w:pos="4320"/>
        </w:tabs>
        <w:ind w:left="4320" w:hanging="360"/>
      </w:pPr>
      <w:rPr>
        <w:rFonts w:ascii="Arial" w:hAnsi="Arial" w:hint="default"/>
      </w:rPr>
    </w:lvl>
    <w:lvl w:ilvl="6" w:tplc="9D6CE428" w:tentative="1">
      <w:start w:val="1"/>
      <w:numFmt w:val="bullet"/>
      <w:lvlText w:val="•"/>
      <w:lvlJc w:val="left"/>
      <w:pPr>
        <w:tabs>
          <w:tab w:val="num" w:pos="5040"/>
        </w:tabs>
        <w:ind w:left="5040" w:hanging="360"/>
      </w:pPr>
      <w:rPr>
        <w:rFonts w:ascii="Arial" w:hAnsi="Arial" w:hint="default"/>
      </w:rPr>
    </w:lvl>
    <w:lvl w:ilvl="7" w:tplc="643A66AC" w:tentative="1">
      <w:start w:val="1"/>
      <w:numFmt w:val="bullet"/>
      <w:lvlText w:val="•"/>
      <w:lvlJc w:val="left"/>
      <w:pPr>
        <w:tabs>
          <w:tab w:val="num" w:pos="5760"/>
        </w:tabs>
        <w:ind w:left="5760" w:hanging="360"/>
      </w:pPr>
      <w:rPr>
        <w:rFonts w:ascii="Arial" w:hAnsi="Arial" w:hint="default"/>
      </w:rPr>
    </w:lvl>
    <w:lvl w:ilvl="8" w:tplc="2C5AFC6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9D53FE7"/>
    <w:multiLevelType w:val="hybridMultilevel"/>
    <w:tmpl w:val="84B6E4A0"/>
    <w:lvl w:ilvl="0" w:tplc="7850FEA6">
      <w:start w:val="1"/>
      <w:numFmt w:val="bullet"/>
      <w:lvlText w:val="•"/>
      <w:lvlJc w:val="left"/>
      <w:pPr>
        <w:tabs>
          <w:tab w:val="num" w:pos="720"/>
        </w:tabs>
        <w:ind w:left="720" w:hanging="360"/>
      </w:pPr>
      <w:rPr>
        <w:rFonts w:ascii="Arial" w:hAnsi="Arial" w:hint="default"/>
      </w:rPr>
    </w:lvl>
    <w:lvl w:ilvl="1" w:tplc="D0B0812A" w:tentative="1">
      <w:start w:val="1"/>
      <w:numFmt w:val="bullet"/>
      <w:lvlText w:val="•"/>
      <w:lvlJc w:val="left"/>
      <w:pPr>
        <w:tabs>
          <w:tab w:val="num" w:pos="1440"/>
        </w:tabs>
        <w:ind w:left="1440" w:hanging="360"/>
      </w:pPr>
      <w:rPr>
        <w:rFonts w:ascii="Arial" w:hAnsi="Arial" w:hint="default"/>
      </w:rPr>
    </w:lvl>
    <w:lvl w:ilvl="2" w:tplc="A9187A92" w:tentative="1">
      <w:start w:val="1"/>
      <w:numFmt w:val="bullet"/>
      <w:lvlText w:val="•"/>
      <w:lvlJc w:val="left"/>
      <w:pPr>
        <w:tabs>
          <w:tab w:val="num" w:pos="2160"/>
        </w:tabs>
        <w:ind w:left="2160" w:hanging="360"/>
      </w:pPr>
      <w:rPr>
        <w:rFonts w:ascii="Arial" w:hAnsi="Arial" w:hint="default"/>
      </w:rPr>
    </w:lvl>
    <w:lvl w:ilvl="3" w:tplc="A498FD9E" w:tentative="1">
      <w:start w:val="1"/>
      <w:numFmt w:val="bullet"/>
      <w:lvlText w:val="•"/>
      <w:lvlJc w:val="left"/>
      <w:pPr>
        <w:tabs>
          <w:tab w:val="num" w:pos="2880"/>
        </w:tabs>
        <w:ind w:left="2880" w:hanging="360"/>
      </w:pPr>
      <w:rPr>
        <w:rFonts w:ascii="Arial" w:hAnsi="Arial" w:hint="default"/>
      </w:rPr>
    </w:lvl>
    <w:lvl w:ilvl="4" w:tplc="51020D5C" w:tentative="1">
      <w:start w:val="1"/>
      <w:numFmt w:val="bullet"/>
      <w:lvlText w:val="•"/>
      <w:lvlJc w:val="left"/>
      <w:pPr>
        <w:tabs>
          <w:tab w:val="num" w:pos="3600"/>
        </w:tabs>
        <w:ind w:left="3600" w:hanging="360"/>
      </w:pPr>
      <w:rPr>
        <w:rFonts w:ascii="Arial" w:hAnsi="Arial" w:hint="default"/>
      </w:rPr>
    </w:lvl>
    <w:lvl w:ilvl="5" w:tplc="DC624822" w:tentative="1">
      <w:start w:val="1"/>
      <w:numFmt w:val="bullet"/>
      <w:lvlText w:val="•"/>
      <w:lvlJc w:val="left"/>
      <w:pPr>
        <w:tabs>
          <w:tab w:val="num" w:pos="4320"/>
        </w:tabs>
        <w:ind w:left="4320" w:hanging="360"/>
      </w:pPr>
      <w:rPr>
        <w:rFonts w:ascii="Arial" w:hAnsi="Arial" w:hint="default"/>
      </w:rPr>
    </w:lvl>
    <w:lvl w:ilvl="6" w:tplc="D6BCAD1A" w:tentative="1">
      <w:start w:val="1"/>
      <w:numFmt w:val="bullet"/>
      <w:lvlText w:val="•"/>
      <w:lvlJc w:val="left"/>
      <w:pPr>
        <w:tabs>
          <w:tab w:val="num" w:pos="5040"/>
        </w:tabs>
        <w:ind w:left="5040" w:hanging="360"/>
      </w:pPr>
      <w:rPr>
        <w:rFonts w:ascii="Arial" w:hAnsi="Arial" w:hint="default"/>
      </w:rPr>
    </w:lvl>
    <w:lvl w:ilvl="7" w:tplc="6A06D1A2" w:tentative="1">
      <w:start w:val="1"/>
      <w:numFmt w:val="bullet"/>
      <w:lvlText w:val="•"/>
      <w:lvlJc w:val="left"/>
      <w:pPr>
        <w:tabs>
          <w:tab w:val="num" w:pos="5760"/>
        </w:tabs>
        <w:ind w:left="5760" w:hanging="360"/>
      </w:pPr>
      <w:rPr>
        <w:rFonts w:ascii="Arial" w:hAnsi="Arial" w:hint="default"/>
      </w:rPr>
    </w:lvl>
    <w:lvl w:ilvl="8" w:tplc="E9C258A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AD10C15"/>
    <w:multiLevelType w:val="hybridMultilevel"/>
    <w:tmpl w:val="C03C78EE"/>
    <w:lvl w:ilvl="0" w:tplc="F8B86E22">
      <w:start w:val="1"/>
      <w:numFmt w:val="bullet"/>
      <w:lvlText w:val="•"/>
      <w:lvlJc w:val="left"/>
      <w:pPr>
        <w:tabs>
          <w:tab w:val="num" w:pos="720"/>
        </w:tabs>
        <w:ind w:left="720" w:hanging="360"/>
      </w:pPr>
      <w:rPr>
        <w:rFonts w:ascii="Arial" w:hAnsi="Arial" w:hint="default"/>
      </w:rPr>
    </w:lvl>
    <w:lvl w:ilvl="1" w:tplc="99E68FA6" w:tentative="1">
      <w:start w:val="1"/>
      <w:numFmt w:val="bullet"/>
      <w:lvlText w:val="•"/>
      <w:lvlJc w:val="left"/>
      <w:pPr>
        <w:tabs>
          <w:tab w:val="num" w:pos="1440"/>
        </w:tabs>
        <w:ind w:left="1440" w:hanging="360"/>
      </w:pPr>
      <w:rPr>
        <w:rFonts w:ascii="Arial" w:hAnsi="Arial" w:hint="default"/>
      </w:rPr>
    </w:lvl>
    <w:lvl w:ilvl="2" w:tplc="3CD04C2A" w:tentative="1">
      <w:start w:val="1"/>
      <w:numFmt w:val="bullet"/>
      <w:lvlText w:val="•"/>
      <w:lvlJc w:val="left"/>
      <w:pPr>
        <w:tabs>
          <w:tab w:val="num" w:pos="2160"/>
        </w:tabs>
        <w:ind w:left="2160" w:hanging="360"/>
      </w:pPr>
      <w:rPr>
        <w:rFonts w:ascii="Arial" w:hAnsi="Arial" w:hint="default"/>
      </w:rPr>
    </w:lvl>
    <w:lvl w:ilvl="3" w:tplc="4D808D18" w:tentative="1">
      <w:start w:val="1"/>
      <w:numFmt w:val="bullet"/>
      <w:lvlText w:val="•"/>
      <w:lvlJc w:val="left"/>
      <w:pPr>
        <w:tabs>
          <w:tab w:val="num" w:pos="2880"/>
        </w:tabs>
        <w:ind w:left="2880" w:hanging="360"/>
      </w:pPr>
      <w:rPr>
        <w:rFonts w:ascii="Arial" w:hAnsi="Arial" w:hint="default"/>
      </w:rPr>
    </w:lvl>
    <w:lvl w:ilvl="4" w:tplc="77EC1326" w:tentative="1">
      <w:start w:val="1"/>
      <w:numFmt w:val="bullet"/>
      <w:lvlText w:val="•"/>
      <w:lvlJc w:val="left"/>
      <w:pPr>
        <w:tabs>
          <w:tab w:val="num" w:pos="3600"/>
        </w:tabs>
        <w:ind w:left="3600" w:hanging="360"/>
      </w:pPr>
      <w:rPr>
        <w:rFonts w:ascii="Arial" w:hAnsi="Arial" w:hint="default"/>
      </w:rPr>
    </w:lvl>
    <w:lvl w:ilvl="5" w:tplc="1D1AD48C" w:tentative="1">
      <w:start w:val="1"/>
      <w:numFmt w:val="bullet"/>
      <w:lvlText w:val="•"/>
      <w:lvlJc w:val="left"/>
      <w:pPr>
        <w:tabs>
          <w:tab w:val="num" w:pos="4320"/>
        </w:tabs>
        <w:ind w:left="4320" w:hanging="360"/>
      </w:pPr>
      <w:rPr>
        <w:rFonts w:ascii="Arial" w:hAnsi="Arial" w:hint="default"/>
      </w:rPr>
    </w:lvl>
    <w:lvl w:ilvl="6" w:tplc="85324BAA" w:tentative="1">
      <w:start w:val="1"/>
      <w:numFmt w:val="bullet"/>
      <w:lvlText w:val="•"/>
      <w:lvlJc w:val="left"/>
      <w:pPr>
        <w:tabs>
          <w:tab w:val="num" w:pos="5040"/>
        </w:tabs>
        <w:ind w:left="5040" w:hanging="360"/>
      </w:pPr>
      <w:rPr>
        <w:rFonts w:ascii="Arial" w:hAnsi="Arial" w:hint="default"/>
      </w:rPr>
    </w:lvl>
    <w:lvl w:ilvl="7" w:tplc="2CCAA96A" w:tentative="1">
      <w:start w:val="1"/>
      <w:numFmt w:val="bullet"/>
      <w:lvlText w:val="•"/>
      <w:lvlJc w:val="left"/>
      <w:pPr>
        <w:tabs>
          <w:tab w:val="num" w:pos="5760"/>
        </w:tabs>
        <w:ind w:left="5760" w:hanging="360"/>
      </w:pPr>
      <w:rPr>
        <w:rFonts w:ascii="Arial" w:hAnsi="Arial" w:hint="default"/>
      </w:rPr>
    </w:lvl>
    <w:lvl w:ilvl="8" w:tplc="CC380D6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C3E1A4E"/>
    <w:multiLevelType w:val="hybridMultilevel"/>
    <w:tmpl w:val="C6040FB2"/>
    <w:lvl w:ilvl="0" w:tplc="5BD698EE">
      <w:start w:val="1"/>
      <w:numFmt w:val="bullet"/>
      <w:lvlText w:val="•"/>
      <w:lvlJc w:val="left"/>
      <w:pPr>
        <w:tabs>
          <w:tab w:val="num" w:pos="720"/>
        </w:tabs>
        <w:ind w:left="720" w:hanging="360"/>
      </w:pPr>
      <w:rPr>
        <w:rFonts w:ascii="Arial" w:hAnsi="Arial" w:hint="default"/>
      </w:rPr>
    </w:lvl>
    <w:lvl w:ilvl="1" w:tplc="71007730" w:tentative="1">
      <w:start w:val="1"/>
      <w:numFmt w:val="bullet"/>
      <w:lvlText w:val="•"/>
      <w:lvlJc w:val="left"/>
      <w:pPr>
        <w:tabs>
          <w:tab w:val="num" w:pos="1440"/>
        </w:tabs>
        <w:ind w:left="1440" w:hanging="360"/>
      </w:pPr>
      <w:rPr>
        <w:rFonts w:ascii="Arial" w:hAnsi="Arial" w:hint="default"/>
      </w:rPr>
    </w:lvl>
    <w:lvl w:ilvl="2" w:tplc="F30490A8" w:tentative="1">
      <w:start w:val="1"/>
      <w:numFmt w:val="bullet"/>
      <w:lvlText w:val="•"/>
      <w:lvlJc w:val="left"/>
      <w:pPr>
        <w:tabs>
          <w:tab w:val="num" w:pos="2160"/>
        </w:tabs>
        <w:ind w:left="2160" w:hanging="360"/>
      </w:pPr>
      <w:rPr>
        <w:rFonts w:ascii="Arial" w:hAnsi="Arial" w:hint="default"/>
      </w:rPr>
    </w:lvl>
    <w:lvl w:ilvl="3" w:tplc="00E0CA0A" w:tentative="1">
      <w:start w:val="1"/>
      <w:numFmt w:val="bullet"/>
      <w:lvlText w:val="•"/>
      <w:lvlJc w:val="left"/>
      <w:pPr>
        <w:tabs>
          <w:tab w:val="num" w:pos="2880"/>
        </w:tabs>
        <w:ind w:left="2880" w:hanging="360"/>
      </w:pPr>
      <w:rPr>
        <w:rFonts w:ascii="Arial" w:hAnsi="Arial" w:hint="default"/>
      </w:rPr>
    </w:lvl>
    <w:lvl w:ilvl="4" w:tplc="851CFE62" w:tentative="1">
      <w:start w:val="1"/>
      <w:numFmt w:val="bullet"/>
      <w:lvlText w:val="•"/>
      <w:lvlJc w:val="left"/>
      <w:pPr>
        <w:tabs>
          <w:tab w:val="num" w:pos="3600"/>
        </w:tabs>
        <w:ind w:left="3600" w:hanging="360"/>
      </w:pPr>
      <w:rPr>
        <w:rFonts w:ascii="Arial" w:hAnsi="Arial" w:hint="default"/>
      </w:rPr>
    </w:lvl>
    <w:lvl w:ilvl="5" w:tplc="8558FF50" w:tentative="1">
      <w:start w:val="1"/>
      <w:numFmt w:val="bullet"/>
      <w:lvlText w:val="•"/>
      <w:lvlJc w:val="left"/>
      <w:pPr>
        <w:tabs>
          <w:tab w:val="num" w:pos="4320"/>
        </w:tabs>
        <w:ind w:left="4320" w:hanging="360"/>
      </w:pPr>
      <w:rPr>
        <w:rFonts w:ascii="Arial" w:hAnsi="Arial" w:hint="default"/>
      </w:rPr>
    </w:lvl>
    <w:lvl w:ilvl="6" w:tplc="262E11CA" w:tentative="1">
      <w:start w:val="1"/>
      <w:numFmt w:val="bullet"/>
      <w:lvlText w:val="•"/>
      <w:lvlJc w:val="left"/>
      <w:pPr>
        <w:tabs>
          <w:tab w:val="num" w:pos="5040"/>
        </w:tabs>
        <w:ind w:left="5040" w:hanging="360"/>
      </w:pPr>
      <w:rPr>
        <w:rFonts w:ascii="Arial" w:hAnsi="Arial" w:hint="default"/>
      </w:rPr>
    </w:lvl>
    <w:lvl w:ilvl="7" w:tplc="DC147644" w:tentative="1">
      <w:start w:val="1"/>
      <w:numFmt w:val="bullet"/>
      <w:lvlText w:val="•"/>
      <w:lvlJc w:val="left"/>
      <w:pPr>
        <w:tabs>
          <w:tab w:val="num" w:pos="5760"/>
        </w:tabs>
        <w:ind w:left="5760" w:hanging="360"/>
      </w:pPr>
      <w:rPr>
        <w:rFonts w:ascii="Arial" w:hAnsi="Arial" w:hint="default"/>
      </w:rPr>
    </w:lvl>
    <w:lvl w:ilvl="8" w:tplc="ACBE821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C910D37"/>
    <w:multiLevelType w:val="hybridMultilevel"/>
    <w:tmpl w:val="332C84B4"/>
    <w:lvl w:ilvl="0" w:tplc="50E26944">
      <w:start w:val="1"/>
      <w:numFmt w:val="bullet"/>
      <w:lvlText w:val="•"/>
      <w:lvlJc w:val="left"/>
      <w:pPr>
        <w:tabs>
          <w:tab w:val="num" w:pos="720"/>
        </w:tabs>
        <w:ind w:left="720" w:hanging="360"/>
      </w:pPr>
      <w:rPr>
        <w:rFonts w:ascii="Arial" w:hAnsi="Arial" w:hint="default"/>
      </w:rPr>
    </w:lvl>
    <w:lvl w:ilvl="1" w:tplc="D0F4B74C" w:tentative="1">
      <w:start w:val="1"/>
      <w:numFmt w:val="bullet"/>
      <w:lvlText w:val="•"/>
      <w:lvlJc w:val="left"/>
      <w:pPr>
        <w:tabs>
          <w:tab w:val="num" w:pos="1440"/>
        </w:tabs>
        <w:ind w:left="1440" w:hanging="360"/>
      </w:pPr>
      <w:rPr>
        <w:rFonts w:ascii="Arial" w:hAnsi="Arial" w:hint="default"/>
      </w:rPr>
    </w:lvl>
    <w:lvl w:ilvl="2" w:tplc="77009D42" w:tentative="1">
      <w:start w:val="1"/>
      <w:numFmt w:val="bullet"/>
      <w:lvlText w:val="•"/>
      <w:lvlJc w:val="left"/>
      <w:pPr>
        <w:tabs>
          <w:tab w:val="num" w:pos="2160"/>
        </w:tabs>
        <w:ind w:left="2160" w:hanging="360"/>
      </w:pPr>
      <w:rPr>
        <w:rFonts w:ascii="Arial" w:hAnsi="Arial" w:hint="default"/>
      </w:rPr>
    </w:lvl>
    <w:lvl w:ilvl="3" w:tplc="82C64CB6" w:tentative="1">
      <w:start w:val="1"/>
      <w:numFmt w:val="bullet"/>
      <w:lvlText w:val="•"/>
      <w:lvlJc w:val="left"/>
      <w:pPr>
        <w:tabs>
          <w:tab w:val="num" w:pos="2880"/>
        </w:tabs>
        <w:ind w:left="2880" w:hanging="360"/>
      </w:pPr>
      <w:rPr>
        <w:rFonts w:ascii="Arial" w:hAnsi="Arial" w:hint="default"/>
      </w:rPr>
    </w:lvl>
    <w:lvl w:ilvl="4" w:tplc="5F4416E6" w:tentative="1">
      <w:start w:val="1"/>
      <w:numFmt w:val="bullet"/>
      <w:lvlText w:val="•"/>
      <w:lvlJc w:val="left"/>
      <w:pPr>
        <w:tabs>
          <w:tab w:val="num" w:pos="3600"/>
        </w:tabs>
        <w:ind w:left="3600" w:hanging="360"/>
      </w:pPr>
      <w:rPr>
        <w:rFonts w:ascii="Arial" w:hAnsi="Arial" w:hint="default"/>
      </w:rPr>
    </w:lvl>
    <w:lvl w:ilvl="5" w:tplc="C084405C" w:tentative="1">
      <w:start w:val="1"/>
      <w:numFmt w:val="bullet"/>
      <w:lvlText w:val="•"/>
      <w:lvlJc w:val="left"/>
      <w:pPr>
        <w:tabs>
          <w:tab w:val="num" w:pos="4320"/>
        </w:tabs>
        <w:ind w:left="4320" w:hanging="360"/>
      </w:pPr>
      <w:rPr>
        <w:rFonts w:ascii="Arial" w:hAnsi="Arial" w:hint="default"/>
      </w:rPr>
    </w:lvl>
    <w:lvl w:ilvl="6" w:tplc="847E53A2" w:tentative="1">
      <w:start w:val="1"/>
      <w:numFmt w:val="bullet"/>
      <w:lvlText w:val="•"/>
      <w:lvlJc w:val="left"/>
      <w:pPr>
        <w:tabs>
          <w:tab w:val="num" w:pos="5040"/>
        </w:tabs>
        <w:ind w:left="5040" w:hanging="360"/>
      </w:pPr>
      <w:rPr>
        <w:rFonts w:ascii="Arial" w:hAnsi="Arial" w:hint="default"/>
      </w:rPr>
    </w:lvl>
    <w:lvl w:ilvl="7" w:tplc="06AEA740" w:tentative="1">
      <w:start w:val="1"/>
      <w:numFmt w:val="bullet"/>
      <w:lvlText w:val="•"/>
      <w:lvlJc w:val="left"/>
      <w:pPr>
        <w:tabs>
          <w:tab w:val="num" w:pos="5760"/>
        </w:tabs>
        <w:ind w:left="5760" w:hanging="360"/>
      </w:pPr>
      <w:rPr>
        <w:rFonts w:ascii="Arial" w:hAnsi="Arial" w:hint="default"/>
      </w:rPr>
    </w:lvl>
    <w:lvl w:ilvl="8" w:tplc="D8C0BF9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12360D7"/>
    <w:multiLevelType w:val="hybridMultilevel"/>
    <w:tmpl w:val="F4C60B50"/>
    <w:lvl w:ilvl="0" w:tplc="BE9E2540">
      <w:start w:val="1"/>
      <w:numFmt w:val="bullet"/>
      <w:lvlText w:val="•"/>
      <w:lvlJc w:val="left"/>
      <w:pPr>
        <w:tabs>
          <w:tab w:val="num" w:pos="720"/>
        </w:tabs>
        <w:ind w:left="720" w:hanging="360"/>
      </w:pPr>
      <w:rPr>
        <w:rFonts w:ascii="Arial" w:hAnsi="Arial" w:hint="default"/>
      </w:rPr>
    </w:lvl>
    <w:lvl w:ilvl="1" w:tplc="8DF0A288" w:tentative="1">
      <w:start w:val="1"/>
      <w:numFmt w:val="bullet"/>
      <w:lvlText w:val="•"/>
      <w:lvlJc w:val="left"/>
      <w:pPr>
        <w:tabs>
          <w:tab w:val="num" w:pos="1440"/>
        </w:tabs>
        <w:ind w:left="1440" w:hanging="360"/>
      </w:pPr>
      <w:rPr>
        <w:rFonts w:ascii="Arial" w:hAnsi="Arial" w:hint="default"/>
      </w:rPr>
    </w:lvl>
    <w:lvl w:ilvl="2" w:tplc="C18C8A5E" w:tentative="1">
      <w:start w:val="1"/>
      <w:numFmt w:val="bullet"/>
      <w:lvlText w:val="•"/>
      <w:lvlJc w:val="left"/>
      <w:pPr>
        <w:tabs>
          <w:tab w:val="num" w:pos="2160"/>
        </w:tabs>
        <w:ind w:left="2160" w:hanging="360"/>
      </w:pPr>
      <w:rPr>
        <w:rFonts w:ascii="Arial" w:hAnsi="Arial" w:hint="default"/>
      </w:rPr>
    </w:lvl>
    <w:lvl w:ilvl="3" w:tplc="A290EA9E" w:tentative="1">
      <w:start w:val="1"/>
      <w:numFmt w:val="bullet"/>
      <w:lvlText w:val="•"/>
      <w:lvlJc w:val="left"/>
      <w:pPr>
        <w:tabs>
          <w:tab w:val="num" w:pos="2880"/>
        </w:tabs>
        <w:ind w:left="2880" w:hanging="360"/>
      </w:pPr>
      <w:rPr>
        <w:rFonts w:ascii="Arial" w:hAnsi="Arial" w:hint="default"/>
      </w:rPr>
    </w:lvl>
    <w:lvl w:ilvl="4" w:tplc="6D32B800" w:tentative="1">
      <w:start w:val="1"/>
      <w:numFmt w:val="bullet"/>
      <w:lvlText w:val="•"/>
      <w:lvlJc w:val="left"/>
      <w:pPr>
        <w:tabs>
          <w:tab w:val="num" w:pos="3600"/>
        </w:tabs>
        <w:ind w:left="3600" w:hanging="360"/>
      </w:pPr>
      <w:rPr>
        <w:rFonts w:ascii="Arial" w:hAnsi="Arial" w:hint="default"/>
      </w:rPr>
    </w:lvl>
    <w:lvl w:ilvl="5" w:tplc="664627AA" w:tentative="1">
      <w:start w:val="1"/>
      <w:numFmt w:val="bullet"/>
      <w:lvlText w:val="•"/>
      <w:lvlJc w:val="left"/>
      <w:pPr>
        <w:tabs>
          <w:tab w:val="num" w:pos="4320"/>
        </w:tabs>
        <w:ind w:left="4320" w:hanging="360"/>
      </w:pPr>
      <w:rPr>
        <w:rFonts w:ascii="Arial" w:hAnsi="Arial" w:hint="default"/>
      </w:rPr>
    </w:lvl>
    <w:lvl w:ilvl="6" w:tplc="097073FC" w:tentative="1">
      <w:start w:val="1"/>
      <w:numFmt w:val="bullet"/>
      <w:lvlText w:val="•"/>
      <w:lvlJc w:val="left"/>
      <w:pPr>
        <w:tabs>
          <w:tab w:val="num" w:pos="5040"/>
        </w:tabs>
        <w:ind w:left="5040" w:hanging="360"/>
      </w:pPr>
      <w:rPr>
        <w:rFonts w:ascii="Arial" w:hAnsi="Arial" w:hint="default"/>
      </w:rPr>
    </w:lvl>
    <w:lvl w:ilvl="7" w:tplc="FBAEE164" w:tentative="1">
      <w:start w:val="1"/>
      <w:numFmt w:val="bullet"/>
      <w:lvlText w:val="•"/>
      <w:lvlJc w:val="left"/>
      <w:pPr>
        <w:tabs>
          <w:tab w:val="num" w:pos="5760"/>
        </w:tabs>
        <w:ind w:left="5760" w:hanging="360"/>
      </w:pPr>
      <w:rPr>
        <w:rFonts w:ascii="Arial" w:hAnsi="Arial" w:hint="default"/>
      </w:rPr>
    </w:lvl>
    <w:lvl w:ilvl="8" w:tplc="3C68D0F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3523378"/>
    <w:multiLevelType w:val="hybridMultilevel"/>
    <w:tmpl w:val="8C88DC30"/>
    <w:lvl w:ilvl="0" w:tplc="9740102E">
      <w:start w:val="1"/>
      <w:numFmt w:val="bullet"/>
      <w:lvlText w:val="•"/>
      <w:lvlJc w:val="left"/>
      <w:pPr>
        <w:tabs>
          <w:tab w:val="num" w:pos="720"/>
        </w:tabs>
        <w:ind w:left="720" w:hanging="360"/>
      </w:pPr>
      <w:rPr>
        <w:rFonts w:ascii="Arial" w:hAnsi="Arial" w:hint="default"/>
      </w:rPr>
    </w:lvl>
    <w:lvl w:ilvl="1" w:tplc="F0A46D0E" w:tentative="1">
      <w:start w:val="1"/>
      <w:numFmt w:val="bullet"/>
      <w:lvlText w:val="•"/>
      <w:lvlJc w:val="left"/>
      <w:pPr>
        <w:tabs>
          <w:tab w:val="num" w:pos="1440"/>
        </w:tabs>
        <w:ind w:left="1440" w:hanging="360"/>
      </w:pPr>
      <w:rPr>
        <w:rFonts w:ascii="Arial" w:hAnsi="Arial" w:hint="default"/>
      </w:rPr>
    </w:lvl>
    <w:lvl w:ilvl="2" w:tplc="126042D6" w:tentative="1">
      <w:start w:val="1"/>
      <w:numFmt w:val="bullet"/>
      <w:lvlText w:val="•"/>
      <w:lvlJc w:val="left"/>
      <w:pPr>
        <w:tabs>
          <w:tab w:val="num" w:pos="2160"/>
        </w:tabs>
        <w:ind w:left="2160" w:hanging="360"/>
      </w:pPr>
      <w:rPr>
        <w:rFonts w:ascii="Arial" w:hAnsi="Arial" w:hint="default"/>
      </w:rPr>
    </w:lvl>
    <w:lvl w:ilvl="3" w:tplc="56AA33B6" w:tentative="1">
      <w:start w:val="1"/>
      <w:numFmt w:val="bullet"/>
      <w:lvlText w:val="•"/>
      <w:lvlJc w:val="left"/>
      <w:pPr>
        <w:tabs>
          <w:tab w:val="num" w:pos="2880"/>
        </w:tabs>
        <w:ind w:left="2880" w:hanging="360"/>
      </w:pPr>
      <w:rPr>
        <w:rFonts w:ascii="Arial" w:hAnsi="Arial" w:hint="default"/>
      </w:rPr>
    </w:lvl>
    <w:lvl w:ilvl="4" w:tplc="3DD43AC4" w:tentative="1">
      <w:start w:val="1"/>
      <w:numFmt w:val="bullet"/>
      <w:lvlText w:val="•"/>
      <w:lvlJc w:val="left"/>
      <w:pPr>
        <w:tabs>
          <w:tab w:val="num" w:pos="3600"/>
        </w:tabs>
        <w:ind w:left="3600" w:hanging="360"/>
      </w:pPr>
      <w:rPr>
        <w:rFonts w:ascii="Arial" w:hAnsi="Arial" w:hint="default"/>
      </w:rPr>
    </w:lvl>
    <w:lvl w:ilvl="5" w:tplc="EF24CB1C" w:tentative="1">
      <w:start w:val="1"/>
      <w:numFmt w:val="bullet"/>
      <w:lvlText w:val="•"/>
      <w:lvlJc w:val="left"/>
      <w:pPr>
        <w:tabs>
          <w:tab w:val="num" w:pos="4320"/>
        </w:tabs>
        <w:ind w:left="4320" w:hanging="360"/>
      </w:pPr>
      <w:rPr>
        <w:rFonts w:ascii="Arial" w:hAnsi="Arial" w:hint="default"/>
      </w:rPr>
    </w:lvl>
    <w:lvl w:ilvl="6" w:tplc="73A281D0" w:tentative="1">
      <w:start w:val="1"/>
      <w:numFmt w:val="bullet"/>
      <w:lvlText w:val="•"/>
      <w:lvlJc w:val="left"/>
      <w:pPr>
        <w:tabs>
          <w:tab w:val="num" w:pos="5040"/>
        </w:tabs>
        <w:ind w:left="5040" w:hanging="360"/>
      </w:pPr>
      <w:rPr>
        <w:rFonts w:ascii="Arial" w:hAnsi="Arial" w:hint="default"/>
      </w:rPr>
    </w:lvl>
    <w:lvl w:ilvl="7" w:tplc="7F567DB6" w:tentative="1">
      <w:start w:val="1"/>
      <w:numFmt w:val="bullet"/>
      <w:lvlText w:val="•"/>
      <w:lvlJc w:val="left"/>
      <w:pPr>
        <w:tabs>
          <w:tab w:val="num" w:pos="5760"/>
        </w:tabs>
        <w:ind w:left="5760" w:hanging="360"/>
      </w:pPr>
      <w:rPr>
        <w:rFonts w:ascii="Arial" w:hAnsi="Arial" w:hint="default"/>
      </w:rPr>
    </w:lvl>
    <w:lvl w:ilvl="8" w:tplc="137C024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41F6A95"/>
    <w:multiLevelType w:val="hybridMultilevel"/>
    <w:tmpl w:val="6456A9EA"/>
    <w:lvl w:ilvl="0" w:tplc="1E82A2A8">
      <w:start w:val="1"/>
      <w:numFmt w:val="bullet"/>
      <w:lvlText w:val="•"/>
      <w:lvlJc w:val="left"/>
      <w:pPr>
        <w:tabs>
          <w:tab w:val="num" w:pos="720"/>
        </w:tabs>
        <w:ind w:left="720" w:hanging="360"/>
      </w:pPr>
      <w:rPr>
        <w:rFonts w:ascii="Arial" w:hAnsi="Arial" w:hint="default"/>
      </w:rPr>
    </w:lvl>
    <w:lvl w:ilvl="1" w:tplc="88965000" w:tentative="1">
      <w:start w:val="1"/>
      <w:numFmt w:val="bullet"/>
      <w:lvlText w:val="•"/>
      <w:lvlJc w:val="left"/>
      <w:pPr>
        <w:tabs>
          <w:tab w:val="num" w:pos="1440"/>
        </w:tabs>
        <w:ind w:left="1440" w:hanging="360"/>
      </w:pPr>
      <w:rPr>
        <w:rFonts w:ascii="Arial" w:hAnsi="Arial" w:hint="default"/>
      </w:rPr>
    </w:lvl>
    <w:lvl w:ilvl="2" w:tplc="85AC814A" w:tentative="1">
      <w:start w:val="1"/>
      <w:numFmt w:val="bullet"/>
      <w:lvlText w:val="•"/>
      <w:lvlJc w:val="left"/>
      <w:pPr>
        <w:tabs>
          <w:tab w:val="num" w:pos="2160"/>
        </w:tabs>
        <w:ind w:left="2160" w:hanging="360"/>
      </w:pPr>
      <w:rPr>
        <w:rFonts w:ascii="Arial" w:hAnsi="Arial" w:hint="default"/>
      </w:rPr>
    </w:lvl>
    <w:lvl w:ilvl="3" w:tplc="6F164222" w:tentative="1">
      <w:start w:val="1"/>
      <w:numFmt w:val="bullet"/>
      <w:lvlText w:val="•"/>
      <w:lvlJc w:val="left"/>
      <w:pPr>
        <w:tabs>
          <w:tab w:val="num" w:pos="2880"/>
        </w:tabs>
        <w:ind w:left="2880" w:hanging="360"/>
      </w:pPr>
      <w:rPr>
        <w:rFonts w:ascii="Arial" w:hAnsi="Arial" w:hint="default"/>
      </w:rPr>
    </w:lvl>
    <w:lvl w:ilvl="4" w:tplc="63CAC198" w:tentative="1">
      <w:start w:val="1"/>
      <w:numFmt w:val="bullet"/>
      <w:lvlText w:val="•"/>
      <w:lvlJc w:val="left"/>
      <w:pPr>
        <w:tabs>
          <w:tab w:val="num" w:pos="3600"/>
        </w:tabs>
        <w:ind w:left="3600" w:hanging="360"/>
      </w:pPr>
      <w:rPr>
        <w:rFonts w:ascii="Arial" w:hAnsi="Arial" w:hint="default"/>
      </w:rPr>
    </w:lvl>
    <w:lvl w:ilvl="5" w:tplc="633EC7B2" w:tentative="1">
      <w:start w:val="1"/>
      <w:numFmt w:val="bullet"/>
      <w:lvlText w:val="•"/>
      <w:lvlJc w:val="left"/>
      <w:pPr>
        <w:tabs>
          <w:tab w:val="num" w:pos="4320"/>
        </w:tabs>
        <w:ind w:left="4320" w:hanging="360"/>
      </w:pPr>
      <w:rPr>
        <w:rFonts w:ascii="Arial" w:hAnsi="Arial" w:hint="default"/>
      </w:rPr>
    </w:lvl>
    <w:lvl w:ilvl="6" w:tplc="A08CC83A" w:tentative="1">
      <w:start w:val="1"/>
      <w:numFmt w:val="bullet"/>
      <w:lvlText w:val="•"/>
      <w:lvlJc w:val="left"/>
      <w:pPr>
        <w:tabs>
          <w:tab w:val="num" w:pos="5040"/>
        </w:tabs>
        <w:ind w:left="5040" w:hanging="360"/>
      </w:pPr>
      <w:rPr>
        <w:rFonts w:ascii="Arial" w:hAnsi="Arial" w:hint="default"/>
      </w:rPr>
    </w:lvl>
    <w:lvl w:ilvl="7" w:tplc="00D8956E" w:tentative="1">
      <w:start w:val="1"/>
      <w:numFmt w:val="bullet"/>
      <w:lvlText w:val="•"/>
      <w:lvlJc w:val="left"/>
      <w:pPr>
        <w:tabs>
          <w:tab w:val="num" w:pos="5760"/>
        </w:tabs>
        <w:ind w:left="5760" w:hanging="360"/>
      </w:pPr>
      <w:rPr>
        <w:rFonts w:ascii="Arial" w:hAnsi="Arial" w:hint="default"/>
      </w:rPr>
    </w:lvl>
    <w:lvl w:ilvl="8" w:tplc="1EC01F4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6DE3FC0"/>
    <w:multiLevelType w:val="hybridMultilevel"/>
    <w:tmpl w:val="E9EA7840"/>
    <w:lvl w:ilvl="0" w:tplc="D188E65C">
      <w:start w:val="1"/>
      <w:numFmt w:val="bullet"/>
      <w:lvlText w:val="•"/>
      <w:lvlJc w:val="left"/>
      <w:pPr>
        <w:tabs>
          <w:tab w:val="num" w:pos="720"/>
        </w:tabs>
        <w:ind w:left="720" w:hanging="360"/>
      </w:pPr>
      <w:rPr>
        <w:rFonts w:ascii="Arial" w:hAnsi="Arial" w:hint="default"/>
      </w:rPr>
    </w:lvl>
    <w:lvl w:ilvl="1" w:tplc="DE68FE08" w:tentative="1">
      <w:start w:val="1"/>
      <w:numFmt w:val="bullet"/>
      <w:lvlText w:val="•"/>
      <w:lvlJc w:val="left"/>
      <w:pPr>
        <w:tabs>
          <w:tab w:val="num" w:pos="1440"/>
        </w:tabs>
        <w:ind w:left="1440" w:hanging="360"/>
      </w:pPr>
      <w:rPr>
        <w:rFonts w:ascii="Arial" w:hAnsi="Arial" w:hint="default"/>
      </w:rPr>
    </w:lvl>
    <w:lvl w:ilvl="2" w:tplc="209E911C" w:tentative="1">
      <w:start w:val="1"/>
      <w:numFmt w:val="bullet"/>
      <w:lvlText w:val="•"/>
      <w:lvlJc w:val="left"/>
      <w:pPr>
        <w:tabs>
          <w:tab w:val="num" w:pos="2160"/>
        </w:tabs>
        <w:ind w:left="2160" w:hanging="360"/>
      </w:pPr>
      <w:rPr>
        <w:rFonts w:ascii="Arial" w:hAnsi="Arial" w:hint="default"/>
      </w:rPr>
    </w:lvl>
    <w:lvl w:ilvl="3" w:tplc="6C3227C8" w:tentative="1">
      <w:start w:val="1"/>
      <w:numFmt w:val="bullet"/>
      <w:lvlText w:val="•"/>
      <w:lvlJc w:val="left"/>
      <w:pPr>
        <w:tabs>
          <w:tab w:val="num" w:pos="2880"/>
        </w:tabs>
        <w:ind w:left="2880" w:hanging="360"/>
      </w:pPr>
      <w:rPr>
        <w:rFonts w:ascii="Arial" w:hAnsi="Arial" w:hint="default"/>
      </w:rPr>
    </w:lvl>
    <w:lvl w:ilvl="4" w:tplc="71EE1F26" w:tentative="1">
      <w:start w:val="1"/>
      <w:numFmt w:val="bullet"/>
      <w:lvlText w:val="•"/>
      <w:lvlJc w:val="left"/>
      <w:pPr>
        <w:tabs>
          <w:tab w:val="num" w:pos="3600"/>
        </w:tabs>
        <w:ind w:left="3600" w:hanging="360"/>
      </w:pPr>
      <w:rPr>
        <w:rFonts w:ascii="Arial" w:hAnsi="Arial" w:hint="default"/>
      </w:rPr>
    </w:lvl>
    <w:lvl w:ilvl="5" w:tplc="490C9DE6" w:tentative="1">
      <w:start w:val="1"/>
      <w:numFmt w:val="bullet"/>
      <w:lvlText w:val="•"/>
      <w:lvlJc w:val="left"/>
      <w:pPr>
        <w:tabs>
          <w:tab w:val="num" w:pos="4320"/>
        </w:tabs>
        <w:ind w:left="4320" w:hanging="360"/>
      </w:pPr>
      <w:rPr>
        <w:rFonts w:ascii="Arial" w:hAnsi="Arial" w:hint="default"/>
      </w:rPr>
    </w:lvl>
    <w:lvl w:ilvl="6" w:tplc="0A84D348" w:tentative="1">
      <w:start w:val="1"/>
      <w:numFmt w:val="bullet"/>
      <w:lvlText w:val="•"/>
      <w:lvlJc w:val="left"/>
      <w:pPr>
        <w:tabs>
          <w:tab w:val="num" w:pos="5040"/>
        </w:tabs>
        <w:ind w:left="5040" w:hanging="360"/>
      </w:pPr>
      <w:rPr>
        <w:rFonts w:ascii="Arial" w:hAnsi="Arial" w:hint="default"/>
      </w:rPr>
    </w:lvl>
    <w:lvl w:ilvl="7" w:tplc="0748CC92" w:tentative="1">
      <w:start w:val="1"/>
      <w:numFmt w:val="bullet"/>
      <w:lvlText w:val="•"/>
      <w:lvlJc w:val="left"/>
      <w:pPr>
        <w:tabs>
          <w:tab w:val="num" w:pos="5760"/>
        </w:tabs>
        <w:ind w:left="5760" w:hanging="360"/>
      </w:pPr>
      <w:rPr>
        <w:rFonts w:ascii="Arial" w:hAnsi="Arial" w:hint="default"/>
      </w:rPr>
    </w:lvl>
    <w:lvl w:ilvl="8" w:tplc="97A41A2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81453F4"/>
    <w:multiLevelType w:val="hybridMultilevel"/>
    <w:tmpl w:val="D7C423E8"/>
    <w:lvl w:ilvl="0" w:tplc="F9C22B74">
      <w:start w:val="1"/>
      <w:numFmt w:val="bullet"/>
      <w:lvlText w:val="•"/>
      <w:lvlJc w:val="left"/>
      <w:pPr>
        <w:tabs>
          <w:tab w:val="num" w:pos="720"/>
        </w:tabs>
        <w:ind w:left="720" w:hanging="360"/>
      </w:pPr>
      <w:rPr>
        <w:rFonts w:ascii="Arial" w:hAnsi="Arial" w:hint="default"/>
      </w:rPr>
    </w:lvl>
    <w:lvl w:ilvl="1" w:tplc="858814F0" w:tentative="1">
      <w:start w:val="1"/>
      <w:numFmt w:val="bullet"/>
      <w:lvlText w:val="•"/>
      <w:lvlJc w:val="left"/>
      <w:pPr>
        <w:tabs>
          <w:tab w:val="num" w:pos="1440"/>
        </w:tabs>
        <w:ind w:left="1440" w:hanging="360"/>
      </w:pPr>
      <w:rPr>
        <w:rFonts w:ascii="Arial" w:hAnsi="Arial" w:hint="default"/>
      </w:rPr>
    </w:lvl>
    <w:lvl w:ilvl="2" w:tplc="9112D20C" w:tentative="1">
      <w:start w:val="1"/>
      <w:numFmt w:val="bullet"/>
      <w:lvlText w:val="•"/>
      <w:lvlJc w:val="left"/>
      <w:pPr>
        <w:tabs>
          <w:tab w:val="num" w:pos="2160"/>
        </w:tabs>
        <w:ind w:left="2160" w:hanging="360"/>
      </w:pPr>
      <w:rPr>
        <w:rFonts w:ascii="Arial" w:hAnsi="Arial" w:hint="default"/>
      </w:rPr>
    </w:lvl>
    <w:lvl w:ilvl="3" w:tplc="CB6A5CCC" w:tentative="1">
      <w:start w:val="1"/>
      <w:numFmt w:val="bullet"/>
      <w:lvlText w:val="•"/>
      <w:lvlJc w:val="left"/>
      <w:pPr>
        <w:tabs>
          <w:tab w:val="num" w:pos="2880"/>
        </w:tabs>
        <w:ind w:left="2880" w:hanging="360"/>
      </w:pPr>
      <w:rPr>
        <w:rFonts w:ascii="Arial" w:hAnsi="Arial" w:hint="default"/>
      </w:rPr>
    </w:lvl>
    <w:lvl w:ilvl="4" w:tplc="695C5FE8" w:tentative="1">
      <w:start w:val="1"/>
      <w:numFmt w:val="bullet"/>
      <w:lvlText w:val="•"/>
      <w:lvlJc w:val="left"/>
      <w:pPr>
        <w:tabs>
          <w:tab w:val="num" w:pos="3600"/>
        </w:tabs>
        <w:ind w:left="3600" w:hanging="360"/>
      </w:pPr>
      <w:rPr>
        <w:rFonts w:ascii="Arial" w:hAnsi="Arial" w:hint="default"/>
      </w:rPr>
    </w:lvl>
    <w:lvl w:ilvl="5" w:tplc="A9F0EDF8" w:tentative="1">
      <w:start w:val="1"/>
      <w:numFmt w:val="bullet"/>
      <w:lvlText w:val="•"/>
      <w:lvlJc w:val="left"/>
      <w:pPr>
        <w:tabs>
          <w:tab w:val="num" w:pos="4320"/>
        </w:tabs>
        <w:ind w:left="4320" w:hanging="360"/>
      </w:pPr>
      <w:rPr>
        <w:rFonts w:ascii="Arial" w:hAnsi="Arial" w:hint="default"/>
      </w:rPr>
    </w:lvl>
    <w:lvl w:ilvl="6" w:tplc="D52EF796" w:tentative="1">
      <w:start w:val="1"/>
      <w:numFmt w:val="bullet"/>
      <w:lvlText w:val="•"/>
      <w:lvlJc w:val="left"/>
      <w:pPr>
        <w:tabs>
          <w:tab w:val="num" w:pos="5040"/>
        </w:tabs>
        <w:ind w:left="5040" w:hanging="360"/>
      </w:pPr>
      <w:rPr>
        <w:rFonts w:ascii="Arial" w:hAnsi="Arial" w:hint="default"/>
      </w:rPr>
    </w:lvl>
    <w:lvl w:ilvl="7" w:tplc="EEC45596" w:tentative="1">
      <w:start w:val="1"/>
      <w:numFmt w:val="bullet"/>
      <w:lvlText w:val="•"/>
      <w:lvlJc w:val="left"/>
      <w:pPr>
        <w:tabs>
          <w:tab w:val="num" w:pos="5760"/>
        </w:tabs>
        <w:ind w:left="5760" w:hanging="360"/>
      </w:pPr>
      <w:rPr>
        <w:rFonts w:ascii="Arial" w:hAnsi="Arial" w:hint="default"/>
      </w:rPr>
    </w:lvl>
    <w:lvl w:ilvl="8" w:tplc="ACDC08D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9F902D3"/>
    <w:multiLevelType w:val="hybridMultilevel"/>
    <w:tmpl w:val="06067A7C"/>
    <w:lvl w:ilvl="0" w:tplc="7B5623D8">
      <w:start w:val="1"/>
      <w:numFmt w:val="bullet"/>
      <w:lvlText w:val="•"/>
      <w:lvlJc w:val="left"/>
      <w:pPr>
        <w:tabs>
          <w:tab w:val="num" w:pos="720"/>
        </w:tabs>
        <w:ind w:left="720" w:hanging="360"/>
      </w:pPr>
      <w:rPr>
        <w:rFonts w:ascii="Arial" w:hAnsi="Arial" w:hint="default"/>
      </w:rPr>
    </w:lvl>
    <w:lvl w:ilvl="1" w:tplc="9A38BB58">
      <w:start w:val="1"/>
      <w:numFmt w:val="bullet"/>
      <w:lvlText w:val="•"/>
      <w:lvlJc w:val="left"/>
      <w:pPr>
        <w:tabs>
          <w:tab w:val="num" w:pos="1440"/>
        </w:tabs>
        <w:ind w:left="1440" w:hanging="360"/>
      </w:pPr>
      <w:rPr>
        <w:rFonts w:ascii="Arial" w:hAnsi="Arial" w:hint="default"/>
      </w:rPr>
    </w:lvl>
    <w:lvl w:ilvl="2" w:tplc="D87A3A14" w:tentative="1">
      <w:start w:val="1"/>
      <w:numFmt w:val="bullet"/>
      <w:lvlText w:val="•"/>
      <w:lvlJc w:val="left"/>
      <w:pPr>
        <w:tabs>
          <w:tab w:val="num" w:pos="2160"/>
        </w:tabs>
        <w:ind w:left="2160" w:hanging="360"/>
      </w:pPr>
      <w:rPr>
        <w:rFonts w:ascii="Arial" w:hAnsi="Arial" w:hint="default"/>
      </w:rPr>
    </w:lvl>
    <w:lvl w:ilvl="3" w:tplc="62304F74" w:tentative="1">
      <w:start w:val="1"/>
      <w:numFmt w:val="bullet"/>
      <w:lvlText w:val="•"/>
      <w:lvlJc w:val="left"/>
      <w:pPr>
        <w:tabs>
          <w:tab w:val="num" w:pos="2880"/>
        </w:tabs>
        <w:ind w:left="2880" w:hanging="360"/>
      </w:pPr>
      <w:rPr>
        <w:rFonts w:ascii="Arial" w:hAnsi="Arial" w:hint="default"/>
      </w:rPr>
    </w:lvl>
    <w:lvl w:ilvl="4" w:tplc="72FEFC7E" w:tentative="1">
      <w:start w:val="1"/>
      <w:numFmt w:val="bullet"/>
      <w:lvlText w:val="•"/>
      <w:lvlJc w:val="left"/>
      <w:pPr>
        <w:tabs>
          <w:tab w:val="num" w:pos="3600"/>
        </w:tabs>
        <w:ind w:left="3600" w:hanging="360"/>
      </w:pPr>
      <w:rPr>
        <w:rFonts w:ascii="Arial" w:hAnsi="Arial" w:hint="default"/>
      </w:rPr>
    </w:lvl>
    <w:lvl w:ilvl="5" w:tplc="2CEA6BFA" w:tentative="1">
      <w:start w:val="1"/>
      <w:numFmt w:val="bullet"/>
      <w:lvlText w:val="•"/>
      <w:lvlJc w:val="left"/>
      <w:pPr>
        <w:tabs>
          <w:tab w:val="num" w:pos="4320"/>
        </w:tabs>
        <w:ind w:left="4320" w:hanging="360"/>
      </w:pPr>
      <w:rPr>
        <w:rFonts w:ascii="Arial" w:hAnsi="Arial" w:hint="default"/>
      </w:rPr>
    </w:lvl>
    <w:lvl w:ilvl="6" w:tplc="B30A0D64" w:tentative="1">
      <w:start w:val="1"/>
      <w:numFmt w:val="bullet"/>
      <w:lvlText w:val="•"/>
      <w:lvlJc w:val="left"/>
      <w:pPr>
        <w:tabs>
          <w:tab w:val="num" w:pos="5040"/>
        </w:tabs>
        <w:ind w:left="5040" w:hanging="360"/>
      </w:pPr>
      <w:rPr>
        <w:rFonts w:ascii="Arial" w:hAnsi="Arial" w:hint="default"/>
      </w:rPr>
    </w:lvl>
    <w:lvl w:ilvl="7" w:tplc="076C1B1A" w:tentative="1">
      <w:start w:val="1"/>
      <w:numFmt w:val="bullet"/>
      <w:lvlText w:val="•"/>
      <w:lvlJc w:val="left"/>
      <w:pPr>
        <w:tabs>
          <w:tab w:val="num" w:pos="5760"/>
        </w:tabs>
        <w:ind w:left="5760" w:hanging="360"/>
      </w:pPr>
      <w:rPr>
        <w:rFonts w:ascii="Arial" w:hAnsi="Arial" w:hint="default"/>
      </w:rPr>
    </w:lvl>
    <w:lvl w:ilvl="8" w:tplc="26BC631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AE01EEB"/>
    <w:multiLevelType w:val="hybridMultilevel"/>
    <w:tmpl w:val="CD4A1E64"/>
    <w:lvl w:ilvl="0" w:tplc="2596612E">
      <w:start w:val="1"/>
      <w:numFmt w:val="bullet"/>
      <w:lvlText w:val="•"/>
      <w:lvlJc w:val="left"/>
      <w:pPr>
        <w:tabs>
          <w:tab w:val="num" w:pos="720"/>
        </w:tabs>
        <w:ind w:left="720" w:hanging="360"/>
      </w:pPr>
      <w:rPr>
        <w:rFonts w:ascii="Arial" w:hAnsi="Arial" w:hint="default"/>
      </w:rPr>
    </w:lvl>
    <w:lvl w:ilvl="1" w:tplc="865292D2" w:tentative="1">
      <w:start w:val="1"/>
      <w:numFmt w:val="bullet"/>
      <w:lvlText w:val="•"/>
      <w:lvlJc w:val="left"/>
      <w:pPr>
        <w:tabs>
          <w:tab w:val="num" w:pos="1440"/>
        </w:tabs>
        <w:ind w:left="1440" w:hanging="360"/>
      </w:pPr>
      <w:rPr>
        <w:rFonts w:ascii="Arial" w:hAnsi="Arial" w:hint="default"/>
      </w:rPr>
    </w:lvl>
    <w:lvl w:ilvl="2" w:tplc="17B0278E" w:tentative="1">
      <w:start w:val="1"/>
      <w:numFmt w:val="bullet"/>
      <w:lvlText w:val="•"/>
      <w:lvlJc w:val="left"/>
      <w:pPr>
        <w:tabs>
          <w:tab w:val="num" w:pos="2160"/>
        </w:tabs>
        <w:ind w:left="2160" w:hanging="360"/>
      </w:pPr>
      <w:rPr>
        <w:rFonts w:ascii="Arial" w:hAnsi="Arial" w:hint="default"/>
      </w:rPr>
    </w:lvl>
    <w:lvl w:ilvl="3" w:tplc="B7B07CD4" w:tentative="1">
      <w:start w:val="1"/>
      <w:numFmt w:val="bullet"/>
      <w:lvlText w:val="•"/>
      <w:lvlJc w:val="left"/>
      <w:pPr>
        <w:tabs>
          <w:tab w:val="num" w:pos="2880"/>
        </w:tabs>
        <w:ind w:left="2880" w:hanging="360"/>
      </w:pPr>
      <w:rPr>
        <w:rFonts w:ascii="Arial" w:hAnsi="Arial" w:hint="default"/>
      </w:rPr>
    </w:lvl>
    <w:lvl w:ilvl="4" w:tplc="2F8C9248" w:tentative="1">
      <w:start w:val="1"/>
      <w:numFmt w:val="bullet"/>
      <w:lvlText w:val="•"/>
      <w:lvlJc w:val="left"/>
      <w:pPr>
        <w:tabs>
          <w:tab w:val="num" w:pos="3600"/>
        </w:tabs>
        <w:ind w:left="3600" w:hanging="360"/>
      </w:pPr>
      <w:rPr>
        <w:rFonts w:ascii="Arial" w:hAnsi="Arial" w:hint="default"/>
      </w:rPr>
    </w:lvl>
    <w:lvl w:ilvl="5" w:tplc="499085EE" w:tentative="1">
      <w:start w:val="1"/>
      <w:numFmt w:val="bullet"/>
      <w:lvlText w:val="•"/>
      <w:lvlJc w:val="left"/>
      <w:pPr>
        <w:tabs>
          <w:tab w:val="num" w:pos="4320"/>
        </w:tabs>
        <w:ind w:left="4320" w:hanging="360"/>
      </w:pPr>
      <w:rPr>
        <w:rFonts w:ascii="Arial" w:hAnsi="Arial" w:hint="default"/>
      </w:rPr>
    </w:lvl>
    <w:lvl w:ilvl="6" w:tplc="9CAE6EBC" w:tentative="1">
      <w:start w:val="1"/>
      <w:numFmt w:val="bullet"/>
      <w:lvlText w:val="•"/>
      <w:lvlJc w:val="left"/>
      <w:pPr>
        <w:tabs>
          <w:tab w:val="num" w:pos="5040"/>
        </w:tabs>
        <w:ind w:left="5040" w:hanging="360"/>
      </w:pPr>
      <w:rPr>
        <w:rFonts w:ascii="Arial" w:hAnsi="Arial" w:hint="default"/>
      </w:rPr>
    </w:lvl>
    <w:lvl w:ilvl="7" w:tplc="B906A91E" w:tentative="1">
      <w:start w:val="1"/>
      <w:numFmt w:val="bullet"/>
      <w:lvlText w:val="•"/>
      <w:lvlJc w:val="left"/>
      <w:pPr>
        <w:tabs>
          <w:tab w:val="num" w:pos="5760"/>
        </w:tabs>
        <w:ind w:left="5760" w:hanging="360"/>
      </w:pPr>
      <w:rPr>
        <w:rFonts w:ascii="Arial" w:hAnsi="Arial" w:hint="default"/>
      </w:rPr>
    </w:lvl>
    <w:lvl w:ilvl="8" w:tplc="55981A4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FE64D98"/>
    <w:multiLevelType w:val="hybridMultilevel"/>
    <w:tmpl w:val="E7A41420"/>
    <w:lvl w:ilvl="0" w:tplc="8F62233A">
      <w:start w:val="1"/>
      <w:numFmt w:val="bullet"/>
      <w:lvlText w:val="•"/>
      <w:lvlJc w:val="left"/>
      <w:pPr>
        <w:tabs>
          <w:tab w:val="num" w:pos="720"/>
        </w:tabs>
        <w:ind w:left="720" w:hanging="360"/>
      </w:pPr>
      <w:rPr>
        <w:rFonts w:ascii="Arial" w:hAnsi="Arial" w:hint="default"/>
      </w:rPr>
    </w:lvl>
    <w:lvl w:ilvl="1" w:tplc="B18AA6D2" w:tentative="1">
      <w:start w:val="1"/>
      <w:numFmt w:val="bullet"/>
      <w:lvlText w:val="•"/>
      <w:lvlJc w:val="left"/>
      <w:pPr>
        <w:tabs>
          <w:tab w:val="num" w:pos="1440"/>
        </w:tabs>
        <w:ind w:left="1440" w:hanging="360"/>
      </w:pPr>
      <w:rPr>
        <w:rFonts w:ascii="Arial" w:hAnsi="Arial" w:hint="default"/>
      </w:rPr>
    </w:lvl>
    <w:lvl w:ilvl="2" w:tplc="47363382" w:tentative="1">
      <w:start w:val="1"/>
      <w:numFmt w:val="bullet"/>
      <w:lvlText w:val="•"/>
      <w:lvlJc w:val="left"/>
      <w:pPr>
        <w:tabs>
          <w:tab w:val="num" w:pos="2160"/>
        </w:tabs>
        <w:ind w:left="2160" w:hanging="360"/>
      </w:pPr>
      <w:rPr>
        <w:rFonts w:ascii="Arial" w:hAnsi="Arial" w:hint="default"/>
      </w:rPr>
    </w:lvl>
    <w:lvl w:ilvl="3" w:tplc="6A6C4152" w:tentative="1">
      <w:start w:val="1"/>
      <w:numFmt w:val="bullet"/>
      <w:lvlText w:val="•"/>
      <w:lvlJc w:val="left"/>
      <w:pPr>
        <w:tabs>
          <w:tab w:val="num" w:pos="2880"/>
        </w:tabs>
        <w:ind w:left="2880" w:hanging="360"/>
      </w:pPr>
      <w:rPr>
        <w:rFonts w:ascii="Arial" w:hAnsi="Arial" w:hint="default"/>
      </w:rPr>
    </w:lvl>
    <w:lvl w:ilvl="4" w:tplc="56EE782C" w:tentative="1">
      <w:start w:val="1"/>
      <w:numFmt w:val="bullet"/>
      <w:lvlText w:val="•"/>
      <w:lvlJc w:val="left"/>
      <w:pPr>
        <w:tabs>
          <w:tab w:val="num" w:pos="3600"/>
        </w:tabs>
        <w:ind w:left="3600" w:hanging="360"/>
      </w:pPr>
      <w:rPr>
        <w:rFonts w:ascii="Arial" w:hAnsi="Arial" w:hint="default"/>
      </w:rPr>
    </w:lvl>
    <w:lvl w:ilvl="5" w:tplc="C0700E80" w:tentative="1">
      <w:start w:val="1"/>
      <w:numFmt w:val="bullet"/>
      <w:lvlText w:val="•"/>
      <w:lvlJc w:val="left"/>
      <w:pPr>
        <w:tabs>
          <w:tab w:val="num" w:pos="4320"/>
        </w:tabs>
        <w:ind w:left="4320" w:hanging="360"/>
      </w:pPr>
      <w:rPr>
        <w:rFonts w:ascii="Arial" w:hAnsi="Arial" w:hint="default"/>
      </w:rPr>
    </w:lvl>
    <w:lvl w:ilvl="6" w:tplc="9BE2A8EE" w:tentative="1">
      <w:start w:val="1"/>
      <w:numFmt w:val="bullet"/>
      <w:lvlText w:val="•"/>
      <w:lvlJc w:val="left"/>
      <w:pPr>
        <w:tabs>
          <w:tab w:val="num" w:pos="5040"/>
        </w:tabs>
        <w:ind w:left="5040" w:hanging="360"/>
      </w:pPr>
      <w:rPr>
        <w:rFonts w:ascii="Arial" w:hAnsi="Arial" w:hint="default"/>
      </w:rPr>
    </w:lvl>
    <w:lvl w:ilvl="7" w:tplc="264228A8" w:tentative="1">
      <w:start w:val="1"/>
      <w:numFmt w:val="bullet"/>
      <w:lvlText w:val="•"/>
      <w:lvlJc w:val="left"/>
      <w:pPr>
        <w:tabs>
          <w:tab w:val="num" w:pos="5760"/>
        </w:tabs>
        <w:ind w:left="5760" w:hanging="360"/>
      </w:pPr>
      <w:rPr>
        <w:rFonts w:ascii="Arial" w:hAnsi="Arial" w:hint="default"/>
      </w:rPr>
    </w:lvl>
    <w:lvl w:ilvl="8" w:tplc="FC66599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0C82E42"/>
    <w:multiLevelType w:val="hybridMultilevel"/>
    <w:tmpl w:val="B4107748"/>
    <w:lvl w:ilvl="0" w:tplc="674AF2A8">
      <w:start w:val="1"/>
      <w:numFmt w:val="bullet"/>
      <w:lvlText w:val="•"/>
      <w:lvlJc w:val="left"/>
      <w:pPr>
        <w:tabs>
          <w:tab w:val="num" w:pos="720"/>
        </w:tabs>
        <w:ind w:left="720" w:hanging="360"/>
      </w:pPr>
      <w:rPr>
        <w:rFonts w:ascii="Arial" w:hAnsi="Arial" w:hint="default"/>
      </w:rPr>
    </w:lvl>
    <w:lvl w:ilvl="1" w:tplc="B36A8FC6" w:tentative="1">
      <w:start w:val="1"/>
      <w:numFmt w:val="bullet"/>
      <w:lvlText w:val="•"/>
      <w:lvlJc w:val="left"/>
      <w:pPr>
        <w:tabs>
          <w:tab w:val="num" w:pos="1440"/>
        </w:tabs>
        <w:ind w:left="1440" w:hanging="360"/>
      </w:pPr>
      <w:rPr>
        <w:rFonts w:ascii="Arial" w:hAnsi="Arial" w:hint="default"/>
      </w:rPr>
    </w:lvl>
    <w:lvl w:ilvl="2" w:tplc="16F2C5E6" w:tentative="1">
      <w:start w:val="1"/>
      <w:numFmt w:val="bullet"/>
      <w:lvlText w:val="•"/>
      <w:lvlJc w:val="left"/>
      <w:pPr>
        <w:tabs>
          <w:tab w:val="num" w:pos="2160"/>
        </w:tabs>
        <w:ind w:left="2160" w:hanging="360"/>
      </w:pPr>
      <w:rPr>
        <w:rFonts w:ascii="Arial" w:hAnsi="Arial" w:hint="default"/>
      </w:rPr>
    </w:lvl>
    <w:lvl w:ilvl="3" w:tplc="9F92128E" w:tentative="1">
      <w:start w:val="1"/>
      <w:numFmt w:val="bullet"/>
      <w:lvlText w:val="•"/>
      <w:lvlJc w:val="left"/>
      <w:pPr>
        <w:tabs>
          <w:tab w:val="num" w:pos="2880"/>
        </w:tabs>
        <w:ind w:left="2880" w:hanging="360"/>
      </w:pPr>
      <w:rPr>
        <w:rFonts w:ascii="Arial" w:hAnsi="Arial" w:hint="default"/>
      </w:rPr>
    </w:lvl>
    <w:lvl w:ilvl="4" w:tplc="40FC593C" w:tentative="1">
      <w:start w:val="1"/>
      <w:numFmt w:val="bullet"/>
      <w:lvlText w:val="•"/>
      <w:lvlJc w:val="left"/>
      <w:pPr>
        <w:tabs>
          <w:tab w:val="num" w:pos="3600"/>
        </w:tabs>
        <w:ind w:left="3600" w:hanging="360"/>
      </w:pPr>
      <w:rPr>
        <w:rFonts w:ascii="Arial" w:hAnsi="Arial" w:hint="default"/>
      </w:rPr>
    </w:lvl>
    <w:lvl w:ilvl="5" w:tplc="B53441E2" w:tentative="1">
      <w:start w:val="1"/>
      <w:numFmt w:val="bullet"/>
      <w:lvlText w:val="•"/>
      <w:lvlJc w:val="left"/>
      <w:pPr>
        <w:tabs>
          <w:tab w:val="num" w:pos="4320"/>
        </w:tabs>
        <w:ind w:left="4320" w:hanging="360"/>
      </w:pPr>
      <w:rPr>
        <w:rFonts w:ascii="Arial" w:hAnsi="Arial" w:hint="default"/>
      </w:rPr>
    </w:lvl>
    <w:lvl w:ilvl="6" w:tplc="D6E6C95C" w:tentative="1">
      <w:start w:val="1"/>
      <w:numFmt w:val="bullet"/>
      <w:lvlText w:val="•"/>
      <w:lvlJc w:val="left"/>
      <w:pPr>
        <w:tabs>
          <w:tab w:val="num" w:pos="5040"/>
        </w:tabs>
        <w:ind w:left="5040" w:hanging="360"/>
      </w:pPr>
      <w:rPr>
        <w:rFonts w:ascii="Arial" w:hAnsi="Arial" w:hint="default"/>
      </w:rPr>
    </w:lvl>
    <w:lvl w:ilvl="7" w:tplc="60C6F7BC" w:tentative="1">
      <w:start w:val="1"/>
      <w:numFmt w:val="bullet"/>
      <w:lvlText w:val="•"/>
      <w:lvlJc w:val="left"/>
      <w:pPr>
        <w:tabs>
          <w:tab w:val="num" w:pos="5760"/>
        </w:tabs>
        <w:ind w:left="5760" w:hanging="360"/>
      </w:pPr>
      <w:rPr>
        <w:rFonts w:ascii="Arial" w:hAnsi="Arial" w:hint="default"/>
      </w:rPr>
    </w:lvl>
    <w:lvl w:ilvl="8" w:tplc="71F08E3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0FC79D7"/>
    <w:multiLevelType w:val="hybridMultilevel"/>
    <w:tmpl w:val="15560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E90548"/>
    <w:multiLevelType w:val="hybridMultilevel"/>
    <w:tmpl w:val="ADC281BE"/>
    <w:lvl w:ilvl="0" w:tplc="BA221DF0">
      <w:start w:val="1"/>
      <w:numFmt w:val="bullet"/>
      <w:lvlText w:val="•"/>
      <w:lvlJc w:val="left"/>
      <w:pPr>
        <w:tabs>
          <w:tab w:val="num" w:pos="720"/>
        </w:tabs>
        <w:ind w:left="720" w:hanging="360"/>
      </w:pPr>
      <w:rPr>
        <w:rFonts w:ascii="Arial" w:hAnsi="Arial" w:hint="default"/>
      </w:rPr>
    </w:lvl>
    <w:lvl w:ilvl="1" w:tplc="009245D6" w:tentative="1">
      <w:start w:val="1"/>
      <w:numFmt w:val="bullet"/>
      <w:lvlText w:val="•"/>
      <w:lvlJc w:val="left"/>
      <w:pPr>
        <w:tabs>
          <w:tab w:val="num" w:pos="1440"/>
        </w:tabs>
        <w:ind w:left="1440" w:hanging="360"/>
      </w:pPr>
      <w:rPr>
        <w:rFonts w:ascii="Arial" w:hAnsi="Arial" w:hint="default"/>
      </w:rPr>
    </w:lvl>
    <w:lvl w:ilvl="2" w:tplc="8C8A1A72" w:tentative="1">
      <w:start w:val="1"/>
      <w:numFmt w:val="bullet"/>
      <w:lvlText w:val="•"/>
      <w:lvlJc w:val="left"/>
      <w:pPr>
        <w:tabs>
          <w:tab w:val="num" w:pos="2160"/>
        </w:tabs>
        <w:ind w:left="2160" w:hanging="360"/>
      </w:pPr>
      <w:rPr>
        <w:rFonts w:ascii="Arial" w:hAnsi="Arial" w:hint="default"/>
      </w:rPr>
    </w:lvl>
    <w:lvl w:ilvl="3" w:tplc="D8A4C2EA" w:tentative="1">
      <w:start w:val="1"/>
      <w:numFmt w:val="bullet"/>
      <w:lvlText w:val="•"/>
      <w:lvlJc w:val="left"/>
      <w:pPr>
        <w:tabs>
          <w:tab w:val="num" w:pos="2880"/>
        </w:tabs>
        <w:ind w:left="2880" w:hanging="360"/>
      </w:pPr>
      <w:rPr>
        <w:rFonts w:ascii="Arial" w:hAnsi="Arial" w:hint="default"/>
      </w:rPr>
    </w:lvl>
    <w:lvl w:ilvl="4" w:tplc="2E6C2DB6" w:tentative="1">
      <w:start w:val="1"/>
      <w:numFmt w:val="bullet"/>
      <w:lvlText w:val="•"/>
      <w:lvlJc w:val="left"/>
      <w:pPr>
        <w:tabs>
          <w:tab w:val="num" w:pos="3600"/>
        </w:tabs>
        <w:ind w:left="3600" w:hanging="360"/>
      </w:pPr>
      <w:rPr>
        <w:rFonts w:ascii="Arial" w:hAnsi="Arial" w:hint="default"/>
      </w:rPr>
    </w:lvl>
    <w:lvl w:ilvl="5" w:tplc="27880358" w:tentative="1">
      <w:start w:val="1"/>
      <w:numFmt w:val="bullet"/>
      <w:lvlText w:val="•"/>
      <w:lvlJc w:val="left"/>
      <w:pPr>
        <w:tabs>
          <w:tab w:val="num" w:pos="4320"/>
        </w:tabs>
        <w:ind w:left="4320" w:hanging="360"/>
      </w:pPr>
      <w:rPr>
        <w:rFonts w:ascii="Arial" w:hAnsi="Arial" w:hint="default"/>
      </w:rPr>
    </w:lvl>
    <w:lvl w:ilvl="6" w:tplc="BBCAE0C2" w:tentative="1">
      <w:start w:val="1"/>
      <w:numFmt w:val="bullet"/>
      <w:lvlText w:val="•"/>
      <w:lvlJc w:val="left"/>
      <w:pPr>
        <w:tabs>
          <w:tab w:val="num" w:pos="5040"/>
        </w:tabs>
        <w:ind w:left="5040" w:hanging="360"/>
      </w:pPr>
      <w:rPr>
        <w:rFonts w:ascii="Arial" w:hAnsi="Arial" w:hint="default"/>
      </w:rPr>
    </w:lvl>
    <w:lvl w:ilvl="7" w:tplc="01B4D7A4" w:tentative="1">
      <w:start w:val="1"/>
      <w:numFmt w:val="bullet"/>
      <w:lvlText w:val="•"/>
      <w:lvlJc w:val="left"/>
      <w:pPr>
        <w:tabs>
          <w:tab w:val="num" w:pos="5760"/>
        </w:tabs>
        <w:ind w:left="5760" w:hanging="360"/>
      </w:pPr>
      <w:rPr>
        <w:rFonts w:ascii="Arial" w:hAnsi="Arial" w:hint="default"/>
      </w:rPr>
    </w:lvl>
    <w:lvl w:ilvl="8" w:tplc="62B4EA6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2273545"/>
    <w:multiLevelType w:val="hybridMultilevel"/>
    <w:tmpl w:val="DF765C3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04090005">
      <w:start w:val="1"/>
      <w:numFmt w:val="bullet"/>
      <w:lvlText w:val=""/>
      <w:lvlJc w:val="left"/>
      <w:pPr>
        <w:ind w:left="1440" w:hanging="360"/>
      </w:pPr>
      <w:rPr>
        <w:rFonts w:ascii="Wingdings" w:hAnsi="Wingdings" w:hint="default"/>
      </w:rPr>
    </w:lvl>
    <w:lvl w:ilvl="6" w:tplc="04090001" w:tentative="1">
      <w:start w:val="1"/>
      <w:numFmt w:val="bullet"/>
      <w:lvlText w:val=""/>
      <w:lvlJc w:val="left"/>
      <w:pPr>
        <w:ind w:left="2160" w:hanging="360"/>
      </w:pPr>
      <w:rPr>
        <w:rFonts w:ascii="Symbol" w:hAnsi="Symbol" w:hint="default"/>
      </w:rPr>
    </w:lvl>
    <w:lvl w:ilvl="7" w:tplc="04090003" w:tentative="1">
      <w:start w:val="1"/>
      <w:numFmt w:val="bullet"/>
      <w:lvlText w:val="o"/>
      <w:lvlJc w:val="left"/>
      <w:pPr>
        <w:ind w:left="2880" w:hanging="360"/>
      </w:pPr>
      <w:rPr>
        <w:rFonts w:ascii="Courier New" w:hAnsi="Courier New" w:cs="Courier New" w:hint="default"/>
      </w:rPr>
    </w:lvl>
    <w:lvl w:ilvl="8" w:tplc="04090005" w:tentative="1">
      <w:start w:val="1"/>
      <w:numFmt w:val="bullet"/>
      <w:lvlText w:val=""/>
      <w:lvlJc w:val="left"/>
      <w:pPr>
        <w:ind w:left="3600" w:hanging="360"/>
      </w:pPr>
      <w:rPr>
        <w:rFonts w:ascii="Wingdings" w:hAnsi="Wingdings" w:hint="default"/>
      </w:rPr>
    </w:lvl>
  </w:abstractNum>
  <w:abstractNum w:abstractNumId="34" w15:restartNumberingAfterBreak="0">
    <w:nsid w:val="343F24AE"/>
    <w:multiLevelType w:val="hybridMultilevel"/>
    <w:tmpl w:val="C1FA0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5471D29"/>
    <w:multiLevelType w:val="hybridMultilevel"/>
    <w:tmpl w:val="C4DCC1A2"/>
    <w:lvl w:ilvl="0" w:tplc="124AEE00">
      <w:start w:val="1"/>
      <w:numFmt w:val="bullet"/>
      <w:lvlText w:val="•"/>
      <w:lvlJc w:val="left"/>
      <w:pPr>
        <w:tabs>
          <w:tab w:val="num" w:pos="720"/>
        </w:tabs>
        <w:ind w:left="720" w:hanging="360"/>
      </w:pPr>
      <w:rPr>
        <w:rFonts w:ascii="Arial" w:hAnsi="Arial" w:hint="default"/>
      </w:rPr>
    </w:lvl>
    <w:lvl w:ilvl="1" w:tplc="3932920C" w:tentative="1">
      <w:start w:val="1"/>
      <w:numFmt w:val="bullet"/>
      <w:lvlText w:val="•"/>
      <w:lvlJc w:val="left"/>
      <w:pPr>
        <w:tabs>
          <w:tab w:val="num" w:pos="1440"/>
        </w:tabs>
        <w:ind w:left="1440" w:hanging="360"/>
      </w:pPr>
      <w:rPr>
        <w:rFonts w:ascii="Arial" w:hAnsi="Arial" w:hint="default"/>
      </w:rPr>
    </w:lvl>
    <w:lvl w:ilvl="2" w:tplc="6A12CF3E" w:tentative="1">
      <w:start w:val="1"/>
      <w:numFmt w:val="bullet"/>
      <w:lvlText w:val="•"/>
      <w:lvlJc w:val="left"/>
      <w:pPr>
        <w:tabs>
          <w:tab w:val="num" w:pos="2160"/>
        </w:tabs>
        <w:ind w:left="2160" w:hanging="360"/>
      </w:pPr>
      <w:rPr>
        <w:rFonts w:ascii="Arial" w:hAnsi="Arial" w:hint="default"/>
      </w:rPr>
    </w:lvl>
    <w:lvl w:ilvl="3" w:tplc="2E48D9B0" w:tentative="1">
      <w:start w:val="1"/>
      <w:numFmt w:val="bullet"/>
      <w:lvlText w:val="•"/>
      <w:lvlJc w:val="left"/>
      <w:pPr>
        <w:tabs>
          <w:tab w:val="num" w:pos="2880"/>
        </w:tabs>
        <w:ind w:left="2880" w:hanging="360"/>
      </w:pPr>
      <w:rPr>
        <w:rFonts w:ascii="Arial" w:hAnsi="Arial" w:hint="default"/>
      </w:rPr>
    </w:lvl>
    <w:lvl w:ilvl="4" w:tplc="E30AA1B0" w:tentative="1">
      <w:start w:val="1"/>
      <w:numFmt w:val="bullet"/>
      <w:lvlText w:val="•"/>
      <w:lvlJc w:val="left"/>
      <w:pPr>
        <w:tabs>
          <w:tab w:val="num" w:pos="3600"/>
        </w:tabs>
        <w:ind w:left="3600" w:hanging="360"/>
      </w:pPr>
      <w:rPr>
        <w:rFonts w:ascii="Arial" w:hAnsi="Arial" w:hint="default"/>
      </w:rPr>
    </w:lvl>
    <w:lvl w:ilvl="5" w:tplc="7842E6B8" w:tentative="1">
      <w:start w:val="1"/>
      <w:numFmt w:val="bullet"/>
      <w:lvlText w:val="•"/>
      <w:lvlJc w:val="left"/>
      <w:pPr>
        <w:tabs>
          <w:tab w:val="num" w:pos="4320"/>
        </w:tabs>
        <w:ind w:left="4320" w:hanging="360"/>
      </w:pPr>
      <w:rPr>
        <w:rFonts w:ascii="Arial" w:hAnsi="Arial" w:hint="default"/>
      </w:rPr>
    </w:lvl>
    <w:lvl w:ilvl="6" w:tplc="C4E62EFA" w:tentative="1">
      <w:start w:val="1"/>
      <w:numFmt w:val="bullet"/>
      <w:lvlText w:val="•"/>
      <w:lvlJc w:val="left"/>
      <w:pPr>
        <w:tabs>
          <w:tab w:val="num" w:pos="5040"/>
        </w:tabs>
        <w:ind w:left="5040" w:hanging="360"/>
      </w:pPr>
      <w:rPr>
        <w:rFonts w:ascii="Arial" w:hAnsi="Arial" w:hint="default"/>
      </w:rPr>
    </w:lvl>
    <w:lvl w:ilvl="7" w:tplc="AD005D68" w:tentative="1">
      <w:start w:val="1"/>
      <w:numFmt w:val="bullet"/>
      <w:lvlText w:val="•"/>
      <w:lvlJc w:val="left"/>
      <w:pPr>
        <w:tabs>
          <w:tab w:val="num" w:pos="5760"/>
        </w:tabs>
        <w:ind w:left="5760" w:hanging="360"/>
      </w:pPr>
      <w:rPr>
        <w:rFonts w:ascii="Arial" w:hAnsi="Arial" w:hint="default"/>
      </w:rPr>
    </w:lvl>
    <w:lvl w:ilvl="8" w:tplc="D5386FA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378F22BE"/>
    <w:multiLevelType w:val="hybridMultilevel"/>
    <w:tmpl w:val="08B2066A"/>
    <w:lvl w:ilvl="0" w:tplc="94E8280A">
      <w:start w:val="1"/>
      <w:numFmt w:val="bullet"/>
      <w:lvlText w:val="•"/>
      <w:lvlJc w:val="left"/>
      <w:pPr>
        <w:tabs>
          <w:tab w:val="num" w:pos="720"/>
        </w:tabs>
        <w:ind w:left="720" w:hanging="360"/>
      </w:pPr>
      <w:rPr>
        <w:rFonts w:ascii="Arial" w:hAnsi="Arial" w:hint="default"/>
      </w:rPr>
    </w:lvl>
    <w:lvl w:ilvl="1" w:tplc="5F2EDE38" w:tentative="1">
      <w:start w:val="1"/>
      <w:numFmt w:val="bullet"/>
      <w:lvlText w:val="•"/>
      <w:lvlJc w:val="left"/>
      <w:pPr>
        <w:tabs>
          <w:tab w:val="num" w:pos="1440"/>
        </w:tabs>
        <w:ind w:left="1440" w:hanging="360"/>
      </w:pPr>
      <w:rPr>
        <w:rFonts w:ascii="Arial" w:hAnsi="Arial" w:hint="default"/>
      </w:rPr>
    </w:lvl>
    <w:lvl w:ilvl="2" w:tplc="C12A239A" w:tentative="1">
      <w:start w:val="1"/>
      <w:numFmt w:val="bullet"/>
      <w:lvlText w:val="•"/>
      <w:lvlJc w:val="left"/>
      <w:pPr>
        <w:tabs>
          <w:tab w:val="num" w:pos="2160"/>
        </w:tabs>
        <w:ind w:left="2160" w:hanging="360"/>
      </w:pPr>
      <w:rPr>
        <w:rFonts w:ascii="Arial" w:hAnsi="Arial" w:hint="default"/>
      </w:rPr>
    </w:lvl>
    <w:lvl w:ilvl="3" w:tplc="1D3280BC" w:tentative="1">
      <w:start w:val="1"/>
      <w:numFmt w:val="bullet"/>
      <w:lvlText w:val="•"/>
      <w:lvlJc w:val="left"/>
      <w:pPr>
        <w:tabs>
          <w:tab w:val="num" w:pos="2880"/>
        </w:tabs>
        <w:ind w:left="2880" w:hanging="360"/>
      </w:pPr>
      <w:rPr>
        <w:rFonts w:ascii="Arial" w:hAnsi="Arial" w:hint="default"/>
      </w:rPr>
    </w:lvl>
    <w:lvl w:ilvl="4" w:tplc="18CA4258" w:tentative="1">
      <w:start w:val="1"/>
      <w:numFmt w:val="bullet"/>
      <w:lvlText w:val="•"/>
      <w:lvlJc w:val="left"/>
      <w:pPr>
        <w:tabs>
          <w:tab w:val="num" w:pos="3600"/>
        </w:tabs>
        <w:ind w:left="3600" w:hanging="360"/>
      </w:pPr>
      <w:rPr>
        <w:rFonts w:ascii="Arial" w:hAnsi="Arial" w:hint="default"/>
      </w:rPr>
    </w:lvl>
    <w:lvl w:ilvl="5" w:tplc="AEA21308" w:tentative="1">
      <w:start w:val="1"/>
      <w:numFmt w:val="bullet"/>
      <w:lvlText w:val="•"/>
      <w:lvlJc w:val="left"/>
      <w:pPr>
        <w:tabs>
          <w:tab w:val="num" w:pos="4320"/>
        </w:tabs>
        <w:ind w:left="4320" w:hanging="360"/>
      </w:pPr>
      <w:rPr>
        <w:rFonts w:ascii="Arial" w:hAnsi="Arial" w:hint="default"/>
      </w:rPr>
    </w:lvl>
    <w:lvl w:ilvl="6" w:tplc="870EAD5A" w:tentative="1">
      <w:start w:val="1"/>
      <w:numFmt w:val="bullet"/>
      <w:lvlText w:val="•"/>
      <w:lvlJc w:val="left"/>
      <w:pPr>
        <w:tabs>
          <w:tab w:val="num" w:pos="5040"/>
        </w:tabs>
        <w:ind w:left="5040" w:hanging="360"/>
      </w:pPr>
      <w:rPr>
        <w:rFonts w:ascii="Arial" w:hAnsi="Arial" w:hint="default"/>
      </w:rPr>
    </w:lvl>
    <w:lvl w:ilvl="7" w:tplc="D8D045D8" w:tentative="1">
      <w:start w:val="1"/>
      <w:numFmt w:val="bullet"/>
      <w:lvlText w:val="•"/>
      <w:lvlJc w:val="left"/>
      <w:pPr>
        <w:tabs>
          <w:tab w:val="num" w:pos="5760"/>
        </w:tabs>
        <w:ind w:left="5760" w:hanging="360"/>
      </w:pPr>
      <w:rPr>
        <w:rFonts w:ascii="Arial" w:hAnsi="Arial" w:hint="default"/>
      </w:rPr>
    </w:lvl>
    <w:lvl w:ilvl="8" w:tplc="DAB0197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3CA11F68"/>
    <w:multiLevelType w:val="hybridMultilevel"/>
    <w:tmpl w:val="0A14EB1A"/>
    <w:lvl w:ilvl="0" w:tplc="C9E8494A">
      <w:start w:val="1"/>
      <w:numFmt w:val="bullet"/>
      <w:lvlText w:val="•"/>
      <w:lvlJc w:val="left"/>
      <w:pPr>
        <w:tabs>
          <w:tab w:val="num" w:pos="720"/>
        </w:tabs>
        <w:ind w:left="720" w:hanging="360"/>
      </w:pPr>
      <w:rPr>
        <w:rFonts w:ascii="Arial" w:hAnsi="Arial" w:hint="default"/>
      </w:rPr>
    </w:lvl>
    <w:lvl w:ilvl="1" w:tplc="18363514">
      <w:start w:val="1"/>
      <w:numFmt w:val="bullet"/>
      <w:lvlText w:val="•"/>
      <w:lvlJc w:val="left"/>
      <w:pPr>
        <w:tabs>
          <w:tab w:val="num" w:pos="1440"/>
        </w:tabs>
        <w:ind w:left="1440" w:hanging="360"/>
      </w:pPr>
      <w:rPr>
        <w:rFonts w:ascii="Arial" w:hAnsi="Arial" w:hint="default"/>
      </w:rPr>
    </w:lvl>
    <w:lvl w:ilvl="2" w:tplc="AC1A17B2" w:tentative="1">
      <w:start w:val="1"/>
      <w:numFmt w:val="bullet"/>
      <w:lvlText w:val="•"/>
      <w:lvlJc w:val="left"/>
      <w:pPr>
        <w:tabs>
          <w:tab w:val="num" w:pos="2160"/>
        </w:tabs>
        <w:ind w:left="2160" w:hanging="360"/>
      </w:pPr>
      <w:rPr>
        <w:rFonts w:ascii="Arial" w:hAnsi="Arial" w:hint="default"/>
      </w:rPr>
    </w:lvl>
    <w:lvl w:ilvl="3" w:tplc="4DD2E0F6" w:tentative="1">
      <w:start w:val="1"/>
      <w:numFmt w:val="bullet"/>
      <w:lvlText w:val="•"/>
      <w:lvlJc w:val="left"/>
      <w:pPr>
        <w:tabs>
          <w:tab w:val="num" w:pos="2880"/>
        </w:tabs>
        <w:ind w:left="2880" w:hanging="360"/>
      </w:pPr>
      <w:rPr>
        <w:rFonts w:ascii="Arial" w:hAnsi="Arial" w:hint="default"/>
      </w:rPr>
    </w:lvl>
    <w:lvl w:ilvl="4" w:tplc="C1E4035A" w:tentative="1">
      <w:start w:val="1"/>
      <w:numFmt w:val="bullet"/>
      <w:lvlText w:val="•"/>
      <w:lvlJc w:val="left"/>
      <w:pPr>
        <w:tabs>
          <w:tab w:val="num" w:pos="3600"/>
        </w:tabs>
        <w:ind w:left="3600" w:hanging="360"/>
      </w:pPr>
      <w:rPr>
        <w:rFonts w:ascii="Arial" w:hAnsi="Arial" w:hint="default"/>
      </w:rPr>
    </w:lvl>
    <w:lvl w:ilvl="5" w:tplc="EBF6FC42" w:tentative="1">
      <w:start w:val="1"/>
      <w:numFmt w:val="bullet"/>
      <w:lvlText w:val="•"/>
      <w:lvlJc w:val="left"/>
      <w:pPr>
        <w:tabs>
          <w:tab w:val="num" w:pos="4320"/>
        </w:tabs>
        <w:ind w:left="4320" w:hanging="360"/>
      </w:pPr>
      <w:rPr>
        <w:rFonts w:ascii="Arial" w:hAnsi="Arial" w:hint="default"/>
      </w:rPr>
    </w:lvl>
    <w:lvl w:ilvl="6" w:tplc="34D2AE2E" w:tentative="1">
      <w:start w:val="1"/>
      <w:numFmt w:val="bullet"/>
      <w:lvlText w:val="•"/>
      <w:lvlJc w:val="left"/>
      <w:pPr>
        <w:tabs>
          <w:tab w:val="num" w:pos="5040"/>
        </w:tabs>
        <w:ind w:left="5040" w:hanging="360"/>
      </w:pPr>
      <w:rPr>
        <w:rFonts w:ascii="Arial" w:hAnsi="Arial" w:hint="default"/>
      </w:rPr>
    </w:lvl>
    <w:lvl w:ilvl="7" w:tplc="904C2892" w:tentative="1">
      <w:start w:val="1"/>
      <w:numFmt w:val="bullet"/>
      <w:lvlText w:val="•"/>
      <w:lvlJc w:val="left"/>
      <w:pPr>
        <w:tabs>
          <w:tab w:val="num" w:pos="5760"/>
        </w:tabs>
        <w:ind w:left="5760" w:hanging="360"/>
      </w:pPr>
      <w:rPr>
        <w:rFonts w:ascii="Arial" w:hAnsi="Arial" w:hint="default"/>
      </w:rPr>
    </w:lvl>
    <w:lvl w:ilvl="8" w:tplc="BCBC151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3DF2346C"/>
    <w:multiLevelType w:val="hybridMultilevel"/>
    <w:tmpl w:val="A3CC5BDE"/>
    <w:lvl w:ilvl="0" w:tplc="D6C83F44">
      <w:start w:val="1"/>
      <w:numFmt w:val="bullet"/>
      <w:lvlText w:val="•"/>
      <w:lvlJc w:val="left"/>
      <w:pPr>
        <w:tabs>
          <w:tab w:val="num" w:pos="720"/>
        </w:tabs>
        <w:ind w:left="720" w:hanging="360"/>
      </w:pPr>
      <w:rPr>
        <w:rFonts w:ascii="Arial" w:hAnsi="Arial" w:hint="default"/>
      </w:rPr>
    </w:lvl>
    <w:lvl w:ilvl="1" w:tplc="75604B92" w:tentative="1">
      <w:start w:val="1"/>
      <w:numFmt w:val="bullet"/>
      <w:lvlText w:val="•"/>
      <w:lvlJc w:val="left"/>
      <w:pPr>
        <w:tabs>
          <w:tab w:val="num" w:pos="1440"/>
        </w:tabs>
        <w:ind w:left="1440" w:hanging="360"/>
      </w:pPr>
      <w:rPr>
        <w:rFonts w:ascii="Arial" w:hAnsi="Arial" w:hint="default"/>
      </w:rPr>
    </w:lvl>
    <w:lvl w:ilvl="2" w:tplc="72A0D222" w:tentative="1">
      <w:start w:val="1"/>
      <w:numFmt w:val="bullet"/>
      <w:lvlText w:val="•"/>
      <w:lvlJc w:val="left"/>
      <w:pPr>
        <w:tabs>
          <w:tab w:val="num" w:pos="2160"/>
        </w:tabs>
        <w:ind w:left="2160" w:hanging="360"/>
      </w:pPr>
      <w:rPr>
        <w:rFonts w:ascii="Arial" w:hAnsi="Arial" w:hint="default"/>
      </w:rPr>
    </w:lvl>
    <w:lvl w:ilvl="3" w:tplc="DBACD88A" w:tentative="1">
      <w:start w:val="1"/>
      <w:numFmt w:val="bullet"/>
      <w:lvlText w:val="•"/>
      <w:lvlJc w:val="left"/>
      <w:pPr>
        <w:tabs>
          <w:tab w:val="num" w:pos="2880"/>
        </w:tabs>
        <w:ind w:left="2880" w:hanging="360"/>
      </w:pPr>
      <w:rPr>
        <w:rFonts w:ascii="Arial" w:hAnsi="Arial" w:hint="default"/>
      </w:rPr>
    </w:lvl>
    <w:lvl w:ilvl="4" w:tplc="DC30CADE" w:tentative="1">
      <w:start w:val="1"/>
      <w:numFmt w:val="bullet"/>
      <w:lvlText w:val="•"/>
      <w:lvlJc w:val="left"/>
      <w:pPr>
        <w:tabs>
          <w:tab w:val="num" w:pos="3600"/>
        </w:tabs>
        <w:ind w:left="3600" w:hanging="360"/>
      </w:pPr>
      <w:rPr>
        <w:rFonts w:ascii="Arial" w:hAnsi="Arial" w:hint="default"/>
      </w:rPr>
    </w:lvl>
    <w:lvl w:ilvl="5" w:tplc="55C49F9A" w:tentative="1">
      <w:start w:val="1"/>
      <w:numFmt w:val="bullet"/>
      <w:lvlText w:val="•"/>
      <w:lvlJc w:val="left"/>
      <w:pPr>
        <w:tabs>
          <w:tab w:val="num" w:pos="4320"/>
        </w:tabs>
        <w:ind w:left="4320" w:hanging="360"/>
      </w:pPr>
      <w:rPr>
        <w:rFonts w:ascii="Arial" w:hAnsi="Arial" w:hint="default"/>
      </w:rPr>
    </w:lvl>
    <w:lvl w:ilvl="6" w:tplc="5B042180" w:tentative="1">
      <w:start w:val="1"/>
      <w:numFmt w:val="bullet"/>
      <w:lvlText w:val="•"/>
      <w:lvlJc w:val="left"/>
      <w:pPr>
        <w:tabs>
          <w:tab w:val="num" w:pos="5040"/>
        </w:tabs>
        <w:ind w:left="5040" w:hanging="360"/>
      </w:pPr>
      <w:rPr>
        <w:rFonts w:ascii="Arial" w:hAnsi="Arial" w:hint="default"/>
      </w:rPr>
    </w:lvl>
    <w:lvl w:ilvl="7" w:tplc="8218651C" w:tentative="1">
      <w:start w:val="1"/>
      <w:numFmt w:val="bullet"/>
      <w:lvlText w:val="•"/>
      <w:lvlJc w:val="left"/>
      <w:pPr>
        <w:tabs>
          <w:tab w:val="num" w:pos="5760"/>
        </w:tabs>
        <w:ind w:left="5760" w:hanging="360"/>
      </w:pPr>
      <w:rPr>
        <w:rFonts w:ascii="Arial" w:hAnsi="Arial" w:hint="default"/>
      </w:rPr>
    </w:lvl>
    <w:lvl w:ilvl="8" w:tplc="49022CC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0BD4A3D"/>
    <w:multiLevelType w:val="hybridMultilevel"/>
    <w:tmpl w:val="7C568490"/>
    <w:lvl w:ilvl="0" w:tplc="F19EEF76">
      <w:start w:val="1"/>
      <w:numFmt w:val="bullet"/>
      <w:lvlText w:val="•"/>
      <w:lvlJc w:val="left"/>
      <w:pPr>
        <w:tabs>
          <w:tab w:val="num" w:pos="720"/>
        </w:tabs>
        <w:ind w:left="720" w:hanging="360"/>
      </w:pPr>
      <w:rPr>
        <w:rFonts w:ascii="Arial" w:hAnsi="Arial" w:hint="default"/>
      </w:rPr>
    </w:lvl>
    <w:lvl w:ilvl="1" w:tplc="1E4475FA" w:tentative="1">
      <w:start w:val="1"/>
      <w:numFmt w:val="bullet"/>
      <w:lvlText w:val="•"/>
      <w:lvlJc w:val="left"/>
      <w:pPr>
        <w:tabs>
          <w:tab w:val="num" w:pos="1440"/>
        </w:tabs>
        <w:ind w:left="1440" w:hanging="360"/>
      </w:pPr>
      <w:rPr>
        <w:rFonts w:ascii="Arial" w:hAnsi="Arial" w:hint="default"/>
      </w:rPr>
    </w:lvl>
    <w:lvl w:ilvl="2" w:tplc="7AF6A952" w:tentative="1">
      <w:start w:val="1"/>
      <w:numFmt w:val="bullet"/>
      <w:lvlText w:val="•"/>
      <w:lvlJc w:val="left"/>
      <w:pPr>
        <w:tabs>
          <w:tab w:val="num" w:pos="2160"/>
        </w:tabs>
        <w:ind w:left="2160" w:hanging="360"/>
      </w:pPr>
      <w:rPr>
        <w:rFonts w:ascii="Arial" w:hAnsi="Arial" w:hint="default"/>
      </w:rPr>
    </w:lvl>
    <w:lvl w:ilvl="3" w:tplc="186A184C" w:tentative="1">
      <w:start w:val="1"/>
      <w:numFmt w:val="bullet"/>
      <w:lvlText w:val="•"/>
      <w:lvlJc w:val="left"/>
      <w:pPr>
        <w:tabs>
          <w:tab w:val="num" w:pos="2880"/>
        </w:tabs>
        <w:ind w:left="2880" w:hanging="360"/>
      </w:pPr>
      <w:rPr>
        <w:rFonts w:ascii="Arial" w:hAnsi="Arial" w:hint="default"/>
      </w:rPr>
    </w:lvl>
    <w:lvl w:ilvl="4" w:tplc="732A787A" w:tentative="1">
      <w:start w:val="1"/>
      <w:numFmt w:val="bullet"/>
      <w:lvlText w:val="•"/>
      <w:lvlJc w:val="left"/>
      <w:pPr>
        <w:tabs>
          <w:tab w:val="num" w:pos="3600"/>
        </w:tabs>
        <w:ind w:left="3600" w:hanging="360"/>
      </w:pPr>
      <w:rPr>
        <w:rFonts w:ascii="Arial" w:hAnsi="Arial" w:hint="default"/>
      </w:rPr>
    </w:lvl>
    <w:lvl w:ilvl="5" w:tplc="5ECC2DDA" w:tentative="1">
      <w:start w:val="1"/>
      <w:numFmt w:val="bullet"/>
      <w:lvlText w:val="•"/>
      <w:lvlJc w:val="left"/>
      <w:pPr>
        <w:tabs>
          <w:tab w:val="num" w:pos="4320"/>
        </w:tabs>
        <w:ind w:left="4320" w:hanging="360"/>
      </w:pPr>
      <w:rPr>
        <w:rFonts w:ascii="Arial" w:hAnsi="Arial" w:hint="default"/>
      </w:rPr>
    </w:lvl>
    <w:lvl w:ilvl="6" w:tplc="5BB6D082" w:tentative="1">
      <w:start w:val="1"/>
      <w:numFmt w:val="bullet"/>
      <w:lvlText w:val="•"/>
      <w:lvlJc w:val="left"/>
      <w:pPr>
        <w:tabs>
          <w:tab w:val="num" w:pos="5040"/>
        </w:tabs>
        <w:ind w:left="5040" w:hanging="360"/>
      </w:pPr>
      <w:rPr>
        <w:rFonts w:ascii="Arial" w:hAnsi="Arial" w:hint="default"/>
      </w:rPr>
    </w:lvl>
    <w:lvl w:ilvl="7" w:tplc="BBDA0A26" w:tentative="1">
      <w:start w:val="1"/>
      <w:numFmt w:val="bullet"/>
      <w:lvlText w:val="•"/>
      <w:lvlJc w:val="left"/>
      <w:pPr>
        <w:tabs>
          <w:tab w:val="num" w:pos="5760"/>
        </w:tabs>
        <w:ind w:left="5760" w:hanging="360"/>
      </w:pPr>
      <w:rPr>
        <w:rFonts w:ascii="Arial" w:hAnsi="Arial" w:hint="default"/>
      </w:rPr>
    </w:lvl>
    <w:lvl w:ilvl="8" w:tplc="CF162CD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457313C8"/>
    <w:multiLevelType w:val="hybridMultilevel"/>
    <w:tmpl w:val="3E407F76"/>
    <w:lvl w:ilvl="0" w:tplc="6B062E4C">
      <w:start w:val="1"/>
      <w:numFmt w:val="bullet"/>
      <w:lvlText w:val="•"/>
      <w:lvlJc w:val="left"/>
      <w:pPr>
        <w:tabs>
          <w:tab w:val="num" w:pos="720"/>
        </w:tabs>
        <w:ind w:left="720" w:hanging="360"/>
      </w:pPr>
      <w:rPr>
        <w:rFonts w:ascii="Arial" w:hAnsi="Arial" w:hint="default"/>
      </w:rPr>
    </w:lvl>
    <w:lvl w:ilvl="1" w:tplc="71E4C1E4" w:tentative="1">
      <w:start w:val="1"/>
      <w:numFmt w:val="bullet"/>
      <w:lvlText w:val="•"/>
      <w:lvlJc w:val="left"/>
      <w:pPr>
        <w:tabs>
          <w:tab w:val="num" w:pos="1440"/>
        </w:tabs>
        <w:ind w:left="1440" w:hanging="360"/>
      </w:pPr>
      <w:rPr>
        <w:rFonts w:ascii="Arial" w:hAnsi="Arial" w:hint="default"/>
      </w:rPr>
    </w:lvl>
    <w:lvl w:ilvl="2" w:tplc="D3D06196" w:tentative="1">
      <w:start w:val="1"/>
      <w:numFmt w:val="bullet"/>
      <w:lvlText w:val="•"/>
      <w:lvlJc w:val="left"/>
      <w:pPr>
        <w:tabs>
          <w:tab w:val="num" w:pos="2160"/>
        </w:tabs>
        <w:ind w:left="2160" w:hanging="360"/>
      </w:pPr>
      <w:rPr>
        <w:rFonts w:ascii="Arial" w:hAnsi="Arial" w:hint="default"/>
      </w:rPr>
    </w:lvl>
    <w:lvl w:ilvl="3" w:tplc="43964C9C" w:tentative="1">
      <w:start w:val="1"/>
      <w:numFmt w:val="bullet"/>
      <w:lvlText w:val="•"/>
      <w:lvlJc w:val="left"/>
      <w:pPr>
        <w:tabs>
          <w:tab w:val="num" w:pos="2880"/>
        </w:tabs>
        <w:ind w:left="2880" w:hanging="360"/>
      </w:pPr>
      <w:rPr>
        <w:rFonts w:ascii="Arial" w:hAnsi="Arial" w:hint="default"/>
      </w:rPr>
    </w:lvl>
    <w:lvl w:ilvl="4" w:tplc="8B5CEC06" w:tentative="1">
      <w:start w:val="1"/>
      <w:numFmt w:val="bullet"/>
      <w:lvlText w:val="•"/>
      <w:lvlJc w:val="left"/>
      <w:pPr>
        <w:tabs>
          <w:tab w:val="num" w:pos="3600"/>
        </w:tabs>
        <w:ind w:left="3600" w:hanging="360"/>
      </w:pPr>
      <w:rPr>
        <w:rFonts w:ascii="Arial" w:hAnsi="Arial" w:hint="default"/>
      </w:rPr>
    </w:lvl>
    <w:lvl w:ilvl="5" w:tplc="2236C65A" w:tentative="1">
      <w:start w:val="1"/>
      <w:numFmt w:val="bullet"/>
      <w:lvlText w:val="•"/>
      <w:lvlJc w:val="left"/>
      <w:pPr>
        <w:tabs>
          <w:tab w:val="num" w:pos="4320"/>
        </w:tabs>
        <w:ind w:left="4320" w:hanging="360"/>
      </w:pPr>
      <w:rPr>
        <w:rFonts w:ascii="Arial" w:hAnsi="Arial" w:hint="default"/>
      </w:rPr>
    </w:lvl>
    <w:lvl w:ilvl="6" w:tplc="1076FFA0" w:tentative="1">
      <w:start w:val="1"/>
      <w:numFmt w:val="bullet"/>
      <w:lvlText w:val="•"/>
      <w:lvlJc w:val="left"/>
      <w:pPr>
        <w:tabs>
          <w:tab w:val="num" w:pos="5040"/>
        </w:tabs>
        <w:ind w:left="5040" w:hanging="360"/>
      </w:pPr>
      <w:rPr>
        <w:rFonts w:ascii="Arial" w:hAnsi="Arial" w:hint="default"/>
      </w:rPr>
    </w:lvl>
    <w:lvl w:ilvl="7" w:tplc="3F3089AC" w:tentative="1">
      <w:start w:val="1"/>
      <w:numFmt w:val="bullet"/>
      <w:lvlText w:val="•"/>
      <w:lvlJc w:val="left"/>
      <w:pPr>
        <w:tabs>
          <w:tab w:val="num" w:pos="5760"/>
        </w:tabs>
        <w:ind w:left="5760" w:hanging="360"/>
      </w:pPr>
      <w:rPr>
        <w:rFonts w:ascii="Arial" w:hAnsi="Arial" w:hint="default"/>
      </w:rPr>
    </w:lvl>
    <w:lvl w:ilvl="8" w:tplc="EAE05C7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4653219E"/>
    <w:multiLevelType w:val="hybridMultilevel"/>
    <w:tmpl w:val="CC74003C"/>
    <w:lvl w:ilvl="0" w:tplc="69B85902">
      <w:start w:val="1"/>
      <w:numFmt w:val="bullet"/>
      <w:lvlText w:val="•"/>
      <w:lvlJc w:val="left"/>
      <w:pPr>
        <w:tabs>
          <w:tab w:val="num" w:pos="720"/>
        </w:tabs>
        <w:ind w:left="720" w:hanging="360"/>
      </w:pPr>
      <w:rPr>
        <w:rFonts w:ascii="Arial" w:hAnsi="Arial" w:hint="default"/>
      </w:rPr>
    </w:lvl>
    <w:lvl w:ilvl="1" w:tplc="33B40800" w:tentative="1">
      <w:start w:val="1"/>
      <w:numFmt w:val="bullet"/>
      <w:lvlText w:val="•"/>
      <w:lvlJc w:val="left"/>
      <w:pPr>
        <w:tabs>
          <w:tab w:val="num" w:pos="1440"/>
        </w:tabs>
        <w:ind w:left="1440" w:hanging="360"/>
      </w:pPr>
      <w:rPr>
        <w:rFonts w:ascii="Arial" w:hAnsi="Arial" w:hint="default"/>
      </w:rPr>
    </w:lvl>
    <w:lvl w:ilvl="2" w:tplc="2D66E83A" w:tentative="1">
      <w:start w:val="1"/>
      <w:numFmt w:val="bullet"/>
      <w:lvlText w:val="•"/>
      <w:lvlJc w:val="left"/>
      <w:pPr>
        <w:tabs>
          <w:tab w:val="num" w:pos="2160"/>
        </w:tabs>
        <w:ind w:left="2160" w:hanging="360"/>
      </w:pPr>
      <w:rPr>
        <w:rFonts w:ascii="Arial" w:hAnsi="Arial" w:hint="default"/>
      </w:rPr>
    </w:lvl>
    <w:lvl w:ilvl="3" w:tplc="AC04B968" w:tentative="1">
      <w:start w:val="1"/>
      <w:numFmt w:val="bullet"/>
      <w:lvlText w:val="•"/>
      <w:lvlJc w:val="left"/>
      <w:pPr>
        <w:tabs>
          <w:tab w:val="num" w:pos="2880"/>
        </w:tabs>
        <w:ind w:left="2880" w:hanging="360"/>
      </w:pPr>
      <w:rPr>
        <w:rFonts w:ascii="Arial" w:hAnsi="Arial" w:hint="default"/>
      </w:rPr>
    </w:lvl>
    <w:lvl w:ilvl="4" w:tplc="6960E78E" w:tentative="1">
      <w:start w:val="1"/>
      <w:numFmt w:val="bullet"/>
      <w:lvlText w:val="•"/>
      <w:lvlJc w:val="left"/>
      <w:pPr>
        <w:tabs>
          <w:tab w:val="num" w:pos="3600"/>
        </w:tabs>
        <w:ind w:left="3600" w:hanging="360"/>
      </w:pPr>
      <w:rPr>
        <w:rFonts w:ascii="Arial" w:hAnsi="Arial" w:hint="default"/>
      </w:rPr>
    </w:lvl>
    <w:lvl w:ilvl="5" w:tplc="E496EA82" w:tentative="1">
      <w:start w:val="1"/>
      <w:numFmt w:val="bullet"/>
      <w:lvlText w:val="•"/>
      <w:lvlJc w:val="left"/>
      <w:pPr>
        <w:tabs>
          <w:tab w:val="num" w:pos="4320"/>
        </w:tabs>
        <w:ind w:left="4320" w:hanging="360"/>
      </w:pPr>
      <w:rPr>
        <w:rFonts w:ascii="Arial" w:hAnsi="Arial" w:hint="default"/>
      </w:rPr>
    </w:lvl>
    <w:lvl w:ilvl="6" w:tplc="30CA4628" w:tentative="1">
      <w:start w:val="1"/>
      <w:numFmt w:val="bullet"/>
      <w:lvlText w:val="•"/>
      <w:lvlJc w:val="left"/>
      <w:pPr>
        <w:tabs>
          <w:tab w:val="num" w:pos="5040"/>
        </w:tabs>
        <w:ind w:left="5040" w:hanging="360"/>
      </w:pPr>
      <w:rPr>
        <w:rFonts w:ascii="Arial" w:hAnsi="Arial" w:hint="default"/>
      </w:rPr>
    </w:lvl>
    <w:lvl w:ilvl="7" w:tplc="BAC480EE" w:tentative="1">
      <w:start w:val="1"/>
      <w:numFmt w:val="bullet"/>
      <w:lvlText w:val="•"/>
      <w:lvlJc w:val="left"/>
      <w:pPr>
        <w:tabs>
          <w:tab w:val="num" w:pos="5760"/>
        </w:tabs>
        <w:ind w:left="5760" w:hanging="360"/>
      </w:pPr>
      <w:rPr>
        <w:rFonts w:ascii="Arial" w:hAnsi="Arial" w:hint="default"/>
      </w:rPr>
    </w:lvl>
    <w:lvl w:ilvl="8" w:tplc="904AD07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4B640B9E"/>
    <w:multiLevelType w:val="hybridMultilevel"/>
    <w:tmpl w:val="DE4E11A4"/>
    <w:lvl w:ilvl="0" w:tplc="2E4C6DC4">
      <w:start w:val="1"/>
      <w:numFmt w:val="bullet"/>
      <w:lvlText w:val="•"/>
      <w:lvlJc w:val="left"/>
      <w:pPr>
        <w:tabs>
          <w:tab w:val="num" w:pos="720"/>
        </w:tabs>
        <w:ind w:left="720" w:hanging="360"/>
      </w:pPr>
      <w:rPr>
        <w:rFonts w:ascii="Arial" w:hAnsi="Arial" w:hint="default"/>
      </w:rPr>
    </w:lvl>
    <w:lvl w:ilvl="1" w:tplc="94086A08">
      <w:numFmt w:val="bullet"/>
      <w:lvlText w:val="•"/>
      <w:lvlJc w:val="left"/>
      <w:pPr>
        <w:tabs>
          <w:tab w:val="num" w:pos="1440"/>
        </w:tabs>
        <w:ind w:left="1440" w:hanging="360"/>
      </w:pPr>
      <w:rPr>
        <w:rFonts w:ascii="Arial" w:hAnsi="Arial" w:hint="default"/>
      </w:rPr>
    </w:lvl>
    <w:lvl w:ilvl="2" w:tplc="1596A0A6" w:tentative="1">
      <w:start w:val="1"/>
      <w:numFmt w:val="bullet"/>
      <w:lvlText w:val="•"/>
      <w:lvlJc w:val="left"/>
      <w:pPr>
        <w:tabs>
          <w:tab w:val="num" w:pos="2160"/>
        </w:tabs>
        <w:ind w:left="2160" w:hanging="360"/>
      </w:pPr>
      <w:rPr>
        <w:rFonts w:ascii="Arial" w:hAnsi="Arial" w:hint="default"/>
      </w:rPr>
    </w:lvl>
    <w:lvl w:ilvl="3" w:tplc="A2922774" w:tentative="1">
      <w:start w:val="1"/>
      <w:numFmt w:val="bullet"/>
      <w:lvlText w:val="•"/>
      <w:lvlJc w:val="left"/>
      <w:pPr>
        <w:tabs>
          <w:tab w:val="num" w:pos="2880"/>
        </w:tabs>
        <w:ind w:left="2880" w:hanging="360"/>
      </w:pPr>
      <w:rPr>
        <w:rFonts w:ascii="Arial" w:hAnsi="Arial" w:hint="default"/>
      </w:rPr>
    </w:lvl>
    <w:lvl w:ilvl="4" w:tplc="0EE0FD76" w:tentative="1">
      <w:start w:val="1"/>
      <w:numFmt w:val="bullet"/>
      <w:lvlText w:val="•"/>
      <w:lvlJc w:val="left"/>
      <w:pPr>
        <w:tabs>
          <w:tab w:val="num" w:pos="3600"/>
        </w:tabs>
        <w:ind w:left="3600" w:hanging="360"/>
      </w:pPr>
      <w:rPr>
        <w:rFonts w:ascii="Arial" w:hAnsi="Arial" w:hint="default"/>
      </w:rPr>
    </w:lvl>
    <w:lvl w:ilvl="5" w:tplc="305EE666" w:tentative="1">
      <w:start w:val="1"/>
      <w:numFmt w:val="bullet"/>
      <w:lvlText w:val="•"/>
      <w:lvlJc w:val="left"/>
      <w:pPr>
        <w:tabs>
          <w:tab w:val="num" w:pos="4320"/>
        </w:tabs>
        <w:ind w:left="4320" w:hanging="360"/>
      </w:pPr>
      <w:rPr>
        <w:rFonts w:ascii="Arial" w:hAnsi="Arial" w:hint="default"/>
      </w:rPr>
    </w:lvl>
    <w:lvl w:ilvl="6" w:tplc="6D5A81D0" w:tentative="1">
      <w:start w:val="1"/>
      <w:numFmt w:val="bullet"/>
      <w:lvlText w:val="•"/>
      <w:lvlJc w:val="left"/>
      <w:pPr>
        <w:tabs>
          <w:tab w:val="num" w:pos="5040"/>
        </w:tabs>
        <w:ind w:left="5040" w:hanging="360"/>
      </w:pPr>
      <w:rPr>
        <w:rFonts w:ascii="Arial" w:hAnsi="Arial" w:hint="default"/>
      </w:rPr>
    </w:lvl>
    <w:lvl w:ilvl="7" w:tplc="7F54460A" w:tentative="1">
      <w:start w:val="1"/>
      <w:numFmt w:val="bullet"/>
      <w:lvlText w:val="•"/>
      <w:lvlJc w:val="left"/>
      <w:pPr>
        <w:tabs>
          <w:tab w:val="num" w:pos="5760"/>
        </w:tabs>
        <w:ind w:left="5760" w:hanging="360"/>
      </w:pPr>
      <w:rPr>
        <w:rFonts w:ascii="Arial" w:hAnsi="Arial" w:hint="default"/>
      </w:rPr>
    </w:lvl>
    <w:lvl w:ilvl="8" w:tplc="5BC6224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4BFD71ED"/>
    <w:multiLevelType w:val="hybridMultilevel"/>
    <w:tmpl w:val="C10EE67E"/>
    <w:lvl w:ilvl="0" w:tplc="050C0E2A">
      <w:start w:val="1"/>
      <w:numFmt w:val="bullet"/>
      <w:lvlText w:val="•"/>
      <w:lvlJc w:val="left"/>
      <w:pPr>
        <w:tabs>
          <w:tab w:val="num" w:pos="720"/>
        </w:tabs>
        <w:ind w:left="720" w:hanging="360"/>
      </w:pPr>
      <w:rPr>
        <w:rFonts w:ascii="Arial" w:hAnsi="Arial" w:hint="default"/>
      </w:rPr>
    </w:lvl>
    <w:lvl w:ilvl="1" w:tplc="C4CC4600" w:tentative="1">
      <w:start w:val="1"/>
      <w:numFmt w:val="bullet"/>
      <w:lvlText w:val="•"/>
      <w:lvlJc w:val="left"/>
      <w:pPr>
        <w:tabs>
          <w:tab w:val="num" w:pos="1440"/>
        </w:tabs>
        <w:ind w:left="1440" w:hanging="360"/>
      </w:pPr>
      <w:rPr>
        <w:rFonts w:ascii="Arial" w:hAnsi="Arial" w:hint="default"/>
      </w:rPr>
    </w:lvl>
    <w:lvl w:ilvl="2" w:tplc="DFDA6B32" w:tentative="1">
      <w:start w:val="1"/>
      <w:numFmt w:val="bullet"/>
      <w:lvlText w:val="•"/>
      <w:lvlJc w:val="left"/>
      <w:pPr>
        <w:tabs>
          <w:tab w:val="num" w:pos="2160"/>
        </w:tabs>
        <w:ind w:left="2160" w:hanging="360"/>
      </w:pPr>
      <w:rPr>
        <w:rFonts w:ascii="Arial" w:hAnsi="Arial" w:hint="default"/>
      </w:rPr>
    </w:lvl>
    <w:lvl w:ilvl="3" w:tplc="C65C2D08" w:tentative="1">
      <w:start w:val="1"/>
      <w:numFmt w:val="bullet"/>
      <w:lvlText w:val="•"/>
      <w:lvlJc w:val="left"/>
      <w:pPr>
        <w:tabs>
          <w:tab w:val="num" w:pos="2880"/>
        </w:tabs>
        <w:ind w:left="2880" w:hanging="360"/>
      </w:pPr>
      <w:rPr>
        <w:rFonts w:ascii="Arial" w:hAnsi="Arial" w:hint="default"/>
      </w:rPr>
    </w:lvl>
    <w:lvl w:ilvl="4" w:tplc="1C22A80E" w:tentative="1">
      <w:start w:val="1"/>
      <w:numFmt w:val="bullet"/>
      <w:lvlText w:val="•"/>
      <w:lvlJc w:val="left"/>
      <w:pPr>
        <w:tabs>
          <w:tab w:val="num" w:pos="3600"/>
        </w:tabs>
        <w:ind w:left="3600" w:hanging="360"/>
      </w:pPr>
      <w:rPr>
        <w:rFonts w:ascii="Arial" w:hAnsi="Arial" w:hint="default"/>
      </w:rPr>
    </w:lvl>
    <w:lvl w:ilvl="5" w:tplc="B776BB0E" w:tentative="1">
      <w:start w:val="1"/>
      <w:numFmt w:val="bullet"/>
      <w:lvlText w:val="•"/>
      <w:lvlJc w:val="left"/>
      <w:pPr>
        <w:tabs>
          <w:tab w:val="num" w:pos="4320"/>
        </w:tabs>
        <w:ind w:left="4320" w:hanging="360"/>
      </w:pPr>
      <w:rPr>
        <w:rFonts w:ascii="Arial" w:hAnsi="Arial" w:hint="default"/>
      </w:rPr>
    </w:lvl>
    <w:lvl w:ilvl="6" w:tplc="BABA1F1A" w:tentative="1">
      <w:start w:val="1"/>
      <w:numFmt w:val="bullet"/>
      <w:lvlText w:val="•"/>
      <w:lvlJc w:val="left"/>
      <w:pPr>
        <w:tabs>
          <w:tab w:val="num" w:pos="5040"/>
        </w:tabs>
        <w:ind w:left="5040" w:hanging="360"/>
      </w:pPr>
      <w:rPr>
        <w:rFonts w:ascii="Arial" w:hAnsi="Arial" w:hint="default"/>
      </w:rPr>
    </w:lvl>
    <w:lvl w:ilvl="7" w:tplc="B1C447FA" w:tentative="1">
      <w:start w:val="1"/>
      <w:numFmt w:val="bullet"/>
      <w:lvlText w:val="•"/>
      <w:lvlJc w:val="left"/>
      <w:pPr>
        <w:tabs>
          <w:tab w:val="num" w:pos="5760"/>
        </w:tabs>
        <w:ind w:left="5760" w:hanging="360"/>
      </w:pPr>
      <w:rPr>
        <w:rFonts w:ascii="Arial" w:hAnsi="Arial" w:hint="default"/>
      </w:rPr>
    </w:lvl>
    <w:lvl w:ilvl="8" w:tplc="C67055C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4DD47113"/>
    <w:multiLevelType w:val="hybridMultilevel"/>
    <w:tmpl w:val="83C4770C"/>
    <w:lvl w:ilvl="0" w:tplc="A2226210">
      <w:start w:val="1"/>
      <w:numFmt w:val="bullet"/>
      <w:lvlText w:val="•"/>
      <w:lvlJc w:val="left"/>
      <w:pPr>
        <w:tabs>
          <w:tab w:val="num" w:pos="720"/>
        </w:tabs>
        <w:ind w:left="720" w:hanging="360"/>
      </w:pPr>
      <w:rPr>
        <w:rFonts w:ascii="Arial" w:hAnsi="Arial" w:hint="default"/>
      </w:rPr>
    </w:lvl>
    <w:lvl w:ilvl="1" w:tplc="70B2BD08" w:tentative="1">
      <w:start w:val="1"/>
      <w:numFmt w:val="bullet"/>
      <w:lvlText w:val="•"/>
      <w:lvlJc w:val="left"/>
      <w:pPr>
        <w:tabs>
          <w:tab w:val="num" w:pos="1440"/>
        </w:tabs>
        <w:ind w:left="1440" w:hanging="360"/>
      </w:pPr>
      <w:rPr>
        <w:rFonts w:ascii="Arial" w:hAnsi="Arial" w:hint="default"/>
      </w:rPr>
    </w:lvl>
    <w:lvl w:ilvl="2" w:tplc="907418DC" w:tentative="1">
      <w:start w:val="1"/>
      <w:numFmt w:val="bullet"/>
      <w:lvlText w:val="•"/>
      <w:lvlJc w:val="left"/>
      <w:pPr>
        <w:tabs>
          <w:tab w:val="num" w:pos="2160"/>
        </w:tabs>
        <w:ind w:left="2160" w:hanging="360"/>
      </w:pPr>
      <w:rPr>
        <w:rFonts w:ascii="Arial" w:hAnsi="Arial" w:hint="default"/>
      </w:rPr>
    </w:lvl>
    <w:lvl w:ilvl="3" w:tplc="057A6564" w:tentative="1">
      <w:start w:val="1"/>
      <w:numFmt w:val="bullet"/>
      <w:lvlText w:val="•"/>
      <w:lvlJc w:val="left"/>
      <w:pPr>
        <w:tabs>
          <w:tab w:val="num" w:pos="2880"/>
        </w:tabs>
        <w:ind w:left="2880" w:hanging="360"/>
      </w:pPr>
      <w:rPr>
        <w:rFonts w:ascii="Arial" w:hAnsi="Arial" w:hint="default"/>
      </w:rPr>
    </w:lvl>
    <w:lvl w:ilvl="4" w:tplc="3A9C0136" w:tentative="1">
      <w:start w:val="1"/>
      <w:numFmt w:val="bullet"/>
      <w:lvlText w:val="•"/>
      <w:lvlJc w:val="left"/>
      <w:pPr>
        <w:tabs>
          <w:tab w:val="num" w:pos="3600"/>
        </w:tabs>
        <w:ind w:left="3600" w:hanging="360"/>
      </w:pPr>
      <w:rPr>
        <w:rFonts w:ascii="Arial" w:hAnsi="Arial" w:hint="default"/>
      </w:rPr>
    </w:lvl>
    <w:lvl w:ilvl="5" w:tplc="F418C4EA" w:tentative="1">
      <w:start w:val="1"/>
      <w:numFmt w:val="bullet"/>
      <w:lvlText w:val="•"/>
      <w:lvlJc w:val="left"/>
      <w:pPr>
        <w:tabs>
          <w:tab w:val="num" w:pos="4320"/>
        </w:tabs>
        <w:ind w:left="4320" w:hanging="360"/>
      </w:pPr>
      <w:rPr>
        <w:rFonts w:ascii="Arial" w:hAnsi="Arial" w:hint="default"/>
      </w:rPr>
    </w:lvl>
    <w:lvl w:ilvl="6" w:tplc="FEE891A4" w:tentative="1">
      <w:start w:val="1"/>
      <w:numFmt w:val="bullet"/>
      <w:lvlText w:val="•"/>
      <w:lvlJc w:val="left"/>
      <w:pPr>
        <w:tabs>
          <w:tab w:val="num" w:pos="5040"/>
        </w:tabs>
        <w:ind w:left="5040" w:hanging="360"/>
      </w:pPr>
      <w:rPr>
        <w:rFonts w:ascii="Arial" w:hAnsi="Arial" w:hint="default"/>
      </w:rPr>
    </w:lvl>
    <w:lvl w:ilvl="7" w:tplc="D61A2760" w:tentative="1">
      <w:start w:val="1"/>
      <w:numFmt w:val="bullet"/>
      <w:lvlText w:val="•"/>
      <w:lvlJc w:val="left"/>
      <w:pPr>
        <w:tabs>
          <w:tab w:val="num" w:pos="5760"/>
        </w:tabs>
        <w:ind w:left="5760" w:hanging="360"/>
      </w:pPr>
      <w:rPr>
        <w:rFonts w:ascii="Arial" w:hAnsi="Arial" w:hint="default"/>
      </w:rPr>
    </w:lvl>
    <w:lvl w:ilvl="8" w:tplc="14EE4EE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4E222419"/>
    <w:multiLevelType w:val="hybridMultilevel"/>
    <w:tmpl w:val="12B28E3E"/>
    <w:lvl w:ilvl="0" w:tplc="9404C82E">
      <w:start w:val="20"/>
      <w:numFmt w:val="upperRoman"/>
      <w:lvlText w:val="%1."/>
      <w:lvlJc w:val="left"/>
      <w:pPr>
        <w:ind w:left="720" w:hanging="720"/>
      </w:pPr>
      <w:rPr>
        <w:rFonts w:hint="default"/>
        <w:b/>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F0708B7"/>
    <w:multiLevelType w:val="hybridMultilevel"/>
    <w:tmpl w:val="17C06ADE"/>
    <w:lvl w:ilvl="0" w:tplc="33A49408">
      <w:start w:val="1"/>
      <w:numFmt w:val="bullet"/>
      <w:lvlText w:val="•"/>
      <w:lvlJc w:val="left"/>
      <w:pPr>
        <w:tabs>
          <w:tab w:val="num" w:pos="720"/>
        </w:tabs>
        <w:ind w:left="720" w:hanging="360"/>
      </w:pPr>
      <w:rPr>
        <w:rFonts w:ascii="Arial" w:hAnsi="Arial" w:hint="default"/>
      </w:rPr>
    </w:lvl>
    <w:lvl w:ilvl="1" w:tplc="96D84674" w:tentative="1">
      <w:start w:val="1"/>
      <w:numFmt w:val="bullet"/>
      <w:lvlText w:val="•"/>
      <w:lvlJc w:val="left"/>
      <w:pPr>
        <w:tabs>
          <w:tab w:val="num" w:pos="1440"/>
        </w:tabs>
        <w:ind w:left="1440" w:hanging="360"/>
      </w:pPr>
      <w:rPr>
        <w:rFonts w:ascii="Arial" w:hAnsi="Arial" w:hint="default"/>
      </w:rPr>
    </w:lvl>
    <w:lvl w:ilvl="2" w:tplc="67105B4A" w:tentative="1">
      <w:start w:val="1"/>
      <w:numFmt w:val="bullet"/>
      <w:lvlText w:val="•"/>
      <w:lvlJc w:val="left"/>
      <w:pPr>
        <w:tabs>
          <w:tab w:val="num" w:pos="2160"/>
        </w:tabs>
        <w:ind w:left="2160" w:hanging="360"/>
      </w:pPr>
      <w:rPr>
        <w:rFonts w:ascii="Arial" w:hAnsi="Arial" w:hint="default"/>
      </w:rPr>
    </w:lvl>
    <w:lvl w:ilvl="3" w:tplc="AED21DEC" w:tentative="1">
      <w:start w:val="1"/>
      <w:numFmt w:val="bullet"/>
      <w:lvlText w:val="•"/>
      <w:lvlJc w:val="left"/>
      <w:pPr>
        <w:tabs>
          <w:tab w:val="num" w:pos="2880"/>
        </w:tabs>
        <w:ind w:left="2880" w:hanging="360"/>
      </w:pPr>
      <w:rPr>
        <w:rFonts w:ascii="Arial" w:hAnsi="Arial" w:hint="default"/>
      </w:rPr>
    </w:lvl>
    <w:lvl w:ilvl="4" w:tplc="66E27F9C" w:tentative="1">
      <w:start w:val="1"/>
      <w:numFmt w:val="bullet"/>
      <w:lvlText w:val="•"/>
      <w:lvlJc w:val="left"/>
      <w:pPr>
        <w:tabs>
          <w:tab w:val="num" w:pos="3600"/>
        </w:tabs>
        <w:ind w:left="3600" w:hanging="360"/>
      </w:pPr>
      <w:rPr>
        <w:rFonts w:ascii="Arial" w:hAnsi="Arial" w:hint="default"/>
      </w:rPr>
    </w:lvl>
    <w:lvl w:ilvl="5" w:tplc="EBDC1236" w:tentative="1">
      <w:start w:val="1"/>
      <w:numFmt w:val="bullet"/>
      <w:lvlText w:val="•"/>
      <w:lvlJc w:val="left"/>
      <w:pPr>
        <w:tabs>
          <w:tab w:val="num" w:pos="4320"/>
        </w:tabs>
        <w:ind w:left="4320" w:hanging="360"/>
      </w:pPr>
      <w:rPr>
        <w:rFonts w:ascii="Arial" w:hAnsi="Arial" w:hint="default"/>
      </w:rPr>
    </w:lvl>
    <w:lvl w:ilvl="6" w:tplc="E220974C" w:tentative="1">
      <w:start w:val="1"/>
      <w:numFmt w:val="bullet"/>
      <w:lvlText w:val="•"/>
      <w:lvlJc w:val="left"/>
      <w:pPr>
        <w:tabs>
          <w:tab w:val="num" w:pos="5040"/>
        </w:tabs>
        <w:ind w:left="5040" w:hanging="360"/>
      </w:pPr>
      <w:rPr>
        <w:rFonts w:ascii="Arial" w:hAnsi="Arial" w:hint="default"/>
      </w:rPr>
    </w:lvl>
    <w:lvl w:ilvl="7" w:tplc="D8FE2AE6" w:tentative="1">
      <w:start w:val="1"/>
      <w:numFmt w:val="bullet"/>
      <w:lvlText w:val="•"/>
      <w:lvlJc w:val="left"/>
      <w:pPr>
        <w:tabs>
          <w:tab w:val="num" w:pos="5760"/>
        </w:tabs>
        <w:ind w:left="5760" w:hanging="360"/>
      </w:pPr>
      <w:rPr>
        <w:rFonts w:ascii="Arial" w:hAnsi="Arial" w:hint="default"/>
      </w:rPr>
    </w:lvl>
    <w:lvl w:ilvl="8" w:tplc="06568E7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4F35571F"/>
    <w:multiLevelType w:val="hybridMultilevel"/>
    <w:tmpl w:val="08368320"/>
    <w:lvl w:ilvl="0" w:tplc="E976D774">
      <w:start w:val="1"/>
      <w:numFmt w:val="bullet"/>
      <w:lvlText w:val="•"/>
      <w:lvlJc w:val="left"/>
      <w:pPr>
        <w:tabs>
          <w:tab w:val="num" w:pos="720"/>
        </w:tabs>
        <w:ind w:left="720" w:hanging="360"/>
      </w:pPr>
      <w:rPr>
        <w:rFonts w:ascii="Arial" w:hAnsi="Arial" w:hint="default"/>
      </w:rPr>
    </w:lvl>
    <w:lvl w:ilvl="1" w:tplc="FAE60272" w:tentative="1">
      <w:start w:val="1"/>
      <w:numFmt w:val="bullet"/>
      <w:lvlText w:val="•"/>
      <w:lvlJc w:val="left"/>
      <w:pPr>
        <w:tabs>
          <w:tab w:val="num" w:pos="1440"/>
        </w:tabs>
        <w:ind w:left="1440" w:hanging="360"/>
      </w:pPr>
      <w:rPr>
        <w:rFonts w:ascii="Arial" w:hAnsi="Arial" w:hint="default"/>
      </w:rPr>
    </w:lvl>
    <w:lvl w:ilvl="2" w:tplc="461AC4D0" w:tentative="1">
      <w:start w:val="1"/>
      <w:numFmt w:val="bullet"/>
      <w:lvlText w:val="•"/>
      <w:lvlJc w:val="left"/>
      <w:pPr>
        <w:tabs>
          <w:tab w:val="num" w:pos="2160"/>
        </w:tabs>
        <w:ind w:left="2160" w:hanging="360"/>
      </w:pPr>
      <w:rPr>
        <w:rFonts w:ascii="Arial" w:hAnsi="Arial" w:hint="default"/>
      </w:rPr>
    </w:lvl>
    <w:lvl w:ilvl="3" w:tplc="06ECDB7E" w:tentative="1">
      <w:start w:val="1"/>
      <w:numFmt w:val="bullet"/>
      <w:lvlText w:val="•"/>
      <w:lvlJc w:val="left"/>
      <w:pPr>
        <w:tabs>
          <w:tab w:val="num" w:pos="2880"/>
        </w:tabs>
        <w:ind w:left="2880" w:hanging="360"/>
      </w:pPr>
      <w:rPr>
        <w:rFonts w:ascii="Arial" w:hAnsi="Arial" w:hint="default"/>
      </w:rPr>
    </w:lvl>
    <w:lvl w:ilvl="4" w:tplc="0DFE4C0E" w:tentative="1">
      <w:start w:val="1"/>
      <w:numFmt w:val="bullet"/>
      <w:lvlText w:val="•"/>
      <w:lvlJc w:val="left"/>
      <w:pPr>
        <w:tabs>
          <w:tab w:val="num" w:pos="3600"/>
        </w:tabs>
        <w:ind w:left="3600" w:hanging="360"/>
      </w:pPr>
      <w:rPr>
        <w:rFonts w:ascii="Arial" w:hAnsi="Arial" w:hint="default"/>
      </w:rPr>
    </w:lvl>
    <w:lvl w:ilvl="5" w:tplc="0FB4D426" w:tentative="1">
      <w:start w:val="1"/>
      <w:numFmt w:val="bullet"/>
      <w:lvlText w:val="•"/>
      <w:lvlJc w:val="left"/>
      <w:pPr>
        <w:tabs>
          <w:tab w:val="num" w:pos="4320"/>
        </w:tabs>
        <w:ind w:left="4320" w:hanging="360"/>
      </w:pPr>
      <w:rPr>
        <w:rFonts w:ascii="Arial" w:hAnsi="Arial" w:hint="default"/>
      </w:rPr>
    </w:lvl>
    <w:lvl w:ilvl="6" w:tplc="511061FA" w:tentative="1">
      <w:start w:val="1"/>
      <w:numFmt w:val="bullet"/>
      <w:lvlText w:val="•"/>
      <w:lvlJc w:val="left"/>
      <w:pPr>
        <w:tabs>
          <w:tab w:val="num" w:pos="5040"/>
        </w:tabs>
        <w:ind w:left="5040" w:hanging="360"/>
      </w:pPr>
      <w:rPr>
        <w:rFonts w:ascii="Arial" w:hAnsi="Arial" w:hint="default"/>
      </w:rPr>
    </w:lvl>
    <w:lvl w:ilvl="7" w:tplc="4D6A607A" w:tentative="1">
      <w:start w:val="1"/>
      <w:numFmt w:val="bullet"/>
      <w:lvlText w:val="•"/>
      <w:lvlJc w:val="left"/>
      <w:pPr>
        <w:tabs>
          <w:tab w:val="num" w:pos="5760"/>
        </w:tabs>
        <w:ind w:left="5760" w:hanging="360"/>
      </w:pPr>
      <w:rPr>
        <w:rFonts w:ascii="Arial" w:hAnsi="Arial" w:hint="default"/>
      </w:rPr>
    </w:lvl>
    <w:lvl w:ilvl="8" w:tplc="A47CA16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50A878ED"/>
    <w:multiLevelType w:val="hybridMultilevel"/>
    <w:tmpl w:val="00B0C7FC"/>
    <w:lvl w:ilvl="0" w:tplc="8AD0BCEC">
      <w:start w:val="1"/>
      <w:numFmt w:val="bullet"/>
      <w:lvlText w:val="•"/>
      <w:lvlJc w:val="left"/>
      <w:pPr>
        <w:tabs>
          <w:tab w:val="num" w:pos="720"/>
        </w:tabs>
        <w:ind w:left="720" w:hanging="360"/>
      </w:pPr>
      <w:rPr>
        <w:rFonts w:ascii="Arial" w:hAnsi="Arial" w:hint="default"/>
      </w:rPr>
    </w:lvl>
    <w:lvl w:ilvl="1" w:tplc="206EA5AE">
      <w:start w:val="1"/>
      <w:numFmt w:val="bullet"/>
      <w:lvlText w:val="•"/>
      <w:lvlJc w:val="left"/>
      <w:pPr>
        <w:tabs>
          <w:tab w:val="num" w:pos="1440"/>
        </w:tabs>
        <w:ind w:left="1440" w:hanging="360"/>
      </w:pPr>
      <w:rPr>
        <w:rFonts w:ascii="Arial" w:hAnsi="Arial" w:hint="default"/>
      </w:rPr>
    </w:lvl>
    <w:lvl w:ilvl="2" w:tplc="B3542524" w:tentative="1">
      <w:start w:val="1"/>
      <w:numFmt w:val="bullet"/>
      <w:lvlText w:val="•"/>
      <w:lvlJc w:val="left"/>
      <w:pPr>
        <w:tabs>
          <w:tab w:val="num" w:pos="2160"/>
        </w:tabs>
        <w:ind w:left="2160" w:hanging="360"/>
      </w:pPr>
      <w:rPr>
        <w:rFonts w:ascii="Arial" w:hAnsi="Arial" w:hint="default"/>
      </w:rPr>
    </w:lvl>
    <w:lvl w:ilvl="3" w:tplc="1E529B18" w:tentative="1">
      <w:start w:val="1"/>
      <w:numFmt w:val="bullet"/>
      <w:lvlText w:val="•"/>
      <w:lvlJc w:val="left"/>
      <w:pPr>
        <w:tabs>
          <w:tab w:val="num" w:pos="2880"/>
        </w:tabs>
        <w:ind w:left="2880" w:hanging="360"/>
      </w:pPr>
      <w:rPr>
        <w:rFonts w:ascii="Arial" w:hAnsi="Arial" w:hint="default"/>
      </w:rPr>
    </w:lvl>
    <w:lvl w:ilvl="4" w:tplc="932ECA46" w:tentative="1">
      <w:start w:val="1"/>
      <w:numFmt w:val="bullet"/>
      <w:lvlText w:val="•"/>
      <w:lvlJc w:val="left"/>
      <w:pPr>
        <w:tabs>
          <w:tab w:val="num" w:pos="3600"/>
        </w:tabs>
        <w:ind w:left="3600" w:hanging="360"/>
      </w:pPr>
      <w:rPr>
        <w:rFonts w:ascii="Arial" w:hAnsi="Arial" w:hint="default"/>
      </w:rPr>
    </w:lvl>
    <w:lvl w:ilvl="5" w:tplc="986A8EE6" w:tentative="1">
      <w:start w:val="1"/>
      <w:numFmt w:val="bullet"/>
      <w:lvlText w:val="•"/>
      <w:lvlJc w:val="left"/>
      <w:pPr>
        <w:tabs>
          <w:tab w:val="num" w:pos="4320"/>
        </w:tabs>
        <w:ind w:left="4320" w:hanging="360"/>
      </w:pPr>
      <w:rPr>
        <w:rFonts w:ascii="Arial" w:hAnsi="Arial" w:hint="default"/>
      </w:rPr>
    </w:lvl>
    <w:lvl w:ilvl="6" w:tplc="8F60DC6E" w:tentative="1">
      <w:start w:val="1"/>
      <w:numFmt w:val="bullet"/>
      <w:lvlText w:val="•"/>
      <w:lvlJc w:val="left"/>
      <w:pPr>
        <w:tabs>
          <w:tab w:val="num" w:pos="5040"/>
        </w:tabs>
        <w:ind w:left="5040" w:hanging="360"/>
      </w:pPr>
      <w:rPr>
        <w:rFonts w:ascii="Arial" w:hAnsi="Arial" w:hint="default"/>
      </w:rPr>
    </w:lvl>
    <w:lvl w:ilvl="7" w:tplc="176033F6" w:tentative="1">
      <w:start w:val="1"/>
      <w:numFmt w:val="bullet"/>
      <w:lvlText w:val="•"/>
      <w:lvlJc w:val="left"/>
      <w:pPr>
        <w:tabs>
          <w:tab w:val="num" w:pos="5760"/>
        </w:tabs>
        <w:ind w:left="5760" w:hanging="360"/>
      </w:pPr>
      <w:rPr>
        <w:rFonts w:ascii="Arial" w:hAnsi="Arial" w:hint="default"/>
      </w:rPr>
    </w:lvl>
    <w:lvl w:ilvl="8" w:tplc="D750B526"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54F4668A"/>
    <w:multiLevelType w:val="hybridMultilevel"/>
    <w:tmpl w:val="0A0A6906"/>
    <w:lvl w:ilvl="0" w:tplc="85EE5CFA">
      <w:start w:val="1"/>
      <w:numFmt w:val="bullet"/>
      <w:lvlText w:val="•"/>
      <w:lvlJc w:val="left"/>
      <w:pPr>
        <w:tabs>
          <w:tab w:val="num" w:pos="720"/>
        </w:tabs>
        <w:ind w:left="720" w:hanging="360"/>
      </w:pPr>
      <w:rPr>
        <w:rFonts w:ascii="Arial" w:hAnsi="Arial" w:hint="default"/>
      </w:rPr>
    </w:lvl>
    <w:lvl w:ilvl="1" w:tplc="444A59B0" w:tentative="1">
      <w:start w:val="1"/>
      <w:numFmt w:val="bullet"/>
      <w:lvlText w:val="•"/>
      <w:lvlJc w:val="left"/>
      <w:pPr>
        <w:tabs>
          <w:tab w:val="num" w:pos="1440"/>
        </w:tabs>
        <w:ind w:left="1440" w:hanging="360"/>
      </w:pPr>
      <w:rPr>
        <w:rFonts w:ascii="Arial" w:hAnsi="Arial" w:hint="default"/>
      </w:rPr>
    </w:lvl>
    <w:lvl w:ilvl="2" w:tplc="1A684EDE" w:tentative="1">
      <w:start w:val="1"/>
      <w:numFmt w:val="bullet"/>
      <w:lvlText w:val="•"/>
      <w:lvlJc w:val="left"/>
      <w:pPr>
        <w:tabs>
          <w:tab w:val="num" w:pos="2160"/>
        </w:tabs>
        <w:ind w:left="2160" w:hanging="360"/>
      </w:pPr>
      <w:rPr>
        <w:rFonts w:ascii="Arial" w:hAnsi="Arial" w:hint="default"/>
      </w:rPr>
    </w:lvl>
    <w:lvl w:ilvl="3" w:tplc="3244B5A6" w:tentative="1">
      <w:start w:val="1"/>
      <w:numFmt w:val="bullet"/>
      <w:lvlText w:val="•"/>
      <w:lvlJc w:val="left"/>
      <w:pPr>
        <w:tabs>
          <w:tab w:val="num" w:pos="2880"/>
        </w:tabs>
        <w:ind w:left="2880" w:hanging="360"/>
      </w:pPr>
      <w:rPr>
        <w:rFonts w:ascii="Arial" w:hAnsi="Arial" w:hint="default"/>
      </w:rPr>
    </w:lvl>
    <w:lvl w:ilvl="4" w:tplc="439C14E2" w:tentative="1">
      <w:start w:val="1"/>
      <w:numFmt w:val="bullet"/>
      <w:lvlText w:val="•"/>
      <w:lvlJc w:val="left"/>
      <w:pPr>
        <w:tabs>
          <w:tab w:val="num" w:pos="3600"/>
        </w:tabs>
        <w:ind w:left="3600" w:hanging="360"/>
      </w:pPr>
      <w:rPr>
        <w:rFonts w:ascii="Arial" w:hAnsi="Arial" w:hint="default"/>
      </w:rPr>
    </w:lvl>
    <w:lvl w:ilvl="5" w:tplc="A0EADBAE" w:tentative="1">
      <w:start w:val="1"/>
      <w:numFmt w:val="bullet"/>
      <w:lvlText w:val="•"/>
      <w:lvlJc w:val="left"/>
      <w:pPr>
        <w:tabs>
          <w:tab w:val="num" w:pos="4320"/>
        </w:tabs>
        <w:ind w:left="4320" w:hanging="360"/>
      </w:pPr>
      <w:rPr>
        <w:rFonts w:ascii="Arial" w:hAnsi="Arial" w:hint="default"/>
      </w:rPr>
    </w:lvl>
    <w:lvl w:ilvl="6" w:tplc="30B2866E" w:tentative="1">
      <w:start w:val="1"/>
      <w:numFmt w:val="bullet"/>
      <w:lvlText w:val="•"/>
      <w:lvlJc w:val="left"/>
      <w:pPr>
        <w:tabs>
          <w:tab w:val="num" w:pos="5040"/>
        </w:tabs>
        <w:ind w:left="5040" w:hanging="360"/>
      </w:pPr>
      <w:rPr>
        <w:rFonts w:ascii="Arial" w:hAnsi="Arial" w:hint="default"/>
      </w:rPr>
    </w:lvl>
    <w:lvl w:ilvl="7" w:tplc="ADFE73F8" w:tentative="1">
      <w:start w:val="1"/>
      <w:numFmt w:val="bullet"/>
      <w:lvlText w:val="•"/>
      <w:lvlJc w:val="left"/>
      <w:pPr>
        <w:tabs>
          <w:tab w:val="num" w:pos="5760"/>
        </w:tabs>
        <w:ind w:left="5760" w:hanging="360"/>
      </w:pPr>
      <w:rPr>
        <w:rFonts w:ascii="Arial" w:hAnsi="Arial" w:hint="default"/>
      </w:rPr>
    </w:lvl>
    <w:lvl w:ilvl="8" w:tplc="632639F4"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55E90138"/>
    <w:multiLevelType w:val="hybridMultilevel"/>
    <w:tmpl w:val="E506C8C0"/>
    <w:lvl w:ilvl="0" w:tplc="0D527E5E">
      <w:start w:val="1"/>
      <w:numFmt w:val="bullet"/>
      <w:lvlText w:val="•"/>
      <w:lvlJc w:val="left"/>
      <w:pPr>
        <w:tabs>
          <w:tab w:val="num" w:pos="720"/>
        </w:tabs>
        <w:ind w:left="720" w:hanging="360"/>
      </w:pPr>
      <w:rPr>
        <w:rFonts w:ascii="Arial" w:hAnsi="Arial" w:hint="default"/>
      </w:rPr>
    </w:lvl>
    <w:lvl w:ilvl="1" w:tplc="414A08EC" w:tentative="1">
      <w:start w:val="1"/>
      <w:numFmt w:val="bullet"/>
      <w:lvlText w:val="•"/>
      <w:lvlJc w:val="left"/>
      <w:pPr>
        <w:tabs>
          <w:tab w:val="num" w:pos="1440"/>
        </w:tabs>
        <w:ind w:left="1440" w:hanging="360"/>
      </w:pPr>
      <w:rPr>
        <w:rFonts w:ascii="Arial" w:hAnsi="Arial" w:hint="default"/>
      </w:rPr>
    </w:lvl>
    <w:lvl w:ilvl="2" w:tplc="C4A44362" w:tentative="1">
      <w:start w:val="1"/>
      <w:numFmt w:val="bullet"/>
      <w:lvlText w:val="•"/>
      <w:lvlJc w:val="left"/>
      <w:pPr>
        <w:tabs>
          <w:tab w:val="num" w:pos="2160"/>
        </w:tabs>
        <w:ind w:left="2160" w:hanging="360"/>
      </w:pPr>
      <w:rPr>
        <w:rFonts w:ascii="Arial" w:hAnsi="Arial" w:hint="default"/>
      </w:rPr>
    </w:lvl>
    <w:lvl w:ilvl="3" w:tplc="62A267D6" w:tentative="1">
      <w:start w:val="1"/>
      <w:numFmt w:val="bullet"/>
      <w:lvlText w:val="•"/>
      <w:lvlJc w:val="left"/>
      <w:pPr>
        <w:tabs>
          <w:tab w:val="num" w:pos="2880"/>
        </w:tabs>
        <w:ind w:left="2880" w:hanging="360"/>
      </w:pPr>
      <w:rPr>
        <w:rFonts w:ascii="Arial" w:hAnsi="Arial" w:hint="default"/>
      </w:rPr>
    </w:lvl>
    <w:lvl w:ilvl="4" w:tplc="F2FAFBD8" w:tentative="1">
      <w:start w:val="1"/>
      <w:numFmt w:val="bullet"/>
      <w:lvlText w:val="•"/>
      <w:lvlJc w:val="left"/>
      <w:pPr>
        <w:tabs>
          <w:tab w:val="num" w:pos="3600"/>
        </w:tabs>
        <w:ind w:left="3600" w:hanging="360"/>
      </w:pPr>
      <w:rPr>
        <w:rFonts w:ascii="Arial" w:hAnsi="Arial" w:hint="default"/>
      </w:rPr>
    </w:lvl>
    <w:lvl w:ilvl="5" w:tplc="1B90B460" w:tentative="1">
      <w:start w:val="1"/>
      <w:numFmt w:val="bullet"/>
      <w:lvlText w:val="•"/>
      <w:lvlJc w:val="left"/>
      <w:pPr>
        <w:tabs>
          <w:tab w:val="num" w:pos="4320"/>
        </w:tabs>
        <w:ind w:left="4320" w:hanging="360"/>
      </w:pPr>
      <w:rPr>
        <w:rFonts w:ascii="Arial" w:hAnsi="Arial" w:hint="default"/>
      </w:rPr>
    </w:lvl>
    <w:lvl w:ilvl="6" w:tplc="53009800" w:tentative="1">
      <w:start w:val="1"/>
      <w:numFmt w:val="bullet"/>
      <w:lvlText w:val="•"/>
      <w:lvlJc w:val="left"/>
      <w:pPr>
        <w:tabs>
          <w:tab w:val="num" w:pos="5040"/>
        </w:tabs>
        <w:ind w:left="5040" w:hanging="360"/>
      </w:pPr>
      <w:rPr>
        <w:rFonts w:ascii="Arial" w:hAnsi="Arial" w:hint="default"/>
      </w:rPr>
    </w:lvl>
    <w:lvl w:ilvl="7" w:tplc="DF84504A" w:tentative="1">
      <w:start w:val="1"/>
      <w:numFmt w:val="bullet"/>
      <w:lvlText w:val="•"/>
      <w:lvlJc w:val="left"/>
      <w:pPr>
        <w:tabs>
          <w:tab w:val="num" w:pos="5760"/>
        </w:tabs>
        <w:ind w:left="5760" w:hanging="360"/>
      </w:pPr>
      <w:rPr>
        <w:rFonts w:ascii="Arial" w:hAnsi="Arial" w:hint="default"/>
      </w:rPr>
    </w:lvl>
    <w:lvl w:ilvl="8" w:tplc="7E143A98"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599D2B29"/>
    <w:multiLevelType w:val="hybridMultilevel"/>
    <w:tmpl w:val="158CF070"/>
    <w:lvl w:ilvl="0" w:tplc="BF6048E2">
      <w:start w:val="1"/>
      <w:numFmt w:val="bullet"/>
      <w:lvlText w:val="•"/>
      <w:lvlJc w:val="left"/>
      <w:pPr>
        <w:tabs>
          <w:tab w:val="num" w:pos="720"/>
        </w:tabs>
        <w:ind w:left="720" w:hanging="360"/>
      </w:pPr>
      <w:rPr>
        <w:rFonts w:ascii="Arial" w:hAnsi="Arial" w:hint="default"/>
      </w:rPr>
    </w:lvl>
    <w:lvl w:ilvl="1" w:tplc="9D0C6A4E" w:tentative="1">
      <w:start w:val="1"/>
      <w:numFmt w:val="bullet"/>
      <w:lvlText w:val="•"/>
      <w:lvlJc w:val="left"/>
      <w:pPr>
        <w:tabs>
          <w:tab w:val="num" w:pos="1440"/>
        </w:tabs>
        <w:ind w:left="1440" w:hanging="360"/>
      </w:pPr>
      <w:rPr>
        <w:rFonts w:ascii="Arial" w:hAnsi="Arial" w:hint="default"/>
      </w:rPr>
    </w:lvl>
    <w:lvl w:ilvl="2" w:tplc="C1E87894" w:tentative="1">
      <w:start w:val="1"/>
      <w:numFmt w:val="bullet"/>
      <w:lvlText w:val="•"/>
      <w:lvlJc w:val="left"/>
      <w:pPr>
        <w:tabs>
          <w:tab w:val="num" w:pos="2160"/>
        </w:tabs>
        <w:ind w:left="2160" w:hanging="360"/>
      </w:pPr>
      <w:rPr>
        <w:rFonts w:ascii="Arial" w:hAnsi="Arial" w:hint="default"/>
      </w:rPr>
    </w:lvl>
    <w:lvl w:ilvl="3" w:tplc="58284D8C" w:tentative="1">
      <w:start w:val="1"/>
      <w:numFmt w:val="bullet"/>
      <w:lvlText w:val="•"/>
      <w:lvlJc w:val="left"/>
      <w:pPr>
        <w:tabs>
          <w:tab w:val="num" w:pos="2880"/>
        </w:tabs>
        <w:ind w:left="2880" w:hanging="360"/>
      </w:pPr>
      <w:rPr>
        <w:rFonts w:ascii="Arial" w:hAnsi="Arial" w:hint="default"/>
      </w:rPr>
    </w:lvl>
    <w:lvl w:ilvl="4" w:tplc="421A71B8" w:tentative="1">
      <w:start w:val="1"/>
      <w:numFmt w:val="bullet"/>
      <w:lvlText w:val="•"/>
      <w:lvlJc w:val="left"/>
      <w:pPr>
        <w:tabs>
          <w:tab w:val="num" w:pos="3600"/>
        </w:tabs>
        <w:ind w:left="3600" w:hanging="360"/>
      </w:pPr>
      <w:rPr>
        <w:rFonts w:ascii="Arial" w:hAnsi="Arial" w:hint="default"/>
      </w:rPr>
    </w:lvl>
    <w:lvl w:ilvl="5" w:tplc="031E09AC" w:tentative="1">
      <w:start w:val="1"/>
      <w:numFmt w:val="bullet"/>
      <w:lvlText w:val="•"/>
      <w:lvlJc w:val="left"/>
      <w:pPr>
        <w:tabs>
          <w:tab w:val="num" w:pos="4320"/>
        </w:tabs>
        <w:ind w:left="4320" w:hanging="360"/>
      </w:pPr>
      <w:rPr>
        <w:rFonts w:ascii="Arial" w:hAnsi="Arial" w:hint="default"/>
      </w:rPr>
    </w:lvl>
    <w:lvl w:ilvl="6" w:tplc="731C682C" w:tentative="1">
      <w:start w:val="1"/>
      <w:numFmt w:val="bullet"/>
      <w:lvlText w:val="•"/>
      <w:lvlJc w:val="left"/>
      <w:pPr>
        <w:tabs>
          <w:tab w:val="num" w:pos="5040"/>
        </w:tabs>
        <w:ind w:left="5040" w:hanging="360"/>
      </w:pPr>
      <w:rPr>
        <w:rFonts w:ascii="Arial" w:hAnsi="Arial" w:hint="default"/>
      </w:rPr>
    </w:lvl>
    <w:lvl w:ilvl="7" w:tplc="EFB80018" w:tentative="1">
      <w:start w:val="1"/>
      <w:numFmt w:val="bullet"/>
      <w:lvlText w:val="•"/>
      <w:lvlJc w:val="left"/>
      <w:pPr>
        <w:tabs>
          <w:tab w:val="num" w:pos="5760"/>
        </w:tabs>
        <w:ind w:left="5760" w:hanging="360"/>
      </w:pPr>
      <w:rPr>
        <w:rFonts w:ascii="Arial" w:hAnsi="Arial" w:hint="default"/>
      </w:rPr>
    </w:lvl>
    <w:lvl w:ilvl="8" w:tplc="1326F87C"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59C34E9F"/>
    <w:multiLevelType w:val="hybridMultilevel"/>
    <w:tmpl w:val="ED80EEEE"/>
    <w:lvl w:ilvl="0" w:tplc="9404C82E">
      <w:start w:val="20"/>
      <w:numFmt w:val="upperRoman"/>
      <w:lvlText w:val="%1."/>
      <w:lvlJc w:val="left"/>
      <w:pPr>
        <w:ind w:left="720" w:hanging="720"/>
      </w:pPr>
      <w:rPr>
        <w:rFonts w:hint="default"/>
        <w:b/>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BEE0FA7"/>
    <w:multiLevelType w:val="hybridMultilevel"/>
    <w:tmpl w:val="5358D7F0"/>
    <w:lvl w:ilvl="0" w:tplc="C9EAA12A">
      <w:start w:val="1"/>
      <w:numFmt w:val="bullet"/>
      <w:lvlText w:val="•"/>
      <w:lvlJc w:val="left"/>
      <w:pPr>
        <w:tabs>
          <w:tab w:val="num" w:pos="720"/>
        </w:tabs>
        <w:ind w:left="720" w:hanging="360"/>
      </w:pPr>
      <w:rPr>
        <w:rFonts w:ascii="Arial" w:hAnsi="Arial" w:hint="default"/>
      </w:rPr>
    </w:lvl>
    <w:lvl w:ilvl="1" w:tplc="36C80120" w:tentative="1">
      <w:start w:val="1"/>
      <w:numFmt w:val="bullet"/>
      <w:lvlText w:val="•"/>
      <w:lvlJc w:val="left"/>
      <w:pPr>
        <w:tabs>
          <w:tab w:val="num" w:pos="1440"/>
        </w:tabs>
        <w:ind w:left="1440" w:hanging="360"/>
      </w:pPr>
      <w:rPr>
        <w:rFonts w:ascii="Arial" w:hAnsi="Arial" w:hint="default"/>
      </w:rPr>
    </w:lvl>
    <w:lvl w:ilvl="2" w:tplc="6BE48A58" w:tentative="1">
      <w:start w:val="1"/>
      <w:numFmt w:val="bullet"/>
      <w:lvlText w:val="•"/>
      <w:lvlJc w:val="left"/>
      <w:pPr>
        <w:tabs>
          <w:tab w:val="num" w:pos="2160"/>
        </w:tabs>
        <w:ind w:left="2160" w:hanging="360"/>
      </w:pPr>
      <w:rPr>
        <w:rFonts w:ascii="Arial" w:hAnsi="Arial" w:hint="default"/>
      </w:rPr>
    </w:lvl>
    <w:lvl w:ilvl="3" w:tplc="E8DCCC50" w:tentative="1">
      <w:start w:val="1"/>
      <w:numFmt w:val="bullet"/>
      <w:lvlText w:val="•"/>
      <w:lvlJc w:val="left"/>
      <w:pPr>
        <w:tabs>
          <w:tab w:val="num" w:pos="2880"/>
        </w:tabs>
        <w:ind w:left="2880" w:hanging="360"/>
      </w:pPr>
      <w:rPr>
        <w:rFonts w:ascii="Arial" w:hAnsi="Arial" w:hint="default"/>
      </w:rPr>
    </w:lvl>
    <w:lvl w:ilvl="4" w:tplc="C746581A" w:tentative="1">
      <w:start w:val="1"/>
      <w:numFmt w:val="bullet"/>
      <w:lvlText w:val="•"/>
      <w:lvlJc w:val="left"/>
      <w:pPr>
        <w:tabs>
          <w:tab w:val="num" w:pos="3600"/>
        </w:tabs>
        <w:ind w:left="3600" w:hanging="360"/>
      </w:pPr>
      <w:rPr>
        <w:rFonts w:ascii="Arial" w:hAnsi="Arial" w:hint="default"/>
      </w:rPr>
    </w:lvl>
    <w:lvl w:ilvl="5" w:tplc="6B74AEC8" w:tentative="1">
      <w:start w:val="1"/>
      <w:numFmt w:val="bullet"/>
      <w:lvlText w:val="•"/>
      <w:lvlJc w:val="left"/>
      <w:pPr>
        <w:tabs>
          <w:tab w:val="num" w:pos="4320"/>
        </w:tabs>
        <w:ind w:left="4320" w:hanging="360"/>
      </w:pPr>
      <w:rPr>
        <w:rFonts w:ascii="Arial" w:hAnsi="Arial" w:hint="default"/>
      </w:rPr>
    </w:lvl>
    <w:lvl w:ilvl="6" w:tplc="C1E60768" w:tentative="1">
      <w:start w:val="1"/>
      <w:numFmt w:val="bullet"/>
      <w:lvlText w:val="•"/>
      <w:lvlJc w:val="left"/>
      <w:pPr>
        <w:tabs>
          <w:tab w:val="num" w:pos="5040"/>
        </w:tabs>
        <w:ind w:left="5040" w:hanging="360"/>
      </w:pPr>
      <w:rPr>
        <w:rFonts w:ascii="Arial" w:hAnsi="Arial" w:hint="default"/>
      </w:rPr>
    </w:lvl>
    <w:lvl w:ilvl="7" w:tplc="77E034CE" w:tentative="1">
      <w:start w:val="1"/>
      <w:numFmt w:val="bullet"/>
      <w:lvlText w:val="•"/>
      <w:lvlJc w:val="left"/>
      <w:pPr>
        <w:tabs>
          <w:tab w:val="num" w:pos="5760"/>
        </w:tabs>
        <w:ind w:left="5760" w:hanging="360"/>
      </w:pPr>
      <w:rPr>
        <w:rFonts w:ascii="Arial" w:hAnsi="Arial" w:hint="default"/>
      </w:rPr>
    </w:lvl>
    <w:lvl w:ilvl="8" w:tplc="3A543738"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5C0205AF"/>
    <w:multiLevelType w:val="hybridMultilevel"/>
    <w:tmpl w:val="7E6446C6"/>
    <w:lvl w:ilvl="0" w:tplc="753E5786">
      <w:start w:val="1"/>
      <w:numFmt w:val="bullet"/>
      <w:lvlText w:val="•"/>
      <w:lvlJc w:val="left"/>
      <w:pPr>
        <w:tabs>
          <w:tab w:val="num" w:pos="720"/>
        </w:tabs>
        <w:ind w:left="720" w:hanging="360"/>
      </w:pPr>
      <w:rPr>
        <w:rFonts w:ascii="Arial" w:hAnsi="Arial" w:hint="default"/>
      </w:rPr>
    </w:lvl>
    <w:lvl w:ilvl="1" w:tplc="0D46A870" w:tentative="1">
      <w:start w:val="1"/>
      <w:numFmt w:val="bullet"/>
      <w:lvlText w:val="•"/>
      <w:lvlJc w:val="left"/>
      <w:pPr>
        <w:tabs>
          <w:tab w:val="num" w:pos="1440"/>
        </w:tabs>
        <w:ind w:left="1440" w:hanging="360"/>
      </w:pPr>
      <w:rPr>
        <w:rFonts w:ascii="Arial" w:hAnsi="Arial" w:hint="default"/>
      </w:rPr>
    </w:lvl>
    <w:lvl w:ilvl="2" w:tplc="48AE8A20" w:tentative="1">
      <w:start w:val="1"/>
      <w:numFmt w:val="bullet"/>
      <w:lvlText w:val="•"/>
      <w:lvlJc w:val="left"/>
      <w:pPr>
        <w:tabs>
          <w:tab w:val="num" w:pos="2160"/>
        </w:tabs>
        <w:ind w:left="2160" w:hanging="360"/>
      </w:pPr>
      <w:rPr>
        <w:rFonts w:ascii="Arial" w:hAnsi="Arial" w:hint="default"/>
      </w:rPr>
    </w:lvl>
    <w:lvl w:ilvl="3" w:tplc="84669D80" w:tentative="1">
      <w:start w:val="1"/>
      <w:numFmt w:val="bullet"/>
      <w:lvlText w:val="•"/>
      <w:lvlJc w:val="left"/>
      <w:pPr>
        <w:tabs>
          <w:tab w:val="num" w:pos="2880"/>
        </w:tabs>
        <w:ind w:left="2880" w:hanging="360"/>
      </w:pPr>
      <w:rPr>
        <w:rFonts w:ascii="Arial" w:hAnsi="Arial" w:hint="default"/>
      </w:rPr>
    </w:lvl>
    <w:lvl w:ilvl="4" w:tplc="C936B518" w:tentative="1">
      <w:start w:val="1"/>
      <w:numFmt w:val="bullet"/>
      <w:lvlText w:val="•"/>
      <w:lvlJc w:val="left"/>
      <w:pPr>
        <w:tabs>
          <w:tab w:val="num" w:pos="3600"/>
        </w:tabs>
        <w:ind w:left="3600" w:hanging="360"/>
      </w:pPr>
      <w:rPr>
        <w:rFonts w:ascii="Arial" w:hAnsi="Arial" w:hint="default"/>
      </w:rPr>
    </w:lvl>
    <w:lvl w:ilvl="5" w:tplc="E668BE24" w:tentative="1">
      <w:start w:val="1"/>
      <w:numFmt w:val="bullet"/>
      <w:lvlText w:val="•"/>
      <w:lvlJc w:val="left"/>
      <w:pPr>
        <w:tabs>
          <w:tab w:val="num" w:pos="4320"/>
        </w:tabs>
        <w:ind w:left="4320" w:hanging="360"/>
      </w:pPr>
      <w:rPr>
        <w:rFonts w:ascii="Arial" w:hAnsi="Arial" w:hint="default"/>
      </w:rPr>
    </w:lvl>
    <w:lvl w:ilvl="6" w:tplc="1FDECC5E" w:tentative="1">
      <w:start w:val="1"/>
      <w:numFmt w:val="bullet"/>
      <w:lvlText w:val="•"/>
      <w:lvlJc w:val="left"/>
      <w:pPr>
        <w:tabs>
          <w:tab w:val="num" w:pos="5040"/>
        </w:tabs>
        <w:ind w:left="5040" w:hanging="360"/>
      </w:pPr>
      <w:rPr>
        <w:rFonts w:ascii="Arial" w:hAnsi="Arial" w:hint="default"/>
      </w:rPr>
    </w:lvl>
    <w:lvl w:ilvl="7" w:tplc="DEB09AE0" w:tentative="1">
      <w:start w:val="1"/>
      <w:numFmt w:val="bullet"/>
      <w:lvlText w:val="•"/>
      <w:lvlJc w:val="left"/>
      <w:pPr>
        <w:tabs>
          <w:tab w:val="num" w:pos="5760"/>
        </w:tabs>
        <w:ind w:left="5760" w:hanging="360"/>
      </w:pPr>
      <w:rPr>
        <w:rFonts w:ascii="Arial" w:hAnsi="Arial" w:hint="default"/>
      </w:rPr>
    </w:lvl>
    <w:lvl w:ilvl="8" w:tplc="10F83CAA"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5C020D66"/>
    <w:multiLevelType w:val="hybridMultilevel"/>
    <w:tmpl w:val="8A042DD4"/>
    <w:lvl w:ilvl="0" w:tplc="77C64D80">
      <w:start w:val="1"/>
      <w:numFmt w:val="bullet"/>
      <w:lvlText w:val="•"/>
      <w:lvlJc w:val="left"/>
      <w:pPr>
        <w:tabs>
          <w:tab w:val="num" w:pos="720"/>
        </w:tabs>
        <w:ind w:left="720" w:hanging="360"/>
      </w:pPr>
      <w:rPr>
        <w:rFonts w:ascii="Arial" w:hAnsi="Arial" w:hint="default"/>
      </w:rPr>
    </w:lvl>
    <w:lvl w:ilvl="1" w:tplc="B070527A">
      <w:start w:val="1"/>
      <w:numFmt w:val="bullet"/>
      <w:lvlText w:val="•"/>
      <w:lvlJc w:val="left"/>
      <w:pPr>
        <w:tabs>
          <w:tab w:val="num" w:pos="1440"/>
        </w:tabs>
        <w:ind w:left="1440" w:hanging="360"/>
      </w:pPr>
      <w:rPr>
        <w:rFonts w:ascii="Arial" w:hAnsi="Arial" w:hint="default"/>
      </w:rPr>
    </w:lvl>
    <w:lvl w:ilvl="2" w:tplc="667E54C2" w:tentative="1">
      <w:start w:val="1"/>
      <w:numFmt w:val="bullet"/>
      <w:lvlText w:val="•"/>
      <w:lvlJc w:val="left"/>
      <w:pPr>
        <w:tabs>
          <w:tab w:val="num" w:pos="2160"/>
        </w:tabs>
        <w:ind w:left="2160" w:hanging="360"/>
      </w:pPr>
      <w:rPr>
        <w:rFonts w:ascii="Arial" w:hAnsi="Arial" w:hint="default"/>
      </w:rPr>
    </w:lvl>
    <w:lvl w:ilvl="3" w:tplc="0272450C" w:tentative="1">
      <w:start w:val="1"/>
      <w:numFmt w:val="bullet"/>
      <w:lvlText w:val="•"/>
      <w:lvlJc w:val="left"/>
      <w:pPr>
        <w:tabs>
          <w:tab w:val="num" w:pos="2880"/>
        </w:tabs>
        <w:ind w:left="2880" w:hanging="360"/>
      </w:pPr>
      <w:rPr>
        <w:rFonts w:ascii="Arial" w:hAnsi="Arial" w:hint="default"/>
      </w:rPr>
    </w:lvl>
    <w:lvl w:ilvl="4" w:tplc="48DA2F1C" w:tentative="1">
      <w:start w:val="1"/>
      <w:numFmt w:val="bullet"/>
      <w:lvlText w:val="•"/>
      <w:lvlJc w:val="left"/>
      <w:pPr>
        <w:tabs>
          <w:tab w:val="num" w:pos="3600"/>
        </w:tabs>
        <w:ind w:left="3600" w:hanging="360"/>
      </w:pPr>
      <w:rPr>
        <w:rFonts w:ascii="Arial" w:hAnsi="Arial" w:hint="default"/>
      </w:rPr>
    </w:lvl>
    <w:lvl w:ilvl="5" w:tplc="9684D1FC" w:tentative="1">
      <w:start w:val="1"/>
      <w:numFmt w:val="bullet"/>
      <w:lvlText w:val="•"/>
      <w:lvlJc w:val="left"/>
      <w:pPr>
        <w:tabs>
          <w:tab w:val="num" w:pos="4320"/>
        </w:tabs>
        <w:ind w:left="4320" w:hanging="360"/>
      </w:pPr>
      <w:rPr>
        <w:rFonts w:ascii="Arial" w:hAnsi="Arial" w:hint="default"/>
      </w:rPr>
    </w:lvl>
    <w:lvl w:ilvl="6" w:tplc="2F44C23A" w:tentative="1">
      <w:start w:val="1"/>
      <w:numFmt w:val="bullet"/>
      <w:lvlText w:val="•"/>
      <w:lvlJc w:val="left"/>
      <w:pPr>
        <w:tabs>
          <w:tab w:val="num" w:pos="5040"/>
        </w:tabs>
        <w:ind w:left="5040" w:hanging="360"/>
      </w:pPr>
      <w:rPr>
        <w:rFonts w:ascii="Arial" w:hAnsi="Arial" w:hint="default"/>
      </w:rPr>
    </w:lvl>
    <w:lvl w:ilvl="7" w:tplc="D2E05108" w:tentative="1">
      <w:start w:val="1"/>
      <w:numFmt w:val="bullet"/>
      <w:lvlText w:val="•"/>
      <w:lvlJc w:val="left"/>
      <w:pPr>
        <w:tabs>
          <w:tab w:val="num" w:pos="5760"/>
        </w:tabs>
        <w:ind w:left="5760" w:hanging="360"/>
      </w:pPr>
      <w:rPr>
        <w:rFonts w:ascii="Arial" w:hAnsi="Arial" w:hint="default"/>
      </w:rPr>
    </w:lvl>
    <w:lvl w:ilvl="8" w:tplc="F6664980"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5C586E4D"/>
    <w:multiLevelType w:val="hybridMultilevel"/>
    <w:tmpl w:val="E6887B9E"/>
    <w:lvl w:ilvl="0" w:tplc="1E680722">
      <w:start w:val="1"/>
      <w:numFmt w:val="bullet"/>
      <w:lvlText w:val="•"/>
      <w:lvlJc w:val="left"/>
      <w:pPr>
        <w:tabs>
          <w:tab w:val="num" w:pos="720"/>
        </w:tabs>
        <w:ind w:left="720" w:hanging="360"/>
      </w:pPr>
      <w:rPr>
        <w:rFonts w:ascii="Arial" w:hAnsi="Arial" w:hint="default"/>
      </w:rPr>
    </w:lvl>
    <w:lvl w:ilvl="1" w:tplc="09685B8A">
      <w:numFmt w:val="bullet"/>
      <w:lvlText w:val="•"/>
      <w:lvlJc w:val="left"/>
      <w:pPr>
        <w:tabs>
          <w:tab w:val="num" w:pos="1440"/>
        </w:tabs>
        <w:ind w:left="1440" w:hanging="360"/>
      </w:pPr>
      <w:rPr>
        <w:rFonts w:ascii="Arial" w:hAnsi="Arial" w:hint="default"/>
      </w:rPr>
    </w:lvl>
    <w:lvl w:ilvl="2" w:tplc="3836DB68" w:tentative="1">
      <w:start w:val="1"/>
      <w:numFmt w:val="bullet"/>
      <w:lvlText w:val="•"/>
      <w:lvlJc w:val="left"/>
      <w:pPr>
        <w:tabs>
          <w:tab w:val="num" w:pos="2160"/>
        </w:tabs>
        <w:ind w:left="2160" w:hanging="360"/>
      </w:pPr>
      <w:rPr>
        <w:rFonts w:ascii="Arial" w:hAnsi="Arial" w:hint="default"/>
      </w:rPr>
    </w:lvl>
    <w:lvl w:ilvl="3" w:tplc="CB74A712" w:tentative="1">
      <w:start w:val="1"/>
      <w:numFmt w:val="bullet"/>
      <w:lvlText w:val="•"/>
      <w:lvlJc w:val="left"/>
      <w:pPr>
        <w:tabs>
          <w:tab w:val="num" w:pos="2880"/>
        </w:tabs>
        <w:ind w:left="2880" w:hanging="360"/>
      </w:pPr>
      <w:rPr>
        <w:rFonts w:ascii="Arial" w:hAnsi="Arial" w:hint="default"/>
      </w:rPr>
    </w:lvl>
    <w:lvl w:ilvl="4" w:tplc="0C8EE6EE" w:tentative="1">
      <w:start w:val="1"/>
      <w:numFmt w:val="bullet"/>
      <w:lvlText w:val="•"/>
      <w:lvlJc w:val="left"/>
      <w:pPr>
        <w:tabs>
          <w:tab w:val="num" w:pos="3600"/>
        </w:tabs>
        <w:ind w:left="3600" w:hanging="360"/>
      </w:pPr>
      <w:rPr>
        <w:rFonts w:ascii="Arial" w:hAnsi="Arial" w:hint="default"/>
      </w:rPr>
    </w:lvl>
    <w:lvl w:ilvl="5" w:tplc="CB6A3496" w:tentative="1">
      <w:start w:val="1"/>
      <w:numFmt w:val="bullet"/>
      <w:lvlText w:val="•"/>
      <w:lvlJc w:val="left"/>
      <w:pPr>
        <w:tabs>
          <w:tab w:val="num" w:pos="4320"/>
        </w:tabs>
        <w:ind w:left="4320" w:hanging="360"/>
      </w:pPr>
      <w:rPr>
        <w:rFonts w:ascii="Arial" w:hAnsi="Arial" w:hint="default"/>
      </w:rPr>
    </w:lvl>
    <w:lvl w:ilvl="6" w:tplc="DCDA13A6" w:tentative="1">
      <w:start w:val="1"/>
      <w:numFmt w:val="bullet"/>
      <w:lvlText w:val="•"/>
      <w:lvlJc w:val="left"/>
      <w:pPr>
        <w:tabs>
          <w:tab w:val="num" w:pos="5040"/>
        </w:tabs>
        <w:ind w:left="5040" w:hanging="360"/>
      </w:pPr>
      <w:rPr>
        <w:rFonts w:ascii="Arial" w:hAnsi="Arial" w:hint="default"/>
      </w:rPr>
    </w:lvl>
    <w:lvl w:ilvl="7" w:tplc="4454DB20" w:tentative="1">
      <w:start w:val="1"/>
      <w:numFmt w:val="bullet"/>
      <w:lvlText w:val="•"/>
      <w:lvlJc w:val="left"/>
      <w:pPr>
        <w:tabs>
          <w:tab w:val="num" w:pos="5760"/>
        </w:tabs>
        <w:ind w:left="5760" w:hanging="360"/>
      </w:pPr>
      <w:rPr>
        <w:rFonts w:ascii="Arial" w:hAnsi="Arial" w:hint="default"/>
      </w:rPr>
    </w:lvl>
    <w:lvl w:ilvl="8" w:tplc="EFF2CEAA"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5DF84D7E"/>
    <w:multiLevelType w:val="hybridMultilevel"/>
    <w:tmpl w:val="41025E5C"/>
    <w:lvl w:ilvl="0" w:tplc="D9AE9984">
      <w:start w:val="1"/>
      <w:numFmt w:val="bullet"/>
      <w:lvlText w:val="•"/>
      <w:lvlJc w:val="left"/>
      <w:pPr>
        <w:tabs>
          <w:tab w:val="num" w:pos="720"/>
        </w:tabs>
        <w:ind w:left="720" w:hanging="360"/>
      </w:pPr>
      <w:rPr>
        <w:rFonts w:ascii="Arial" w:hAnsi="Arial" w:hint="default"/>
      </w:rPr>
    </w:lvl>
    <w:lvl w:ilvl="1" w:tplc="F9AE10A6" w:tentative="1">
      <w:start w:val="1"/>
      <w:numFmt w:val="bullet"/>
      <w:lvlText w:val="•"/>
      <w:lvlJc w:val="left"/>
      <w:pPr>
        <w:tabs>
          <w:tab w:val="num" w:pos="1440"/>
        </w:tabs>
        <w:ind w:left="1440" w:hanging="360"/>
      </w:pPr>
      <w:rPr>
        <w:rFonts w:ascii="Arial" w:hAnsi="Arial" w:hint="default"/>
      </w:rPr>
    </w:lvl>
    <w:lvl w:ilvl="2" w:tplc="0032E598" w:tentative="1">
      <w:start w:val="1"/>
      <w:numFmt w:val="bullet"/>
      <w:lvlText w:val="•"/>
      <w:lvlJc w:val="left"/>
      <w:pPr>
        <w:tabs>
          <w:tab w:val="num" w:pos="2160"/>
        </w:tabs>
        <w:ind w:left="2160" w:hanging="360"/>
      </w:pPr>
      <w:rPr>
        <w:rFonts w:ascii="Arial" w:hAnsi="Arial" w:hint="default"/>
      </w:rPr>
    </w:lvl>
    <w:lvl w:ilvl="3" w:tplc="7A78B0FC" w:tentative="1">
      <w:start w:val="1"/>
      <w:numFmt w:val="bullet"/>
      <w:lvlText w:val="•"/>
      <w:lvlJc w:val="left"/>
      <w:pPr>
        <w:tabs>
          <w:tab w:val="num" w:pos="2880"/>
        </w:tabs>
        <w:ind w:left="2880" w:hanging="360"/>
      </w:pPr>
      <w:rPr>
        <w:rFonts w:ascii="Arial" w:hAnsi="Arial" w:hint="default"/>
      </w:rPr>
    </w:lvl>
    <w:lvl w:ilvl="4" w:tplc="3FAABF94" w:tentative="1">
      <w:start w:val="1"/>
      <w:numFmt w:val="bullet"/>
      <w:lvlText w:val="•"/>
      <w:lvlJc w:val="left"/>
      <w:pPr>
        <w:tabs>
          <w:tab w:val="num" w:pos="3600"/>
        </w:tabs>
        <w:ind w:left="3600" w:hanging="360"/>
      </w:pPr>
      <w:rPr>
        <w:rFonts w:ascii="Arial" w:hAnsi="Arial" w:hint="default"/>
      </w:rPr>
    </w:lvl>
    <w:lvl w:ilvl="5" w:tplc="3BBC023E" w:tentative="1">
      <w:start w:val="1"/>
      <w:numFmt w:val="bullet"/>
      <w:lvlText w:val="•"/>
      <w:lvlJc w:val="left"/>
      <w:pPr>
        <w:tabs>
          <w:tab w:val="num" w:pos="4320"/>
        </w:tabs>
        <w:ind w:left="4320" w:hanging="360"/>
      </w:pPr>
      <w:rPr>
        <w:rFonts w:ascii="Arial" w:hAnsi="Arial" w:hint="default"/>
      </w:rPr>
    </w:lvl>
    <w:lvl w:ilvl="6" w:tplc="4BE603CA" w:tentative="1">
      <w:start w:val="1"/>
      <w:numFmt w:val="bullet"/>
      <w:lvlText w:val="•"/>
      <w:lvlJc w:val="left"/>
      <w:pPr>
        <w:tabs>
          <w:tab w:val="num" w:pos="5040"/>
        </w:tabs>
        <w:ind w:left="5040" w:hanging="360"/>
      </w:pPr>
      <w:rPr>
        <w:rFonts w:ascii="Arial" w:hAnsi="Arial" w:hint="default"/>
      </w:rPr>
    </w:lvl>
    <w:lvl w:ilvl="7" w:tplc="BC0C8BE2" w:tentative="1">
      <w:start w:val="1"/>
      <w:numFmt w:val="bullet"/>
      <w:lvlText w:val="•"/>
      <w:lvlJc w:val="left"/>
      <w:pPr>
        <w:tabs>
          <w:tab w:val="num" w:pos="5760"/>
        </w:tabs>
        <w:ind w:left="5760" w:hanging="360"/>
      </w:pPr>
      <w:rPr>
        <w:rFonts w:ascii="Arial" w:hAnsi="Arial" w:hint="default"/>
      </w:rPr>
    </w:lvl>
    <w:lvl w:ilvl="8" w:tplc="C308AC7A"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5EBA5C98"/>
    <w:multiLevelType w:val="hybridMultilevel"/>
    <w:tmpl w:val="E58CD622"/>
    <w:lvl w:ilvl="0" w:tplc="5532DC54">
      <w:start w:val="1"/>
      <w:numFmt w:val="bullet"/>
      <w:lvlText w:val="•"/>
      <w:lvlJc w:val="left"/>
      <w:pPr>
        <w:tabs>
          <w:tab w:val="num" w:pos="720"/>
        </w:tabs>
        <w:ind w:left="720" w:hanging="360"/>
      </w:pPr>
      <w:rPr>
        <w:rFonts w:ascii="Arial" w:hAnsi="Arial" w:hint="default"/>
      </w:rPr>
    </w:lvl>
    <w:lvl w:ilvl="1" w:tplc="1A36D3F8" w:tentative="1">
      <w:start w:val="1"/>
      <w:numFmt w:val="bullet"/>
      <w:lvlText w:val="•"/>
      <w:lvlJc w:val="left"/>
      <w:pPr>
        <w:tabs>
          <w:tab w:val="num" w:pos="1440"/>
        </w:tabs>
        <w:ind w:left="1440" w:hanging="360"/>
      </w:pPr>
      <w:rPr>
        <w:rFonts w:ascii="Arial" w:hAnsi="Arial" w:hint="default"/>
      </w:rPr>
    </w:lvl>
    <w:lvl w:ilvl="2" w:tplc="5F5E106C" w:tentative="1">
      <w:start w:val="1"/>
      <w:numFmt w:val="bullet"/>
      <w:lvlText w:val="•"/>
      <w:lvlJc w:val="left"/>
      <w:pPr>
        <w:tabs>
          <w:tab w:val="num" w:pos="2160"/>
        </w:tabs>
        <w:ind w:left="2160" w:hanging="360"/>
      </w:pPr>
      <w:rPr>
        <w:rFonts w:ascii="Arial" w:hAnsi="Arial" w:hint="default"/>
      </w:rPr>
    </w:lvl>
    <w:lvl w:ilvl="3" w:tplc="43CEA81C" w:tentative="1">
      <w:start w:val="1"/>
      <w:numFmt w:val="bullet"/>
      <w:lvlText w:val="•"/>
      <w:lvlJc w:val="left"/>
      <w:pPr>
        <w:tabs>
          <w:tab w:val="num" w:pos="2880"/>
        </w:tabs>
        <w:ind w:left="2880" w:hanging="360"/>
      </w:pPr>
      <w:rPr>
        <w:rFonts w:ascii="Arial" w:hAnsi="Arial" w:hint="default"/>
      </w:rPr>
    </w:lvl>
    <w:lvl w:ilvl="4" w:tplc="C3F41998" w:tentative="1">
      <w:start w:val="1"/>
      <w:numFmt w:val="bullet"/>
      <w:lvlText w:val="•"/>
      <w:lvlJc w:val="left"/>
      <w:pPr>
        <w:tabs>
          <w:tab w:val="num" w:pos="3600"/>
        </w:tabs>
        <w:ind w:left="3600" w:hanging="360"/>
      </w:pPr>
      <w:rPr>
        <w:rFonts w:ascii="Arial" w:hAnsi="Arial" w:hint="default"/>
      </w:rPr>
    </w:lvl>
    <w:lvl w:ilvl="5" w:tplc="50E86A5C" w:tentative="1">
      <w:start w:val="1"/>
      <w:numFmt w:val="bullet"/>
      <w:lvlText w:val="•"/>
      <w:lvlJc w:val="left"/>
      <w:pPr>
        <w:tabs>
          <w:tab w:val="num" w:pos="4320"/>
        </w:tabs>
        <w:ind w:left="4320" w:hanging="360"/>
      </w:pPr>
      <w:rPr>
        <w:rFonts w:ascii="Arial" w:hAnsi="Arial" w:hint="default"/>
      </w:rPr>
    </w:lvl>
    <w:lvl w:ilvl="6" w:tplc="EB6894A0" w:tentative="1">
      <w:start w:val="1"/>
      <w:numFmt w:val="bullet"/>
      <w:lvlText w:val="•"/>
      <w:lvlJc w:val="left"/>
      <w:pPr>
        <w:tabs>
          <w:tab w:val="num" w:pos="5040"/>
        </w:tabs>
        <w:ind w:left="5040" w:hanging="360"/>
      </w:pPr>
      <w:rPr>
        <w:rFonts w:ascii="Arial" w:hAnsi="Arial" w:hint="default"/>
      </w:rPr>
    </w:lvl>
    <w:lvl w:ilvl="7" w:tplc="630C21A0" w:tentative="1">
      <w:start w:val="1"/>
      <w:numFmt w:val="bullet"/>
      <w:lvlText w:val="•"/>
      <w:lvlJc w:val="left"/>
      <w:pPr>
        <w:tabs>
          <w:tab w:val="num" w:pos="5760"/>
        </w:tabs>
        <w:ind w:left="5760" w:hanging="360"/>
      </w:pPr>
      <w:rPr>
        <w:rFonts w:ascii="Arial" w:hAnsi="Arial" w:hint="default"/>
      </w:rPr>
    </w:lvl>
    <w:lvl w:ilvl="8" w:tplc="6422E850"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5F6E4DA5"/>
    <w:multiLevelType w:val="hybridMultilevel"/>
    <w:tmpl w:val="DDC2EBE0"/>
    <w:lvl w:ilvl="0" w:tplc="8A5A397C">
      <w:start w:val="1"/>
      <w:numFmt w:val="bullet"/>
      <w:lvlText w:val=""/>
      <w:lvlJc w:val="left"/>
      <w:pPr>
        <w:tabs>
          <w:tab w:val="num" w:pos="720"/>
        </w:tabs>
        <w:ind w:left="720" w:hanging="360"/>
      </w:pPr>
      <w:rPr>
        <w:rFonts w:ascii="Symbol" w:hAnsi="Symbol" w:hint="default"/>
      </w:rPr>
    </w:lvl>
    <w:lvl w:ilvl="1" w:tplc="B7B0497C">
      <w:numFmt w:val="bullet"/>
      <w:lvlText w:val=""/>
      <w:lvlJc w:val="left"/>
      <w:pPr>
        <w:tabs>
          <w:tab w:val="num" w:pos="1440"/>
        </w:tabs>
        <w:ind w:left="1440" w:hanging="360"/>
      </w:pPr>
      <w:rPr>
        <w:rFonts w:ascii="Wingdings" w:hAnsi="Wingdings" w:hint="default"/>
      </w:rPr>
    </w:lvl>
    <w:lvl w:ilvl="2" w:tplc="92AECA36" w:tentative="1">
      <w:start w:val="1"/>
      <w:numFmt w:val="bullet"/>
      <w:lvlText w:val=""/>
      <w:lvlJc w:val="left"/>
      <w:pPr>
        <w:tabs>
          <w:tab w:val="num" w:pos="2160"/>
        </w:tabs>
        <w:ind w:left="2160" w:hanging="360"/>
      </w:pPr>
      <w:rPr>
        <w:rFonts w:ascii="Symbol" w:hAnsi="Symbol" w:hint="default"/>
      </w:rPr>
    </w:lvl>
    <w:lvl w:ilvl="3" w:tplc="34F89FAE" w:tentative="1">
      <w:start w:val="1"/>
      <w:numFmt w:val="bullet"/>
      <w:lvlText w:val=""/>
      <w:lvlJc w:val="left"/>
      <w:pPr>
        <w:tabs>
          <w:tab w:val="num" w:pos="2880"/>
        </w:tabs>
        <w:ind w:left="2880" w:hanging="360"/>
      </w:pPr>
      <w:rPr>
        <w:rFonts w:ascii="Symbol" w:hAnsi="Symbol" w:hint="default"/>
      </w:rPr>
    </w:lvl>
    <w:lvl w:ilvl="4" w:tplc="60FC0412" w:tentative="1">
      <w:start w:val="1"/>
      <w:numFmt w:val="bullet"/>
      <w:lvlText w:val=""/>
      <w:lvlJc w:val="left"/>
      <w:pPr>
        <w:tabs>
          <w:tab w:val="num" w:pos="3600"/>
        </w:tabs>
        <w:ind w:left="3600" w:hanging="360"/>
      </w:pPr>
      <w:rPr>
        <w:rFonts w:ascii="Symbol" w:hAnsi="Symbol" w:hint="default"/>
      </w:rPr>
    </w:lvl>
    <w:lvl w:ilvl="5" w:tplc="6BB217A8" w:tentative="1">
      <w:start w:val="1"/>
      <w:numFmt w:val="bullet"/>
      <w:lvlText w:val=""/>
      <w:lvlJc w:val="left"/>
      <w:pPr>
        <w:tabs>
          <w:tab w:val="num" w:pos="4320"/>
        </w:tabs>
        <w:ind w:left="4320" w:hanging="360"/>
      </w:pPr>
      <w:rPr>
        <w:rFonts w:ascii="Symbol" w:hAnsi="Symbol" w:hint="default"/>
      </w:rPr>
    </w:lvl>
    <w:lvl w:ilvl="6" w:tplc="D61ED84E" w:tentative="1">
      <w:start w:val="1"/>
      <w:numFmt w:val="bullet"/>
      <w:lvlText w:val=""/>
      <w:lvlJc w:val="left"/>
      <w:pPr>
        <w:tabs>
          <w:tab w:val="num" w:pos="5040"/>
        </w:tabs>
        <w:ind w:left="5040" w:hanging="360"/>
      </w:pPr>
      <w:rPr>
        <w:rFonts w:ascii="Symbol" w:hAnsi="Symbol" w:hint="default"/>
      </w:rPr>
    </w:lvl>
    <w:lvl w:ilvl="7" w:tplc="D3AC1FDA" w:tentative="1">
      <w:start w:val="1"/>
      <w:numFmt w:val="bullet"/>
      <w:lvlText w:val=""/>
      <w:lvlJc w:val="left"/>
      <w:pPr>
        <w:tabs>
          <w:tab w:val="num" w:pos="5760"/>
        </w:tabs>
        <w:ind w:left="5760" w:hanging="360"/>
      </w:pPr>
      <w:rPr>
        <w:rFonts w:ascii="Symbol" w:hAnsi="Symbol" w:hint="default"/>
      </w:rPr>
    </w:lvl>
    <w:lvl w:ilvl="8" w:tplc="7376043A" w:tentative="1">
      <w:start w:val="1"/>
      <w:numFmt w:val="bullet"/>
      <w:lvlText w:val=""/>
      <w:lvlJc w:val="left"/>
      <w:pPr>
        <w:tabs>
          <w:tab w:val="num" w:pos="6480"/>
        </w:tabs>
        <w:ind w:left="6480" w:hanging="360"/>
      </w:pPr>
      <w:rPr>
        <w:rFonts w:ascii="Symbol" w:hAnsi="Symbol" w:hint="default"/>
      </w:rPr>
    </w:lvl>
  </w:abstractNum>
  <w:abstractNum w:abstractNumId="60" w15:restartNumberingAfterBreak="0">
    <w:nsid w:val="603A6E2C"/>
    <w:multiLevelType w:val="hybridMultilevel"/>
    <w:tmpl w:val="3ADEB1B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2F057CB"/>
    <w:multiLevelType w:val="hybridMultilevel"/>
    <w:tmpl w:val="83725208"/>
    <w:lvl w:ilvl="0" w:tplc="6FF47A60">
      <w:start w:val="1"/>
      <w:numFmt w:val="bullet"/>
      <w:lvlText w:val="•"/>
      <w:lvlJc w:val="left"/>
      <w:pPr>
        <w:tabs>
          <w:tab w:val="num" w:pos="720"/>
        </w:tabs>
        <w:ind w:left="720" w:hanging="360"/>
      </w:pPr>
      <w:rPr>
        <w:rFonts w:ascii="Arial" w:hAnsi="Arial" w:hint="default"/>
      </w:rPr>
    </w:lvl>
    <w:lvl w:ilvl="1" w:tplc="33D26FEE" w:tentative="1">
      <w:start w:val="1"/>
      <w:numFmt w:val="bullet"/>
      <w:lvlText w:val="•"/>
      <w:lvlJc w:val="left"/>
      <w:pPr>
        <w:tabs>
          <w:tab w:val="num" w:pos="1440"/>
        </w:tabs>
        <w:ind w:left="1440" w:hanging="360"/>
      </w:pPr>
      <w:rPr>
        <w:rFonts w:ascii="Arial" w:hAnsi="Arial" w:hint="default"/>
      </w:rPr>
    </w:lvl>
    <w:lvl w:ilvl="2" w:tplc="75F81014" w:tentative="1">
      <w:start w:val="1"/>
      <w:numFmt w:val="bullet"/>
      <w:lvlText w:val="•"/>
      <w:lvlJc w:val="left"/>
      <w:pPr>
        <w:tabs>
          <w:tab w:val="num" w:pos="2160"/>
        </w:tabs>
        <w:ind w:left="2160" w:hanging="360"/>
      </w:pPr>
      <w:rPr>
        <w:rFonts w:ascii="Arial" w:hAnsi="Arial" w:hint="default"/>
      </w:rPr>
    </w:lvl>
    <w:lvl w:ilvl="3" w:tplc="0CE2B302" w:tentative="1">
      <w:start w:val="1"/>
      <w:numFmt w:val="bullet"/>
      <w:lvlText w:val="•"/>
      <w:lvlJc w:val="left"/>
      <w:pPr>
        <w:tabs>
          <w:tab w:val="num" w:pos="2880"/>
        </w:tabs>
        <w:ind w:left="2880" w:hanging="360"/>
      </w:pPr>
      <w:rPr>
        <w:rFonts w:ascii="Arial" w:hAnsi="Arial" w:hint="default"/>
      </w:rPr>
    </w:lvl>
    <w:lvl w:ilvl="4" w:tplc="D2E6397C" w:tentative="1">
      <w:start w:val="1"/>
      <w:numFmt w:val="bullet"/>
      <w:lvlText w:val="•"/>
      <w:lvlJc w:val="left"/>
      <w:pPr>
        <w:tabs>
          <w:tab w:val="num" w:pos="3600"/>
        </w:tabs>
        <w:ind w:left="3600" w:hanging="360"/>
      </w:pPr>
      <w:rPr>
        <w:rFonts w:ascii="Arial" w:hAnsi="Arial" w:hint="default"/>
      </w:rPr>
    </w:lvl>
    <w:lvl w:ilvl="5" w:tplc="C504CFF2" w:tentative="1">
      <w:start w:val="1"/>
      <w:numFmt w:val="bullet"/>
      <w:lvlText w:val="•"/>
      <w:lvlJc w:val="left"/>
      <w:pPr>
        <w:tabs>
          <w:tab w:val="num" w:pos="4320"/>
        </w:tabs>
        <w:ind w:left="4320" w:hanging="360"/>
      </w:pPr>
      <w:rPr>
        <w:rFonts w:ascii="Arial" w:hAnsi="Arial" w:hint="default"/>
      </w:rPr>
    </w:lvl>
    <w:lvl w:ilvl="6" w:tplc="09B6F3F4" w:tentative="1">
      <w:start w:val="1"/>
      <w:numFmt w:val="bullet"/>
      <w:lvlText w:val="•"/>
      <w:lvlJc w:val="left"/>
      <w:pPr>
        <w:tabs>
          <w:tab w:val="num" w:pos="5040"/>
        </w:tabs>
        <w:ind w:left="5040" w:hanging="360"/>
      </w:pPr>
      <w:rPr>
        <w:rFonts w:ascii="Arial" w:hAnsi="Arial" w:hint="default"/>
      </w:rPr>
    </w:lvl>
    <w:lvl w:ilvl="7" w:tplc="5D4CC916" w:tentative="1">
      <w:start w:val="1"/>
      <w:numFmt w:val="bullet"/>
      <w:lvlText w:val="•"/>
      <w:lvlJc w:val="left"/>
      <w:pPr>
        <w:tabs>
          <w:tab w:val="num" w:pos="5760"/>
        </w:tabs>
        <w:ind w:left="5760" w:hanging="360"/>
      </w:pPr>
      <w:rPr>
        <w:rFonts w:ascii="Arial" w:hAnsi="Arial" w:hint="default"/>
      </w:rPr>
    </w:lvl>
    <w:lvl w:ilvl="8" w:tplc="0D54CAB2"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4F85BED"/>
    <w:multiLevelType w:val="hybridMultilevel"/>
    <w:tmpl w:val="85C8F222"/>
    <w:lvl w:ilvl="0" w:tplc="1FB85354">
      <w:start w:val="1"/>
      <w:numFmt w:val="bullet"/>
      <w:lvlText w:val="•"/>
      <w:lvlJc w:val="left"/>
      <w:pPr>
        <w:tabs>
          <w:tab w:val="num" w:pos="720"/>
        </w:tabs>
        <w:ind w:left="720" w:hanging="360"/>
      </w:pPr>
      <w:rPr>
        <w:rFonts w:ascii="Arial" w:hAnsi="Arial" w:hint="default"/>
      </w:rPr>
    </w:lvl>
    <w:lvl w:ilvl="1" w:tplc="15085BDC" w:tentative="1">
      <w:start w:val="1"/>
      <w:numFmt w:val="bullet"/>
      <w:lvlText w:val="•"/>
      <w:lvlJc w:val="left"/>
      <w:pPr>
        <w:tabs>
          <w:tab w:val="num" w:pos="1440"/>
        </w:tabs>
        <w:ind w:left="1440" w:hanging="360"/>
      </w:pPr>
      <w:rPr>
        <w:rFonts w:ascii="Arial" w:hAnsi="Arial" w:hint="default"/>
      </w:rPr>
    </w:lvl>
    <w:lvl w:ilvl="2" w:tplc="5EBE2006" w:tentative="1">
      <w:start w:val="1"/>
      <w:numFmt w:val="bullet"/>
      <w:lvlText w:val="•"/>
      <w:lvlJc w:val="left"/>
      <w:pPr>
        <w:tabs>
          <w:tab w:val="num" w:pos="2160"/>
        </w:tabs>
        <w:ind w:left="2160" w:hanging="360"/>
      </w:pPr>
      <w:rPr>
        <w:rFonts w:ascii="Arial" w:hAnsi="Arial" w:hint="default"/>
      </w:rPr>
    </w:lvl>
    <w:lvl w:ilvl="3" w:tplc="0B762460" w:tentative="1">
      <w:start w:val="1"/>
      <w:numFmt w:val="bullet"/>
      <w:lvlText w:val="•"/>
      <w:lvlJc w:val="left"/>
      <w:pPr>
        <w:tabs>
          <w:tab w:val="num" w:pos="2880"/>
        </w:tabs>
        <w:ind w:left="2880" w:hanging="360"/>
      </w:pPr>
      <w:rPr>
        <w:rFonts w:ascii="Arial" w:hAnsi="Arial" w:hint="default"/>
      </w:rPr>
    </w:lvl>
    <w:lvl w:ilvl="4" w:tplc="CF9AF80E" w:tentative="1">
      <w:start w:val="1"/>
      <w:numFmt w:val="bullet"/>
      <w:lvlText w:val="•"/>
      <w:lvlJc w:val="left"/>
      <w:pPr>
        <w:tabs>
          <w:tab w:val="num" w:pos="3600"/>
        </w:tabs>
        <w:ind w:left="3600" w:hanging="360"/>
      </w:pPr>
      <w:rPr>
        <w:rFonts w:ascii="Arial" w:hAnsi="Arial" w:hint="default"/>
      </w:rPr>
    </w:lvl>
    <w:lvl w:ilvl="5" w:tplc="C5E209CE" w:tentative="1">
      <w:start w:val="1"/>
      <w:numFmt w:val="bullet"/>
      <w:lvlText w:val="•"/>
      <w:lvlJc w:val="left"/>
      <w:pPr>
        <w:tabs>
          <w:tab w:val="num" w:pos="4320"/>
        </w:tabs>
        <w:ind w:left="4320" w:hanging="360"/>
      </w:pPr>
      <w:rPr>
        <w:rFonts w:ascii="Arial" w:hAnsi="Arial" w:hint="default"/>
      </w:rPr>
    </w:lvl>
    <w:lvl w:ilvl="6" w:tplc="71C8704A" w:tentative="1">
      <w:start w:val="1"/>
      <w:numFmt w:val="bullet"/>
      <w:lvlText w:val="•"/>
      <w:lvlJc w:val="left"/>
      <w:pPr>
        <w:tabs>
          <w:tab w:val="num" w:pos="5040"/>
        </w:tabs>
        <w:ind w:left="5040" w:hanging="360"/>
      </w:pPr>
      <w:rPr>
        <w:rFonts w:ascii="Arial" w:hAnsi="Arial" w:hint="default"/>
      </w:rPr>
    </w:lvl>
    <w:lvl w:ilvl="7" w:tplc="28968856" w:tentative="1">
      <w:start w:val="1"/>
      <w:numFmt w:val="bullet"/>
      <w:lvlText w:val="•"/>
      <w:lvlJc w:val="left"/>
      <w:pPr>
        <w:tabs>
          <w:tab w:val="num" w:pos="5760"/>
        </w:tabs>
        <w:ind w:left="5760" w:hanging="360"/>
      </w:pPr>
      <w:rPr>
        <w:rFonts w:ascii="Arial" w:hAnsi="Arial" w:hint="default"/>
      </w:rPr>
    </w:lvl>
    <w:lvl w:ilvl="8" w:tplc="B44AFC5C"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66550905"/>
    <w:multiLevelType w:val="hybridMultilevel"/>
    <w:tmpl w:val="82D24758"/>
    <w:lvl w:ilvl="0" w:tplc="6912627C">
      <w:start w:val="1"/>
      <w:numFmt w:val="bullet"/>
      <w:lvlText w:val="•"/>
      <w:lvlJc w:val="left"/>
      <w:pPr>
        <w:tabs>
          <w:tab w:val="num" w:pos="720"/>
        </w:tabs>
        <w:ind w:left="720" w:hanging="360"/>
      </w:pPr>
      <w:rPr>
        <w:rFonts w:ascii="Arial" w:hAnsi="Arial" w:hint="default"/>
      </w:rPr>
    </w:lvl>
    <w:lvl w:ilvl="1" w:tplc="A9CA2DEE">
      <w:start w:val="1"/>
      <w:numFmt w:val="bullet"/>
      <w:lvlText w:val="•"/>
      <w:lvlJc w:val="left"/>
      <w:pPr>
        <w:tabs>
          <w:tab w:val="num" w:pos="1440"/>
        </w:tabs>
        <w:ind w:left="1440" w:hanging="360"/>
      </w:pPr>
      <w:rPr>
        <w:rFonts w:ascii="Arial" w:hAnsi="Arial" w:hint="default"/>
      </w:rPr>
    </w:lvl>
    <w:lvl w:ilvl="2" w:tplc="91D881A6" w:tentative="1">
      <w:start w:val="1"/>
      <w:numFmt w:val="bullet"/>
      <w:lvlText w:val="•"/>
      <w:lvlJc w:val="left"/>
      <w:pPr>
        <w:tabs>
          <w:tab w:val="num" w:pos="2160"/>
        </w:tabs>
        <w:ind w:left="2160" w:hanging="360"/>
      </w:pPr>
      <w:rPr>
        <w:rFonts w:ascii="Arial" w:hAnsi="Arial" w:hint="default"/>
      </w:rPr>
    </w:lvl>
    <w:lvl w:ilvl="3" w:tplc="43E64CA8" w:tentative="1">
      <w:start w:val="1"/>
      <w:numFmt w:val="bullet"/>
      <w:lvlText w:val="•"/>
      <w:lvlJc w:val="left"/>
      <w:pPr>
        <w:tabs>
          <w:tab w:val="num" w:pos="2880"/>
        </w:tabs>
        <w:ind w:left="2880" w:hanging="360"/>
      </w:pPr>
      <w:rPr>
        <w:rFonts w:ascii="Arial" w:hAnsi="Arial" w:hint="default"/>
      </w:rPr>
    </w:lvl>
    <w:lvl w:ilvl="4" w:tplc="20C4620E" w:tentative="1">
      <w:start w:val="1"/>
      <w:numFmt w:val="bullet"/>
      <w:lvlText w:val="•"/>
      <w:lvlJc w:val="left"/>
      <w:pPr>
        <w:tabs>
          <w:tab w:val="num" w:pos="3600"/>
        </w:tabs>
        <w:ind w:left="3600" w:hanging="360"/>
      </w:pPr>
      <w:rPr>
        <w:rFonts w:ascii="Arial" w:hAnsi="Arial" w:hint="default"/>
      </w:rPr>
    </w:lvl>
    <w:lvl w:ilvl="5" w:tplc="4E8CD9EC" w:tentative="1">
      <w:start w:val="1"/>
      <w:numFmt w:val="bullet"/>
      <w:lvlText w:val="•"/>
      <w:lvlJc w:val="left"/>
      <w:pPr>
        <w:tabs>
          <w:tab w:val="num" w:pos="4320"/>
        </w:tabs>
        <w:ind w:left="4320" w:hanging="360"/>
      </w:pPr>
      <w:rPr>
        <w:rFonts w:ascii="Arial" w:hAnsi="Arial" w:hint="default"/>
      </w:rPr>
    </w:lvl>
    <w:lvl w:ilvl="6" w:tplc="E0607224" w:tentative="1">
      <w:start w:val="1"/>
      <w:numFmt w:val="bullet"/>
      <w:lvlText w:val="•"/>
      <w:lvlJc w:val="left"/>
      <w:pPr>
        <w:tabs>
          <w:tab w:val="num" w:pos="5040"/>
        </w:tabs>
        <w:ind w:left="5040" w:hanging="360"/>
      </w:pPr>
      <w:rPr>
        <w:rFonts w:ascii="Arial" w:hAnsi="Arial" w:hint="default"/>
      </w:rPr>
    </w:lvl>
    <w:lvl w:ilvl="7" w:tplc="56601648" w:tentative="1">
      <w:start w:val="1"/>
      <w:numFmt w:val="bullet"/>
      <w:lvlText w:val="•"/>
      <w:lvlJc w:val="left"/>
      <w:pPr>
        <w:tabs>
          <w:tab w:val="num" w:pos="5760"/>
        </w:tabs>
        <w:ind w:left="5760" w:hanging="360"/>
      </w:pPr>
      <w:rPr>
        <w:rFonts w:ascii="Arial" w:hAnsi="Arial" w:hint="default"/>
      </w:rPr>
    </w:lvl>
    <w:lvl w:ilvl="8" w:tplc="44CA7562"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68222CDF"/>
    <w:multiLevelType w:val="hybridMultilevel"/>
    <w:tmpl w:val="5E86D664"/>
    <w:lvl w:ilvl="0" w:tplc="4D46E476">
      <w:start w:val="1"/>
      <w:numFmt w:val="bullet"/>
      <w:lvlText w:val="•"/>
      <w:lvlJc w:val="left"/>
      <w:pPr>
        <w:tabs>
          <w:tab w:val="num" w:pos="720"/>
        </w:tabs>
        <w:ind w:left="720" w:hanging="360"/>
      </w:pPr>
      <w:rPr>
        <w:rFonts w:ascii="Arial" w:hAnsi="Arial" w:hint="default"/>
      </w:rPr>
    </w:lvl>
    <w:lvl w:ilvl="1" w:tplc="3F5C3DC0" w:tentative="1">
      <w:start w:val="1"/>
      <w:numFmt w:val="bullet"/>
      <w:lvlText w:val="•"/>
      <w:lvlJc w:val="left"/>
      <w:pPr>
        <w:tabs>
          <w:tab w:val="num" w:pos="1440"/>
        </w:tabs>
        <w:ind w:left="1440" w:hanging="360"/>
      </w:pPr>
      <w:rPr>
        <w:rFonts w:ascii="Arial" w:hAnsi="Arial" w:hint="default"/>
      </w:rPr>
    </w:lvl>
    <w:lvl w:ilvl="2" w:tplc="540481EE" w:tentative="1">
      <w:start w:val="1"/>
      <w:numFmt w:val="bullet"/>
      <w:lvlText w:val="•"/>
      <w:lvlJc w:val="left"/>
      <w:pPr>
        <w:tabs>
          <w:tab w:val="num" w:pos="2160"/>
        </w:tabs>
        <w:ind w:left="2160" w:hanging="360"/>
      </w:pPr>
      <w:rPr>
        <w:rFonts w:ascii="Arial" w:hAnsi="Arial" w:hint="default"/>
      </w:rPr>
    </w:lvl>
    <w:lvl w:ilvl="3" w:tplc="FF982FB6" w:tentative="1">
      <w:start w:val="1"/>
      <w:numFmt w:val="bullet"/>
      <w:lvlText w:val="•"/>
      <w:lvlJc w:val="left"/>
      <w:pPr>
        <w:tabs>
          <w:tab w:val="num" w:pos="2880"/>
        </w:tabs>
        <w:ind w:left="2880" w:hanging="360"/>
      </w:pPr>
      <w:rPr>
        <w:rFonts w:ascii="Arial" w:hAnsi="Arial" w:hint="default"/>
      </w:rPr>
    </w:lvl>
    <w:lvl w:ilvl="4" w:tplc="E76A86DE" w:tentative="1">
      <w:start w:val="1"/>
      <w:numFmt w:val="bullet"/>
      <w:lvlText w:val="•"/>
      <w:lvlJc w:val="left"/>
      <w:pPr>
        <w:tabs>
          <w:tab w:val="num" w:pos="3600"/>
        </w:tabs>
        <w:ind w:left="3600" w:hanging="360"/>
      </w:pPr>
      <w:rPr>
        <w:rFonts w:ascii="Arial" w:hAnsi="Arial" w:hint="default"/>
      </w:rPr>
    </w:lvl>
    <w:lvl w:ilvl="5" w:tplc="9412EFE8" w:tentative="1">
      <w:start w:val="1"/>
      <w:numFmt w:val="bullet"/>
      <w:lvlText w:val="•"/>
      <w:lvlJc w:val="left"/>
      <w:pPr>
        <w:tabs>
          <w:tab w:val="num" w:pos="4320"/>
        </w:tabs>
        <w:ind w:left="4320" w:hanging="360"/>
      </w:pPr>
      <w:rPr>
        <w:rFonts w:ascii="Arial" w:hAnsi="Arial" w:hint="default"/>
      </w:rPr>
    </w:lvl>
    <w:lvl w:ilvl="6" w:tplc="21ECB872" w:tentative="1">
      <w:start w:val="1"/>
      <w:numFmt w:val="bullet"/>
      <w:lvlText w:val="•"/>
      <w:lvlJc w:val="left"/>
      <w:pPr>
        <w:tabs>
          <w:tab w:val="num" w:pos="5040"/>
        </w:tabs>
        <w:ind w:left="5040" w:hanging="360"/>
      </w:pPr>
      <w:rPr>
        <w:rFonts w:ascii="Arial" w:hAnsi="Arial" w:hint="default"/>
      </w:rPr>
    </w:lvl>
    <w:lvl w:ilvl="7" w:tplc="94CC00AE" w:tentative="1">
      <w:start w:val="1"/>
      <w:numFmt w:val="bullet"/>
      <w:lvlText w:val="•"/>
      <w:lvlJc w:val="left"/>
      <w:pPr>
        <w:tabs>
          <w:tab w:val="num" w:pos="5760"/>
        </w:tabs>
        <w:ind w:left="5760" w:hanging="360"/>
      </w:pPr>
      <w:rPr>
        <w:rFonts w:ascii="Arial" w:hAnsi="Arial" w:hint="default"/>
      </w:rPr>
    </w:lvl>
    <w:lvl w:ilvl="8" w:tplc="9118BDC8"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68DD33A1"/>
    <w:multiLevelType w:val="hybridMultilevel"/>
    <w:tmpl w:val="ABFEB5C0"/>
    <w:lvl w:ilvl="0" w:tplc="F628084E">
      <w:start w:val="1"/>
      <w:numFmt w:val="bullet"/>
      <w:lvlText w:val="•"/>
      <w:lvlJc w:val="left"/>
      <w:pPr>
        <w:tabs>
          <w:tab w:val="num" w:pos="720"/>
        </w:tabs>
        <w:ind w:left="720" w:hanging="360"/>
      </w:pPr>
      <w:rPr>
        <w:rFonts w:ascii="Arial" w:hAnsi="Arial" w:hint="default"/>
      </w:rPr>
    </w:lvl>
    <w:lvl w:ilvl="1" w:tplc="01766A28" w:tentative="1">
      <w:start w:val="1"/>
      <w:numFmt w:val="bullet"/>
      <w:lvlText w:val="•"/>
      <w:lvlJc w:val="left"/>
      <w:pPr>
        <w:tabs>
          <w:tab w:val="num" w:pos="1440"/>
        </w:tabs>
        <w:ind w:left="1440" w:hanging="360"/>
      </w:pPr>
      <w:rPr>
        <w:rFonts w:ascii="Arial" w:hAnsi="Arial" w:hint="default"/>
      </w:rPr>
    </w:lvl>
    <w:lvl w:ilvl="2" w:tplc="EEE41FFE" w:tentative="1">
      <w:start w:val="1"/>
      <w:numFmt w:val="bullet"/>
      <w:lvlText w:val="•"/>
      <w:lvlJc w:val="left"/>
      <w:pPr>
        <w:tabs>
          <w:tab w:val="num" w:pos="2160"/>
        </w:tabs>
        <w:ind w:left="2160" w:hanging="360"/>
      </w:pPr>
      <w:rPr>
        <w:rFonts w:ascii="Arial" w:hAnsi="Arial" w:hint="default"/>
      </w:rPr>
    </w:lvl>
    <w:lvl w:ilvl="3" w:tplc="A5E81D48" w:tentative="1">
      <w:start w:val="1"/>
      <w:numFmt w:val="bullet"/>
      <w:lvlText w:val="•"/>
      <w:lvlJc w:val="left"/>
      <w:pPr>
        <w:tabs>
          <w:tab w:val="num" w:pos="2880"/>
        </w:tabs>
        <w:ind w:left="2880" w:hanging="360"/>
      </w:pPr>
      <w:rPr>
        <w:rFonts w:ascii="Arial" w:hAnsi="Arial" w:hint="default"/>
      </w:rPr>
    </w:lvl>
    <w:lvl w:ilvl="4" w:tplc="BB8806FE" w:tentative="1">
      <w:start w:val="1"/>
      <w:numFmt w:val="bullet"/>
      <w:lvlText w:val="•"/>
      <w:lvlJc w:val="left"/>
      <w:pPr>
        <w:tabs>
          <w:tab w:val="num" w:pos="3600"/>
        </w:tabs>
        <w:ind w:left="3600" w:hanging="360"/>
      </w:pPr>
      <w:rPr>
        <w:rFonts w:ascii="Arial" w:hAnsi="Arial" w:hint="default"/>
      </w:rPr>
    </w:lvl>
    <w:lvl w:ilvl="5" w:tplc="8326ED1A" w:tentative="1">
      <w:start w:val="1"/>
      <w:numFmt w:val="bullet"/>
      <w:lvlText w:val="•"/>
      <w:lvlJc w:val="left"/>
      <w:pPr>
        <w:tabs>
          <w:tab w:val="num" w:pos="4320"/>
        </w:tabs>
        <w:ind w:left="4320" w:hanging="360"/>
      </w:pPr>
      <w:rPr>
        <w:rFonts w:ascii="Arial" w:hAnsi="Arial" w:hint="default"/>
      </w:rPr>
    </w:lvl>
    <w:lvl w:ilvl="6" w:tplc="967ED8A8" w:tentative="1">
      <w:start w:val="1"/>
      <w:numFmt w:val="bullet"/>
      <w:lvlText w:val="•"/>
      <w:lvlJc w:val="left"/>
      <w:pPr>
        <w:tabs>
          <w:tab w:val="num" w:pos="5040"/>
        </w:tabs>
        <w:ind w:left="5040" w:hanging="360"/>
      </w:pPr>
      <w:rPr>
        <w:rFonts w:ascii="Arial" w:hAnsi="Arial" w:hint="default"/>
      </w:rPr>
    </w:lvl>
    <w:lvl w:ilvl="7" w:tplc="2C44746E" w:tentative="1">
      <w:start w:val="1"/>
      <w:numFmt w:val="bullet"/>
      <w:lvlText w:val="•"/>
      <w:lvlJc w:val="left"/>
      <w:pPr>
        <w:tabs>
          <w:tab w:val="num" w:pos="5760"/>
        </w:tabs>
        <w:ind w:left="5760" w:hanging="360"/>
      </w:pPr>
      <w:rPr>
        <w:rFonts w:ascii="Arial" w:hAnsi="Arial" w:hint="default"/>
      </w:rPr>
    </w:lvl>
    <w:lvl w:ilvl="8" w:tplc="0664949C"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6A685F5F"/>
    <w:multiLevelType w:val="hybridMultilevel"/>
    <w:tmpl w:val="35625ACA"/>
    <w:lvl w:ilvl="0" w:tplc="85C8C602">
      <w:start w:val="1"/>
      <w:numFmt w:val="bullet"/>
      <w:lvlText w:val="•"/>
      <w:lvlJc w:val="left"/>
      <w:pPr>
        <w:tabs>
          <w:tab w:val="num" w:pos="720"/>
        </w:tabs>
        <w:ind w:left="720" w:hanging="360"/>
      </w:pPr>
      <w:rPr>
        <w:rFonts w:ascii="Arial" w:hAnsi="Arial" w:hint="default"/>
      </w:rPr>
    </w:lvl>
    <w:lvl w:ilvl="1" w:tplc="BA5A9608" w:tentative="1">
      <w:start w:val="1"/>
      <w:numFmt w:val="bullet"/>
      <w:lvlText w:val="•"/>
      <w:lvlJc w:val="left"/>
      <w:pPr>
        <w:tabs>
          <w:tab w:val="num" w:pos="1440"/>
        </w:tabs>
        <w:ind w:left="1440" w:hanging="360"/>
      </w:pPr>
      <w:rPr>
        <w:rFonts w:ascii="Arial" w:hAnsi="Arial" w:hint="default"/>
      </w:rPr>
    </w:lvl>
    <w:lvl w:ilvl="2" w:tplc="4C28F23E" w:tentative="1">
      <w:start w:val="1"/>
      <w:numFmt w:val="bullet"/>
      <w:lvlText w:val="•"/>
      <w:lvlJc w:val="left"/>
      <w:pPr>
        <w:tabs>
          <w:tab w:val="num" w:pos="2160"/>
        </w:tabs>
        <w:ind w:left="2160" w:hanging="360"/>
      </w:pPr>
      <w:rPr>
        <w:rFonts w:ascii="Arial" w:hAnsi="Arial" w:hint="default"/>
      </w:rPr>
    </w:lvl>
    <w:lvl w:ilvl="3" w:tplc="B8E6EEC2" w:tentative="1">
      <w:start w:val="1"/>
      <w:numFmt w:val="bullet"/>
      <w:lvlText w:val="•"/>
      <w:lvlJc w:val="left"/>
      <w:pPr>
        <w:tabs>
          <w:tab w:val="num" w:pos="2880"/>
        </w:tabs>
        <w:ind w:left="2880" w:hanging="360"/>
      </w:pPr>
      <w:rPr>
        <w:rFonts w:ascii="Arial" w:hAnsi="Arial" w:hint="default"/>
      </w:rPr>
    </w:lvl>
    <w:lvl w:ilvl="4" w:tplc="4E86F212" w:tentative="1">
      <w:start w:val="1"/>
      <w:numFmt w:val="bullet"/>
      <w:lvlText w:val="•"/>
      <w:lvlJc w:val="left"/>
      <w:pPr>
        <w:tabs>
          <w:tab w:val="num" w:pos="3600"/>
        </w:tabs>
        <w:ind w:left="3600" w:hanging="360"/>
      </w:pPr>
      <w:rPr>
        <w:rFonts w:ascii="Arial" w:hAnsi="Arial" w:hint="default"/>
      </w:rPr>
    </w:lvl>
    <w:lvl w:ilvl="5" w:tplc="41920B4C" w:tentative="1">
      <w:start w:val="1"/>
      <w:numFmt w:val="bullet"/>
      <w:lvlText w:val="•"/>
      <w:lvlJc w:val="left"/>
      <w:pPr>
        <w:tabs>
          <w:tab w:val="num" w:pos="4320"/>
        </w:tabs>
        <w:ind w:left="4320" w:hanging="360"/>
      </w:pPr>
      <w:rPr>
        <w:rFonts w:ascii="Arial" w:hAnsi="Arial" w:hint="default"/>
      </w:rPr>
    </w:lvl>
    <w:lvl w:ilvl="6" w:tplc="DB782CA8" w:tentative="1">
      <w:start w:val="1"/>
      <w:numFmt w:val="bullet"/>
      <w:lvlText w:val="•"/>
      <w:lvlJc w:val="left"/>
      <w:pPr>
        <w:tabs>
          <w:tab w:val="num" w:pos="5040"/>
        </w:tabs>
        <w:ind w:left="5040" w:hanging="360"/>
      </w:pPr>
      <w:rPr>
        <w:rFonts w:ascii="Arial" w:hAnsi="Arial" w:hint="default"/>
      </w:rPr>
    </w:lvl>
    <w:lvl w:ilvl="7" w:tplc="933CF404" w:tentative="1">
      <w:start w:val="1"/>
      <w:numFmt w:val="bullet"/>
      <w:lvlText w:val="•"/>
      <w:lvlJc w:val="left"/>
      <w:pPr>
        <w:tabs>
          <w:tab w:val="num" w:pos="5760"/>
        </w:tabs>
        <w:ind w:left="5760" w:hanging="360"/>
      </w:pPr>
      <w:rPr>
        <w:rFonts w:ascii="Arial" w:hAnsi="Arial" w:hint="default"/>
      </w:rPr>
    </w:lvl>
    <w:lvl w:ilvl="8" w:tplc="F59AC860"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745F2455"/>
    <w:multiLevelType w:val="hybridMultilevel"/>
    <w:tmpl w:val="2F509250"/>
    <w:lvl w:ilvl="0" w:tplc="E8AA7F5C">
      <w:start w:val="1"/>
      <w:numFmt w:val="bullet"/>
      <w:lvlText w:val="•"/>
      <w:lvlJc w:val="left"/>
      <w:pPr>
        <w:tabs>
          <w:tab w:val="num" w:pos="720"/>
        </w:tabs>
        <w:ind w:left="720" w:hanging="360"/>
      </w:pPr>
      <w:rPr>
        <w:rFonts w:ascii="Arial" w:hAnsi="Arial" w:hint="default"/>
      </w:rPr>
    </w:lvl>
    <w:lvl w:ilvl="1" w:tplc="7B9C84C2">
      <w:start w:val="1"/>
      <w:numFmt w:val="bullet"/>
      <w:lvlText w:val="•"/>
      <w:lvlJc w:val="left"/>
      <w:pPr>
        <w:tabs>
          <w:tab w:val="num" w:pos="1440"/>
        </w:tabs>
        <w:ind w:left="1440" w:hanging="360"/>
      </w:pPr>
      <w:rPr>
        <w:rFonts w:ascii="Arial" w:hAnsi="Arial" w:hint="default"/>
      </w:rPr>
    </w:lvl>
    <w:lvl w:ilvl="2" w:tplc="70143A24" w:tentative="1">
      <w:start w:val="1"/>
      <w:numFmt w:val="bullet"/>
      <w:lvlText w:val="•"/>
      <w:lvlJc w:val="left"/>
      <w:pPr>
        <w:tabs>
          <w:tab w:val="num" w:pos="2160"/>
        </w:tabs>
        <w:ind w:left="2160" w:hanging="360"/>
      </w:pPr>
      <w:rPr>
        <w:rFonts w:ascii="Arial" w:hAnsi="Arial" w:hint="default"/>
      </w:rPr>
    </w:lvl>
    <w:lvl w:ilvl="3" w:tplc="E2789978" w:tentative="1">
      <w:start w:val="1"/>
      <w:numFmt w:val="bullet"/>
      <w:lvlText w:val="•"/>
      <w:lvlJc w:val="left"/>
      <w:pPr>
        <w:tabs>
          <w:tab w:val="num" w:pos="2880"/>
        </w:tabs>
        <w:ind w:left="2880" w:hanging="360"/>
      </w:pPr>
      <w:rPr>
        <w:rFonts w:ascii="Arial" w:hAnsi="Arial" w:hint="default"/>
      </w:rPr>
    </w:lvl>
    <w:lvl w:ilvl="4" w:tplc="2E32C0B2" w:tentative="1">
      <w:start w:val="1"/>
      <w:numFmt w:val="bullet"/>
      <w:lvlText w:val="•"/>
      <w:lvlJc w:val="left"/>
      <w:pPr>
        <w:tabs>
          <w:tab w:val="num" w:pos="3600"/>
        </w:tabs>
        <w:ind w:left="3600" w:hanging="360"/>
      </w:pPr>
      <w:rPr>
        <w:rFonts w:ascii="Arial" w:hAnsi="Arial" w:hint="default"/>
      </w:rPr>
    </w:lvl>
    <w:lvl w:ilvl="5" w:tplc="23D87D46" w:tentative="1">
      <w:start w:val="1"/>
      <w:numFmt w:val="bullet"/>
      <w:lvlText w:val="•"/>
      <w:lvlJc w:val="left"/>
      <w:pPr>
        <w:tabs>
          <w:tab w:val="num" w:pos="4320"/>
        </w:tabs>
        <w:ind w:left="4320" w:hanging="360"/>
      </w:pPr>
      <w:rPr>
        <w:rFonts w:ascii="Arial" w:hAnsi="Arial" w:hint="default"/>
      </w:rPr>
    </w:lvl>
    <w:lvl w:ilvl="6" w:tplc="841A52BA" w:tentative="1">
      <w:start w:val="1"/>
      <w:numFmt w:val="bullet"/>
      <w:lvlText w:val="•"/>
      <w:lvlJc w:val="left"/>
      <w:pPr>
        <w:tabs>
          <w:tab w:val="num" w:pos="5040"/>
        </w:tabs>
        <w:ind w:left="5040" w:hanging="360"/>
      </w:pPr>
      <w:rPr>
        <w:rFonts w:ascii="Arial" w:hAnsi="Arial" w:hint="default"/>
      </w:rPr>
    </w:lvl>
    <w:lvl w:ilvl="7" w:tplc="32A68FFE" w:tentative="1">
      <w:start w:val="1"/>
      <w:numFmt w:val="bullet"/>
      <w:lvlText w:val="•"/>
      <w:lvlJc w:val="left"/>
      <w:pPr>
        <w:tabs>
          <w:tab w:val="num" w:pos="5760"/>
        </w:tabs>
        <w:ind w:left="5760" w:hanging="360"/>
      </w:pPr>
      <w:rPr>
        <w:rFonts w:ascii="Arial" w:hAnsi="Arial" w:hint="default"/>
      </w:rPr>
    </w:lvl>
    <w:lvl w:ilvl="8" w:tplc="9B467B10"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758B3977"/>
    <w:multiLevelType w:val="hybridMultilevel"/>
    <w:tmpl w:val="93F21EFC"/>
    <w:lvl w:ilvl="0" w:tplc="01C65BD2">
      <w:start w:val="1"/>
      <w:numFmt w:val="bullet"/>
      <w:lvlText w:val="•"/>
      <w:lvlJc w:val="left"/>
      <w:pPr>
        <w:tabs>
          <w:tab w:val="num" w:pos="720"/>
        </w:tabs>
        <w:ind w:left="720" w:hanging="360"/>
      </w:pPr>
      <w:rPr>
        <w:rFonts w:ascii="Arial" w:hAnsi="Arial" w:hint="default"/>
      </w:rPr>
    </w:lvl>
    <w:lvl w:ilvl="1" w:tplc="0F4C27C2" w:tentative="1">
      <w:start w:val="1"/>
      <w:numFmt w:val="bullet"/>
      <w:lvlText w:val="•"/>
      <w:lvlJc w:val="left"/>
      <w:pPr>
        <w:tabs>
          <w:tab w:val="num" w:pos="1440"/>
        </w:tabs>
        <w:ind w:left="1440" w:hanging="360"/>
      </w:pPr>
      <w:rPr>
        <w:rFonts w:ascii="Arial" w:hAnsi="Arial" w:hint="default"/>
      </w:rPr>
    </w:lvl>
    <w:lvl w:ilvl="2" w:tplc="AA62EE68" w:tentative="1">
      <w:start w:val="1"/>
      <w:numFmt w:val="bullet"/>
      <w:lvlText w:val="•"/>
      <w:lvlJc w:val="left"/>
      <w:pPr>
        <w:tabs>
          <w:tab w:val="num" w:pos="2160"/>
        </w:tabs>
        <w:ind w:left="2160" w:hanging="360"/>
      </w:pPr>
      <w:rPr>
        <w:rFonts w:ascii="Arial" w:hAnsi="Arial" w:hint="default"/>
      </w:rPr>
    </w:lvl>
    <w:lvl w:ilvl="3" w:tplc="8CE231D4" w:tentative="1">
      <w:start w:val="1"/>
      <w:numFmt w:val="bullet"/>
      <w:lvlText w:val="•"/>
      <w:lvlJc w:val="left"/>
      <w:pPr>
        <w:tabs>
          <w:tab w:val="num" w:pos="2880"/>
        </w:tabs>
        <w:ind w:left="2880" w:hanging="360"/>
      </w:pPr>
      <w:rPr>
        <w:rFonts w:ascii="Arial" w:hAnsi="Arial" w:hint="default"/>
      </w:rPr>
    </w:lvl>
    <w:lvl w:ilvl="4" w:tplc="D800191C" w:tentative="1">
      <w:start w:val="1"/>
      <w:numFmt w:val="bullet"/>
      <w:lvlText w:val="•"/>
      <w:lvlJc w:val="left"/>
      <w:pPr>
        <w:tabs>
          <w:tab w:val="num" w:pos="3600"/>
        </w:tabs>
        <w:ind w:left="3600" w:hanging="360"/>
      </w:pPr>
      <w:rPr>
        <w:rFonts w:ascii="Arial" w:hAnsi="Arial" w:hint="default"/>
      </w:rPr>
    </w:lvl>
    <w:lvl w:ilvl="5" w:tplc="9A96022C" w:tentative="1">
      <w:start w:val="1"/>
      <w:numFmt w:val="bullet"/>
      <w:lvlText w:val="•"/>
      <w:lvlJc w:val="left"/>
      <w:pPr>
        <w:tabs>
          <w:tab w:val="num" w:pos="4320"/>
        </w:tabs>
        <w:ind w:left="4320" w:hanging="360"/>
      </w:pPr>
      <w:rPr>
        <w:rFonts w:ascii="Arial" w:hAnsi="Arial" w:hint="default"/>
      </w:rPr>
    </w:lvl>
    <w:lvl w:ilvl="6" w:tplc="9D703C04" w:tentative="1">
      <w:start w:val="1"/>
      <w:numFmt w:val="bullet"/>
      <w:lvlText w:val="•"/>
      <w:lvlJc w:val="left"/>
      <w:pPr>
        <w:tabs>
          <w:tab w:val="num" w:pos="5040"/>
        </w:tabs>
        <w:ind w:left="5040" w:hanging="360"/>
      </w:pPr>
      <w:rPr>
        <w:rFonts w:ascii="Arial" w:hAnsi="Arial" w:hint="default"/>
      </w:rPr>
    </w:lvl>
    <w:lvl w:ilvl="7" w:tplc="D85E1B64" w:tentative="1">
      <w:start w:val="1"/>
      <w:numFmt w:val="bullet"/>
      <w:lvlText w:val="•"/>
      <w:lvlJc w:val="left"/>
      <w:pPr>
        <w:tabs>
          <w:tab w:val="num" w:pos="5760"/>
        </w:tabs>
        <w:ind w:left="5760" w:hanging="360"/>
      </w:pPr>
      <w:rPr>
        <w:rFonts w:ascii="Arial" w:hAnsi="Arial" w:hint="default"/>
      </w:rPr>
    </w:lvl>
    <w:lvl w:ilvl="8" w:tplc="31C26426"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76130A55"/>
    <w:multiLevelType w:val="hybridMultilevel"/>
    <w:tmpl w:val="239ECA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78BA3F97"/>
    <w:multiLevelType w:val="hybridMultilevel"/>
    <w:tmpl w:val="9F24C8E0"/>
    <w:lvl w:ilvl="0" w:tplc="D05C0D5C">
      <w:start w:val="1"/>
      <w:numFmt w:val="bullet"/>
      <w:lvlText w:val="•"/>
      <w:lvlJc w:val="left"/>
      <w:pPr>
        <w:tabs>
          <w:tab w:val="num" w:pos="720"/>
        </w:tabs>
        <w:ind w:left="720" w:hanging="360"/>
      </w:pPr>
      <w:rPr>
        <w:rFonts w:ascii="Arial" w:hAnsi="Arial" w:hint="default"/>
      </w:rPr>
    </w:lvl>
    <w:lvl w:ilvl="1" w:tplc="027EE28A" w:tentative="1">
      <w:start w:val="1"/>
      <w:numFmt w:val="bullet"/>
      <w:lvlText w:val="•"/>
      <w:lvlJc w:val="left"/>
      <w:pPr>
        <w:tabs>
          <w:tab w:val="num" w:pos="1440"/>
        </w:tabs>
        <w:ind w:left="1440" w:hanging="360"/>
      </w:pPr>
      <w:rPr>
        <w:rFonts w:ascii="Arial" w:hAnsi="Arial" w:hint="default"/>
      </w:rPr>
    </w:lvl>
    <w:lvl w:ilvl="2" w:tplc="72663BC0" w:tentative="1">
      <w:start w:val="1"/>
      <w:numFmt w:val="bullet"/>
      <w:lvlText w:val="•"/>
      <w:lvlJc w:val="left"/>
      <w:pPr>
        <w:tabs>
          <w:tab w:val="num" w:pos="2160"/>
        </w:tabs>
        <w:ind w:left="2160" w:hanging="360"/>
      </w:pPr>
      <w:rPr>
        <w:rFonts w:ascii="Arial" w:hAnsi="Arial" w:hint="default"/>
      </w:rPr>
    </w:lvl>
    <w:lvl w:ilvl="3" w:tplc="A288C8CA" w:tentative="1">
      <w:start w:val="1"/>
      <w:numFmt w:val="bullet"/>
      <w:lvlText w:val="•"/>
      <w:lvlJc w:val="left"/>
      <w:pPr>
        <w:tabs>
          <w:tab w:val="num" w:pos="2880"/>
        </w:tabs>
        <w:ind w:left="2880" w:hanging="360"/>
      </w:pPr>
      <w:rPr>
        <w:rFonts w:ascii="Arial" w:hAnsi="Arial" w:hint="default"/>
      </w:rPr>
    </w:lvl>
    <w:lvl w:ilvl="4" w:tplc="7850FBDE" w:tentative="1">
      <w:start w:val="1"/>
      <w:numFmt w:val="bullet"/>
      <w:lvlText w:val="•"/>
      <w:lvlJc w:val="left"/>
      <w:pPr>
        <w:tabs>
          <w:tab w:val="num" w:pos="3600"/>
        </w:tabs>
        <w:ind w:left="3600" w:hanging="360"/>
      </w:pPr>
      <w:rPr>
        <w:rFonts w:ascii="Arial" w:hAnsi="Arial" w:hint="default"/>
      </w:rPr>
    </w:lvl>
    <w:lvl w:ilvl="5" w:tplc="F926CDD2" w:tentative="1">
      <w:start w:val="1"/>
      <w:numFmt w:val="bullet"/>
      <w:lvlText w:val="•"/>
      <w:lvlJc w:val="left"/>
      <w:pPr>
        <w:tabs>
          <w:tab w:val="num" w:pos="4320"/>
        </w:tabs>
        <w:ind w:left="4320" w:hanging="360"/>
      </w:pPr>
      <w:rPr>
        <w:rFonts w:ascii="Arial" w:hAnsi="Arial" w:hint="default"/>
      </w:rPr>
    </w:lvl>
    <w:lvl w:ilvl="6" w:tplc="6D0AAD8E" w:tentative="1">
      <w:start w:val="1"/>
      <w:numFmt w:val="bullet"/>
      <w:lvlText w:val="•"/>
      <w:lvlJc w:val="left"/>
      <w:pPr>
        <w:tabs>
          <w:tab w:val="num" w:pos="5040"/>
        </w:tabs>
        <w:ind w:left="5040" w:hanging="360"/>
      </w:pPr>
      <w:rPr>
        <w:rFonts w:ascii="Arial" w:hAnsi="Arial" w:hint="default"/>
      </w:rPr>
    </w:lvl>
    <w:lvl w:ilvl="7" w:tplc="8ECEFD0A" w:tentative="1">
      <w:start w:val="1"/>
      <w:numFmt w:val="bullet"/>
      <w:lvlText w:val="•"/>
      <w:lvlJc w:val="left"/>
      <w:pPr>
        <w:tabs>
          <w:tab w:val="num" w:pos="5760"/>
        </w:tabs>
        <w:ind w:left="5760" w:hanging="360"/>
      </w:pPr>
      <w:rPr>
        <w:rFonts w:ascii="Arial" w:hAnsi="Arial" w:hint="default"/>
      </w:rPr>
    </w:lvl>
    <w:lvl w:ilvl="8" w:tplc="FA22B5D0"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795B7728"/>
    <w:multiLevelType w:val="hybridMultilevel"/>
    <w:tmpl w:val="1ACEBE0A"/>
    <w:lvl w:ilvl="0" w:tplc="0BF407F8">
      <w:start w:val="1"/>
      <w:numFmt w:val="bullet"/>
      <w:lvlText w:val="•"/>
      <w:lvlJc w:val="left"/>
      <w:pPr>
        <w:tabs>
          <w:tab w:val="num" w:pos="720"/>
        </w:tabs>
        <w:ind w:left="720" w:hanging="360"/>
      </w:pPr>
      <w:rPr>
        <w:rFonts w:ascii="Arial" w:hAnsi="Arial" w:hint="default"/>
      </w:rPr>
    </w:lvl>
    <w:lvl w:ilvl="1" w:tplc="230E2092" w:tentative="1">
      <w:start w:val="1"/>
      <w:numFmt w:val="bullet"/>
      <w:lvlText w:val="•"/>
      <w:lvlJc w:val="left"/>
      <w:pPr>
        <w:tabs>
          <w:tab w:val="num" w:pos="1440"/>
        </w:tabs>
        <w:ind w:left="1440" w:hanging="360"/>
      </w:pPr>
      <w:rPr>
        <w:rFonts w:ascii="Arial" w:hAnsi="Arial" w:hint="default"/>
      </w:rPr>
    </w:lvl>
    <w:lvl w:ilvl="2" w:tplc="05FE231A" w:tentative="1">
      <w:start w:val="1"/>
      <w:numFmt w:val="bullet"/>
      <w:lvlText w:val="•"/>
      <w:lvlJc w:val="left"/>
      <w:pPr>
        <w:tabs>
          <w:tab w:val="num" w:pos="2160"/>
        </w:tabs>
        <w:ind w:left="2160" w:hanging="360"/>
      </w:pPr>
      <w:rPr>
        <w:rFonts w:ascii="Arial" w:hAnsi="Arial" w:hint="default"/>
      </w:rPr>
    </w:lvl>
    <w:lvl w:ilvl="3" w:tplc="F926E51A" w:tentative="1">
      <w:start w:val="1"/>
      <w:numFmt w:val="bullet"/>
      <w:lvlText w:val="•"/>
      <w:lvlJc w:val="left"/>
      <w:pPr>
        <w:tabs>
          <w:tab w:val="num" w:pos="2880"/>
        </w:tabs>
        <w:ind w:left="2880" w:hanging="360"/>
      </w:pPr>
      <w:rPr>
        <w:rFonts w:ascii="Arial" w:hAnsi="Arial" w:hint="default"/>
      </w:rPr>
    </w:lvl>
    <w:lvl w:ilvl="4" w:tplc="DC147FF8" w:tentative="1">
      <w:start w:val="1"/>
      <w:numFmt w:val="bullet"/>
      <w:lvlText w:val="•"/>
      <w:lvlJc w:val="left"/>
      <w:pPr>
        <w:tabs>
          <w:tab w:val="num" w:pos="3600"/>
        </w:tabs>
        <w:ind w:left="3600" w:hanging="360"/>
      </w:pPr>
      <w:rPr>
        <w:rFonts w:ascii="Arial" w:hAnsi="Arial" w:hint="default"/>
      </w:rPr>
    </w:lvl>
    <w:lvl w:ilvl="5" w:tplc="F63034B2" w:tentative="1">
      <w:start w:val="1"/>
      <w:numFmt w:val="bullet"/>
      <w:lvlText w:val="•"/>
      <w:lvlJc w:val="left"/>
      <w:pPr>
        <w:tabs>
          <w:tab w:val="num" w:pos="4320"/>
        </w:tabs>
        <w:ind w:left="4320" w:hanging="360"/>
      </w:pPr>
      <w:rPr>
        <w:rFonts w:ascii="Arial" w:hAnsi="Arial" w:hint="default"/>
      </w:rPr>
    </w:lvl>
    <w:lvl w:ilvl="6" w:tplc="21D8C96E" w:tentative="1">
      <w:start w:val="1"/>
      <w:numFmt w:val="bullet"/>
      <w:lvlText w:val="•"/>
      <w:lvlJc w:val="left"/>
      <w:pPr>
        <w:tabs>
          <w:tab w:val="num" w:pos="5040"/>
        </w:tabs>
        <w:ind w:left="5040" w:hanging="360"/>
      </w:pPr>
      <w:rPr>
        <w:rFonts w:ascii="Arial" w:hAnsi="Arial" w:hint="default"/>
      </w:rPr>
    </w:lvl>
    <w:lvl w:ilvl="7" w:tplc="13563D60" w:tentative="1">
      <w:start w:val="1"/>
      <w:numFmt w:val="bullet"/>
      <w:lvlText w:val="•"/>
      <w:lvlJc w:val="left"/>
      <w:pPr>
        <w:tabs>
          <w:tab w:val="num" w:pos="5760"/>
        </w:tabs>
        <w:ind w:left="5760" w:hanging="360"/>
      </w:pPr>
      <w:rPr>
        <w:rFonts w:ascii="Arial" w:hAnsi="Arial" w:hint="default"/>
      </w:rPr>
    </w:lvl>
    <w:lvl w:ilvl="8" w:tplc="FC365C50"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7F5A7153"/>
    <w:multiLevelType w:val="hybridMultilevel"/>
    <w:tmpl w:val="91503C52"/>
    <w:lvl w:ilvl="0" w:tplc="88CEE878">
      <w:start w:val="1"/>
      <w:numFmt w:val="bullet"/>
      <w:lvlText w:val="•"/>
      <w:lvlJc w:val="left"/>
      <w:pPr>
        <w:tabs>
          <w:tab w:val="num" w:pos="720"/>
        </w:tabs>
        <w:ind w:left="720" w:hanging="360"/>
      </w:pPr>
      <w:rPr>
        <w:rFonts w:ascii="Arial" w:hAnsi="Arial" w:hint="default"/>
      </w:rPr>
    </w:lvl>
    <w:lvl w:ilvl="1" w:tplc="D84EDBDC" w:tentative="1">
      <w:start w:val="1"/>
      <w:numFmt w:val="bullet"/>
      <w:lvlText w:val="•"/>
      <w:lvlJc w:val="left"/>
      <w:pPr>
        <w:tabs>
          <w:tab w:val="num" w:pos="1440"/>
        </w:tabs>
        <w:ind w:left="1440" w:hanging="360"/>
      </w:pPr>
      <w:rPr>
        <w:rFonts w:ascii="Arial" w:hAnsi="Arial" w:hint="default"/>
      </w:rPr>
    </w:lvl>
    <w:lvl w:ilvl="2" w:tplc="25989ECC" w:tentative="1">
      <w:start w:val="1"/>
      <w:numFmt w:val="bullet"/>
      <w:lvlText w:val="•"/>
      <w:lvlJc w:val="left"/>
      <w:pPr>
        <w:tabs>
          <w:tab w:val="num" w:pos="2160"/>
        </w:tabs>
        <w:ind w:left="2160" w:hanging="360"/>
      </w:pPr>
      <w:rPr>
        <w:rFonts w:ascii="Arial" w:hAnsi="Arial" w:hint="default"/>
      </w:rPr>
    </w:lvl>
    <w:lvl w:ilvl="3" w:tplc="80B2D27C" w:tentative="1">
      <w:start w:val="1"/>
      <w:numFmt w:val="bullet"/>
      <w:lvlText w:val="•"/>
      <w:lvlJc w:val="left"/>
      <w:pPr>
        <w:tabs>
          <w:tab w:val="num" w:pos="2880"/>
        </w:tabs>
        <w:ind w:left="2880" w:hanging="360"/>
      </w:pPr>
      <w:rPr>
        <w:rFonts w:ascii="Arial" w:hAnsi="Arial" w:hint="default"/>
      </w:rPr>
    </w:lvl>
    <w:lvl w:ilvl="4" w:tplc="6E9A95C6" w:tentative="1">
      <w:start w:val="1"/>
      <w:numFmt w:val="bullet"/>
      <w:lvlText w:val="•"/>
      <w:lvlJc w:val="left"/>
      <w:pPr>
        <w:tabs>
          <w:tab w:val="num" w:pos="3600"/>
        </w:tabs>
        <w:ind w:left="3600" w:hanging="360"/>
      </w:pPr>
      <w:rPr>
        <w:rFonts w:ascii="Arial" w:hAnsi="Arial" w:hint="default"/>
      </w:rPr>
    </w:lvl>
    <w:lvl w:ilvl="5" w:tplc="4912A29E" w:tentative="1">
      <w:start w:val="1"/>
      <w:numFmt w:val="bullet"/>
      <w:lvlText w:val="•"/>
      <w:lvlJc w:val="left"/>
      <w:pPr>
        <w:tabs>
          <w:tab w:val="num" w:pos="4320"/>
        </w:tabs>
        <w:ind w:left="4320" w:hanging="360"/>
      </w:pPr>
      <w:rPr>
        <w:rFonts w:ascii="Arial" w:hAnsi="Arial" w:hint="default"/>
      </w:rPr>
    </w:lvl>
    <w:lvl w:ilvl="6" w:tplc="306C12F8" w:tentative="1">
      <w:start w:val="1"/>
      <w:numFmt w:val="bullet"/>
      <w:lvlText w:val="•"/>
      <w:lvlJc w:val="left"/>
      <w:pPr>
        <w:tabs>
          <w:tab w:val="num" w:pos="5040"/>
        </w:tabs>
        <w:ind w:left="5040" w:hanging="360"/>
      </w:pPr>
      <w:rPr>
        <w:rFonts w:ascii="Arial" w:hAnsi="Arial" w:hint="default"/>
      </w:rPr>
    </w:lvl>
    <w:lvl w:ilvl="7" w:tplc="FA52BB38" w:tentative="1">
      <w:start w:val="1"/>
      <w:numFmt w:val="bullet"/>
      <w:lvlText w:val="•"/>
      <w:lvlJc w:val="left"/>
      <w:pPr>
        <w:tabs>
          <w:tab w:val="num" w:pos="5760"/>
        </w:tabs>
        <w:ind w:left="5760" w:hanging="360"/>
      </w:pPr>
      <w:rPr>
        <w:rFonts w:ascii="Arial" w:hAnsi="Arial" w:hint="default"/>
      </w:rPr>
    </w:lvl>
    <w:lvl w:ilvl="8" w:tplc="CF906A1C" w:tentative="1">
      <w:start w:val="1"/>
      <w:numFmt w:val="bullet"/>
      <w:lvlText w:val="•"/>
      <w:lvlJc w:val="left"/>
      <w:pPr>
        <w:tabs>
          <w:tab w:val="num" w:pos="6480"/>
        </w:tabs>
        <w:ind w:left="6480" w:hanging="360"/>
      </w:pPr>
      <w:rPr>
        <w:rFonts w:ascii="Arial" w:hAnsi="Arial" w:hint="default"/>
      </w:rPr>
    </w:lvl>
  </w:abstractNum>
  <w:num w:numId="1" w16cid:durableId="1931160689">
    <w:abstractNumId w:val="56"/>
  </w:num>
  <w:num w:numId="2" w16cid:durableId="941490918">
    <w:abstractNumId w:val="67"/>
  </w:num>
  <w:num w:numId="3" w16cid:durableId="1682514716">
    <w:abstractNumId w:val="43"/>
  </w:num>
  <w:num w:numId="4" w16cid:durableId="541870698">
    <w:abstractNumId w:val="5"/>
  </w:num>
  <w:num w:numId="5" w16cid:durableId="2112162294">
    <w:abstractNumId w:val="42"/>
  </w:num>
  <w:num w:numId="6" w16cid:durableId="397632537">
    <w:abstractNumId w:val="22"/>
  </w:num>
  <w:num w:numId="7" w16cid:durableId="1564755444">
    <w:abstractNumId w:val="36"/>
  </w:num>
  <w:num w:numId="8" w16cid:durableId="1446072246">
    <w:abstractNumId w:val="19"/>
  </w:num>
  <w:num w:numId="9" w16cid:durableId="854462649">
    <w:abstractNumId w:val="62"/>
  </w:num>
  <w:num w:numId="10" w16cid:durableId="1462073598">
    <w:abstractNumId w:val="59"/>
  </w:num>
  <w:num w:numId="11" w16cid:durableId="982320307">
    <w:abstractNumId w:val="28"/>
  </w:num>
  <w:num w:numId="12" w16cid:durableId="769354083">
    <w:abstractNumId w:val="13"/>
  </w:num>
  <w:num w:numId="13" w16cid:durableId="1195735083">
    <w:abstractNumId w:val="68"/>
  </w:num>
  <w:num w:numId="14" w16cid:durableId="1586259078">
    <w:abstractNumId w:val="14"/>
  </w:num>
  <w:num w:numId="15" w16cid:durableId="1068117121">
    <w:abstractNumId w:val="30"/>
  </w:num>
  <w:num w:numId="16" w16cid:durableId="28651447">
    <w:abstractNumId w:val="64"/>
  </w:num>
  <w:num w:numId="17" w16cid:durableId="1280144115">
    <w:abstractNumId w:val="58"/>
  </w:num>
  <w:num w:numId="18" w16cid:durableId="1550653346">
    <w:abstractNumId w:val="65"/>
  </w:num>
  <w:num w:numId="19" w16cid:durableId="26874023">
    <w:abstractNumId w:val="48"/>
  </w:num>
  <w:num w:numId="20" w16cid:durableId="1003626045">
    <w:abstractNumId w:val="2"/>
  </w:num>
  <w:num w:numId="21" w16cid:durableId="375274599">
    <w:abstractNumId w:val="9"/>
  </w:num>
  <w:num w:numId="22" w16cid:durableId="1520200005">
    <w:abstractNumId w:val="15"/>
  </w:num>
  <w:num w:numId="23" w16cid:durableId="384062342">
    <w:abstractNumId w:val="4"/>
  </w:num>
  <w:num w:numId="24" w16cid:durableId="1725635039">
    <w:abstractNumId w:val="29"/>
  </w:num>
  <w:num w:numId="25" w16cid:durableId="1004167067">
    <w:abstractNumId w:val="32"/>
  </w:num>
  <w:num w:numId="26" w16cid:durableId="1992560651">
    <w:abstractNumId w:val="16"/>
  </w:num>
  <w:num w:numId="27" w16cid:durableId="1298217245">
    <w:abstractNumId w:val="24"/>
  </w:num>
  <w:num w:numId="28" w16cid:durableId="1718814735">
    <w:abstractNumId w:val="25"/>
  </w:num>
  <w:num w:numId="29" w16cid:durableId="938875345">
    <w:abstractNumId w:val="11"/>
  </w:num>
  <w:num w:numId="30" w16cid:durableId="2079202770">
    <w:abstractNumId w:val="23"/>
  </w:num>
  <w:num w:numId="31" w16cid:durableId="1959485856">
    <w:abstractNumId w:val="0"/>
  </w:num>
  <w:num w:numId="32" w16cid:durableId="369455188">
    <w:abstractNumId w:val="50"/>
  </w:num>
  <w:num w:numId="33" w16cid:durableId="890842098">
    <w:abstractNumId w:val="47"/>
  </w:num>
  <w:num w:numId="34" w16cid:durableId="1186359191">
    <w:abstractNumId w:val="63"/>
  </w:num>
  <w:num w:numId="35" w16cid:durableId="456729276">
    <w:abstractNumId w:val="1"/>
  </w:num>
  <w:num w:numId="36" w16cid:durableId="827481051">
    <w:abstractNumId w:val="70"/>
  </w:num>
  <w:num w:numId="37" w16cid:durableId="781535294">
    <w:abstractNumId w:val="46"/>
  </w:num>
  <w:num w:numId="38" w16cid:durableId="1493253413">
    <w:abstractNumId w:val="21"/>
  </w:num>
  <w:num w:numId="39" w16cid:durableId="1922173400">
    <w:abstractNumId w:val="53"/>
  </w:num>
  <w:num w:numId="40" w16cid:durableId="69692590">
    <w:abstractNumId w:val="27"/>
  </w:num>
  <w:num w:numId="41" w16cid:durableId="1853106767">
    <w:abstractNumId w:val="20"/>
  </w:num>
  <w:num w:numId="42" w16cid:durableId="1251425388">
    <w:abstractNumId w:val="44"/>
  </w:num>
  <w:num w:numId="43" w16cid:durableId="1880164267">
    <w:abstractNumId w:val="18"/>
  </w:num>
  <w:num w:numId="44" w16cid:durableId="2083525392">
    <w:abstractNumId w:val="10"/>
  </w:num>
  <w:num w:numId="45" w16cid:durableId="1431898221">
    <w:abstractNumId w:val="8"/>
  </w:num>
  <w:num w:numId="46" w16cid:durableId="802045085">
    <w:abstractNumId w:val="51"/>
  </w:num>
  <w:num w:numId="47" w16cid:durableId="1778329443">
    <w:abstractNumId w:val="35"/>
  </w:num>
  <w:num w:numId="48" w16cid:durableId="1466392093">
    <w:abstractNumId w:val="61"/>
  </w:num>
  <w:num w:numId="49" w16cid:durableId="992872994">
    <w:abstractNumId w:val="26"/>
  </w:num>
  <w:num w:numId="50" w16cid:durableId="1618216385">
    <w:abstractNumId w:val="49"/>
  </w:num>
  <w:num w:numId="51" w16cid:durableId="628979009">
    <w:abstractNumId w:val="6"/>
  </w:num>
  <w:num w:numId="52" w16cid:durableId="65416887">
    <w:abstractNumId w:val="40"/>
  </w:num>
  <w:num w:numId="53" w16cid:durableId="1430421391">
    <w:abstractNumId w:val="66"/>
  </w:num>
  <w:num w:numId="54" w16cid:durableId="1108768663">
    <w:abstractNumId w:val="17"/>
  </w:num>
  <w:num w:numId="55" w16cid:durableId="688992746">
    <w:abstractNumId w:val="33"/>
  </w:num>
  <w:num w:numId="56" w16cid:durableId="1810976949">
    <w:abstractNumId w:val="60"/>
  </w:num>
  <w:num w:numId="57" w16cid:durableId="1047755725">
    <w:abstractNumId w:val="3"/>
  </w:num>
  <w:num w:numId="58" w16cid:durableId="176431108">
    <w:abstractNumId w:val="69"/>
  </w:num>
  <w:num w:numId="59" w16cid:durableId="568344029">
    <w:abstractNumId w:val="12"/>
  </w:num>
  <w:num w:numId="60" w16cid:durableId="2122214295">
    <w:abstractNumId w:val="45"/>
  </w:num>
  <w:num w:numId="61" w16cid:durableId="1345472431">
    <w:abstractNumId w:val="52"/>
  </w:num>
  <w:num w:numId="62" w16cid:durableId="531915505">
    <w:abstractNumId w:val="72"/>
  </w:num>
  <w:num w:numId="63" w16cid:durableId="2046831136">
    <w:abstractNumId w:val="71"/>
  </w:num>
  <w:num w:numId="64" w16cid:durableId="1890535689">
    <w:abstractNumId w:val="31"/>
  </w:num>
  <w:num w:numId="65" w16cid:durableId="272906574">
    <w:abstractNumId w:val="34"/>
  </w:num>
  <w:num w:numId="66" w16cid:durableId="704477140">
    <w:abstractNumId w:val="38"/>
  </w:num>
  <w:num w:numId="67" w16cid:durableId="438722342">
    <w:abstractNumId w:val="57"/>
  </w:num>
  <w:num w:numId="68" w16cid:durableId="1972394938">
    <w:abstractNumId w:val="37"/>
  </w:num>
  <w:num w:numId="69" w16cid:durableId="1224561647">
    <w:abstractNumId w:val="39"/>
  </w:num>
  <w:num w:numId="70" w16cid:durableId="20666160">
    <w:abstractNumId w:val="55"/>
  </w:num>
  <w:num w:numId="71" w16cid:durableId="1303314699">
    <w:abstractNumId w:val="54"/>
  </w:num>
  <w:num w:numId="72" w16cid:durableId="1871869597">
    <w:abstractNumId w:val="7"/>
  </w:num>
  <w:num w:numId="73" w16cid:durableId="80389058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832"/>
    <w:rsid w:val="000110F1"/>
    <w:rsid w:val="000119A9"/>
    <w:rsid w:val="00012A57"/>
    <w:rsid w:val="000135FD"/>
    <w:rsid w:val="00013D94"/>
    <w:rsid w:val="00015BB2"/>
    <w:rsid w:val="00016F1B"/>
    <w:rsid w:val="000172D7"/>
    <w:rsid w:val="0002127F"/>
    <w:rsid w:val="00022326"/>
    <w:rsid w:val="000243D0"/>
    <w:rsid w:val="00025CE5"/>
    <w:rsid w:val="00030CFD"/>
    <w:rsid w:val="00037B97"/>
    <w:rsid w:val="00037C6E"/>
    <w:rsid w:val="00040C76"/>
    <w:rsid w:val="00044A5B"/>
    <w:rsid w:val="00047472"/>
    <w:rsid w:val="00050018"/>
    <w:rsid w:val="00054385"/>
    <w:rsid w:val="00061B2F"/>
    <w:rsid w:val="000654AF"/>
    <w:rsid w:val="000663C3"/>
    <w:rsid w:val="00073929"/>
    <w:rsid w:val="00081728"/>
    <w:rsid w:val="00082096"/>
    <w:rsid w:val="000827B3"/>
    <w:rsid w:val="0008625A"/>
    <w:rsid w:val="000865B1"/>
    <w:rsid w:val="000869A0"/>
    <w:rsid w:val="00090D2A"/>
    <w:rsid w:val="00090D95"/>
    <w:rsid w:val="000A0EC9"/>
    <w:rsid w:val="000B3148"/>
    <w:rsid w:val="000B3DE1"/>
    <w:rsid w:val="000B6D7E"/>
    <w:rsid w:val="000B7B02"/>
    <w:rsid w:val="000C083E"/>
    <w:rsid w:val="000C0883"/>
    <w:rsid w:val="000C0ABF"/>
    <w:rsid w:val="000C301D"/>
    <w:rsid w:val="000C4687"/>
    <w:rsid w:val="000D0CCE"/>
    <w:rsid w:val="000D1B3A"/>
    <w:rsid w:val="000D7333"/>
    <w:rsid w:val="000D75B1"/>
    <w:rsid w:val="000E5152"/>
    <w:rsid w:val="000E649A"/>
    <w:rsid w:val="000F4867"/>
    <w:rsid w:val="001013DD"/>
    <w:rsid w:val="00103AFD"/>
    <w:rsid w:val="0011089B"/>
    <w:rsid w:val="00110E6B"/>
    <w:rsid w:val="00117BFC"/>
    <w:rsid w:val="00117EF4"/>
    <w:rsid w:val="001201CE"/>
    <w:rsid w:val="00121726"/>
    <w:rsid w:val="00122380"/>
    <w:rsid w:val="00127EC0"/>
    <w:rsid w:val="001313D8"/>
    <w:rsid w:val="00131A9D"/>
    <w:rsid w:val="0013693B"/>
    <w:rsid w:val="00140088"/>
    <w:rsid w:val="0014076F"/>
    <w:rsid w:val="0014205F"/>
    <w:rsid w:val="00144F96"/>
    <w:rsid w:val="001464B5"/>
    <w:rsid w:val="0014689F"/>
    <w:rsid w:val="00150419"/>
    <w:rsid w:val="001507FF"/>
    <w:rsid w:val="00152DFD"/>
    <w:rsid w:val="00153FB8"/>
    <w:rsid w:val="00154D1F"/>
    <w:rsid w:val="0015762B"/>
    <w:rsid w:val="00160185"/>
    <w:rsid w:val="00161BDD"/>
    <w:rsid w:val="00162241"/>
    <w:rsid w:val="00163CAB"/>
    <w:rsid w:val="001645FC"/>
    <w:rsid w:val="001649C9"/>
    <w:rsid w:val="001657CA"/>
    <w:rsid w:val="00172AAD"/>
    <w:rsid w:val="00175A04"/>
    <w:rsid w:val="00190E52"/>
    <w:rsid w:val="00191591"/>
    <w:rsid w:val="0019600E"/>
    <w:rsid w:val="00196270"/>
    <w:rsid w:val="001A5B57"/>
    <w:rsid w:val="001B0987"/>
    <w:rsid w:val="001B098A"/>
    <w:rsid w:val="001B2895"/>
    <w:rsid w:val="001B3544"/>
    <w:rsid w:val="001C2330"/>
    <w:rsid w:val="001C2856"/>
    <w:rsid w:val="001C345A"/>
    <w:rsid w:val="001C642C"/>
    <w:rsid w:val="001C69C3"/>
    <w:rsid w:val="001D039F"/>
    <w:rsid w:val="001D733B"/>
    <w:rsid w:val="001E08C0"/>
    <w:rsid w:val="001E4FAA"/>
    <w:rsid w:val="001E7EB9"/>
    <w:rsid w:val="001E7F0A"/>
    <w:rsid w:val="001F2D65"/>
    <w:rsid w:val="001F3699"/>
    <w:rsid w:val="00202B8F"/>
    <w:rsid w:val="00210664"/>
    <w:rsid w:val="00210DB2"/>
    <w:rsid w:val="00213647"/>
    <w:rsid w:val="00217D74"/>
    <w:rsid w:val="00220D61"/>
    <w:rsid w:val="00223EE9"/>
    <w:rsid w:val="002241E7"/>
    <w:rsid w:val="00225B80"/>
    <w:rsid w:val="0023053A"/>
    <w:rsid w:val="00232704"/>
    <w:rsid w:val="0023426B"/>
    <w:rsid w:val="00237E7C"/>
    <w:rsid w:val="002418C6"/>
    <w:rsid w:val="00241CC9"/>
    <w:rsid w:val="00244961"/>
    <w:rsid w:val="00246C96"/>
    <w:rsid w:val="00253447"/>
    <w:rsid w:val="00254C73"/>
    <w:rsid w:val="00255B82"/>
    <w:rsid w:val="00256408"/>
    <w:rsid w:val="00265A59"/>
    <w:rsid w:val="002670E6"/>
    <w:rsid w:val="00267309"/>
    <w:rsid w:val="002702B7"/>
    <w:rsid w:val="002708F0"/>
    <w:rsid w:val="00270F77"/>
    <w:rsid w:val="00271D15"/>
    <w:rsid w:val="00272B03"/>
    <w:rsid w:val="0027575B"/>
    <w:rsid w:val="0028230B"/>
    <w:rsid w:val="0028250F"/>
    <w:rsid w:val="00282D41"/>
    <w:rsid w:val="00287D96"/>
    <w:rsid w:val="00290D0D"/>
    <w:rsid w:val="0029337F"/>
    <w:rsid w:val="00293C35"/>
    <w:rsid w:val="00294005"/>
    <w:rsid w:val="00294CA9"/>
    <w:rsid w:val="002A2471"/>
    <w:rsid w:val="002A32A6"/>
    <w:rsid w:val="002A56A3"/>
    <w:rsid w:val="002A5AB1"/>
    <w:rsid w:val="002A6BA0"/>
    <w:rsid w:val="002A6D5B"/>
    <w:rsid w:val="002C1793"/>
    <w:rsid w:val="002C194F"/>
    <w:rsid w:val="002C37D1"/>
    <w:rsid w:val="002C43DD"/>
    <w:rsid w:val="002C44D9"/>
    <w:rsid w:val="002C50C1"/>
    <w:rsid w:val="002C5777"/>
    <w:rsid w:val="002D1041"/>
    <w:rsid w:val="002D24E7"/>
    <w:rsid w:val="002D53C9"/>
    <w:rsid w:val="002D5885"/>
    <w:rsid w:val="002D6DD1"/>
    <w:rsid w:val="002E1DEC"/>
    <w:rsid w:val="002E2D0A"/>
    <w:rsid w:val="002E3301"/>
    <w:rsid w:val="002E7775"/>
    <w:rsid w:val="002F28CF"/>
    <w:rsid w:val="003042D3"/>
    <w:rsid w:val="00313738"/>
    <w:rsid w:val="003154E7"/>
    <w:rsid w:val="00322B48"/>
    <w:rsid w:val="00326D32"/>
    <w:rsid w:val="00330CFE"/>
    <w:rsid w:val="003325E4"/>
    <w:rsid w:val="00333A54"/>
    <w:rsid w:val="003346AB"/>
    <w:rsid w:val="00336C03"/>
    <w:rsid w:val="00336D36"/>
    <w:rsid w:val="00341813"/>
    <w:rsid w:val="003448AB"/>
    <w:rsid w:val="00344914"/>
    <w:rsid w:val="003463B6"/>
    <w:rsid w:val="0035012A"/>
    <w:rsid w:val="003513D5"/>
    <w:rsid w:val="0035530B"/>
    <w:rsid w:val="0036296F"/>
    <w:rsid w:val="0036538C"/>
    <w:rsid w:val="003739DA"/>
    <w:rsid w:val="00375ADA"/>
    <w:rsid w:val="00376D00"/>
    <w:rsid w:val="00380219"/>
    <w:rsid w:val="00382E92"/>
    <w:rsid w:val="003833E7"/>
    <w:rsid w:val="00383B59"/>
    <w:rsid w:val="00385620"/>
    <w:rsid w:val="0038706B"/>
    <w:rsid w:val="00392EAF"/>
    <w:rsid w:val="00394B72"/>
    <w:rsid w:val="003A0962"/>
    <w:rsid w:val="003A130A"/>
    <w:rsid w:val="003A138D"/>
    <w:rsid w:val="003A309D"/>
    <w:rsid w:val="003A4C7F"/>
    <w:rsid w:val="003A6B46"/>
    <w:rsid w:val="003C0F28"/>
    <w:rsid w:val="003C38D7"/>
    <w:rsid w:val="003C7B79"/>
    <w:rsid w:val="003D1915"/>
    <w:rsid w:val="003D24C3"/>
    <w:rsid w:val="003D30B5"/>
    <w:rsid w:val="003D3963"/>
    <w:rsid w:val="003E517E"/>
    <w:rsid w:val="003E5274"/>
    <w:rsid w:val="003F1FD4"/>
    <w:rsid w:val="003F5EB2"/>
    <w:rsid w:val="003F6947"/>
    <w:rsid w:val="004041C8"/>
    <w:rsid w:val="00404668"/>
    <w:rsid w:val="004046E2"/>
    <w:rsid w:val="0040512C"/>
    <w:rsid w:val="00405148"/>
    <w:rsid w:val="00406605"/>
    <w:rsid w:val="00406B50"/>
    <w:rsid w:val="00414785"/>
    <w:rsid w:val="00414FCB"/>
    <w:rsid w:val="004150C7"/>
    <w:rsid w:val="00421C9E"/>
    <w:rsid w:val="0042204D"/>
    <w:rsid w:val="00423A56"/>
    <w:rsid w:val="00425DE7"/>
    <w:rsid w:val="00432679"/>
    <w:rsid w:val="00433E09"/>
    <w:rsid w:val="00435724"/>
    <w:rsid w:val="00445A9C"/>
    <w:rsid w:val="00455D88"/>
    <w:rsid w:val="004560BD"/>
    <w:rsid w:val="00456C58"/>
    <w:rsid w:val="00457139"/>
    <w:rsid w:val="00462C6E"/>
    <w:rsid w:val="00476FE3"/>
    <w:rsid w:val="0048096F"/>
    <w:rsid w:val="00480C76"/>
    <w:rsid w:val="004820E3"/>
    <w:rsid w:val="004874A3"/>
    <w:rsid w:val="00490EA7"/>
    <w:rsid w:val="00490FB6"/>
    <w:rsid w:val="00491BB0"/>
    <w:rsid w:val="00491C66"/>
    <w:rsid w:val="00492075"/>
    <w:rsid w:val="004975D8"/>
    <w:rsid w:val="004A3B6A"/>
    <w:rsid w:val="004A4B43"/>
    <w:rsid w:val="004A6587"/>
    <w:rsid w:val="004B1586"/>
    <w:rsid w:val="004B2061"/>
    <w:rsid w:val="004B4412"/>
    <w:rsid w:val="004B44BE"/>
    <w:rsid w:val="004C1D4F"/>
    <w:rsid w:val="004C1E9E"/>
    <w:rsid w:val="004C33FA"/>
    <w:rsid w:val="004C76C8"/>
    <w:rsid w:val="004C7804"/>
    <w:rsid w:val="004C7A1C"/>
    <w:rsid w:val="004D156B"/>
    <w:rsid w:val="004D240C"/>
    <w:rsid w:val="004D2821"/>
    <w:rsid w:val="004D349A"/>
    <w:rsid w:val="004D4C1F"/>
    <w:rsid w:val="004D6E10"/>
    <w:rsid w:val="004F36BE"/>
    <w:rsid w:val="00500A22"/>
    <w:rsid w:val="00500B27"/>
    <w:rsid w:val="00501265"/>
    <w:rsid w:val="00503A73"/>
    <w:rsid w:val="00503BB0"/>
    <w:rsid w:val="00503E2C"/>
    <w:rsid w:val="00506B58"/>
    <w:rsid w:val="00507188"/>
    <w:rsid w:val="00507F3C"/>
    <w:rsid w:val="005121AA"/>
    <w:rsid w:val="005123F4"/>
    <w:rsid w:val="005167D9"/>
    <w:rsid w:val="00517242"/>
    <w:rsid w:val="00520562"/>
    <w:rsid w:val="00520736"/>
    <w:rsid w:val="00520BDD"/>
    <w:rsid w:val="00520E49"/>
    <w:rsid w:val="005225C0"/>
    <w:rsid w:val="00524AEE"/>
    <w:rsid w:val="00524B8F"/>
    <w:rsid w:val="00527A0D"/>
    <w:rsid w:val="005303E3"/>
    <w:rsid w:val="00534841"/>
    <w:rsid w:val="00536720"/>
    <w:rsid w:val="005378FF"/>
    <w:rsid w:val="005406ED"/>
    <w:rsid w:val="00541B4E"/>
    <w:rsid w:val="00550FF9"/>
    <w:rsid w:val="00553CBF"/>
    <w:rsid w:val="00555BAF"/>
    <w:rsid w:val="00555F2D"/>
    <w:rsid w:val="005574F9"/>
    <w:rsid w:val="00566B55"/>
    <w:rsid w:val="00571D8A"/>
    <w:rsid w:val="00574A7D"/>
    <w:rsid w:val="00574E67"/>
    <w:rsid w:val="00575190"/>
    <w:rsid w:val="00581E08"/>
    <w:rsid w:val="005829E4"/>
    <w:rsid w:val="00583C48"/>
    <w:rsid w:val="0058604D"/>
    <w:rsid w:val="005873E9"/>
    <w:rsid w:val="0059087D"/>
    <w:rsid w:val="005968A4"/>
    <w:rsid w:val="005A0C9A"/>
    <w:rsid w:val="005A1FB7"/>
    <w:rsid w:val="005A27A8"/>
    <w:rsid w:val="005A5BE0"/>
    <w:rsid w:val="005A6041"/>
    <w:rsid w:val="005A64AC"/>
    <w:rsid w:val="005A7F9D"/>
    <w:rsid w:val="005B0C87"/>
    <w:rsid w:val="005B297C"/>
    <w:rsid w:val="005B5B6A"/>
    <w:rsid w:val="005B73CB"/>
    <w:rsid w:val="005C4024"/>
    <w:rsid w:val="005C598E"/>
    <w:rsid w:val="005D2CEA"/>
    <w:rsid w:val="005D61C7"/>
    <w:rsid w:val="005D6928"/>
    <w:rsid w:val="005D70E8"/>
    <w:rsid w:val="005E055F"/>
    <w:rsid w:val="005E161C"/>
    <w:rsid w:val="005E34CD"/>
    <w:rsid w:val="005E4254"/>
    <w:rsid w:val="005E600E"/>
    <w:rsid w:val="005E640B"/>
    <w:rsid w:val="0061381E"/>
    <w:rsid w:val="006156E0"/>
    <w:rsid w:val="00616EC4"/>
    <w:rsid w:val="00617031"/>
    <w:rsid w:val="00617132"/>
    <w:rsid w:val="0062265E"/>
    <w:rsid w:val="00624258"/>
    <w:rsid w:val="00627688"/>
    <w:rsid w:val="00631C9F"/>
    <w:rsid w:val="00632AC3"/>
    <w:rsid w:val="0063F2D1"/>
    <w:rsid w:val="006407B8"/>
    <w:rsid w:val="00641F4F"/>
    <w:rsid w:val="0064560A"/>
    <w:rsid w:val="00646E5D"/>
    <w:rsid w:val="00651FF4"/>
    <w:rsid w:val="006555C7"/>
    <w:rsid w:val="00657689"/>
    <w:rsid w:val="006604E8"/>
    <w:rsid w:val="00660FE8"/>
    <w:rsid w:val="0066138F"/>
    <w:rsid w:val="006621E7"/>
    <w:rsid w:val="00662A86"/>
    <w:rsid w:val="00662D09"/>
    <w:rsid w:val="006654F9"/>
    <w:rsid w:val="006661EF"/>
    <w:rsid w:val="00666ABA"/>
    <w:rsid w:val="00666DBF"/>
    <w:rsid w:val="00671CD1"/>
    <w:rsid w:val="006722A2"/>
    <w:rsid w:val="00673AFC"/>
    <w:rsid w:val="006757F0"/>
    <w:rsid w:val="006769A1"/>
    <w:rsid w:val="00677E51"/>
    <w:rsid w:val="00680692"/>
    <w:rsid w:val="00682BBD"/>
    <w:rsid w:val="00684845"/>
    <w:rsid w:val="00686A5C"/>
    <w:rsid w:val="00694DC7"/>
    <w:rsid w:val="00695BAB"/>
    <w:rsid w:val="00696E39"/>
    <w:rsid w:val="00697C0E"/>
    <w:rsid w:val="006A0518"/>
    <w:rsid w:val="006A750E"/>
    <w:rsid w:val="006B338C"/>
    <w:rsid w:val="006B66B6"/>
    <w:rsid w:val="006C2422"/>
    <w:rsid w:val="006C3053"/>
    <w:rsid w:val="006C430A"/>
    <w:rsid w:val="006C566F"/>
    <w:rsid w:val="006C6E04"/>
    <w:rsid w:val="006C6FC5"/>
    <w:rsid w:val="006C7ED8"/>
    <w:rsid w:val="006D087A"/>
    <w:rsid w:val="006D0EE3"/>
    <w:rsid w:val="006D38C1"/>
    <w:rsid w:val="006E08D8"/>
    <w:rsid w:val="006E0C56"/>
    <w:rsid w:val="006E3F7F"/>
    <w:rsid w:val="006F0ACA"/>
    <w:rsid w:val="006F4A06"/>
    <w:rsid w:val="006F7382"/>
    <w:rsid w:val="00704577"/>
    <w:rsid w:val="0070613D"/>
    <w:rsid w:val="007127DE"/>
    <w:rsid w:val="007156A8"/>
    <w:rsid w:val="00715C7C"/>
    <w:rsid w:val="007229B4"/>
    <w:rsid w:val="0072341A"/>
    <w:rsid w:val="007246AE"/>
    <w:rsid w:val="0072681F"/>
    <w:rsid w:val="0073004D"/>
    <w:rsid w:val="007308F7"/>
    <w:rsid w:val="00733C66"/>
    <w:rsid w:val="007342BF"/>
    <w:rsid w:val="00741AAB"/>
    <w:rsid w:val="0074273B"/>
    <w:rsid w:val="00742D8A"/>
    <w:rsid w:val="00743B5C"/>
    <w:rsid w:val="0074503D"/>
    <w:rsid w:val="00752A34"/>
    <w:rsid w:val="00752AE9"/>
    <w:rsid w:val="007561CA"/>
    <w:rsid w:val="007577F5"/>
    <w:rsid w:val="00760797"/>
    <w:rsid w:val="007608D6"/>
    <w:rsid w:val="007707C0"/>
    <w:rsid w:val="00770CB7"/>
    <w:rsid w:val="00770DA9"/>
    <w:rsid w:val="00771FE1"/>
    <w:rsid w:val="00775337"/>
    <w:rsid w:val="00780DDB"/>
    <w:rsid w:val="007846D7"/>
    <w:rsid w:val="00785886"/>
    <w:rsid w:val="00790AB5"/>
    <w:rsid w:val="0079139F"/>
    <w:rsid w:val="007922FA"/>
    <w:rsid w:val="00793583"/>
    <w:rsid w:val="00794C20"/>
    <w:rsid w:val="00796C22"/>
    <w:rsid w:val="00796F46"/>
    <w:rsid w:val="00797832"/>
    <w:rsid w:val="00797F23"/>
    <w:rsid w:val="00797F43"/>
    <w:rsid w:val="007A1725"/>
    <w:rsid w:val="007A1DCF"/>
    <w:rsid w:val="007A2AE2"/>
    <w:rsid w:val="007A7D1C"/>
    <w:rsid w:val="007B20DA"/>
    <w:rsid w:val="007B559D"/>
    <w:rsid w:val="007B78B7"/>
    <w:rsid w:val="007B7B8F"/>
    <w:rsid w:val="007C4CE2"/>
    <w:rsid w:val="007D007F"/>
    <w:rsid w:val="007D2176"/>
    <w:rsid w:val="007E3594"/>
    <w:rsid w:val="007E6404"/>
    <w:rsid w:val="007F0CC0"/>
    <w:rsid w:val="007F11D7"/>
    <w:rsid w:val="007F5CDD"/>
    <w:rsid w:val="007F6390"/>
    <w:rsid w:val="007F7E81"/>
    <w:rsid w:val="00800D94"/>
    <w:rsid w:val="008039F9"/>
    <w:rsid w:val="00806741"/>
    <w:rsid w:val="00807D90"/>
    <w:rsid w:val="00810224"/>
    <w:rsid w:val="00811BF2"/>
    <w:rsid w:val="00812FEE"/>
    <w:rsid w:val="0081707C"/>
    <w:rsid w:val="00822C17"/>
    <w:rsid w:val="0082473C"/>
    <w:rsid w:val="008276B0"/>
    <w:rsid w:val="008301C1"/>
    <w:rsid w:val="00836212"/>
    <w:rsid w:val="00837D46"/>
    <w:rsid w:val="00844C81"/>
    <w:rsid w:val="00845F06"/>
    <w:rsid w:val="00851573"/>
    <w:rsid w:val="00853CDF"/>
    <w:rsid w:val="00854970"/>
    <w:rsid w:val="00856439"/>
    <w:rsid w:val="0086021D"/>
    <w:rsid w:val="0086207F"/>
    <w:rsid w:val="0086489F"/>
    <w:rsid w:val="00865393"/>
    <w:rsid w:val="00877000"/>
    <w:rsid w:val="0087734A"/>
    <w:rsid w:val="00884384"/>
    <w:rsid w:val="00892474"/>
    <w:rsid w:val="00892E44"/>
    <w:rsid w:val="00895C6A"/>
    <w:rsid w:val="008A295C"/>
    <w:rsid w:val="008A31A6"/>
    <w:rsid w:val="008A4A81"/>
    <w:rsid w:val="008A65B3"/>
    <w:rsid w:val="008B2941"/>
    <w:rsid w:val="008B2F42"/>
    <w:rsid w:val="008B4E9F"/>
    <w:rsid w:val="008B736B"/>
    <w:rsid w:val="008B7723"/>
    <w:rsid w:val="008C5D35"/>
    <w:rsid w:val="008D411F"/>
    <w:rsid w:val="008D44D7"/>
    <w:rsid w:val="008E027C"/>
    <w:rsid w:val="008E2FBF"/>
    <w:rsid w:val="008E5F4B"/>
    <w:rsid w:val="008F122B"/>
    <w:rsid w:val="008F1347"/>
    <w:rsid w:val="008F24A4"/>
    <w:rsid w:val="008F45BA"/>
    <w:rsid w:val="008F4C23"/>
    <w:rsid w:val="008F5F04"/>
    <w:rsid w:val="00901CB5"/>
    <w:rsid w:val="00903DB3"/>
    <w:rsid w:val="009055EB"/>
    <w:rsid w:val="009064F0"/>
    <w:rsid w:val="00906EEE"/>
    <w:rsid w:val="00906FF2"/>
    <w:rsid w:val="009127C1"/>
    <w:rsid w:val="00914446"/>
    <w:rsid w:val="00914AB3"/>
    <w:rsid w:val="00917FE9"/>
    <w:rsid w:val="00920E7A"/>
    <w:rsid w:val="00924FD5"/>
    <w:rsid w:val="00930256"/>
    <w:rsid w:val="00930950"/>
    <w:rsid w:val="00930958"/>
    <w:rsid w:val="00930CB1"/>
    <w:rsid w:val="00931C8D"/>
    <w:rsid w:val="009332CB"/>
    <w:rsid w:val="00936F60"/>
    <w:rsid w:val="00937352"/>
    <w:rsid w:val="00937465"/>
    <w:rsid w:val="009517BD"/>
    <w:rsid w:val="0095237E"/>
    <w:rsid w:val="0095288F"/>
    <w:rsid w:val="00954B45"/>
    <w:rsid w:val="0095561E"/>
    <w:rsid w:val="00960062"/>
    <w:rsid w:val="00960A98"/>
    <w:rsid w:val="00960EC3"/>
    <w:rsid w:val="00961C6C"/>
    <w:rsid w:val="00962BE0"/>
    <w:rsid w:val="009644A4"/>
    <w:rsid w:val="009661FA"/>
    <w:rsid w:val="00966796"/>
    <w:rsid w:val="009679EB"/>
    <w:rsid w:val="009701CB"/>
    <w:rsid w:val="00971C91"/>
    <w:rsid w:val="00973165"/>
    <w:rsid w:val="0097363A"/>
    <w:rsid w:val="00976EA0"/>
    <w:rsid w:val="00977E6C"/>
    <w:rsid w:val="00981F3A"/>
    <w:rsid w:val="009903A3"/>
    <w:rsid w:val="00990C5C"/>
    <w:rsid w:val="00990E4B"/>
    <w:rsid w:val="0099285E"/>
    <w:rsid w:val="009929BA"/>
    <w:rsid w:val="00992F77"/>
    <w:rsid w:val="0099396E"/>
    <w:rsid w:val="00994253"/>
    <w:rsid w:val="0099554D"/>
    <w:rsid w:val="00996388"/>
    <w:rsid w:val="00996D82"/>
    <w:rsid w:val="00996F3A"/>
    <w:rsid w:val="009A0979"/>
    <w:rsid w:val="009A123A"/>
    <w:rsid w:val="009A5501"/>
    <w:rsid w:val="009B0F69"/>
    <w:rsid w:val="009B1247"/>
    <w:rsid w:val="009B2711"/>
    <w:rsid w:val="009B4F23"/>
    <w:rsid w:val="009C11AF"/>
    <w:rsid w:val="009C19AA"/>
    <w:rsid w:val="009C41C1"/>
    <w:rsid w:val="009C69B8"/>
    <w:rsid w:val="009C705B"/>
    <w:rsid w:val="009C75C5"/>
    <w:rsid w:val="009E1FCD"/>
    <w:rsid w:val="009E380B"/>
    <w:rsid w:val="009E4A82"/>
    <w:rsid w:val="009E7761"/>
    <w:rsid w:val="009F0D32"/>
    <w:rsid w:val="009F0E92"/>
    <w:rsid w:val="009F241E"/>
    <w:rsid w:val="009F3184"/>
    <w:rsid w:val="009F3BFD"/>
    <w:rsid w:val="009F43DC"/>
    <w:rsid w:val="009F509F"/>
    <w:rsid w:val="009F5344"/>
    <w:rsid w:val="009F6845"/>
    <w:rsid w:val="00A0193C"/>
    <w:rsid w:val="00A01EAF"/>
    <w:rsid w:val="00A064FF"/>
    <w:rsid w:val="00A10345"/>
    <w:rsid w:val="00A10DE4"/>
    <w:rsid w:val="00A117E9"/>
    <w:rsid w:val="00A119A1"/>
    <w:rsid w:val="00A12272"/>
    <w:rsid w:val="00A132D6"/>
    <w:rsid w:val="00A21B69"/>
    <w:rsid w:val="00A24496"/>
    <w:rsid w:val="00A32BFF"/>
    <w:rsid w:val="00A36B45"/>
    <w:rsid w:val="00A4066E"/>
    <w:rsid w:val="00A51E47"/>
    <w:rsid w:val="00A56732"/>
    <w:rsid w:val="00A57D20"/>
    <w:rsid w:val="00A67FE8"/>
    <w:rsid w:val="00A70544"/>
    <w:rsid w:val="00A7654B"/>
    <w:rsid w:val="00A76D13"/>
    <w:rsid w:val="00A772B1"/>
    <w:rsid w:val="00A90F15"/>
    <w:rsid w:val="00AA0C0F"/>
    <w:rsid w:val="00AA1713"/>
    <w:rsid w:val="00AA29EB"/>
    <w:rsid w:val="00AA759F"/>
    <w:rsid w:val="00AA7EE9"/>
    <w:rsid w:val="00AB0AC9"/>
    <w:rsid w:val="00AB2543"/>
    <w:rsid w:val="00AB3A5D"/>
    <w:rsid w:val="00AB5BF8"/>
    <w:rsid w:val="00AC1CE9"/>
    <w:rsid w:val="00AC3688"/>
    <w:rsid w:val="00AC5E58"/>
    <w:rsid w:val="00AD00A3"/>
    <w:rsid w:val="00AD0F4F"/>
    <w:rsid w:val="00AD1CEC"/>
    <w:rsid w:val="00AD2CB0"/>
    <w:rsid w:val="00AD33B4"/>
    <w:rsid w:val="00AD5513"/>
    <w:rsid w:val="00AE1A1F"/>
    <w:rsid w:val="00AE1B30"/>
    <w:rsid w:val="00AE2864"/>
    <w:rsid w:val="00AE29C3"/>
    <w:rsid w:val="00AF29BA"/>
    <w:rsid w:val="00AF6D62"/>
    <w:rsid w:val="00B007DA"/>
    <w:rsid w:val="00B045EC"/>
    <w:rsid w:val="00B04AFE"/>
    <w:rsid w:val="00B0556B"/>
    <w:rsid w:val="00B06424"/>
    <w:rsid w:val="00B06D92"/>
    <w:rsid w:val="00B17860"/>
    <w:rsid w:val="00B2036A"/>
    <w:rsid w:val="00B207A1"/>
    <w:rsid w:val="00B20E46"/>
    <w:rsid w:val="00B215FC"/>
    <w:rsid w:val="00B23C04"/>
    <w:rsid w:val="00B24AED"/>
    <w:rsid w:val="00B2516A"/>
    <w:rsid w:val="00B31DD7"/>
    <w:rsid w:val="00B3264E"/>
    <w:rsid w:val="00B33BE5"/>
    <w:rsid w:val="00B4091A"/>
    <w:rsid w:val="00B4125E"/>
    <w:rsid w:val="00B463FE"/>
    <w:rsid w:val="00B47324"/>
    <w:rsid w:val="00B47EB2"/>
    <w:rsid w:val="00B50923"/>
    <w:rsid w:val="00B513BF"/>
    <w:rsid w:val="00B52799"/>
    <w:rsid w:val="00B602BD"/>
    <w:rsid w:val="00B62B50"/>
    <w:rsid w:val="00B64A59"/>
    <w:rsid w:val="00B65258"/>
    <w:rsid w:val="00B67FCE"/>
    <w:rsid w:val="00B87881"/>
    <w:rsid w:val="00B90FE3"/>
    <w:rsid w:val="00B91A81"/>
    <w:rsid w:val="00B922D6"/>
    <w:rsid w:val="00B939F5"/>
    <w:rsid w:val="00BA16B4"/>
    <w:rsid w:val="00BA242A"/>
    <w:rsid w:val="00BA42CF"/>
    <w:rsid w:val="00BA445A"/>
    <w:rsid w:val="00BA4EFB"/>
    <w:rsid w:val="00BA5E7C"/>
    <w:rsid w:val="00BB103D"/>
    <w:rsid w:val="00BB1E00"/>
    <w:rsid w:val="00BB2D5F"/>
    <w:rsid w:val="00BB3C9D"/>
    <w:rsid w:val="00BB40E9"/>
    <w:rsid w:val="00BB7CFD"/>
    <w:rsid w:val="00BC0CFF"/>
    <w:rsid w:val="00BC289B"/>
    <w:rsid w:val="00BC2E6E"/>
    <w:rsid w:val="00BC2EF2"/>
    <w:rsid w:val="00BC7ACD"/>
    <w:rsid w:val="00BC7F9B"/>
    <w:rsid w:val="00BD1A9E"/>
    <w:rsid w:val="00BD4C20"/>
    <w:rsid w:val="00BE281F"/>
    <w:rsid w:val="00BE2837"/>
    <w:rsid w:val="00BF477D"/>
    <w:rsid w:val="00BF5A3A"/>
    <w:rsid w:val="00BF6FD2"/>
    <w:rsid w:val="00BF72CC"/>
    <w:rsid w:val="00C010CC"/>
    <w:rsid w:val="00C04D06"/>
    <w:rsid w:val="00C07B16"/>
    <w:rsid w:val="00C105C5"/>
    <w:rsid w:val="00C12AE6"/>
    <w:rsid w:val="00C13A9E"/>
    <w:rsid w:val="00C14366"/>
    <w:rsid w:val="00C150AC"/>
    <w:rsid w:val="00C16D0B"/>
    <w:rsid w:val="00C20FA3"/>
    <w:rsid w:val="00C22F4F"/>
    <w:rsid w:val="00C23070"/>
    <w:rsid w:val="00C25D7D"/>
    <w:rsid w:val="00C2658D"/>
    <w:rsid w:val="00C31277"/>
    <w:rsid w:val="00C31A89"/>
    <w:rsid w:val="00C444ED"/>
    <w:rsid w:val="00C4495E"/>
    <w:rsid w:val="00C45527"/>
    <w:rsid w:val="00C51C3C"/>
    <w:rsid w:val="00C51EEB"/>
    <w:rsid w:val="00C53479"/>
    <w:rsid w:val="00C55930"/>
    <w:rsid w:val="00C56FE1"/>
    <w:rsid w:val="00C60546"/>
    <w:rsid w:val="00C610DC"/>
    <w:rsid w:val="00C65350"/>
    <w:rsid w:val="00C65F51"/>
    <w:rsid w:val="00C71298"/>
    <w:rsid w:val="00C72657"/>
    <w:rsid w:val="00C82D68"/>
    <w:rsid w:val="00C8467C"/>
    <w:rsid w:val="00C855C8"/>
    <w:rsid w:val="00C8562F"/>
    <w:rsid w:val="00C86765"/>
    <w:rsid w:val="00C93405"/>
    <w:rsid w:val="00C95B67"/>
    <w:rsid w:val="00CA2ADE"/>
    <w:rsid w:val="00CA2C17"/>
    <w:rsid w:val="00CA3087"/>
    <w:rsid w:val="00CB3B32"/>
    <w:rsid w:val="00CC0357"/>
    <w:rsid w:val="00CC2221"/>
    <w:rsid w:val="00CC2508"/>
    <w:rsid w:val="00CD2484"/>
    <w:rsid w:val="00CD2FF1"/>
    <w:rsid w:val="00CD5E75"/>
    <w:rsid w:val="00CD7C1B"/>
    <w:rsid w:val="00CE0A84"/>
    <w:rsid w:val="00CE3E04"/>
    <w:rsid w:val="00CE7ACF"/>
    <w:rsid w:val="00CF1837"/>
    <w:rsid w:val="00CF4526"/>
    <w:rsid w:val="00CF4744"/>
    <w:rsid w:val="00CF4A48"/>
    <w:rsid w:val="00CF5BEE"/>
    <w:rsid w:val="00D05643"/>
    <w:rsid w:val="00D06472"/>
    <w:rsid w:val="00D17115"/>
    <w:rsid w:val="00D2042E"/>
    <w:rsid w:val="00D204CA"/>
    <w:rsid w:val="00D2123D"/>
    <w:rsid w:val="00D22711"/>
    <w:rsid w:val="00D24689"/>
    <w:rsid w:val="00D24CCD"/>
    <w:rsid w:val="00D26009"/>
    <w:rsid w:val="00D33C25"/>
    <w:rsid w:val="00D33FA9"/>
    <w:rsid w:val="00D35222"/>
    <w:rsid w:val="00D415EF"/>
    <w:rsid w:val="00D41647"/>
    <w:rsid w:val="00D41D33"/>
    <w:rsid w:val="00D448A6"/>
    <w:rsid w:val="00D5131D"/>
    <w:rsid w:val="00D628FA"/>
    <w:rsid w:val="00D6750E"/>
    <w:rsid w:val="00D67B86"/>
    <w:rsid w:val="00D719CA"/>
    <w:rsid w:val="00D73D44"/>
    <w:rsid w:val="00D7558A"/>
    <w:rsid w:val="00D76D67"/>
    <w:rsid w:val="00D81056"/>
    <w:rsid w:val="00D820BC"/>
    <w:rsid w:val="00D84488"/>
    <w:rsid w:val="00D872BE"/>
    <w:rsid w:val="00D8732E"/>
    <w:rsid w:val="00D8767D"/>
    <w:rsid w:val="00D87898"/>
    <w:rsid w:val="00D90BC9"/>
    <w:rsid w:val="00D90FD3"/>
    <w:rsid w:val="00D91DEE"/>
    <w:rsid w:val="00D92607"/>
    <w:rsid w:val="00D92D0D"/>
    <w:rsid w:val="00D95B34"/>
    <w:rsid w:val="00D9D008"/>
    <w:rsid w:val="00DA679F"/>
    <w:rsid w:val="00DA6CCA"/>
    <w:rsid w:val="00DA78B0"/>
    <w:rsid w:val="00DB25DB"/>
    <w:rsid w:val="00DB56DB"/>
    <w:rsid w:val="00DB6AB9"/>
    <w:rsid w:val="00DB73C9"/>
    <w:rsid w:val="00DB7C72"/>
    <w:rsid w:val="00DC1996"/>
    <w:rsid w:val="00DC3A8E"/>
    <w:rsid w:val="00DC413B"/>
    <w:rsid w:val="00DC68D7"/>
    <w:rsid w:val="00DC6C9E"/>
    <w:rsid w:val="00DC7024"/>
    <w:rsid w:val="00DC7A05"/>
    <w:rsid w:val="00DD15E9"/>
    <w:rsid w:val="00DD4651"/>
    <w:rsid w:val="00DD63D7"/>
    <w:rsid w:val="00DD6F6F"/>
    <w:rsid w:val="00DE31FF"/>
    <w:rsid w:val="00DE38DD"/>
    <w:rsid w:val="00DE3B1E"/>
    <w:rsid w:val="00DE551A"/>
    <w:rsid w:val="00DF1366"/>
    <w:rsid w:val="00DF2469"/>
    <w:rsid w:val="00DF2656"/>
    <w:rsid w:val="00DF4D2A"/>
    <w:rsid w:val="00DF63A2"/>
    <w:rsid w:val="00E108BE"/>
    <w:rsid w:val="00E1211B"/>
    <w:rsid w:val="00E157D3"/>
    <w:rsid w:val="00E245ED"/>
    <w:rsid w:val="00E25F55"/>
    <w:rsid w:val="00E2787D"/>
    <w:rsid w:val="00E30D05"/>
    <w:rsid w:val="00E33665"/>
    <w:rsid w:val="00E42D9B"/>
    <w:rsid w:val="00E43150"/>
    <w:rsid w:val="00E51189"/>
    <w:rsid w:val="00E513A6"/>
    <w:rsid w:val="00E520A5"/>
    <w:rsid w:val="00E5247A"/>
    <w:rsid w:val="00E530DE"/>
    <w:rsid w:val="00E61D08"/>
    <w:rsid w:val="00E630D9"/>
    <w:rsid w:val="00E70CD3"/>
    <w:rsid w:val="00E815C6"/>
    <w:rsid w:val="00E81692"/>
    <w:rsid w:val="00E85535"/>
    <w:rsid w:val="00E85DBC"/>
    <w:rsid w:val="00E873DB"/>
    <w:rsid w:val="00E87A9A"/>
    <w:rsid w:val="00E91538"/>
    <w:rsid w:val="00E92A99"/>
    <w:rsid w:val="00E93192"/>
    <w:rsid w:val="00E9472B"/>
    <w:rsid w:val="00EA181D"/>
    <w:rsid w:val="00EA417B"/>
    <w:rsid w:val="00EA4EDD"/>
    <w:rsid w:val="00EA74B0"/>
    <w:rsid w:val="00EA7F92"/>
    <w:rsid w:val="00EC2C64"/>
    <w:rsid w:val="00EC48CD"/>
    <w:rsid w:val="00EC67AF"/>
    <w:rsid w:val="00ED1278"/>
    <w:rsid w:val="00ED498B"/>
    <w:rsid w:val="00ED7711"/>
    <w:rsid w:val="00ED7D97"/>
    <w:rsid w:val="00EF2351"/>
    <w:rsid w:val="00EF42DC"/>
    <w:rsid w:val="00EF5B20"/>
    <w:rsid w:val="00EF7643"/>
    <w:rsid w:val="00F012AE"/>
    <w:rsid w:val="00F01807"/>
    <w:rsid w:val="00F029EC"/>
    <w:rsid w:val="00F030BC"/>
    <w:rsid w:val="00F03AB6"/>
    <w:rsid w:val="00F059D2"/>
    <w:rsid w:val="00F06D0F"/>
    <w:rsid w:val="00F10DCA"/>
    <w:rsid w:val="00F16B04"/>
    <w:rsid w:val="00F17DF4"/>
    <w:rsid w:val="00F20D41"/>
    <w:rsid w:val="00F21103"/>
    <w:rsid w:val="00F22FFF"/>
    <w:rsid w:val="00F27D99"/>
    <w:rsid w:val="00F32FF0"/>
    <w:rsid w:val="00F33453"/>
    <w:rsid w:val="00F35004"/>
    <w:rsid w:val="00F4134E"/>
    <w:rsid w:val="00F443FB"/>
    <w:rsid w:val="00F4534C"/>
    <w:rsid w:val="00F522A2"/>
    <w:rsid w:val="00F541A8"/>
    <w:rsid w:val="00F558C8"/>
    <w:rsid w:val="00F60F3C"/>
    <w:rsid w:val="00F63361"/>
    <w:rsid w:val="00F634D1"/>
    <w:rsid w:val="00F63A73"/>
    <w:rsid w:val="00F64B17"/>
    <w:rsid w:val="00F658BD"/>
    <w:rsid w:val="00F710D2"/>
    <w:rsid w:val="00F725AB"/>
    <w:rsid w:val="00F72D7B"/>
    <w:rsid w:val="00F738FD"/>
    <w:rsid w:val="00F76EB7"/>
    <w:rsid w:val="00F90040"/>
    <w:rsid w:val="00F94121"/>
    <w:rsid w:val="00FA4354"/>
    <w:rsid w:val="00FA50D7"/>
    <w:rsid w:val="00FA5259"/>
    <w:rsid w:val="00FA535B"/>
    <w:rsid w:val="00FA61FF"/>
    <w:rsid w:val="00FA70FE"/>
    <w:rsid w:val="00FA786A"/>
    <w:rsid w:val="00FA7AAC"/>
    <w:rsid w:val="00FB30DF"/>
    <w:rsid w:val="00FB4660"/>
    <w:rsid w:val="00FB6301"/>
    <w:rsid w:val="00FC093E"/>
    <w:rsid w:val="00FC1148"/>
    <w:rsid w:val="00FC4F9F"/>
    <w:rsid w:val="00FC6459"/>
    <w:rsid w:val="00FC6DFF"/>
    <w:rsid w:val="00FD3017"/>
    <w:rsid w:val="00FE0430"/>
    <w:rsid w:val="00FE1694"/>
    <w:rsid w:val="00FE1A63"/>
    <w:rsid w:val="00FE24FF"/>
    <w:rsid w:val="00FE4E8C"/>
    <w:rsid w:val="00FF3632"/>
    <w:rsid w:val="00FF4567"/>
    <w:rsid w:val="011724CB"/>
    <w:rsid w:val="012A684F"/>
    <w:rsid w:val="01AE9A71"/>
    <w:rsid w:val="01B0A68E"/>
    <w:rsid w:val="01EE9F1D"/>
    <w:rsid w:val="01F23140"/>
    <w:rsid w:val="01FFC332"/>
    <w:rsid w:val="0245505E"/>
    <w:rsid w:val="025EF218"/>
    <w:rsid w:val="0267CFAB"/>
    <w:rsid w:val="02A7047F"/>
    <w:rsid w:val="02B8A61B"/>
    <w:rsid w:val="02D6893D"/>
    <w:rsid w:val="02D8F975"/>
    <w:rsid w:val="0394C5C4"/>
    <w:rsid w:val="03990D53"/>
    <w:rsid w:val="03C05DBD"/>
    <w:rsid w:val="03CCB6CD"/>
    <w:rsid w:val="03D735B1"/>
    <w:rsid w:val="03E120BF"/>
    <w:rsid w:val="044FAE51"/>
    <w:rsid w:val="045E8903"/>
    <w:rsid w:val="04DAFA74"/>
    <w:rsid w:val="04DD4649"/>
    <w:rsid w:val="04FAB117"/>
    <w:rsid w:val="04FD7042"/>
    <w:rsid w:val="054BD27A"/>
    <w:rsid w:val="0555E72F"/>
    <w:rsid w:val="055CA299"/>
    <w:rsid w:val="058750D4"/>
    <w:rsid w:val="058CC1ED"/>
    <w:rsid w:val="05F422D9"/>
    <w:rsid w:val="0645150F"/>
    <w:rsid w:val="064BC7ED"/>
    <w:rsid w:val="06739436"/>
    <w:rsid w:val="0696E3A8"/>
    <w:rsid w:val="06C1C0F5"/>
    <w:rsid w:val="06CAFD8C"/>
    <w:rsid w:val="073DB519"/>
    <w:rsid w:val="075D7675"/>
    <w:rsid w:val="076E9460"/>
    <w:rsid w:val="078806AF"/>
    <w:rsid w:val="078C4AC4"/>
    <w:rsid w:val="0794382F"/>
    <w:rsid w:val="07975899"/>
    <w:rsid w:val="079C7E3D"/>
    <w:rsid w:val="07AF6BF8"/>
    <w:rsid w:val="07B2D6F3"/>
    <w:rsid w:val="07FFEF6D"/>
    <w:rsid w:val="080BDAD6"/>
    <w:rsid w:val="0834A38A"/>
    <w:rsid w:val="08626BD7"/>
    <w:rsid w:val="086FD880"/>
    <w:rsid w:val="087CA770"/>
    <w:rsid w:val="088B62DD"/>
    <w:rsid w:val="08EC1037"/>
    <w:rsid w:val="0901CB33"/>
    <w:rsid w:val="09086167"/>
    <w:rsid w:val="093D22F1"/>
    <w:rsid w:val="0947A520"/>
    <w:rsid w:val="096579CB"/>
    <w:rsid w:val="0977F692"/>
    <w:rsid w:val="09EDEF9A"/>
    <w:rsid w:val="09F1ACBA"/>
    <w:rsid w:val="0A229B78"/>
    <w:rsid w:val="0A8B4017"/>
    <w:rsid w:val="0AC33361"/>
    <w:rsid w:val="0BA35FB6"/>
    <w:rsid w:val="0BB509CC"/>
    <w:rsid w:val="0BC49412"/>
    <w:rsid w:val="0BE9DEA9"/>
    <w:rsid w:val="0C3082F9"/>
    <w:rsid w:val="0C413337"/>
    <w:rsid w:val="0C6D9CBF"/>
    <w:rsid w:val="0C906413"/>
    <w:rsid w:val="0CAB4CE3"/>
    <w:rsid w:val="0CB191C5"/>
    <w:rsid w:val="0CE87E80"/>
    <w:rsid w:val="0CF80160"/>
    <w:rsid w:val="0D0DA086"/>
    <w:rsid w:val="0D1A8B3D"/>
    <w:rsid w:val="0D33268A"/>
    <w:rsid w:val="0D369BEB"/>
    <w:rsid w:val="0D473D62"/>
    <w:rsid w:val="0D85A88F"/>
    <w:rsid w:val="0DA2901D"/>
    <w:rsid w:val="0DA5C158"/>
    <w:rsid w:val="0DB6B596"/>
    <w:rsid w:val="0DD3E284"/>
    <w:rsid w:val="0E022501"/>
    <w:rsid w:val="0E16C3F0"/>
    <w:rsid w:val="0E198495"/>
    <w:rsid w:val="0E3BA937"/>
    <w:rsid w:val="0EA6181A"/>
    <w:rsid w:val="0EEAB831"/>
    <w:rsid w:val="0F08420B"/>
    <w:rsid w:val="0F0CFA3E"/>
    <w:rsid w:val="0F4E7308"/>
    <w:rsid w:val="0F5D6A8F"/>
    <w:rsid w:val="0F7993A3"/>
    <w:rsid w:val="0F981E41"/>
    <w:rsid w:val="0FB7187A"/>
    <w:rsid w:val="0FBF775D"/>
    <w:rsid w:val="0FD158C5"/>
    <w:rsid w:val="0FF1E257"/>
    <w:rsid w:val="0FFE8E1C"/>
    <w:rsid w:val="100AE4AC"/>
    <w:rsid w:val="10151B20"/>
    <w:rsid w:val="105D709F"/>
    <w:rsid w:val="1092C007"/>
    <w:rsid w:val="1098A543"/>
    <w:rsid w:val="11A690D8"/>
    <w:rsid w:val="11AD1994"/>
    <w:rsid w:val="11CD0C85"/>
    <w:rsid w:val="11FB208C"/>
    <w:rsid w:val="1202BDBB"/>
    <w:rsid w:val="128AF6B7"/>
    <w:rsid w:val="12F0CF48"/>
    <w:rsid w:val="132DBB4E"/>
    <w:rsid w:val="132F4443"/>
    <w:rsid w:val="13859118"/>
    <w:rsid w:val="13CDCE33"/>
    <w:rsid w:val="13D42A03"/>
    <w:rsid w:val="13D9D0BF"/>
    <w:rsid w:val="14107BB4"/>
    <w:rsid w:val="141A7EBC"/>
    <w:rsid w:val="14241BED"/>
    <w:rsid w:val="142DCF52"/>
    <w:rsid w:val="145A17D9"/>
    <w:rsid w:val="14BFBD52"/>
    <w:rsid w:val="14C803EF"/>
    <w:rsid w:val="14FE3BCC"/>
    <w:rsid w:val="155C0100"/>
    <w:rsid w:val="1560AC1C"/>
    <w:rsid w:val="158E9DF1"/>
    <w:rsid w:val="15AA66A3"/>
    <w:rsid w:val="15CE2562"/>
    <w:rsid w:val="15CE3BE8"/>
    <w:rsid w:val="161E1DFC"/>
    <w:rsid w:val="16767FA5"/>
    <w:rsid w:val="16DE9B7C"/>
    <w:rsid w:val="171DA82B"/>
    <w:rsid w:val="173CED4D"/>
    <w:rsid w:val="1770124C"/>
    <w:rsid w:val="17CFEF24"/>
    <w:rsid w:val="17FB0E89"/>
    <w:rsid w:val="17FE2729"/>
    <w:rsid w:val="182A5EA7"/>
    <w:rsid w:val="18552886"/>
    <w:rsid w:val="1895F145"/>
    <w:rsid w:val="18B4B814"/>
    <w:rsid w:val="18D53D80"/>
    <w:rsid w:val="18E69E48"/>
    <w:rsid w:val="18EAD8EF"/>
    <w:rsid w:val="19612D81"/>
    <w:rsid w:val="1971C080"/>
    <w:rsid w:val="1A5197A6"/>
    <w:rsid w:val="1A95EB0F"/>
    <w:rsid w:val="1B379F8D"/>
    <w:rsid w:val="1BCFEDE3"/>
    <w:rsid w:val="1BE8F327"/>
    <w:rsid w:val="1C14F652"/>
    <w:rsid w:val="1C4E605E"/>
    <w:rsid w:val="1C8EF1DE"/>
    <w:rsid w:val="1C98C97F"/>
    <w:rsid w:val="1CC81BEA"/>
    <w:rsid w:val="1CCB1B7A"/>
    <w:rsid w:val="1D14ACC2"/>
    <w:rsid w:val="1D283772"/>
    <w:rsid w:val="1D5EA8AD"/>
    <w:rsid w:val="1D86C0A6"/>
    <w:rsid w:val="1DBA6592"/>
    <w:rsid w:val="1E347118"/>
    <w:rsid w:val="1E55F398"/>
    <w:rsid w:val="1E582E91"/>
    <w:rsid w:val="1EBCF2D5"/>
    <w:rsid w:val="1EE97A06"/>
    <w:rsid w:val="1F0ABBDE"/>
    <w:rsid w:val="1F116515"/>
    <w:rsid w:val="1F2AA013"/>
    <w:rsid w:val="1F2E92D7"/>
    <w:rsid w:val="1F58BA36"/>
    <w:rsid w:val="1FD2E49A"/>
    <w:rsid w:val="1FFB6969"/>
    <w:rsid w:val="2014231E"/>
    <w:rsid w:val="203C4EB9"/>
    <w:rsid w:val="2057444D"/>
    <w:rsid w:val="2060043E"/>
    <w:rsid w:val="20CBB014"/>
    <w:rsid w:val="20D00257"/>
    <w:rsid w:val="20D12577"/>
    <w:rsid w:val="21052429"/>
    <w:rsid w:val="21231C65"/>
    <w:rsid w:val="214260C1"/>
    <w:rsid w:val="215A29EB"/>
    <w:rsid w:val="218B534B"/>
    <w:rsid w:val="21CBD4A8"/>
    <w:rsid w:val="2214763F"/>
    <w:rsid w:val="22190502"/>
    <w:rsid w:val="2236DE23"/>
    <w:rsid w:val="225DEE3C"/>
    <w:rsid w:val="227F1B12"/>
    <w:rsid w:val="228800C9"/>
    <w:rsid w:val="22B1E899"/>
    <w:rsid w:val="22C39E6F"/>
    <w:rsid w:val="2328B759"/>
    <w:rsid w:val="23330A2B"/>
    <w:rsid w:val="234E7586"/>
    <w:rsid w:val="2367A509"/>
    <w:rsid w:val="2374D613"/>
    <w:rsid w:val="23942C60"/>
    <w:rsid w:val="23F0C89E"/>
    <w:rsid w:val="245ADB1C"/>
    <w:rsid w:val="249C60CB"/>
    <w:rsid w:val="24A54F4F"/>
    <w:rsid w:val="24C8B221"/>
    <w:rsid w:val="24EB2C54"/>
    <w:rsid w:val="250DD7FB"/>
    <w:rsid w:val="254E41DC"/>
    <w:rsid w:val="258A28BD"/>
    <w:rsid w:val="25911108"/>
    <w:rsid w:val="2595BA02"/>
    <w:rsid w:val="25B6DFBA"/>
    <w:rsid w:val="25E7686E"/>
    <w:rsid w:val="25E8A18A"/>
    <w:rsid w:val="25FE5539"/>
    <w:rsid w:val="25FE881D"/>
    <w:rsid w:val="260B539A"/>
    <w:rsid w:val="262CF52D"/>
    <w:rsid w:val="266482E8"/>
    <w:rsid w:val="26817F4F"/>
    <w:rsid w:val="2682B137"/>
    <w:rsid w:val="26DAAF50"/>
    <w:rsid w:val="26F60212"/>
    <w:rsid w:val="27318A63"/>
    <w:rsid w:val="27581466"/>
    <w:rsid w:val="27A364CF"/>
    <w:rsid w:val="27D12E87"/>
    <w:rsid w:val="281636CF"/>
    <w:rsid w:val="282D9D52"/>
    <w:rsid w:val="283A8895"/>
    <w:rsid w:val="2847663B"/>
    <w:rsid w:val="28791823"/>
    <w:rsid w:val="2879CFE8"/>
    <w:rsid w:val="28840A92"/>
    <w:rsid w:val="28CB1F92"/>
    <w:rsid w:val="28DC33F9"/>
    <w:rsid w:val="293F4365"/>
    <w:rsid w:val="2991EE65"/>
    <w:rsid w:val="29EF3024"/>
    <w:rsid w:val="2A0ACC58"/>
    <w:rsid w:val="2A197191"/>
    <w:rsid w:val="2A1D5CF5"/>
    <w:rsid w:val="2A1D77C6"/>
    <w:rsid w:val="2A86799C"/>
    <w:rsid w:val="2ADC1B72"/>
    <w:rsid w:val="2B170FBE"/>
    <w:rsid w:val="2B19A4C7"/>
    <w:rsid w:val="2B2A60AD"/>
    <w:rsid w:val="2B307170"/>
    <w:rsid w:val="2B354479"/>
    <w:rsid w:val="2B4AA6D3"/>
    <w:rsid w:val="2B4F3EAC"/>
    <w:rsid w:val="2B9FC962"/>
    <w:rsid w:val="2BE8050C"/>
    <w:rsid w:val="2C327BC1"/>
    <w:rsid w:val="2C3FA282"/>
    <w:rsid w:val="2C717CB4"/>
    <w:rsid w:val="2CA1749B"/>
    <w:rsid w:val="2D0CA8EF"/>
    <w:rsid w:val="2D3B99C3"/>
    <w:rsid w:val="2D80570B"/>
    <w:rsid w:val="2DA47F63"/>
    <w:rsid w:val="2DC4A9D1"/>
    <w:rsid w:val="2DE7F4F0"/>
    <w:rsid w:val="2DFC188C"/>
    <w:rsid w:val="2DFCEA0F"/>
    <w:rsid w:val="2E00E9EC"/>
    <w:rsid w:val="2E7EF7D2"/>
    <w:rsid w:val="2E95B1F4"/>
    <w:rsid w:val="2EC4304C"/>
    <w:rsid w:val="2EFC4E98"/>
    <w:rsid w:val="2F38BD5B"/>
    <w:rsid w:val="2FAF56BE"/>
    <w:rsid w:val="2FF52576"/>
    <w:rsid w:val="3049944B"/>
    <w:rsid w:val="304A6D70"/>
    <w:rsid w:val="30A7ECF4"/>
    <w:rsid w:val="310DBB9E"/>
    <w:rsid w:val="31271F79"/>
    <w:rsid w:val="312B521E"/>
    <w:rsid w:val="31600C73"/>
    <w:rsid w:val="31AA8CDE"/>
    <w:rsid w:val="31B2AC3A"/>
    <w:rsid w:val="31D22C95"/>
    <w:rsid w:val="31E2C748"/>
    <w:rsid w:val="320C0953"/>
    <w:rsid w:val="3226D5E0"/>
    <w:rsid w:val="3232A8AA"/>
    <w:rsid w:val="32393298"/>
    <w:rsid w:val="324A6F46"/>
    <w:rsid w:val="327B70F4"/>
    <w:rsid w:val="32AD34D6"/>
    <w:rsid w:val="32B811BC"/>
    <w:rsid w:val="32B9BC27"/>
    <w:rsid w:val="32F3184F"/>
    <w:rsid w:val="32F9CDC4"/>
    <w:rsid w:val="33398597"/>
    <w:rsid w:val="33EEF1C2"/>
    <w:rsid w:val="3486935B"/>
    <w:rsid w:val="34FB8B3D"/>
    <w:rsid w:val="34FE7C53"/>
    <w:rsid w:val="350BA515"/>
    <w:rsid w:val="3513F99C"/>
    <w:rsid w:val="3549FDB0"/>
    <w:rsid w:val="35AB8FA9"/>
    <w:rsid w:val="35EFB27E"/>
    <w:rsid w:val="36278858"/>
    <w:rsid w:val="362E252F"/>
    <w:rsid w:val="36B12853"/>
    <w:rsid w:val="36DCC26E"/>
    <w:rsid w:val="36E60104"/>
    <w:rsid w:val="37269284"/>
    <w:rsid w:val="372DF8F5"/>
    <w:rsid w:val="3751C918"/>
    <w:rsid w:val="376DF094"/>
    <w:rsid w:val="37869D49"/>
    <w:rsid w:val="37CABF77"/>
    <w:rsid w:val="37D98000"/>
    <w:rsid w:val="3834AFC9"/>
    <w:rsid w:val="384726E9"/>
    <w:rsid w:val="3862E6C9"/>
    <w:rsid w:val="38B45A1B"/>
    <w:rsid w:val="38D678CF"/>
    <w:rsid w:val="38FC7B94"/>
    <w:rsid w:val="393875C1"/>
    <w:rsid w:val="398CFF13"/>
    <w:rsid w:val="39C4AA08"/>
    <w:rsid w:val="39DF2443"/>
    <w:rsid w:val="3A16105E"/>
    <w:rsid w:val="3A3BD42C"/>
    <w:rsid w:val="3A46DE65"/>
    <w:rsid w:val="3A5195DE"/>
    <w:rsid w:val="3A9B89C8"/>
    <w:rsid w:val="3AAC326C"/>
    <w:rsid w:val="3AB1508B"/>
    <w:rsid w:val="3AC7AE85"/>
    <w:rsid w:val="3BC3B90F"/>
    <w:rsid w:val="3BD893E7"/>
    <w:rsid w:val="3C26F896"/>
    <w:rsid w:val="3C758B52"/>
    <w:rsid w:val="3C77CE33"/>
    <w:rsid w:val="3C9EE269"/>
    <w:rsid w:val="3CA61CD4"/>
    <w:rsid w:val="3CBE0C5C"/>
    <w:rsid w:val="3D22BD33"/>
    <w:rsid w:val="3D2750FD"/>
    <w:rsid w:val="3D3899B1"/>
    <w:rsid w:val="3D46240E"/>
    <w:rsid w:val="3D6A58F4"/>
    <w:rsid w:val="3D7FCEBF"/>
    <w:rsid w:val="3D9CA8B3"/>
    <w:rsid w:val="3DAE6E04"/>
    <w:rsid w:val="3DAE8771"/>
    <w:rsid w:val="3DB1CB56"/>
    <w:rsid w:val="3DD5C4D9"/>
    <w:rsid w:val="3DE3D32E"/>
    <w:rsid w:val="3E4327FF"/>
    <w:rsid w:val="3E46C8EA"/>
    <w:rsid w:val="3E85243C"/>
    <w:rsid w:val="3E85843D"/>
    <w:rsid w:val="3E93CE22"/>
    <w:rsid w:val="3EAE268F"/>
    <w:rsid w:val="3ED6CFAB"/>
    <w:rsid w:val="3ED930BD"/>
    <w:rsid w:val="3F0364B3"/>
    <w:rsid w:val="3F371769"/>
    <w:rsid w:val="3F66984D"/>
    <w:rsid w:val="3FC77075"/>
    <w:rsid w:val="3FCDFF1F"/>
    <w:rsid w:val="3FF93247"/>
    <w:rsid w:val="4020A87D"/>
    <w:rsid w:val="40266786"/>
    <w:rsid w:val="402A9404"/>
    <w:rsid w:val="4099677F"/>
    <w:rsid w:val="40AAEB80"/>
    <w:rsid w:val="40D0AB27"/>
    <w:rsid w:val="412B1012"/>
    <w:rsid w:val="41E6D878"/>
    <w:rsid w:val="41FD206F"/>
    <w:rsid w:val="422C3E67"/>
    <w:rsid w:val="424FBC18"/>
    <w:rsid w:val="42F6D7F0"/>
    <w:rsid w:val="431C031A"/>
    <w:rsid w:val="4364EB4A"/>
    <w:rsid w:val="43FAD3FD"/>
    <w:rsid w:val="44362611"/>
    <w:rsid w:val="444280A4"/>
    <w:rsid w:val="4486D0CA"/>
    <w:rsid w:val="44976DAE"/>
    <w:rsid w:val="44B2CC90"/>
    <w:rsid w:val="44E51B0F"/>
    <w:rsid w:val="451E8227"/>
    <w:rsid w:val="4578D5F4"/>
    <w:rsid w:val="4582B534"/>
    <w:rsid w:val="459CB663"/>
    <w:rsid w:val="45ADE93A"/>
    <w:rsid w:val="45E53C7E"/>
    <w:rsid w:val="45E79367"/>
    <w:rsid w:val="463E13AC"/>
    <w:rsid w:val="46817989"/>
    <w:rsid w:val="46860BF3"/>
    <w:rsid w:val="469A23D7"/>
    <w:rsid w:val="46BA5288"/>
    <w:rsid w:val="46BACB82"/>
    <w:rsid w:val="46FE3A37"/>
    <w:rsid w:val="47194951"/>
    <w:rsid w:val="47476146"/>
    <w:rsid w:val="475FE27B"/>
    <w:rsid w:val="4797DA4B"/>
    <w:rsid w:val="479A90C0"/>
    <w:rsid w:val="47B770E4"/>
    <w:rsid w:val="48269C59"/>
    <w:rsid w:val="48449762"/>
    <w:rsid w:val="48B519B2"/>
    <w:rsid w:val="48FF9E18"/>
    <w:rsid w:val="4926A58A"/>
    <w:rsid w:val="495A41ED"/>
    <w:rsid w:val="498C12FC"/>
    <w:rsid w:val="49AF9E79"/>
    <w:rsid w:val="49B38168"/>
    <w:rsid w:val="49DC24E1"/>
    <w:rsid w:val="4A69C5DD"/>
    <w:rsid w:val="4AC9D514"/>
    <w:rsid w:val="4AD4B3BE"/>
    <w:rsid w:val="4ADB1F6B"/>
    <w:rsid w:val="4AEFA27C"/>
    <w:rsid w:val="4AF3BAF1"/>
    <w:rsid w:val="4B10DD40"/>
    <w:rsid w:val="4B20FE65"/>
    <w:rsid w:val="4B395C51"/>
    <w:rsid w:val="4B490A68"/>
    <w:rsid w:val="4B4BE79D"/>
    <w:rsid w:val="4B4E3104"/>
    <w:rsid w:val="4BA41544"/>
    <w:rsid w:val="4BD69CCB"/>
    <w:rsid w:val="4BE84904"/>
    <w:rsid w:val="4BEB300A"/>
    <w:rsid w:val="4BF1B819"/>
    <w:rsid w:val="4C54D0CD"/>
    <w:rsid w:val="4C6221B0"/>
    <w:rsid w:val="4CAA46A2"/>
    <w:rsid w:val="4CC7BE16"/>
    <w:rsid w:val="4CE18ACB"/>
    <w:rsid w:val="4D37535A"/>
    <w:rsid w:val="4D878FE6"/>
    <w:rsid w:val="4DA32EF5"/>
    <w:rsid w:val="4DCE1B9C"/>
    <w:rsid w:val="4DCF3CCB"/>
    <w:rsid w:val="4E099057"/>
    <w:rsid w:val="4E4E60E4"/>
    <w:rsid w:val="4F243D96"/>
    <w:rsid w:val="4F5CCD43"/>
    <w:rsid w:val="4F70E8BD"/>
    <w:rsid w:val="4F9257FC"/>
    <w:rsid w:val="4F9C0EB4"/>
    <w:rsid w:val="4FDDB9A9"/>
    <w:rsid w:val="4FE0BD11"/>
    <w:rsid w:val="500123C1"/>
    <w:rsid w:val="5016DB15"/>
    <w:rsid w:val="504B4AF2"/>
    <w:rsid w:val="508E7350"/>
    <w:rsid w:val="50D51B2F"/>
    <w:rsid w:val="50E689CB"/>
    <w:rsid w:val="511E3D4B"/>
    <w:rsid w:val="5144F672"/>
    <w:rsid w:val="5198163A"/>
    <w:rsid w:val="51B4FBEE"/>
    <w:rsid w:val="51DE3EA8"/>
    <w:rsid w:val="5234A139"/>
    <w:rsid w:val="5247CA95"/>
    <w:rsid w:val="52B99F70"/>
    <w:rsid w:val="52F5FA4F"/>
    <w:rsid w:val="532B4872"/>
    <w:rsid w:val="53493421"/>
    <w:rsid w:val="534F4028"/>
    <w:rsid w:val="535E1426"/>
    <w:rsid w:val="53BA3AA2"/>
    <w:rsid w:val="53DDAC42"/>
    <w:rsid w:val="541E1840"/>
    <w:rsid w:val="54578EFD"/>
    <w:rsid w:val="546DDE4F"/>
    <w:rsid w:val="54917002"/>
    <w:rsid w:val="54B0AC15"/>
    <w:rsid w:val="54C67E55"/>
    <w:rsid w:val="54E5D756"/>
    <w:rsid w:val="553CA842"/>
    <w:rsid w:val="5573C04A"/>
    <w:rsid w:val="558555A6"/>
    <w:rsid w:val="559FB396"/>
    <w:rsid w:val="55ED95D3"/>
    <w:rsid w:val="55FA3C72"/>
    <w:rsid w:val="5634BEE1"/>
    <w:rsid w:val="564D4FC3"/>
    <w:rsid w:val="564DB5D4"/>
    <w:rsid w:val="5665545E"/>
    <w:rsid w:val="568274BB"/>
    <w:rsid w:val="56846E17"/>
    <w:rsid w:val="568C7257"/>
    <w:rsid w:val="56A78DAD"/>
    <w:rsid w:val="56C40769"/>
    <w:rsid w:val="57047274"/>
    <w:rsid w:val="573B834D"/>
    <w:rsid w:val="574D31D5"/>
    <w:rsid w:val="5777E27C"/>
    <w:rsid w:val="579C3B37"/>
    <w:rsid w:val="57B4A451"/>
    <w:rsid w:val="57C2AEB8"/>
    <w:rsid w:val="57FF4E36"/>
    <w:rsid w:val="58074D26"/>
    <w:rsid w:val="5827422B"/>
    <w:rsid w:val="58344959"/>
    <w:rsid w:val="583A61AE"/>
    <w:rsid w:val="584DB2A8"/>
    <w:rsid w:val="584FE5FC"/>
    <w:rsid w:val="58603080"/>
    <w:rsid w:val="58836202"/>
    <w:rsid w:val="58921DAD"/>
    <w:rsid w:val="589CDE22"/>
    <w:rsid w:val="590FDF74"/>
    <w:rsid w:val="5913B2DD"/>
    <w:rsid w:val="5948633C"/>
    <w:rsid w:val="594C0CB8"/>
    <w:rsid w:val="59CFF69F"/>
    <w:rsid w:val="5A10BBBD"/>
    <w:rsid w:val="5A2122F8"/>
    <w:rsid w:val="5A3454E0"/>
    <w:rsid w:val="5A3C1336"/>
    <w:rsid w:val="5A427D56"/>
    <w:rsid w:val="5A62FBC3"/>
    <w:rsid w:val="5A97E5F8"/>
    <w:rsid w:val="5ABBB09E"/>
    <w:rsid w:val="5AE0E176"/>
    <w:rsid w:val="5AEFAD4B"/>
    <w:rsid w:val="5B0D22F6"/>
    <w:rsid w:val="5B150200"/>
    <w:rsid w:val="5B79ED80"/>
    <w:rsid w:val="5B8D6618"/>
    <w:rsid w:val="5BB771E4"/>
    <w:rsid w:val="5BC24C97"/>
    <w:rsid w:val="5BF18EEA"/>
    <w:rsid w:val="5C000E33"/>
    <w:rsid w:val="5C05C46C"/>
    <w:rsid w:val="5C23A78E"/>
    <w:rsid w:val="5C32BB73"/>
    <w:rsid w:val="5C33B659"/>
    <w:rsid w:val="5C39B0B6"/>
    <w:rsid w:val="5C421A95"/>
    <w:rsid w:val="5C630F8A"/>
    <w:rsid w:val="5C9579FD"/>
    <w:rsid w:val="5CCBE0EF"/>
    <w:rsid w:val="5D0ECC5D"/>
    <w:rsid w:val="5D2D94E1"/>
    <w:rsid w:val="5D6831F3"/>
    <w:rsid w:val="5DDDD5B4"/>
    <w:rsid w:val="5E35686F"/>
    <w:rsid w:val="5E60EF5F"/>
    <w:rsid w:val="5E74F184"/>
    <w:rsid w:val="5E90FE38"/>
    <w:rsid w:val="5E93A3D4"/>
    <w:rsid w:val="5EAB8248"/>
    <w:rsid w:val="5F029160"/>
    <w:rsid w:val="5F0EF579"/>
    <w:rsid w:val="5F1BAA76"/>
    <w:rsid w:val="5F259817"/>
    <w:rsid w:val="5F86B724"/>
    <w:rsid w:val="5F93E05D"/>
    <w:rsid w:val="5FA633C7"/>
    <w:rsid w:val="5FB151AF"/>
    <w:rsid w:val="5FBB54FA"/>
    <w:rsid w:val="5FEE0AED"/>
    <w:rsid w:val="600F0C82"/>
    <w:rsid w:val="6012B8B2"/>
    <w:rsid w:val="607F7FA0"/>
    <w:rsid w:val="60EC458A"/>
    <w:rsid w:val="60F14C55"/>
    <w:rsid w:val="60F8E107"/>
    <w:rsid w:val="61032BF2"/>
    <w:rsid w:val="610398D4"/>
    <w:rsid w:val="617A955C"/>
    <w:rsid w:val="618C7CD6"/>
    <w:rsid w:val="619802C8"/>
    <w:rsid w:val="61F5954E"/>
    <w:rsid w:val="621A5A4E"/>
    <w:rsid w:val="622BD86D"/>
    <w:rsid w:val="62953769"/>
    <w:rsid w:val="62A41463"/>
    <w:rsid w:val="62DBE44F"/>
    <w:rsid w:val="62DFA9FD"/>
    <w:rsid w:val="62FE630B"/>
    <w:rsid w:val="6381ADD5"/>
    <w:rsid w:val="63A06C18"/>
    <w:rsid w:val="63E42562"/>
    <w:rsid w:val="63F6B1D0"/>
    <w:rsid w:val="64259FE1"/>
    <w:rsid w:val="6426BD7B"/>
    <w:rsid w:val="64391AF8"/>
    <w:rsid w:val="656314B1"/>
    <w:rsid w:val="6580D03A"/>
    <w:rsid w:val="65A206A0"/>
    <w:rsid w:val="65BAC803"/>
    <w:rsid w:val="65E5E98A"/>
    <w:rsid w:val="660DAE4B"/>
    <w:rsid w:val="66939A52"/>
    <w:rsid w:val="66AE5A16"/>
    <w:rsid w:val="66B5C156"/>
    <w:rsid w:val="66B95474"/>
    <w:rsid w:val="66D7D9F8"/>
    <w:rsid w:val="66DC0572"/>
    <w:rsid w:val="66DDC1EB"/>
    <w:rsid w:val="67003100"/>
    <w:rsid w:val="672E63C2"/>
    <w:rsid w:val="675C1298"/>
    <w:rsid w:val="67CE6ABA"/>
    <w:rsid w:val="680D30FF"/>
    <w:rsid w:val="680E7D3B"/>
    <w:rsid w:val="684F44A0"/>
    <w:rsid w:val="68720BF9"/>
    <w:rsid w:val="6879924C"/>
    <w:rsid w:val="6880AA95"/>
    <w:rsid w:val="6886361E"/>
    <w:rsid w:val="68A60FE7"/>
    <w:rsid w:val="68FEEC32"/>
    <w:rsid w:val="6907E75E"/>
    <w:rsid w:val="694B6EDE"/>
    <w:rsid w:val="695BA3D1"/>
    <w:rsid w:val="69601BB1"/>
    <w:rsid w:val="697A72FC"/>
    <w:rsid w:val="69A5F979"/>
    <w:rsid w:val="69C9B38D"/>
    <w:rsid w:val="69F13C73"/>
    <w:rsid w:val="6A5E85B5"/>
    <w:rsid w:val="6A5EA753"/>
    <w:rsid w:val="6A6E8606"/>
    <w:rsid w:val="6A7840F5"/>
    <w:rsid w:val="6A83CB09"/>
    <w:rsid w:val="6A928CFD"/>
    <w:rsid w:val="6A972DD3"/>
    <w:rsid w:val="6AA25D9B"/>
    <w:rsid w:val="6AF276E2"/>
    <w:rsid w:val="6B0651A5"/>
    <w:rsid w:val="6B06CE9A"/>
    <w:rsid w:val="6B15C5F6"/>
    <w:rsid w:val="6B1A3A86"/>
    <w:rsid w:val="6B42FE75"/>
    <w:rsid w:val="6B9DC32A"/>
    <w:rsid w:val="6BAC09D1"/>
    <w:rsid w:val="6BB7FD89"/>
    <w:rsid w:val="6BC44F5C"/>
    <w:rsid w:val="6C467D40"/>
    <w:rsid w:val="6C46FD1A"/>
    <w:rsid w:val="6C6591CA"/>
    <w:rsid w:val="6C8A5769"/>
    <w:rsid w:val="6C996C9D"/>
    <w:rsid w:val="6CCF7A63"/>
    <w:rsid w:val="6CDE2649"/>
    <w:rsid w:val="6D31993C"/>
    <w:rsid w:val="6D36FFF5"/>
    <w:rsid w:val="6D4A07AF"/>
    <w:rsid w:val="6D684EC6"/>
    <w:rsid w:val="6D6CF647"/>
    <w:rsid w:val="6D93118C"/>
    <w:rsid w:val="6D9A1607"/>
    <w:rsid w:val="6DB54023"/>
    <w:rsid w:val="6DB989F7"/>
    <w:rsid w:val="6DBD2BF7"/>
    <w:rsid w:val="6DD1D0E6"/>
    <w:rsid w:val="6E493E79"/>
    <w:rsid w:val="6E729C0B"/>
    <w:rsid w:val="6E80F941"/>
    <w:rsid w:val="6E888694"/>
    <w:rsid w:val="6E99870A"/>
    <w:rsid w:val="6F066C32"/>
    <w:rsid w:val="6F14C930"/>
    <w:rsid w:val="6F72650C"/>
    <w:rsid w:val="6F7DE07E"/>
    <w:rsid w:val="6F966178"/>
    <w:rsid w:val="6FA70E62"/>
    <w:rsid w:val="6FEAB486"/>
    <w:rsid w:val="703AC9A5"/>
    <w:rsid w:val="704665F7"/>
    <w:rsid w:val="709082FA"/>
    <w:rsid w:val="70AEB128"/>
    <w:rsid w:val="70C57DF2"/>
    <w:rsid w:val="712EFBFC"/>
    <w:rsid w:val="71EC8A0C"/>
    <w:rsid w:val="72273F0D"/>
    <w:rsid w:val="7229346B"/>
    <w:rsid w:val="722F46E2"/>
    <w:rsid w:val="72421C2E"/>
    <w:rsid w:val="724AD703"/>
    <w:rsid w:val="727464BF"/>
    <w:rsid w:val="727F1C57"/>
    <w:rsid w:val="72D9DF00"/>
    <w:rsid w:val="7383A772"/>
    <w:rsid w:val="7399BC79"/>
    <w:rsid w:val="739BAABE"/>
    <w:rsid w:val="73BE3197"/>
    <w:rsid w:val="73FA3698"/>
    <w:rsid w:val="74111B4D"/>
    <w:rsid w:val="74336B2F"/>
    <w:rsid w:val="747EC395"/>
    <w:rsid w:val="74AFF940"/>
    <w:rsid w:val="74BF44CB"/>
    <w:rsid w:val="752ECA49"/>
    <w:rsid w:val="75645377"/>
    <w:rsid w:val="7583AFC6"/>
    <w:rsid w:val="758C612E"/>
    <w:rsid w:val="759BA460"/>
    <w:rsid w:val="75A7D273"/>
    <w:rsid w:val="75CA327F"/>
    <w:rsid w:val="760030DD"/>
    <w:rsid w:val="760C96E8"/>
    <w:rsid w:val="7653397A"/>
    <w:rsid w:val="766B6AD6"/>
    <w:rsid w:val="7675B987"/>
    <w:rsid w:val="767F44C3"/>
    <w:rsid w:val="768424A1"/>
    <w:rsid w:val="76A1F2CA"/>
    <w:rsid w:val="76BDF1E6"/>
    <w:rsid w:val="76CA5C19"/>
    <w:rsid w:val="76D3F9DC"/>
    <w:rsid w:val="76DA7FE8"/>
    <w:rsid w:val="7720F0E9"/>
    <w:rsid w:val="775A549C"/>
    <w:rsid w:val="777FFB46"/>
    <w:rsid w:val="77803C1E"/>
    <w:rsid w:val="778FF563"/>
    <w:rsid w:val="77930554"/>
    <w:rsid w:val="77A18FA9"/>
    <w:rsid w:val="77C9BAEE"/>
    <w:rsid w:val="780E7A93"/>
    <w:rsid w:val="7818203F"/>
    <w:rsid w:val="78953ED2"/>
    <w:rsid w:val="78C4DF69"/>
    <w:rsid w:val="78C7B383"/>
    <w:rsid w:val="78CDE271"/>
    <w:rsid w:val="790231E6"/>
    <w:rsid w:val="794D15E1"/>
    <w:rsid w:val="79559532"/>
    <w:rsid w:val="797D3B18"/>
    <w:rsid w:val="7982E53D"/>
    <w:rsid w:val="79D75133"/>
    <w:rsid w:val="7A0333BB"/>
    <w:rsid w:val="7A13D5B3"/>
    <w:rsid w:val="7A52F82D"/>
    <w:rsid w:val="7A7CA9CB"/>
    <w:rsid w:val="7A85F1C8"/>
    <w:rsid w:val="7B2B2833"/>
    <w:rsid w:val="7B780BAD"/>
    <w:rsid w:val="7BE2B993"/>
    <w:rsid w:val="7BE32025"/>
    <w:rsid w:val="7BE6E6F0"/>
    <w:rsid w:val="7C389606"/>
    <w:rsid w:val="7C443B42"/>
    <w:rsid w:val="7C643DE0"/>
    <w:rsid w:val="7C6FB2E1"/>
    <w:rsid w:val="7C9FAF98"/>
    <w:rsid w:val="7CBF17D3"/>
    <w:rsid w:val="7CD6F5F9"/>
    <w:rsid w:val="7D19A734"/>
    <w:rsid w:val="7D495A6B"/>
    <w:rsid w:val="7D5F8937"/>
    <w:rsid w:val="7D88B39C"/>
    <w:rsid w:val="7DA548F4"/>
    <w:rsid w:val="7DAFB8F7"/>
    <w:rsid w:val="7E13A427"/>
    <w:rsid w:val="7E1F3B4E"/>
    <w:rsid w:val="7E2A5525"/>
    <w:rsid w:val="7E308307"/>
    <w:rsid w:val="7E3C304A"/>
    <w:rsid w:val="7E7D028A"/>
    <w:rsid w:val="7EB04D1C"/>
    <w:rsid w:val="7EEFCE94"/>
    <w:rsid w:val="7EFA589E"/>
    <w:rsid w:val="7FA8C5FF"/>
    <w:rsid w:val="7FAED46D"/>
    <w:rsid w:val="7FCB4331"/>
    <w:rsid w:val="7FDB56F5"/>
    <w:rsid w:val="7FE2D59D"/>
    <w:rsid w:val="7FE41CED"/>
    <w:rsid w:val="7FF5B4C9"/>
    <w:rsid w:val="7FFD3E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7DD5C"/>
  <w15:docId w15:val="{38167F00-5C56-4416-9375-006C271B7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761"/>
    <w:rPr>
      <w:sz w:val="24"/>
    </w:rPr>
  </w:style>
  <w:style w:type="paragraph" w:styleId="Heading1">
    <w:name w:val="heading 1"/>
    <w:basedOn w:val="Normal"/>
    <w:next w:val="Normal"/>
    <w:link w:val="Heading1Char"/>
    <w:autoRedefine/>
    <w:uiPriority w:val="9"/>
    <w:qFormat/>
    <w:rsid w:val="009661FA"/>
    <w:pPr>
      <w:keepNext/>
      <w:keepLines/>
      <w:spacing w:before="240" w:after="120"/>
      <w:outlineLvl w:val="0"/>
    </w:pPr>
    <w:rPr>
      <w:rFonts w:asciiTheme="majorHAnsi" w:eastAsiaTheme="majorEastAsia" w:hAnsiTheme="majorHAnsi" w:cstheme="majorBidi"/>
      <w:b/>
      <w:color w:val="4472C4" w:themeColor="accent1"/>
      <w:sz w:val="32"/>
      <w:szCs w:val="32"/>
    </w:rPr>
  </w:style>
  <w:style w:type="paragraph" w:styleId="Heading2">
    <w:name w:val="heading 2"/>
    <w:basedOn w:val="Normal"/>
    <w:next w:val="Normal"/>
    <w:link w:val="Heading2Char"/>
    <w:uiPriority w:val="9"/>
    <w:unhideWhenUsed/>
    <w:qFormat/>
    <w:rsid w:val="00B24A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5123F4"/>
    <w:pPr>
      <w:spacing w:after="0" w:line="240" w:lineRule="auto"/>
    </w:pPr>
    <w:tblPr>
      <w:tblBorders>
        <w:top w:val="single" w:sz="8" w:space="0" w:color="auto"/>
        <w:bottom w:val="single" w:sz="8" w:space="0" w:color="auto"/>
      </w:tblBorders>
    </w:tblPr>
    <w:tblStylePr w:type="firstRow">
      <w:tblPr/>
      <w:tcPr>
        <w:tcBorders>
          <w:top w:val="single" w:sz="8" w:space="0" w:color="auto"/>
          <w:left w:val="nil"/>
          <w:bottom w:val="single" w:sz="8" w:space="0" w:color="auto"/>
          <w:right w:val="nil"/>
          <w:insideH w:val="nil"/>
          <w:insideV w:val="nil"/>
          <w:tl2br w:val="nil"/>
          <w:tr2bl w:val="nil"/>
        </w:tcBorders>
        <w:shd w:val="clear" w:color="auto" w:fill="EDEDED" w:themeFill="accent3" w:themeFillTint="33"/>
      </w:tcPr>
    </w:tblStylePr>
  </w:style>
  <w:style w:type="table" w:customStyle="1" w:styleId="Reg-Title">
    <w:name w:val="Reg-Title"/>
    <w:basedOn w:val="TableGrid"/>
    <w:uiPriority w:val="99"/>
    <w:rsid w:val="005123F4"/>
    <w:rPr>
      <w:color w:val="FFFFFF" w:themeColor="background1"/>
      <w:sz w:val="24"/>
    </w:rPr>
    <w:tblPr/>
    <w:tcPr>
      <w:shd w:val="clear" w:color="auto" w:fill="525252" w:themeFill="accent3" w:themeFillShade="80"/>
    </w:tcPr>
  </w:style>
  <w:style w:type="table" w:styleId="TableGrid">
    <w:name w:val="Table Grid"/>
    <w:basedOn w:val="TableNormal"/>
    <w:uiPriority w:val="39"/>
    <w:rsid w:val="00512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Pr>
  </w:style>
  <w:style w:type="table" w:styleId="TableGridLight">
    <w:name w:val="Grid Table Light"/>
    <w:aliases w:val="statewide-title"/>
    <w:basedOn w:val="TableNormal"/>
    <w:uiPriority w:val="40"/>
    <w:rsid w:val="001407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525252" w:themeFill="accent3" w:themeFillShade="80"/>
    </w:tcPr>
  </w:style>
  <w:style w:type="character" w:styleId="Hyperlink">
    <w:name w:val="Hyperlink"/>
    <w:basedOn w:val="DefaultParagraphFont"/>
    <w:uiPriority w:val="99"/>
    <w:unhideWhenUsed/>
    <w:rsid w:val="00392EAF"/>
    <w:rPr>
      <w:color w:val="0563C1" w:themeColor="hyperlink"/>
      <w:u w:val="single"/>
    </w:rPr>
  </w:style>
  <w:style w:type="character" w:styleId="UnresolvedMention">
    <w:name w:val="Unresolved Mention"/>
    <w:basedOn w:val="DefaultParagraphFont"/>
    <w:uiPriority w:val="99"/>
    <w:semiHidden/>
    <w:unhideWhenUsed/>
    <w:rsid w:val="00392EAF"/>
    <w:rPr>
      <w:color w:val="605E5C"/>
      <w:shd w:val="clear" w:color="auto" w:fill="E1DFDD"/>
    </w:rPr>
  </w:style>
  <w:style w:type="paragraph" w:styleId="Header">
    <w:name w:val="header"/>
    <w:basedOn w:val="Normal"/>
    <w:link w:val="HeaderChar"/>
    <w:uiPriority w:val="99"/>
    <w:unhideWhenUsed/>
    <w:rsid w:val="00996F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6F3A"/>
  </w:style>
  <w:style w:type="paragraph" w:styleId="Footer">
    <w:name w:val="footer"/>
    <w:basedOn w:val="Normal"/>
    <w:link w:val="FooterChar"/>
    <w:uiPriority w:val="99"/>
    <w:unhideWhenUsed/>
    <w:rsid w:val="00996F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6F3A"/>
  </w:style>
  <w:style w:type="character" w:customStyle="1" w:styleId="Heading1Char">
    <w:name w:val="Heading 1 Char"/>
    <w:basedOn w:val="DefaultParagraphFont"/>
    <w:link w:val="Heading1"/>
    <w:uiPriority w:val="9"/>
    <w:rsid w:val="009661FA"/>
    <w:rPr>
      <w:rFonts w:asciiTheme="majorHAnsi" w:eastAsiaTheme="majorEastAsia" w:hAnsiTheme="majorHAnsi" w:cstheme="majorBidi"/>
      <w:b/>
      <w:color w:val="4472C4" w:themeColor="accent1"/>
      <w:sz w:val="32"/>
      <w:szCs w:val="32"/>
    </w:rPr>
  </w:style>
  <w:style w:type="paragraph" w:styleId="TOCHeading">
    <w:name w:val="TOC Heading"/>
    <w:basedOn w:val="Heading1"/>
    <w:next w:val="Normal"/>
    <w:uiPriority w:val="39"/>
    <w:unhideWhenUsed/>
    <w:qFormat/>
    <w:rsid w:val="00996F3A"/>
    <w:pPr>
      <w:outlineLvl w:val="9"/>
    </w:pPr>
  </w:style>
  <w:style w:type="paragraph" w:styleId="FootnoteText">
    <w:name w:val="footnote text"/>
    <w:basedOn w:val="Normal"/>
    <w:link w:val="FootnoteTextChar"/>
    <w:uiPriority w:val="99"/>
    <w:semiHidden/>
    <w:unhideWhenUsed/>
    <w:rsid w:val="001C28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2856"/>
    <w:rPr>
      <w:sz w:val="20"/>
      <w:szCs w:val="20"/>
    </w:rPr>
  </w:style>
  <w:style w:type="character" w:styleId="FootnoteReference">
    <w:name w:val="footnote reference"/>
    <w:basedOn w:val="DefaultParagraphFont"/>
    <w:semiHidden/>
    <w:unhideWhenUsed/>
    <w:rsid w:val="001C2856"/>
    <w:rPr>
      <w:vertAlign w:val="superscript"/>
    </w:rPr>
  </w:style>
  <w:style w:type="paragraph" w:styleId="NormalWeb">
    <w:name w:val="Normal (Web)"/>
    <w:basedOn w:val="Normal"/>
    <w:uiPriority w:val="99"/>
    <w:semiHidden/>
    <w:unhideWhenUsed/>
    <w:rsid w:val="001C2856"/>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uiPriority w:val="34"/>
    <w:qFormat/>
    <w:rsid w:val="001C2856"/>
    <w:pPr>
      <w:ind w:left="720"/>
      <w:contextualSpacing/>
    </w:pPr>
  </w:style>
  <w:style w:type="paragraph" w:styleId="TOC1">
    <w:name w:val="toc 1"/>
    <w:basedOn w:val="Normal"/>
    <w:next w:val="Normal"/>
    <w:autoRedefine/>
    <w:uiPriority w:val="39"/>
    <w:unhideWhenUsed/>
    <w:rsid w:val="00B4125E"/>
    <w:pPr>
      <w:spacing w:after="100"/>
    </w:pPr>
  </w:style>
  <w:style w:type="paragraph" w:styleId="Revision">
    <w:name w:val="Revision"/>
    <w:hidden/>
    <w:uiPriority w:val="99"/>
    <w:semiHidden/>
    <w:rsid w:val="004820E3"/>
    <w:pPr>
      <w:spacing w:after="0" w:line="240" w:lineRule="auto"/>
    </w:pPr>
    <w:rPr>
      <w:sz w:val="24"/>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C76C8"/>
    <w:rPr>
      <w:b/>
      <w:bCs/>
    </w:rPr>
  </w:style>
  <w:style w:type="character" w:customStyle="1" w:styleId="CommentSubjectChar">
    <w:name w:val="Comment Subject Char"/>
    <w:basedOn w:val="CommentTextChar"/>
    <w:link w:val="CommentSubject"/>
    <w:uiPriority w:val="99"/>
    <w:semiHidden/>
    <w:rsid w:val="004C76C8"/>
    <w:rPr>
      <w:b/>
      <w:bCs/>
      <w:sz w:val="20"/>
      <w:szCs w:val="20"/>
    </w:rPr>
  </w:style>
  <w:style w:type="paragraph" w:customStyle="1" w:styleId="Style2">
    <w:name w:val="Style2"/>
    <w:basedOn w:val="Normal"/>
    <w:link w:val="Style2Char"/>
    <w:qFormat/>
    <w:rsid w:val="00B91A81"/>
    <w:rPr>
      <w:rFonts w:ascii="Arial" w:hAnsi="Arial" w:cs="Arial"/>
      <w:szCs w:val="24"/>
    </w:rPr>
  </w:style>
  <w:style w:type="character" w:customStyle="1" w:styleId="Style2Char">
    <w:name w:val="Style2 Char"/>
    <w:basedOn w:val="DefaultParagraphFont"/>
    <w:link w:val="Style2"/>
    <w:rsid w:val="00B91A81"/>
    <w:rPr>
      <w:rFonts w:ascii="Arial" w:hAnsi="Arial" w:cs="Arial"/>
      <w:sz w:val="24"/>
      <w:szCs w:val="24"/>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9F0E92"/>
    <w:rPr>
      <w:color w:val="954F72" w:themeColor="followedHyperlink"/>
      <w:u w:val="single"/>
    </w:rPr>
  </w:style>
  <w:style w:type="paragraph" w:customStyle="1" w:styleId="pf0">
    <w:name w:val="pf0"/>
    <w:basedOn w:val="Normal"/>
    <w:rsid w:val="00A36B45"/>
    <w:pPr>
      <w:spacing w:before="100" w:beforeAutospacing="1" w:after="100" w:afterAutospacing="1" w:line="240" w:lineRule="auto"/>
    </w:pPr>
    <w:rPr>
      <w:rFonts w:ascii="Times New Roman" w:eastAsia="Times New Roman" w:hAnsi="Times New Roman" w:cs="Times New Roman"/>
      <w:szCs w:val="24"/>
    </w:rPr>
  </w:style>
  <w:style w:type="character" w:customStyle="1" w:styleId="cf01">
    <w:name w:val="cf01"/>
    <w:basedOn w:val="DefaultParagraphFont"/>
    <w:rsid w:val="00A36B45"/>
    <w:rPr>
      <w:rFonts w:ascii="Segoe UI" w:hAnsi="Segoe UI" w:cs="Segoe UI" w:hint="default"/>
      <w:sz w:val="18"/>
      <w:szCs w:val="18"/>
    </w:rPr>
  </w:style>
  <w:style w:type="character" w:customStyle="1" w:styleId="normaltextrun">
    <w:name w:val="normaltextrun"/>
    <w:basedOn w:val="DefaultParagraphFont"/>
    <w:rsid w:val="005968A4"/>
  </w:style>
  <w:style w:type="character" w:customStyle="1" w:styleId="Heading2Char">
    <w:name w:val="Heading 2 Char"/>
    <w:basedOn w:val="DefaultParagraphFont"/>
    <w:link w:val="Heading2"/>
    <w:uiPriority w:val="9"/>
    <w:rsid w:val="00B24AED"/>
    <w:rPr>
      <w:rFonts w:asciiTheme="majorHAnsi" w:eastAsiaTheme="majorEastAsia" w:hAnsiTheme="majorHAnsi" w:cstheme="majorBidi"/>
      <w:color w:val="2F5496" w:themeColor="accent1" w:themeShade="BF"/>
      <w:sz w:val="26"/>
      <w:szCs w:val="26"/>
    </w:rPr>
  </w:style>
  <w:style w:type="paragraph" w:styleId="BodyText2">
    <w:name w:val="Body Text 2"/>
    <w:basedOn w:val="Normal"/>
    <w:link w:val="BodyText2Char"/>
    <w:rsid w:val="00B24AED"/>
    <w:pPr>
      <w:spacing w:after="120" w:line="480" w:lineRule="auto"/>
    </w:pPr>
    <w:rPr>
      <w:rFonts w:ascii="Times New Roman" w:eastAsia="Times New Roman" w:hAnsi="Times New Roman" w:cs="Times New Roman"/>
      <w:szCs w:val="24"/>
    </w:rPr>
  </w:style>
  <w:style w:type="character" w:customStyle="1" w:styleId="BodyText2Char">
    <w:name w:val="Body Text 2 Char"/>
    <w:basedOn w:val="DefaultParagraphFont"/>
    <w:link w:val="BodyText2"/>
    <w:rsid w:val="00B24AED"/>
    <w:rPr>
      <w:rFonts w:ascii="Times New Roman" w:eastAsia="Times New Roman" w:hAnsi="Times New Roman" w:cs="Times New Roman"/>
      <w:sz w:val="24"/>
      <w:szCs w:val="24"/>
    </w:rPr>
  </w:style>
  <w:style w:type="paragraph" w:styleId="HTMLPreformatted">
    <w:name w:val="HTML Preformatted"/>
    <w:basedOn w:val="Normal"/>
    <w:link w:val="HTMLPreformattedChar"/>
    <w:rsid w:val="00B24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B24AED"/>
    <w:rPr>
      <w:rFonts w:ascii="Courier New" w:eastAsia="Times New Roman" w:hAnsi="Courier New" w:cs="Courier New"/>
      <w:sz w:val="20"/>
      <w:szCs w:val="20"/>
    </w:rPr>
  </w:style>
  <w:style w:type="character" w:styleId="HTMLTypewriter">
    <w:name w:val="HTML Typewriter"/>
    <w:rsid w:val="00B24AED"/>
    <w:rPr>
      <w:rFonts w:ascii="Courier New" w:eastAsia="Times New Roman" w:hAnsi="Courier New" w:cs="Courier New" w:hint="default"/>
      <w:sz w:val="20"/>
      <w:szCs w:val="20"/>
    </w:rPr>
  </w:style>
  <w:style w:type="table" w:styleId="PlainTable2">
    <w:name w:val="Plain Table 2"/>
    <w:basedOn w:val="TableNormal"/>
    <w:uiPriority w:val="42"/>
    <w:rsid w:val="00B24AE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2">
    <w:name w:val="toc 2"/>
    <w:basedOn w:val="Normal"/>
    <w:next w:val="Normal"/>
    <w:autoRedefine/>
    <w:uiPriority w:val="39"/>
    <w:unhideWhenUsed/>
    <w:rsid w:val="00FE0430"/>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5413">
      <w:bodyDiv w:val="1"/>
      <w:marLeft w:val="0"/>
      <w:marRight w:val="0"/>
      <w:marTop w:val="0"/>
      <w:marBottom w:val="0"/>
      <w:divBdr>
        <w:top w:val="none" w:sz="0" w:space="0" w:color="auto"/>
        <w:left w:val="none" w:sz="0" w:space="0" w:color="auto"/>
        <w:bottom w:val="none" w:sz="0" w:space="0" w:color="auto"/>
        <w:right w:val="none" w:sz="0" w:space="0" w:color="auto"/>
      </w:divBdr>
    </w:div>
    <w:div w:id="19551381">
      <w:bodyDiv w:val="1"/>
      <w:marLeft w:val="0"/>
      <w:marRight w:val="0"/>
      <w:marTop w:val="0"/>
      <w:marBottom w:val="0"/>
      <w:divBdr>
        <w:top w:val="none" w:sz="0" w:space="0" w:color="auto"/>
        <w:left w:val="none" w:sz="0" w:space="0" w:color="auto"/>
        <w:bottom w:val="none" w:sz="0" w:space="0" w:color="auto"/>
        <w:right w:val="none" w:sz="0" w:space="0" w:color="auto"/>
      </w:divBdr>
    </w:div>
    <w:div w:id="19934055">
      <w:bodyDiv w:val="1"/>
      <w:marLeft w:val="0"/>
      <w:marRight w:val="0"/>
      <w:marTop w:val="0"/>
      <w:marBottom w:val="0"/>
      <w:divBdr>
        <w:top w:val="none" w:sz="0" w:space="0" w:color="auto"/>
        <w:left w:val="none" w:sz="0" w:space="0" w:color="auto"/>
        <w:bottom w:val="none" w:sz="0" w:space="0" w:color="auto"/>
        <w:right w:val="none" w:sz="0" w:space="0" w:color="auto"/>
      </w:divBdr>
    </w:div>
    <w:div w:id="28073568">
      <w:bodyDiv w:val="1"/>
      <w:marLeft w:val="0"/>
      <w:marRight w:val="0"/>
      <w:marTop w:val="0"/>
      <w:marBottom w:val="0"/>
      <w:divBdr>
        <w:top w:val="none" w:sz="0" w:space="0" w:color="auto"/>
        <w:left w:val="none" w:sz="0" w:space="0" w:color="auto"/>
        <w:bottom w:val="none" w:sz="0" w:space="0" w:color="auto"/>
        <w:right w:val="none" w:sz="0" w:space="0" w:color="auto"/>
      </w:divBdr>
    </w:div>
    <w:div w:id="31392312">
      <w:bodyDiv w:val="1"/>
      <w:marLeft w:val="0"/>
      <w:marRight w:val="0"/>
      <w:marTop w:val="0"/>
      <w:marBottom w:val="0"/>
      <w:divBdr>
        <w:top w:val="none" w:sz="0" w:space="0" w:color="auto"/>
        <w:left w:val="none" w:sz="0" w:space="0" w:color="auto"/>
        <w:bottom w:val="none" w:sz="0" w:space="0" w:color="auto"/>
        <w:right w:val="none" w:sz="0" w:space="0" w:color="auto"/>
      </w:divBdr>
      <w:divsChild>
        <w:div w:id="365758605">
          <w:marLeft w:val="274"/>
          <w:marRight w:val="0"/>
          <w:marTop w:val="0"/>
          <w:marBottom w:val="0"/>
          <w:divBdr>
            <w:top w:val="none" w:sz="0" w:space="0" w:color="auto"/>
            <w:left w:val="none" w:sz="0" w:space="0" w:color="auto"/>
            <w:bottom w:val="none" w:sz="0" w:space="0" w:color="auto"/>
            <w:right w:val="none" w:sz="0" w:space="0" w:color="auto"/>
          </w:divBdr>
        </w:div>
        <w:div w:id="680205060">
          <w:marLeft w:val="274"/>
          <w:marRight w:val="0"/>
          <w:marTop w:val="0"/>
          <w:marBottom w:val="0"/>
          <w:divBdr>
            <w:top w:val="none" w:sz="0" w:space="0" w:color="auto"/>
            <w:left w:val="none" w:sz="0" w:space="0" w:color="auto"/>
            <w:bottom w:val="none" w:sz="0" w:space="0" w:color="auto"/>
            <w:right w:val="none" w:sz="0" w:space="0" w:color="auto"/>
          </w:divBdr>
        </w:div>
        <w:div w:id="741678048">
          <w:marLeft w:val="274"/>
          <w:marRight w:val="0"/>
          <w:marTop w:val="0"/>
          <w:marBottom w:val="0"/>
          <w:divBdr>
            <w:top w:val="none" w:sz="0" w:space="0" w:color="auto"/>
            <w:left w:val="none" w:sz="0" w:space="0" w:color="auto"/>
            <w:bottom w:val="none" w:sz="0" w:space="0" w:color="auto"/>
            <w:right w:val="none" w:sz="0" w:space="0" w:color="auto"/>
          </w:divBdr>
        </w:div>
        <w:div w:id="1390038366">
          <w:marLeft w:val="274"/>
          <w:marRight w:val="0"/>
          <w:marTop w:val="0"/>
          <w:marBottom w:val="0"/>
          <w:divBdr>
            <w:top w:val="none" w:sz="0" w:space="0" w:color="auto"/>
            <w:left w:val="none" w:sz="0" w:space="0" w:color="auto"/>
            <w:bottom w:val="none" w:sz="0" w:space="0" w:color="auto"/>
            <w:right w:val="none" w:sz="0" w:space="0" w:color="auto"/>
          </w:divBdr>
        </w:div>
        <w:div w:id="1515611477">
          <w:marLeft w:val="274"/>
          <w:marRight w:val="0"/>
          <w:marTop w:val="0"/>
          <w:marBottom w:val="0"/>
          <w:divBdr>
            <w:top w:val="none" w:sz="0" w:space="0" w:color="auto"/>
            <w:left w:val="none" w:sz="0" w:space="0" w:color="auto"/>
            <w:bottom w:val="none" w:sz="0" w:space="0" w:color="auto"/>
            <w:right w:val="none" w:sz="0" w:space="0" w:color="auto"/>
          </w:divBdr>
        </w:div>
        <w:div w:id="1694185409">
          <w:marLeft w:val="274"/>
          <w:marRight w:val="0"/>
          <w:marTop w:val="0"/>
          <w:marBottom w:val="0"/>
          <w:divBdr>
            <w:top w:val="none" w:sz="0" w:space="0" w:color="auto"/>
            <w:left w:val="none" w:sz="0" w:space="0" w:color="auto"/>
            <w:bottom w:val="none" w:sz="0" w:space="0" w:color="auto"/>
            <w:right w:val="none" w:sz="0" w:space="0" w:color="auto"/>
          </w:divBdr>
        </w:div>
      </w:divsChild>
    </w:div>
    <w:div w:id="40829253">
      <w:bodyDiv w:val="1"/>
      <w:marLeft w:val="0"/>
      <w:marRight w:val="0"/>
      <w:marTop w:val="0"/>
      <w:marBottom w:val="0"/>
      <w:divBdr>
        <w:top w:val="none" w:sz="0" w:space="0" w:color="auto"/>
        <w:left w:val="none" w:sz="0" w:space="0" w:color="auto"/>
        <w:bottom w:val="none" w:sz="0" w:space="0" w:color="auto"/>
        <w:right w:val="none" w:sz="0" w:space="0" w:color="auto"/>
      </w:divBdr>
    </w:div>
    <w:div w:id="50083935">
      <w:bodyDiv w:val="1"/>
      <w:marLeft w:val="0"/>
      <w:marRight w:val="0"/>
      <w:marTop w:val="0"/>
      <w:marBottom w:val="0"/>
      <w:divBdr>
        <w:top w:val="none" w:sz="0" w:space="0" w:color="auto"/>
        <w:left w:val="none" w:sz="0" w:space="0" w:color="auto"/>
        <w:bottom w:val="none" w:sz="0" w:space="0" w:color="auto"/>
        <w:right w:val="none" w:sz="0" w:space="0" w:color="auto"/>
      </w:divBdr>
    </w:div>
    <w:div w:id="56248246">
      <w:bodyDiv w:val="1"/>
      <w:marLeft w:val="0"/>
      <w:marRight w:val="0"/>
      <w:marTop w:val="0"/>
      <w:marBottom w:val="0"/>
      <w:divBdr>
        <w:top w:val="none" w:sz="0" w:space="0" w:color="auto"/>
        <w:left w:val="none" w:sz="0" w:space="0" w:color="auto"/>
        <w:bottom w:val="none" w:sz="0" w:space="0" w:color="auto"/>
        <w:right w:val="none" w:sz="0" w:space="0" w:color="auto"/>
      </w:divBdr>
      <w:divsChild>
        <w:div w:id="1921789084">
          <w:marLeft w:val="274"/>
          <w:marRight w:val="0"/>
          <w:marTop w:val="0"/>
          <w:marBottom w:val="120"/>
          <w:divBdr>
            <w:top w:val="none" w:sz="0" w:space="0" w:color="auto"/>
            <w:left w:val="none" w:sz="0" w:space="0" w:color="auto"/>
            <w:bottom w:val="none" w:sz="0" w:space="0" w:color="auto"/>
            <w:right w:val="none" w:sz="0" w:space="0" w:color="auto"/>
          </w:divBdr>
        </w:div>
      </w:divsChild>
    </w:div>
    <w:div w:id="63070374">
      <w:bodyDiv w:val="1"/>
      <w:marLeft w:val="0"/>
      <w:marRight w:val="0"/>
      <w:marTop w:val="0"/>
      <w:marBottom w:val="0"/>
      <w:divBdr>
        <w:top w:val="none" w:sz="0" w:space="0" w:color="auto"/>
        <w:left w:val="none" w:sz="0" w:space="0" w:color="auto"/>
        <w:bottom w:val="none" w:sz="0" w:space="0" w:color="auto"/>
        <w:right w:val="none" w:sz="0" w:space="0" w:color="auto"/>
      </w:divBdr>
    </w:div>
    <w:div w:id="66877532">
      <w:bodyDiv w:val="1"/>
      <w:marLeft w:val="0"/>
      <w:marRight w:val="0"/>
      <w:marTop w:val="0"/>
      <w:marBottom w:val="0"/>
      <w:divBdr>
        <w:top w:val="none" w:sz="0" w:space="0" w:color="auto"/>
        <w:left w:val="none" w:sz="0" w:space="0" w:color="auto"/>
        <w:bottom w:val="none" w:sz="0" w:space="0" w:color="auto"/>
        <w:right w:val="none" w:sz="0" w:space="0" w:color="auto"/>
      </w:divBdr>
    </w:div>
    <w:div w:id="76709291">
      <w:bodyDiv w:val="1"/>
      <w:marLeft w:val="0"/>
      <w:marRight w:val="0"/>
      <w:marTop w:val="0"/>
      <w:marBottom w:val="0"/>
      <w:divBdr>
        <w:top w:val="none" w:sz="0" w:space="0" w:color="auto"/>
        <w:left w:val="none" w:sz="0" w:space="0" w:color="auto"/>
        <w:bottom w:val="none" w:sz="0" w:space="0" w:color="auto"/>
        <w:right w:val="none" w:sz="0" w:space="0" w:color="auto"/>
      </w:divBdr>
    </w:div>
    <w:div w:id="78911320">
      <w:bodyDiv w:val="1"/>
      <w:marLeft w:val="0"/>
      <w:marRight w:val="0"/>
      <w:marTop w:val="0"/>
      <w:marBottom w:val="0"/>
      <w:divBdr>
        <w:top w:val="none" w:sz="0" w:space="0" w:color="auto"/>
        <w:left w:val="none" w:sz="0" w:space="0" w:color="auto"/>
        <w:bottom w:val="none" w:sz="0" w:space="0" w:color="auto"/>
        <w:right w:val="none" w:sz="0" w:space="0" w:color="auto"/>
      </w:divBdr>
    </w:div>
    <w:div w:id="82799877">
      <w:bodyDiv w:val="1"/>
      <w:marLeft w:val="0"/>
      <w:marRight w:val="0"/>
      <w:marTop w:val="0"/>
      <w:marBottom w:val="0"/>
      <w:divBdr>
        <w:top w:val="none" w:sz="0" w:space="0" w:color="auto"/>
        <w:left w:val="none" w:sz="0" w:space="0" w:color="auto"/>
        <w:bottom w:val="none" w:sz="0" w:space="0" w:color="auto"/>
        <w:right w:val="none" w:sz="0" w:space="0" w:color="auto"/>
      </w:divBdr>
    </w:div>
    <w:div w:id="83039168">
      <w:bodyDiv w:val="1"/>
      <w:marLeft w:val="0"/>
      <w:marRight w:val="0"/>
      <w:marTop w:val="0"/>
      <w:marBottom w:val="0"/>
      <w:divBdr>
        <w:top w:val="none" w:sz="0" w:space="0" w:color="auto"/>
        <w:left w:val="none" w:sz="0" w:space="0" w:color="auto"/>
        <w:bottom w:val="none" w:sz="0" w:space="0" w:color="auto"/>
        <w:right w:val="none" w:sz="0" w:space="0" w:color="auto"/>
      </w:divBdr>
    </w:div>
    <w:div w:id="93600455">
      <w:bodyDiv w:val="1"/>
      <w:marLeft w:val="0"/>
      <w:marRight w:val="0"/>
      <w:marTop w:val="0"/>
      <w:marBottom w:val="0"/>
      <w:divBdr>
        <w:top w:val="none" w:sz="0" w:space="0" w:color="auto"/>
        <w:left w:val="none" w:sz="0" w:space="0" w:color="auto"/>
        <w:bottom w:val="none" w:sz="0" w:space="0" w:color="auto"/>
        <w:right w:val="none" w:sz="0" w:space="0" w:color="auto"/>
      </w:divBdr>
    </w:div>
    <w:div w:id="111242398">
      <w:bodyDiv w:val="1"/>
      <w:marLeft w:val="0"/>
      <w:marRight w:val="0"/>
      <w:marTop w:val="0"/>
      <w:marBottom w:val="0"/>
      <w:divBdr>
        <w:top w:val="none" w:sz="0" w:space="0" w:color="auto"/>
        <w:left w:val="none" w:sz="0" w:space="0" w:color="auto"/>
        <w:bottom w:val="none" w:sz="0" w:space="0" w:color="auto"/>
        <w:right w:val="none" w:sz="0" w:space="0" w:color="auto"/>
      </w:divBdr>
      <w:divsChild>
        <w:div w:id="156267182">
          <w:marLeft w:val="274"/>
          <w:marRight w:val="0"/>
          <w:marTop w:val="0"/>
          <w:marBottom w:val="120"/>
          <w:divBdr>
            <w:top w:val="none" w:sz="0" w:space="0" w:color="auto"/>
            <w:left w:val="none" w:sz="0" w:space="0" w:color="auto"/>
            <w:bottom w:val="none" w:sz="0" w:space="0" w:color="auto"/>
            <w:right w:val="none" w:sz="0" w:space="0" w:color="auto"/>
          </w:divBdr>
        </w:div>
        <w:div w:id="321393128">
          <w:marLeft w:val="994"/>
          <w:marRight w:val="0"/>
          <w:marTop w:val="0"/>
          <w:marBottom w:val="120"/>
          <w:divBdr>
            <w:top w:val="none" w:sz="0" w:space="0" w:color="auto"/>
            <w:left w:val="none" w:sz="0" w:space="0" w:color="auto"/>
            <w:bottom w:val="none" w:sz="0" w:space="0" w:color="auto"/>
            <w:right w:val="none" w:sz="0" w:space="0" w:color="auto"/>
          </w:divBdr>
        </w:div>
        <w:div w:id="604731836">
          <w:marLeft w:val="274"/>
          <w:marRight w:val="0"/>
          <w:marTop w:val="0"/>
          <w:marBottom w:val="120"/>
          <w:divBdr>
            <w:top w:val="none" w:sz="0" w:space="0" w:color="auto"/>
            <w:left w:val="none" w:sz="0" w:space="0" w:color="auto"/>
            <w:bottom w:val="none" w:sz="0" w:space="0" w:color="auto"/>
            <w:right w:val="none" w:sz="0" w:space="0" w:color="auto"/>
          </w:divBdr>
        </w:div>
        <w:div w:id="632295894">
          <w:marLeft w:val="994"/>
          <w:marRight w:val="0"/>
          <w:marTop w:val="0"/>
          <w:marBottom w:val="120"/>
          <w:divBdr>
            <w:top w:val="none" w:sz="0" w:space="0" w:color="auto"/>
            <w:left w:val="none" w:sz="0" w:space="0" w:color="auto"/>
            <w:bottom w:val="none" w:sz="0" w:space="0" w:color="auto"/>
            <w:right w:val="none" w:sz="0" w:space="0" w:color="auto"/>
          </w:divBdr>
        </w:div>
        <w:div w:id="1304575583">
          <w:marLeft w:val="994"/>
          <w:marRight w:val="0"/>
          <w:marTop w:val="0"/>
          <w:marBottom w:val="120"/>
          <w:divBdr>
            <w:top w:val="none" w:sz="0" w:space="0" w:color="auto"/>
            <w:left w:val="none" w:sz="0" w:space="0" w:color="auto"/>
            <w:bottom w:val="none" w:sz="0" w:space="0" w:color="auto"/>
            <w:right w:val="none" w:sz="0" w:space="0" w:color="auto"/>
          </w:divBdr>
        </w:div>
        <w:div w:id="1422530123">
          <w:marLeft w:val="274"/>
          <w:marRight w:val="0"/>
          <w:marTop w:val="0"/>
          <w:marBottom w:val="120"/>
          <w:divBdr>
            <w:top w:val="none" w:sz="0" w:space="0" w:color="auto"/>
            <w:left w:val="none" w:sz="0" w:space="0" w:color="auto"/>
            <w:bottom w:val="none" w:sz="0" w:space="0" w:color="auto"/>
            <w:right w:val="none" w:sz="0" w:space="0" w:color="auto"/>
          </w:divBdr>
        </w:div>
        <w:div w:id="1491362666">
          <w:marLeft w:val="274"/>
          <w:marRight w:val="0"/>
          <w:marTop w:val="0"/>
          <w:marBottom w:val="120"/>
          <w:divBdr>
            <w:top w:val="none" w:sz="0" w:space="0" w:color="auto"/>
            <w:left w:val="none" w:sz="0" w:space="0" w:color="auto"/>
            <w:bottom w:val="none" w:sz="0" w:space="0" w:color="auto"/>
            <w:right w:val="none" w:sz="0" w:space="0" w:color="auto"/>
          </w:divBdr>
        </w:div>
        <w:div w:id="1765225676">
          <w:marLeft w:val="274"/>
          <w:marRight w:val="0"/>
          <w:marTop w:val="0"/>
          <w:marBottom w:val="120"/>
          <w:divBdr>
            <w:top w:val="none" w:sz="0" w:space="0" w:color="auto"/>
            <w:left w:val="none" w:sz="0" w:space="0" w:color="auto"/>
            <w:bottom w:val="none" w:sz="0" w:space="0" w:color="auto"/>
            <w:right w:val="none" w:sz="0" w:space="0" w:color="auto"/>
          </w:divBdr>
        </w:div>
        <w:div w:id="1952591579">
          <w:marLeft w:val="274"/>
          <w:marRight w:val="0"/>
          <w:marTop w:val="0"/>
          <w:marBottom w:val="120"/>
          <w:divBdr>
            <w:top w:val="none" w:sz="0" w:space="0" w:color="auto"/>
            <w:left w:val="none" w:sz="0" w:space="0" w:color="auto"/>
            <w:bottom w:val="none" w:sz="0" w:space="0" w:color="auto"/>
            <w:right w:val="none" w:sz="0" w:space="0" w:color="auto"/>
          </w:divBdr>
        </w:div>
        <w:div w:id="2017951437">
          <w:marLeft w:val="274"/>
          <w:marRight w:val="0"/>
          <w:marTop w:val="0"/>
          <w:marBottom w:val="120"/>
          <w:divBdr>
            <w:top w:val="none" w:sz="0" w:space="0" w:color="auto"/>
            <w:left w:val="none" w:sz="0" w:space="0" w:color="auto"/>
            <w:bottom w:val="none" w:sz="0" w:space="0" w:color="auto"/>
            <w:right w:val="none" w:sz="0" w:space="0" w:color="auto"/>
          </w:divBdr>
        </w:div>
      </w:divsChild>
    </w:div>
    <w:div w:id="113789075">
      <w:bodyDiv w:val="1"/>
      <w:marLeft w:val="0"/>
      <w:marRight w:val="0"/>
      <w:marTop w:val="0"/>
      <w:marBottom w:val="0"/>
      <w:divBdr>
        <w:top w:val="none" w:sz="0" w:space="0" w:color="auto"/>
        <w:left w:val="none" w:sz="0" w:space="0" w:color="auto"/>
        <w:bottom w:val="none" w:sz="0" w:space="0" w:color="auto"/>
        <w:right w:val="none" w:sz="0" w:space="0" w:color="auto"/>
      </w:divBdr>
    </w:div>
    <w:div w:id="129978039">
      <w:bodyDiv w:val="1"/>
      <w:marLeft w:val="0"/>
      <w:marRight w:val="0"/>
      <w:marTop w:val="0"/>
      <w:marBottom w:val="0"/>
      <w:divBdr>
        <w:top w:val="none" w:sz="0" w:space="0" w:color="auto"/>
        <w:left w:val="none" w:sz="0" w:space="0" w:color="auto"/>
        <w:bottom w:val="none" w:sz="0" w:space="0" w:color="auto"/>
        <w:right w:val="none" w:sz="0" w:space="0" w:color="auto"/>
      </w:divBdr>
    </w:div>
    <w:div w:id="131026925">
      <w:bodyDiv w:val="1"/>
      <w:marLeft w:val="0"/>
      <w:marRight w:val="0"/>
      <w:marTop w:val="0"/>
      <w:marBottom w:val="0"/>
      <w:divBdr>
        <w:top w:val="none" w:sz="0" w:space="0" w:color="auto"/>
        <w:left w:val="none" w:sz="0" w:space="0" w:color="auto"/>
        <w:bottom w:val="none" w:sz="0" w:space="0" w:color="auto"/>
        <w:right w:val="none" w:sz="0" w:space="0" w:color="auto"/>
      </w:divBdr>
    </w:div>
    <w:div w:id="133063521">
      <w:bodyDiv w:val="1"/>
      <w:marLeft w:val="0"/>
      <w:marRight w:val="0"/>
      <w:marTop w:val="0"/>
      <w:marBottom w:val="0"/>
      <w:divBdr>
        <w:top w:val="none" w:sz="0" w:space="0" w:color="auto"/>
        <w:left w:val="none" w:sz="0" w:space="0" w:color="auto"/>
        <w:bottom w:val="none" w:sz="0" w:space="0" w:color="auto"/>
        <w:right w:val="none" w:sz="0" w:space="0" w:color="auto"/>
      </w:divBdr>
    </w:div>
    <w:div w:id="140774158">
      <w:bodyDiv w:val="1"/>
      <w:marLeft w:val="0"/>
      <w:marRight w:val="0"/>
      <w:marTop w:val="0"/>
      <w:marBottom w:val="0"/>
      <w:divBdr>
        <w:top w:val="none" w:sz="0" w:space="0" w:color="auto"/>
        <w:left w:val="none" w:sz="0" w:space="0" w:color="auto"/>
        <w:bottom w:val="none" w:sz="0" w:space="0" w:color="auto"/>
        <w:right w:val="none" w:sz="0" w:space="0" w:color="auto"/>
      </w:divBdr>
    </w:div>
    <w:div w:id="162741308">
      <w:bodyDiv w:val="1"/>
      <w:marLeft w:val="0"/>
      <w:marRight w:val="0"/>
      <w:marTop w:val="0"/>
      <w:marBottom w:val="0"/>
      <w:divBdr>
        <w:top w:val="none" w:sz="0" w:space="0" w:color="auto"/>
        <w:left w:val="none" w:sz="0" w:space="0" w:color="auto"/>
        <w:bottom w:val="none" w:sz="0" w:space="0" w:color="auto"/>
        <w:right w:val="none" w:sz="0" w:space="0" w:color="auto"/>
      </w:divBdr>
      <w:divsChild>
        <w:div w:id="2132085784">
          <w:marLeft w:val="274"/>
          <w:marRight w:val="0"/>
          <w:marTop w:val="0"/>
          <w:marBottom w:val="120"/>
          <w:divBdr>
            <w:top w:val="none" w:sz="0" w:space="0" w:color="auto"/>
            <w:left w:val="none" w:sz="0" w:space="0" w:color="auto"/>
            <w:bottom w:val="none" w:sz="0" w:space="0" w:color="auto"/>
            <w:right w:val="none" w:sz="0" w:space="0" w:color="auto"/>
          </w:divBdr>
        </w:div>
      </w:divsChild>
    </w:div>
    <w:div w:id="167986412">
      <w:bodyDiv w:val="1"/>
      <w:marLeft w:val="0"/>
      <w:marRight w:val="0"/>
      <w:marTop w:val="0"/>
      <w:marBottom w:val="0"/>
      <w:divBdr>
        <w:top w:val="none" w:sz="0" w:space="0" w:color="auto"/>
        <w:left w:val="none" w:sz="0" w:space="0" w:color="auto"/>
        <w:bottom w:val="none" w:sz="0" w:space="0" w:color="auto"/>
        <w:right w:val="none" w:sz="0" w:space="0" w:color="auto"/>
      </w:divBdr>
    </w:div>
    <w:div w:id="169613113">
      <w:bodyDiv w:val="1"/>
      <w:marLeft w:val="0"/>
      <w:marRight w:val="0"/>
      <w:marTop w:val="0"/>
      <w:marBottom w:val="0"/>
      <w:divBdr>
        <w:top w:val="none" w:sz="0" w:space="0" w:color="auto"/>
        <w:left w:val="none" w:sz="0" w:space="0" w:color="auto"/>
        <w:bottom w:val="none" w:sz="0" w:space="0" w:color="auto"/>
        <w:right w:val="none" w:sz="0" w:space="0" w:color="auto"/>
      </w:divBdr>
    </w:div>
    <w:div w:id="174537664">
      <w:bodyDiv w:val="1"/>
      <w:marLeft w:val="0"/>
      <w:marRight w:val="0"/>
      <w:marTop w:val="0"/>
      <w:marBottom w:val="0"/>
      <w:divBdr>
        <w:top w:val="none" w:sz="0" w:space="0" w:color="auto"/>
        <w:left w:val="none" w:sz="0" w:space="0" w:color="auto"/>
        <w:bottom w:val="none" w:sz="0" w:space="0" w:color="auto"/>
        <w:right w:val="none" w:sz="0" w:space="0" w:color="auto"/>
      </w:divBdr>
      <w:divsChild>
        <w:div w:id="1553038675">
          <w:marLeft w:val="274"/>
          <w:marRight w:val="0"/>
          <w:marTop w:val="0"/>
          <w:marBottom w:val="120"/>
          <w:divBdr>
            <w:top w:val="none" w:sz="0" w:space="0" w:color="auto"/>
            <w:left w:val="none" w:sz="0" w:space="0" w:color="auto"/>
            <w:bottom w:val="none" w:sz="0" w:space="0" w:color="auto"/>
            <w:right w:val="none" w:sz="0" w:space="0" w:color="auto"/>
          </w:divBdr>
        </w:div>
      </w:divsChild>
    </w:div>
    <w:div w:id="194931630">
      <w:bodyDiv w:val="1"/>
      <w:marLeft w:val="0"/>
      <w:marRight w:val="0"/>
      <w:marTop w:val="0"/>
      <w:marBottom w:val="0"/>
      <w:divBdr>
        <w:top w:val="none" w:sz="0" w:space="0" w:color="auto"/>
        <w:left w:val="none" w:sz="0" w:space="0" w:color="auto"/>
        <w:bottom w:val="none" w:sz="0" w:space="0" w:color="auto"/>
        <w:right w:val="none" w:sz="0" w:space="0" w:color="auto"/>
      </w:divBdr>
    </w:div>
    <w:div w:id="207882488">
      <w:bodyDiv w:val="1"/>
      <w:marLeft w:val="0"/>
      <w:marRight w:val="0"/>
      <w:marTop w:val="0"/>
      <w:marBottom w:val="0"/>
      <w:divBdr>
        <w:top w:val="none" w:sz="0" w:space="0" w:color="auto"/>
        <w:left w:val="none" w:sz="0" w:space="0" w:color="auto"/>
        <w:bottom w:val="none" w:sz="0" w:space="0" w:color="auto"/>
        <w:right w:val="none" w:sz="0" w:space="0" w:color="auto"/>
      </w:divBdr>
      <w:divsChild>
        <w:div w:id="516237007">
          <w:marLeft w:val="274"/>
          <w:marRight w:val="0"/>
          <w:marTop w:val="0"/>
          <w:marBottom w:val="0"/>
          <w:divBdr>
            <w:top w:val="none" w:sz="0" w:space="0" w:color="auto"/>
            <w:left w:val="none" w:sz="0" w:space="0" w:color="auto"/>
            <w:bottom w:val="none" w:sz="0" w:space="0" w:color="auto"/>
            <w:right w:val="none" w:sz="0" w:space="0" w:color="auto"/>
          </w:divBdr>
        </w:div>
        <w:div w:id="728840289">
          <w:marLeft w:val="274"/>
          <w:marRight w:val="0"/>
          <w:marTop w:val="0"/>
          <w:marBottom w:val="0"/>
          <w:divBdr>
            <w:top w:val="none" w:sz="0" w:space="0" w:color="auto"/>
            <w:left w:val="none" w:sz="0" w:space="0" w:color="auto"/>
            <w:bottom w:val="none" w:sz="0" w:space="0" w:color="auto"/>
            <w:right w:val="none" w:sz="0" w:space="0" w:color="auto"/>
          </w:divBdr>
        </w:div>
        <w:div w:id="1810980199">
          <w:marLeft w:val="274"/>
          <w:marRight w:val="0"/>
          <w:marTop w:val="0"/>
          <w:marBottom w:val="0"/>
          <w:divBdr>
            <w:top w:val="none" w:sz="0" w:space="0" w:color="auto"/>
            <w:left w:val="none" w:sz="0" w:space="0" w:color="auto"/>
            <w:bottom w:val="none" w:sz="0" w:space="0" w:color="auto"/>
            <w:right w:val="none" w:sz="0" w:space="0" w:color="auto"/>
          </w:divBdr>
        </w:div>
        <w:div w:id="1648437561">
          <w:marLeft w:val="274"/>
          <w:marRight w:val="0"/>
          <w:marTop w:val="0"/>
          <w:marBottom w:val="0"/>
          <w:divBdr>
            <w:top w:val="none" w:sz="0" w:space="0" w:color="auto"/>
            <w:left w:val="none" w:sz="0" w:space="0" w:color="auto"/>
            <w:bottom w:val="none" w:sz="0" w:space="0" w:color="auto"/>
            <w:right w:val="none" w:sz="0" w:space="0" w:color="auto"/>
          </w:divBdr>
        </w:div>
      </w:divsChild>
    </w:div>
    <w:div w:id="211112771">
      <w:bodyDiv w:val="1"/>
      <w:marLeft w:val="0"/>
      <w:marRight w:val="0"/>
      <w:marTop w:val="0"/>
      <w:marBottom w:val="0"/>
      <w:divBdr>
        <w:top w:val="none" w:sz="0" w:space="0" w:color="auto"/>
        <w:left w:val="none" w:sz="0" w:space="0" w:color="auto"/>
        <w:bottom w:val="none" w:sz="0" w:space="0" w:color="auto"/>
        <w:right w:val="none" w:sz="0" w:space="0" w:color="auto"/>
      </w:divBdr>
    </w:div>
    <w:div w:id="211384552">
      <w:bodyDiv w:val="1"/>
      <w:marLeft w:val="0"/>
      <w:marRight w:val="0"/>
      <w:marTop w:val="0"/>
      <w:marBottom w:val="0"/>
      <w:divBdr>
        <w:top w:val="none" w:sz="0" w:space="0" w:color="auto"/>
        <w:left w:val="none" w:sz="0" w:space="0" w:color="auto"/>
        <w:bottom w:val="none" w:sz="0" w:space="0" w:color="auto"/>
        <w:right w:val="none" w:sz="0" w:space="0" w:color="auto"/>
      </w:divBdr>
    </w:div>
    <w:div w:id="223687601">
      <w:bodyDiv w:val="1"/>
      <w:marLeft w:val="0"/>
      <w:marRight w:val="0"/>
      <w:marTop w:val="0"/>
      <w:marBottom w:val="0"/>
      <w:divBdr>
        <w:top w:val="none" w:sz="0" w:space="0" w:color="auto"/>
        <w:left w:val="none" w:sz="0" w:space="0" w:color="auto"/>
        <w:bottom w:val="none" w:sz="0" w:space="0" w:color="auto"/>
        <w:right w:val="none" w:sz="0" w:space="0" w:color="auto"/>
      </w:divBdr>
      <w:divsChild>
        <w:div w:id="84887177">
          <w:marLeft w:val="274"/>
          <w:marRight w:val="0"/>
          <w:marTop w:val="0"/>
          <w:marBottom w:val="0"/>
          <w:divBdr>
            <w:top w:val="none" w:sz="0" w:space="0" w:color="auto"/>
            <w:left w:val="none" w:sz="0" w:space="0" w:color="auto"/>
            <w:bottom w:val="none" w:sz="0" w:space="0" w:color="auto"/>
            <w:right w:val="none" w:sz="0" w:space="0" w:color="auto"/>
          </w:divBdr>
        </w:div>
        <w:div w:id="2135517080">
          <w:marLeft w:val="274"/>
          <w:marRight w:val="0"/>
          <w:marTop w:val="0"/>
          <w:marBottom w:val="0"/>
          <w:divBdr>
            <w:top w:val="none" w:sz="0" w:space="0" w:color="auto"/>
            <w:left w:val="none" w:sz="0" w:space="0" w:color="auto"/>
            <w:bottom w:val="none" w:sz="0" w:space="0" w:color="auto"/>
            <w:right w:val="none" w:sz="0" w:space="0" w:color="auto"/>
          </w:divBdr>
        </w:div>
      </w:divsChild>
    </w:div>
    <w:div w:id="235483819">
      <w:bodyDiv w:val="1"/>
      <w:marLeft w:val="0"/>
      <w:marRight w:val="0"/>
      <w:marTop w:val="0"/>
      <w:marBottom w:val="0"/>
      <w:divBdr>
        <w:top w:val="none" w:sz="0" w:space="0" w:color="auto"/>
        <w:left w:val="none" w:sz="0" w:space="0" w:color="auto"/>
        <w:bottom w:val="none" w:sz="0" w:space="0" w:color="auto"/>
        <w:right w:val="none" w:sz="0" w:space="0" w:color="auto"/>
      </w:divBdr>
      <w:divsChild>
        <w:div w:id="2043899408">
          <w:marLeft w:val="274"/>
          <w:marRight w:val="0"/>
          <w:marTop w:val="0"/>
          <w:marBottom w:val="120"/>
          <w:divBdr>
            <w:top w:val="none" w:sz="0" w:space="0" w:color="auto"/>
            <w:left w:val="none" w:sz="0" w:space="0" w:color="auto"/>
            <w:bottom w:val="none" w:sz="0" w:space="0" w:color="auto"/>
            <w:right w:val="none" w:sz="0" w:space="0" w:color="auto"/>
          </w:divBdr>
        </w:div>
      </w:divsChild>
    </w:div>
    <w:div w:id="236941718">
      <w:bodyDiv w:val="1"/>
      <w:marLeft w:val="0"/>
      <w:marRight w:val="0"/>
      <w:marTop w:val="0"/>
      <w:marBottom w:val="0"/>
      <w:divBdr>
        <w:top w:val="none" w:sz="0" w:space="0" w:color="auto"/>
        <w:left w:val="none" w:sz="0" w:space="0" w:color="auto"/>
        <w:bottom w:val="none" w:sz="0" w:space="0" w:color="auto"/>
        <w:right w:val="none" w:sz="0" w:space="0" w:color="auto"/>
      </w:divBdr>
    </w:div>
    <w:div w:id="237834300">
      <w:bodyDiv w:val="1"/>
      <w:marLeft w:val="0"/>
      <w:marRight w:val="0"/>
      <w:marTop w:val="0"/>
      <w:marBottom w:val="0"/>
      <w:divBdr>
        <w:top w:val="none" w:sz="0" w:space="0" w:color="auto"/>
        <w:left w:val="none" w:sz="0" w:space="0" w:color="auto"/>
        <w:bottom w:val="none" w:sz="0" w:space="0" w:color="auto"/>
        <w:right w:val="none" w:sz="0" w:space="0" w:color="auto"/>
      </w:divBdr>
    </w:div>
    <w:div w:id="246042696">
      <w:bodyDiv w:val="1"/>
      <w:marLeft w:val="0"/>
      <w:marRight w:val="0"/>
      <w:marTop w:val="0"/>
      <w:marBottom w:val="0"/>
      <w:divBdr>
        <w:top w:val="none" w:sz="0" w:space="0" w:color="auto"/>
        <w:left w:val="none" w:sz="0" w:space="0" w:color="auto"/>
        <w:bottom w:val="none" w:sz="0" w:space="0" w:color="auto"/>
        <w:right w:val="none" w:sz="0" w:space="0" w:color="auto"/>
      </w:divBdr>
    </w:div>
    <w:div w:id="251814640">
      <w:bodyDiv w:val="1"/>
      <w:marLeft w:val="0"/>
      <w:marRight w:val="0"/>
      <w:marTop w:val="0"/>
      <w:marBottom w:val="0"/>
      <w:divBdr>
        <w:top w:val="none" w:sz="0" w:space="0" w:color="auto"/>
        <w:left w:val="none" w:sz="0" w:space="0" w:color="auto"/>
        <w:bottom w:val="none" w:sz="0" w:space="0" w:color="auto"/>
        <w:right w:val="none" w:sz="0" w:space="0" w:color="auto"/>
      </w:divBdr>
    </w:div>
    <w:div w:id="254362329">
      <w:bodyDiv w:val="1"/>
      <w:marLeft w:val="0"/>
      <w:marRight w:val="0"/>
      <w:marTop w:val="0"/>
      <w:marBottom w:val="0"/>
      <w:divBdr>
        <w:top w:val="none" w:sz="0" w:space="0" w:color="auto"/>
        <w:left w:val="none" w:sz="0" w:space="0" w:color="auto"/>
        <w:bottom w:val="none" w:sz="0" w:space="0" w:color="auto"/>
        <w:right w:val="none" w:sz="0" w:space="0" w:color="auto"/>
      </w:divBdr>
    </w:div>
    <w:div w:id="256210402">
      <w:bodyDiv w:val="1"/>
      <w:marLeft w:val="0"/>
      <w:marRight w:val="0"/>
      <w:marTop w:val="0"/>
      <w:marBottom w:val="0"/>
      <w:divBdr>
        <w:top w:val="none" w:sz="0" w:space="0" w:color="auto"/>
        <w:left w:val="none" w:sz="0" w:space="0" w:color="auto"/>
        <w:bottom w:val="none" w:sz="0" w:space="0" w:color="auto"/>
        <w:right w:val="none" w:sz="0" w:space="0" w:color="auto"/>
      </w:divBdr>
    </w:div>
    <w:div w:id="264462173">
      <w:bodyDiv w:val="1"/>
      <w:marLeft w:val="0"/>
      <w:marRight w:val="0"/>
      <w:marTop w:val="0"/>
      <w:marBottom w:val="0"/>
      <w:divBdr>
        <w:top w:val="none" w:sz="0" w:space="0" w:color="auto"/>
        <w:left w:val="none" w:sz="0" w:space="0" w:color="auto"/>
        <w:bottom w:val="none" w:sz="0" w:space="0" w:color="auto"/>
        <w:right w:val="none" w:sz="0" w:space="0" w:color="auto"/>
      </w:divBdr>
    </w:div>
    <w:div w:id="267667203">
      <w:bodyDiv w:val="1"/>
      <w:marLeft w:val="0"/>
      <w:marRight w:val="0"/>
      <w:marTop w:val="0"/>
      <w:marBottom w:val="0"/>
      <w:divBdr>
        <w:top w:val="none" w:sz="0" w:space="0" w:color="auto"/>
        <w:left w:val="none" w:sz="0" w:space="0" w:color="auto"/>
        <w:bottom w:val="none" w:sz="0" w:space="0" w:color="auto"/>
        <w:right w:val="none" w:sz="0" w:space="0" w:color="auto"/>
      </w:divBdr>
    </w:div>
    <w:div w:id="278337318">
      <w:bodyDiv w:val="1"/>
      <w:marLeft w:val="0"/>
      <w:marRight w:val="0"/>
      <w:marTop w:val="0"/>
      <w:marBottom w:val="0"/>
      <w:divBdr>
        <w:top w:val="none" w:sz="0" w:space="0" w:color="auto"/>
        <w:left w:val="none" w:sz="0" w:space="0" w:color="auto"/>
        <w:bottom w:val="none" w:sz="0" w:space="0" w:color="auto"/>
        <w:right w:val="none" w:sz="0" w:space="0" w:color="auto"/>
      </w:divBdr>
    </w:div>
    <w:div w:id="289675903">
      <w:bodyDiv w:val="1"/>
      <w:marLeft w:val="0"/>
      <w:marRight w:val="0"/>
      <w:marTop w:val="0"/>
      <w:marBottom w:val="0"/>
      <w:divBdr>
        <w:top w:val="none" w:sz="0" w:space="0" w:color="auto"/>
        <w:left w:val="none" w:sz="0" w:space="0" w:color="auto"/>
        <w:bottom w:val="none" w:sz="0" w:space="0" w:color="auto"/>
        <w:right w:val="none" w:sz="0" w:space="0" w:color="auto"/>
      </w:divBdr>
      <w:divsChild>
        <w:div w:id="1570067669">
          <w:marLeft w:val="274"/>
          <w:marRight w:val="0"/>
          <w:marTop w:val="0"/>
          <w:marBottom w:val="120"/>
          <w:divBdr>
            <w:top w:val="none" w:sz="0" w:space="0" w:color="auto"/>
            <w:left w:val="none" w:sz="0" w:space="0" w:color="auto"/>
            <w:bottom w:val="none" w:sz="0" w:space="0" w:color="auto"/>
            <w:right w:val="none" w:sz="0" w:space="0" w:color="auto"/>
          </w:divBdr>
        </w:div>
      </w:divsChild>
    </w:div>
    <w:div w:id="293488915">
      <w:bodyDiv w:val="1"/>
      <w:marLeft w:val="0"/>
      <w:marRight w:val="0"/>
      <w:marTop w:val="0"/>
      <w:marBottom w:val="0"/>
      <w:divBdr>
        <w:top w:val="none" w:sz="0" w:space="0" w:color="auto"/>
        <w:left w:val="none" w:sz="0" w:space="0" w:color="auto"/>
        <w:bottom w:val="none" w:sz="0" w:space="0" w:color="auto"/>
        <w:right w:val="none" w:sz="0" w:space="0" w:color="auto"/>
      </w:divBdr>
    </w:div>
    <w:div w:id="295912432">
      <w:bodyDiv w:val="1"/>
      <w:marLeft w:val="0"/>
      <w:marRight w:val="0"/>
      <w:marTop w:val="0"/>
      <w:marBottom w:val="0"/>
      <w:divBdr>
        <w:top w:val="none" w:sz="0" w:space="0" w:color="auto"/>
        <w:left w:val="none" w:sz="0" w:space="0" w:color="auto"/>
        <w:bottom w:val="none" w:sz="0" w:space="0" w:color="auto"/>
        <w:right w:val="none" w:sz="0" w:space="0" w:color="auto"/>
      </w:divBdr>
      <w:divsChild>
        <w:div w:id="1680543618">
          <w:marLeft w:val="274"/>
          <w:marRight w:val="0"/>
          <w:marTop w:val="0"/>
          <w:marBottom w:val="0"/>
          <w:divBdr>
            <w:top w:val="none" w:sz="0" w:space="0" w:color="auto"/>
            <w:left w:val="none" w:sz="0" w:space="0" w:color="auto"/>
            <w:bottom w:val="none" w:sz="0" w:space="0" w:color="auto"/>
            <w:right w:val="none" w:sz="0" w:space="0" w:color="auto"/>
          </w:divBdr>
        </w:div>
        <w:div w:id="520895880">
          <w:marLeft w:val="274"/>
          <w:marRight w:val="0"/>
          <w:marTop w:val="0"/>
          <w:marBottom w:val="0"/>
          <w:divBdr>
            <w:top w:val="none" w:sz="0" w:space="0" w:color="auto"/>
            <w:left w:val="none" w:sz="0" w:space="0" w:color="auto"/>
            <w:bottom w:val="none" w:sz="0" w:space="0" w:color="auto"/>
            <w:right w:val="none" w:sz="0" w:space="0" w:color="auto"/>
          </w:divBdr>
        </w:div>
      </w:divsChild>
    </w:div>
    <w:div w:id="322703828">
      <w:bodyDiv w:val="1"/>
      <w:marLeft w:val="0"/>
      <w:marRight w:val="0"/>
      <w:marTop w:val="0"/>
      <w:marBottom w:val="0"/>
      <w:divBdr>
        <w:top w:val="none" w:sz="0" w:space="0" w:color="auto"/>
        <w:left w:val="none" w:sz="0" w:space="0" w:color="auto"/>
        <w:bottom w:val="none" w:sz="0" w:space="0" w:color="auto"/>
        <w:right w:val="none" w:sz="0" w:space="0" w:color="auto"/>
      </w:divBdr>
    </w:div>
    <w:div w:id="323053115">
      <w:bodyDiv w:val="1"/>
      <w:marLeft w:val="0"/>
      <w:marRight w:val="0"/>
      <w:marTop w:val="0"/>
      <w:marBottom w:val="0"/>
      <w:divBdr>
        <w:top w:val="none" w:sz="0" w:space="0" w:color="auto"/>
        <w:left w:val="none" w:sz="0" w:space="0" w:color="auto"/>
        <w:bottom w:val="none" w:sz="0" w:space="0" w:color="auto"/>
        <w:right w:val="none" w:sz="0" w:space="0" w:color="auto"/>
      </w:divBdr>
    </w:div>
    <w:div w:id="331834477">
      <w:bodyDiv w:val="1"/>
      <w:marLeft w:val="0"/>
      <w:marRight w:val="0"/>
      <w:marTop w:val="0"/>
      <w:marBottom w:val="0"/>
      <w:divBdr>
        <w:top w:val="none" w:sz="0" w:space="0" w:color="auto"/>
        <w:left w:val="none" w:sz="0" w:space="0" w:color="auto"/>
        <w:bottom w:val="none" w:sz="0" w:space="0" w:color="auto"/>
        <w:right w:val="none" w:sz="0" w:space="0" w:color="auto"/>
      </w:divBdr>
    </w:div>
    <w:div w:id="333341761">
      <w:bodyDiv w:val="1"/>
      <w:marLeft w:val="0"/>
      <w:marRight w:val="0"/>
      <w:marTop w:val="0"/>
      <w:marBottom w:val="0"/>
      <w:divBdr>
        <w:top w:val="none" w:sz="0" w:space="0" w:color="auto"/>
        <w:left w:val="none" w:sz="0" w:space="0" w:color="auto"/>
        <w:bottom w:val="none" w:sz="0" w:space="0" w:color="auto"/>
        <w:right w:val="none" w:sz="0" w:space="0" w:color="auto"/>
      </w:divBdr>
    </w:div>
    <w:div w:id="335154759">
      <w:bodyDiv w:val="1"/>
      <w:marLeft w:val="0"/>
      <w:marRight w:val="0"/>
      <w:marTop w:val="0"/>
      <w:marBottom w:val="0"/>
      <w:divBdr>
        <w:top w:val="none" w:sz="0" w:space="0" w:color="auto"/>
        <w:left w:val="none" w:sz="0" w:space="0" w:color="auto"/>
        <w:bottom w:val="none" w:sz="0" w:space="0" w:color="auto"/>
        <w:right w:val="none" w:sz="0" w:space="0" w:color="auto"/>
      </w:divBdr>
    </w:div>
    <w:div w:id="337586825">
      <w:bodyDiv w:val="1"/>
      <w:marLeft w:val="0"/>
      <w:marRight w:val="0"/>
      <w:marTop w:val="0"/>
      <w:marBottom w:val="0"/>
      <w:divBdr>
        <w:top w:val="none" w:sz="0" w:space="0" w:color="auto"/>
        <w:left w:val="none" w:sz="0" w:space="0" w:color="auto"/>
        <w:bottom w:val="none" w:sz="0" w:space="0" w:color="auto"/>
        <w:right w:val="none" w:sz="0" w:space="0" w:color="auto"/>
      </w:divBdr>
    </w:div>
    <w:div w:id="344748611">
      <w:bodyDiv w:val="1"/>
      <w:marLeft w:val="0"/>
      <w:marRight w:val="0"/>
      <w:marTop w:val="0"/>
      <w:marBottom w:val="0"/>
      <w:divBdr>
        <w:top w:val="none" w:sz="0" w:space="0" w:color="auto"/>
        <w:left w:val="none" w:sz="0" w:space="0" w:color="auto"/>
        <w:bottom w:val="none" w:sz="0" w:space="0" w:color="auto"/>
        <w:right w:val="none" w:sz="0" w:space="0" w:color="auto"/>
      </w:divBdr>
    </w:div>
    <w:div w:id="357896992">
      <w:bodyDiv w:val="1"/>
      <w:marLeft w:val="0"/>
      <w:marRight w:val="0"/>
      <w:marTop w:val="0"/>
      <w:marBottom w:val="0"/>
      <w:divBdr>
        <w:top w:val="none" w:sz="0" w:space="0" w:color="auto"/>
        <w:left w:val="none" w:sz="0" w:space="0" w:color="auto"/>
        <w:bottom w:val="none" w:sz="0" w:space="0" w:color="auto"/>
        <w:right w:val="none" w:sz="0" w:space="0" w:color="auto"/>
      </w:divBdr>
    </w:div>
    <w:div w:id="363796232">
      <w:bodyDiv w:val="1"/>
      <w:marLeft w:val="0"/>
      <w:marRight w:val="0"/>
      <w:marTop w:val="0"/>
      <w:marBottom w:val="0"/>
      <w:divBdr>
        <w:top w:val="none" w:sz="0" w:space="0" w:color="auto"/>
        <w:left w:val="none" w:sz="0" w:space="0" w:color="auto"/>
        <w:bottom w:val="none" w:sz="0" w:space="0" w:color="auto"/>
        <w:right w:val="none" w:sz="0" w:space="0" w:color="auto"/>
      </w:divBdr>
    </w:div>
    <w:div w:id="365133436">
      <w:bodyDiv w:val="1"/>
      <w:marLeft w:val="0"/>
      <w:marRight w:val="0"/>
      <w:marTop w:val="0"/>
      <w:marBottom w:val="0"/>
      <w:divBdr>
        <w:top w:val="none" w:sz="0" w:space="0" w:color="auto"/>
        <w:left w:val="none" w:sz="0" w:space="0" w:color="auto"/>
        <w:bottom w:val="none" w:sz="0" w:space="0" w:color="auto"/>
        <w:right w:val="none" w:sz="0" w:space="0" w:color="auto"/>
      </w:divBdr>
    </w:div>
    <w:div w:id="366416090">
      <w:bodyDiv w:val="1"/>
      <w:marLeft w:val="0"/>
      <w:marRight w:val="0"/>
      <w:marTop w:val="0"/>
      <w:marBottom w:val="0"/>
      <w:divBdr>
        <w:top w:val="none" w:sz="0" w:space="0" w:color="auto"/>
        <w:left w:val="none" w:sz="0" w:space="0" w:color="auto"/>
        <w:bottom w:val="none" w:sz="0" w:space="0" w:color="auto"/>
        <w:right w:val="none" w:sz="0" w:space="0" w:color="auto"/>
      </w:divBdr>
    </w:div>
    <w:div w:id="381248944">
      <w:bodyDiv w:val="1"/>
      <w:marLeft w:val="0"/>
      <w:marRight w:val="0"/>
      <w:marTop w:val="0"/>
      <w:marBottom w:val="0"/>
      <w:divBdr>
        <w:top w:val="none" w:sz="0" w:space="0" w:color="auto"/>
        <w:left w:val="none" w:sz="0" w:space="0" w:color="auto"/>
        <w:bottom w:val="none" w:sz="0" w:space="0" w:color="auto"/>
        <w:right w:val="none" w:sz="0" w:space="0" w:color="auto"/>
      </w:divBdr>
    </w:div>
    <w:div w:id="391852049">
      <w:bodyDiv w:val="1"/>
      <w:marLeft w:val="0"/>
      <w:marRight w:val="0"/>
      <w:marTop w:val="0"/>
      <w:marBottom w:val="0"/>
      <w:divBdr>
        <w:top w:val="none" w:sz="0" w:space="0" w:color="auto"/>
        <w:left w:val="none" w:sz="0" w:space="0" w:color="auto"/>
        <w:bottom w:val="none" w:sz="0" w:space="0" w:color="auto"/>
        <w:right w:val="none" w:sz="0" w:space="0" w:color="auto"/>
      </w:divBdr>
    </w:div>
    <w:div w:id="401022037">
      <w:bodyDiv w:val="1"/>
      <w:marLeft w:val="0"/>
      <w:marRight w:val="0"/>
      <w:marTop w:val="0"/>
      <w:marBottom w:val="0"/>
      <w:divBdr>
        <w:top w:val="none" w:sz="0" w:space="0" w:color="auto"/>
        <w:left w:val="none" w:sz="0" w:space="0" w:color="auto"/>
        <w:bottom w:val="none" w:sz="0" w:space="0" w:color="auto"/>
        <w:right w:val="none" w:sz="0" w:space="0" w:color="auto"/>
      </w:divBdr>
    </w:div>
    <w:div w:id="401030279">
      <w:bodyDiv w:val="1"/>
      <w:marLeft w:val="0"/>
      <w:marRight w:val="0"/>
      <w:marTop w:val="0"/>
      <w:marBottom w:val="0"/>
      <w:divBdr>
        <w:top w:val="none" w:sz="0" w:space="0" w:color="auto"/>
        <w:left w:val="none" w:sz="0" w:space="0" w:color="auto"/>
        <w:bottom w:val="none" w:sz="0" w:space="0" w:color="auto"/>
        <w:right w:val="none" w:sz="0" w:space="0" w:color="auto"/>
      </w:divBdr>
      <w:divsChild>
        <w:div w:id="261693440">
          <w:marLeft w:val="274"/>
          <w:marRight w:val="0"/>
          <w:marTop w:val="0"/>
          <w:marBottom w:val="0"/>
          <w:divBdr>
            <w:top w:val="none" w:sz="0" w:space="0" w:color="auto"/>
            <w:left w:val="none" w:sz="0" w:space="0" w:color="auto"/>
            <w:bottom w:val="none" w:sz="0" w:space="0" w:color="auto"/>
            <w:right w:val="none" w:sz="0" w:space="0" w:color="auto"/>
          </w:divBdr>
        </w:div>
        <w:div w:id="1272203410">
          <w:marLeft w:val="274"/>
          <w:marRight w:val="0"/>
          <w:marTop w:val="0"/>
          <w:marBottom w:val="0"/>
          <w:divBdr>
            <w:top w:val="none" w:sz="0" w:space="0" w:color="auto"/>
            <w:left w:val="none" w:sz="0" w:space="0" w:color="auto"/>
            <w:bottom w:val="none" w:sz="0" w:space="0" w:color="auto"/>
            <w:right w:val="none" w:sz="0" w:space="0" w:color="auto"/>
          </w:divBdr>
        </w:div>
        <w:div w:id="1451244971">
          <w:marLeft w:val="274"/>
          <w:marRight w:val="0"/>
          <w:marTop w:val="0"/>
          <w:marBottom w:val="0"/>
          <w:divBdr>
            <w:top w:val="none" w:sz="0" w:space="0" w:color="auto"/>
            <w:left w:val="none" w:sz="0" w:space="0" w:color="auto"/>
            <w:bottom w:val="none" w:sz="0" w:space="0" w:color="auto"/>
            <w:right w:val="none" w:sz="0" w:space="0" w:color="auto"/>
          </w:divBdr>
        </w:div>
        <w:div w:id="1539005546">
          <w:marLeft w:val="274"/>
          <w:marRight w:val="0"/>
          <w:marTop w:val="0"/>
          <w:marBottom w:val="0"/>
          <w:divBdr>
            <w:top w:val="none" w:sz="0" w:space="0" w:color="auto"/>
            <w:left w:val="none" w:sz="0" w:space="0" w:color="auto"/>
            <w:bottom w:val="none" w:sz="0" w:space="0" w:color="auto"/>
            <w:right w:val="none" w:sz="0" w:space="0" w:color="auto"/>
          </w:divBdr>
        </w:div>
        <w:div w:id="1908802654">
          <w:marLeft w:val="274"/>
          <w:marRight w:val="0"/>
          <w:marTop w:val="0"/>
          <w:marBottom w:val="0"/>
          <w:divBdr>
            <w:top w:val="none" w:sz="0" w:space="0" w:color="auto"/>
            <w:left w:val="none" w:sz="0" w:space="0" w:color="auto"/>
            <w:bottom w:val="none" w:sz="0" w:space="0" w:color="auto"/>
            <w:right w:val="none" w:sz="0" w:space="0" w:color="auto"/>
          </w:divBdr>
        </w:div>
        <w:div w:id="1943105832">
          <w:marLeft w:val="274"/>
          <w:marRight w:val="0"/>
          <w:marTop w:val="0"/>
          <w:marBottom w:val="0"/>
          <w:divBdr>
            <w:top w:val="none" w:sz="0" w:space="0" w:color="auto"/>
            <w:left w:val="none" w:sz="0" w:space="0" w:color="auto"/>
            <w:bottom w:val="none" w:sz="0" w:space="0" w:color="auto"/>
            <w:right w:val="none" w:sz="0" w:space="0" w:color="auto"/>
          </w:divBdr>
        </w:div>
      </w:divsChild>
    </w:div>
    <w:div w:id="401224330">
      <w:bodyDiv w:val="1"/>
      <w:marLeft w:val="0"/>
      <w:marRight w:val="0"/>
      <w:marTop w:val="0"/>
      <w:marBottom w:val="0"/>
      <w:divBdr>
        <w:top w:val="none" w:sz="0" w:space="0" w:color="auto"/>
        <w:left w:val="none" w:sz="0" w:space="0" w:color="auto"/>
        <w:bottom w:val="none" w:sz="0" w:space="0" w:color="auto"/>
        <w:right w:val="none" w:sz="0" w:space="0" w:color="auto"/>
      </w:divBdr>
    </w:div>
    <w:div w:id="405419920">
      <w:bodyDiv w:val="1"/>
      <w:marLeft w:val="0"/>
      <w:marRight w:val="0"/>
      <w:marTop w:val="0"/>
      <w:marBottom w:val="0"/>
      <w:divBdr>
        <w:top w:val="none" w:sz="0" w:space="0" w:color="auto"/>
        <w:left w:val="none" w:sz="0" w:space="0" w:color="auto"/>
        <w:bottom w:val="none" w:sz="0" w:space="0" w:color="auto"/>
        <w:right w:val="none" w:sz="0" w:space="0" w:color="auto"/>
      </w:divBdr>
    </w:div>
    <w:div w:id="413745140">
      <w:bodyDiv w:val="1"/>
      <w:marLeft w:val="0"/>
      <w:marRight w:val="0"/>
      <w:marTop w:val="0"/>
      <w:marBottom w:val="0"/>
      <w:divBdr>
        <w:top w:val="none" w:sz="0" w:space="0" w:color="auto"/>
        <w:left w:val="none" w:sz="0" w:space="0" w:color="auto"/>
        <w:bottom w:val="none" w:sz="0" w:space="0" w:color="auto"/>
        <w:right w:val="none" w:sz="0" w:space="0" w:color="auto"/>
      </w:divBdr>
      <w:divsChild>
        <w:div w:id="201021742">
          <w:marLeft w:val="274"/>
          <w:marRight w:val="0"/>
          <w:marTop w:val="0"/>
          <w:marBottom w:val="0"/>
          <w:divBdr>
            <w:top w:val="none" w:sz="0" w:space="0" w:color="auto"/>
            <w:left w:val="none" w:sz="0" w:space="0" w:color="auto"/>
            <w:bottom w:val="none" w:sz="0" w:space="0" w:color="auto"/>
            <w:right w:val="none" w:sz="0" w:space="0" w:color="auto"/>
          </w:divBdr>
        </w:div>
        <w:div w:id="546914172">
          <w:marLeft w:val="274"/>
          <w:marRight w:val="0"/>
          <w:marTop w:val="0"/>
          <w:marBottom w:val="0"/>
          <w:divBdr>
            <w:top w:val="none" w:sz="0" w:space="0" w:color="auto"/>
            <w:left w:val="none" w:sz="0" w:space="0" w:color="auto"/>
            <w:bottom w:val="none" w:sz="0" w:space="0" w:color="auto"/>
            <w:right w:val="none" w:sz="0" w:space="0" w:color="auto"/>
          </w:divBdr>
        </w:div>
        <w:div w:id="832574916">
          <w:marLeft w:val="274"/>
          <w:marRight w:val="0"/>
          <w:marTop w:val="0"/>
          <w:marBottom w:val="0"/>
          <w:divBdr>
            <w:top w:val="none" w:sz="0" w:space="0" w:color="auto"/>
            <w:left w:val="none" w:sz="0" w:space="0" w:color="auto"/>
            <w:bottom w:val="none" w:sz="0" w:space="0" w:color="auto"/>
            <w:right w:val="none" w:sz="0" w:space="0" w:color="auto"/>
          </w:divBdr>
        </w:div>
        <w:div w:id="1307782705">
          <w:marLeft w:val="274"/>
          <w:marRight w:val="0"/>
          <w:marTop w:val="0"/>
          <w:marBottom w:val="0"/>
          <w:divBdr>
            <w:top w:val="none" w:sz="0" w:space="0" w:color="auto"/>
            <w:left w:val="none" w:sz="0" w:space="0" w:color="auto"/>
            <w:bottom w:val="none" w:sz="0" w:space="0" w:color="auto"/>
            <w:right w:val="none" w:sz="0" w:space="0" w:color="auto"/>
          </w:divBdr>
        </w:div>
        <w:div w:id="1541434454">
          <w:marLeft w:val="274"/>
          <w:marRight w:val="0"/>
          <w:marTop w:val="0"/>
          <w:marBottom w:val="0"/>
          <w:divBdr>
            <w:top w:val="none" w:sz="0" w:space="0" w:color="auto"/>
            <w:left w:val="none" w:sz="0" w:space="0" w:color="auto"/>
            <w:bottom w:val="none" w:sz="0" w:space="0" w:color="auto"/>
            <w:right w:val="none" w:sz="0" w:space="0" w:color="auto"/>
          </w:divBdr>
        </w:div>
        <w:div w:id="1611889607">
          <w:marLeft w:val="274"/>
          <w:marRight w:val="0"/>
          <w:marTop w:val="0"/>
          <w:marBottom w:val="0"/>
          <w:divBdr>
            <w:top w:val="none" w:sz="0" w:space="0" w:color="auto"/>
            <w:left w:val="none" w:sz="0" w:space="0" w:color="auto"/>
            <w:bottom w:val="none" w:sz="0" w:space="0" w:color="auto"/>
            <w:right w:val="none" w:sz="0" w:space="0" w:color="auto"/>
          </w:divBdr>
        </w:div>
      </w:divsChild>
    </w:div>
    <w:div w:id="416022854">
      <w:bodyDiv w:val="1"/>
      <w:marLeft w:val="0"/>
      <w:marRight w:val="0"/>
      <w:marTop w:val="0"/>
      <w:marBottom w:val="0"/>
      <w:divBdr>
        <w:top w:val="none" w:sz="0" w:space="0" w:color="auto"/>
        <w:left w:val="none" w:sz="0" w:space="0" w:color="auto"/>
        <w:bottom w:val="none" w:sz="0" w:space="0" w:color="auto"/>
        <w:right w:val="none" w:sz="0" w:space="0" w:color="auto"/>
      </w:divBdr>
    </w:div>
    <w:div w:id="422918905">
      <w:bodyDiv w:val="1"/>
      <w:marLeft w:val="0"/>
      <w:marRight w:val="0"/>
      <w:marTop w:val="0"/>
      <w:marBottom w:val="0"/>
      <w:divBdr>
        <w:top w:val="none" w:sz="0" w:space="0" w:color="auto"/>
        <w:left w:val="none" w:sz="0" w:space="0" w:color="auto"/>
        <w:bottom w:val="none" w:sz="0" w:space="0" w:color="auto"/>
        <w:right w:val="none" w:sz="0" w:space="0" w:color="auto"/>
      </w:divBdr>
    </w:div>
    <w:div w:id="445121567">
      <w:bodyDiv w:val="1"/>
      <w:marLeft w:val="0"/>
      <w:marRight w:val="0"/>
      <w:marTop w:val="0"/>
      <w:marBottom w:val="0"/>
      <w:divBdr>
        <w:top w:val="none" w:sz="0" w:space="0" w:color="auto"/>
        <w:left w:val="none" w:sz="0" w:space="0" w:color="auto"/>
        <w:bottom w:val="none" w:sz="0" w:space="0" w:color="auto"/>
        <w:right w:val="none" w:sz="0" w:space="0" w:color="auto"/>
      </w:divBdr>
    </w:div>
    <w:div w:id="452485541">
      <w:bodyDiv w:val="1"/>
      <w:marLeft w:val="0"/>
      <w:marRight w:val="0"/>
      <w:marTop w:val="0"/>
      <w:marBottom w:val="0"/>
      <w:divBdr>
        <w:top w:val="none" w:sz="0" w:space="0" w:color="auto"/>
        <w:left w:val="none" w:sz="0" w:space="0" w:color="auto"/>
        <w:bottom w:val="none" w:sz="0" w:space="0" w:color="auto"/>
        <w:right w:val="none" w:sz="0" w:space="0" w:color="auto"/>
      </w:divBdr>
    </w:div>
    <w:div w:id="454447513">
      <w:bodyDiv w:val="1"/>
      <w:marLeft w:val="0"/>
      <w:marRight w:val="0"/>
      <w:marTop w:val="0"/>
      <w:marBottom w:val="0"/>
      <w:divBdr>
        <w:top w:val="none" w:sz="0" w:space="0" w:color="auto"/>
        <w:left w:val="none" w:sz="0" w:space="0" w:color="auto"/>
        <w:bottom w:val="none" w:sz="0" w:space="0" w:color="auto"/>
        <w:right w:val="none" w:sz="0" w:space="0" w:color="auto"/>
      </w:divBdr>
    </w:div>
    <w:div w:id="460878657">
      <w:bodyDiv w:val="1"/>
      <w:marLeft w:val="0"/>
      <w:marRight w:val="0"/>
      <w:marTop w:val="0"/>
      <w:marBottom w:val="0"/>
      <w:divBdr>
        <w:top w:val="none" w:sz="0" w:space="0" w:color="auto"/>
        <w:left w:val="none" w:sz="0" w:space="0" w:color="auto"/>
        <w:bottom w:val="none" w:sz="0" w:space="0" w:color="auto"/>
        <w:right w:val="none" w:sz="0" w:space="0" w:color="auto"/>
      </w:divBdr>
    </w:div>
    <w:div w:id="461508454">
      <w:bodyDiv w:val="1"/>
      <w:marLeft w:val="0"/>
      <w:marRight w:val="0"/>
      <w:marTop w:val="0"/>
      <w:marBottom w:val="0"/>
      <w:divBdr>
        <w:top w:val="none" w:sz="0" w:space="0" w:color="auto"/>
        <w:left w:val="none" w:sz="0" w:space="0" w:color="auto"/>
        <w:bottom w:val="none" w:sz="0" w:space="0" w:color="auto"/>
        <w:right w:val="none" w:sz="0" w:space="0" w:color="auto"/>
      </w:divBdr>
    </w:div>
    <w:div w:id="464081554">
      <w:bodyDiv w:val="1"/>
      <w:marLeft w:val="0"/>
      <w:marRight w:val="0"/>
      <w:marTop w:val="0"/>
      <w:marBottom w:val="0"/>
      <w:divBdr>
        <w:top w:val="none" w:sz="0" w:space="0" w:color="auto"/>
        <w:left w:val="none" w:sz="0" w:space="0" w:color="auto"/>
        <w:bottom w:val="none" w:sz="0" w:space="0" w:color="auto"/>
        <w:right w:val="none" w:sz="0" w:space="0" w:color="auto"/>
      </w:divBdr>
    </w:div>
    <w:div w:id="468471904">
      <w:bodyDiv w:val="1"/>
      <w:marLeft w:val="0"/>
      <w:marRight w:val="0"/>
      <w:marTop w:val="0"/>
      <w:marBottom w:val="0"/>
      <w:divBdr>
        <w:top w:val="none" w:sz="0" w:space="0" w:color="auto"/>
        <w:left w:val="none" w:sz="0" w:space="0" w:color="auto"/>
        <w:bottom w:val="none" w:sz="0" w:space="0" w:color="auto"/>
        <w:right w:val="none" w:sz="0" w:space="0" w:color="auto"/>
      </w:divBdr>
    </w:div>
    <w:div w:id="468743687">
      <w:bodyDiv w:val="1"/>
      <w:marLeft w:val="0"/>
      <w:marRight w:val="0"/>
      <w:marTop w:val="0"/>
      <w:marBottom w:val="0"/>
      <w:divBdr>
        <w:top w:val="none" w:sz="0" w:space="0" w:color="auto"/>
        <w:left w:val="none" w:sz="0" w:space="0" w:color="auto"/>
        <w:bottom w:val="none" w:sz="0" w:space="0" w:color="auto"/>
        <w:right w:val="none" w:sz="0" w:space="0" w:color="auto"/>
      </w:divBdr>
    </w:div>
    <w:div w:id="500892648">
      <w:bodyDiv w:val="1"/>
      <w:marLeft w:val="0"/>
      <w:marRight w:val="0"/>
      <w:marTop w:val="0"/>
      <w:marBottom w:val="0"/>
      <w:divBdr>
        <w:top w:val="none" w:sz="0" w:space="0" w:color="auto"/>
        <w:left w:val="none" w:sz="0" w:space="0" w:color="auto"/>
        <w:bottom w:val="none" w:sz="0" w:space="0" w:color="auto"/>
        <w:right w:val="none" w:sz="0" w:space="0" w:color="auto"/>
      </w:divBdr>
    </w:div>
    <w:div w:id="509872155">
      <w:bodyDiv w:val="1"/>
      <w:marLeft w:val="0"/>
      <w:marRight w:val="0"/>
      <w:marTop w:val="0"/>
      <w:marBottom w:val="0"/>
      <w:divBdr>
        <w:top w:val="none" w:sz="0" w:space="0" w:color="auto"/>
        <w:left w:val="none" w:sz="0" w:space="0" w:color="auto"/>
        <w:bottom w:val="none" w:sz="0" w:space="0" w:color="auto"/>
        <w:right w:val="none" w:sz="0" w:space="0" w:color="auto"/>
      </w:divBdr>
    </w:div>
    <w:div w:id="522476950">
      <w:bodyDiv w:val="1"/>
      <w:marLeft w:val="0"/>
      <w:marRight w:val="0"/>
      <w:marTop w:val="0"/>
      <w:marBottom w:val="0"/>
      <w:divBdr>
        <w:top w:val="none" w:sz="0" w:space="0" w:color="auto"/>
        <w:left w:val="none" w:sz="0" w:space="0" w:color="auto"/>
        <w:bottom w:val="none" w:sz="0" w:space="0" w:color="auto"/>
        <w:right w:val="none" w:sz="0" w:space="0" w:color="auto"/>
      </w:divBdr>
    </w:div>
    <w:div w:id="523792153">
      <w:bodyDiv w:val="1"/>
      <w:marLeft w:val="0"/>
      <w:marRight w:val="0"/>
      <w:marTop w:val="0"/>
      <w:marBottom w:val="0"/>
      <w:divBdr>
        <w:top w:val="none" w:sz="0" w:space="0" w:color="auto"/>
        <w:left w:val="none" w:sz="0" w:space="0" w:color="auto"/>
        <w:bottom w:val="none" w:sz="0" w:space="0" w:color="auto"/>
        <w:right w:val="none" w:sz="0" w:space="0" w:color="auto"/>
      </w:divBdr>
    </w:div>
    <w:div w:id="527910101">
      <w:bodyDiv w:val="1"/>
      <w:marLeft w:val="0"/>
      <w:marRight w:val="0"/>
      <w:marTop w:val="0"/>
      <w:marBottom w:val="0"/>
      <w:divBdr>
        <w:top w:val="none" w:sz="0" w:space="0" w:color="auto"/>
        <w:left w:val="none" w:sz="0" w:space="0" w:color="auto"/>
        <w:bottom w:val="none" w:sz="0" w:space="0" w:color="auto"/>
        <w:right w:val="none" w:sz="0" w:space="0" w:color="auto"/>
      </w:divBdr>
    </w:div>
    <w:div w:id="543098385">
      <w:bodyDiv w:val="1"/>
      <w:marLeft w:val="0"/>
      <w:marRight w:val="0"/>
      <w:marTop w:val="0"/>
      <w:marBottom w:val="0"/>
      <w:divBdr>
        <w:top w:val="none" w:sz="0" w:space="0" w:color="auto"/>
        <w:left w:val="none" w:sz="0" w:space="0" w:color="auto"/>
        <w:bottom w:val="none" w:sz="0" w:space="0" w:color="auto"/>
        <w:right w:val="none" w:sz="0" w:space="0" w:color="auto"/>
      </w:divBdr>
    </w:div>
    <w:div w:id="552157397">
      <w:bodyDiv w:val="1"/>
      <w:marLeft w:val="0"/>
      <w:marRight w:val="0"/>
      <w:marTop w:val="0"/>
      <w:marBottom w:val="0"/>
      <w:divBdr>
        <w:top w:val="none" w:sz="0" w:space="0" w:color="auto"/>
        <w:left w:val="none" w:sz="0" w:space="0" w:color="auto"/>
        <w:bottom w:val="none" w:sz="0" w:space="0" w:color="auto"/>
        <w:right w:val="none" w:sz="0" w:space="0" w:color="auto"/>
      </w:divBdr>
    </w:div>
    <w:div w:id="552425576">
      <w:bodyDiv w:val="1"/>
      <w:marLeft w:val="0"/>
      <w:marRight w:val="0"/>
      <w:marTop w:val="0"/>
      <w:marBottom w:val="0"/>
      <w:divBdr>
        <w:top w:val="none" w:sz="0" w:space="0" w:color="auto"/>
        <w:left w:val="none" w:sz="0" w:space="0" w:color="auto"/>
        <w:bottom w:val="none" w:sz="0" w:space="0" w:color="auto"/>
        <w:right w:val="none" w:sz="0" w:space="0" w:color="auto"/>
      </w:divBdr>
    </w:div>
    <w:div w:id="561990781">
      <w:bodyDiv w:val="1"/>
      <w:marLeft w:val="0"/>
      <w:marRight w:val="0"/>
      <w:marTop w:val="0"/>
      <w:marBottom w:val="0"/>
      <w:divBdr>
        <w:top w:val="none" w:sz="0" w:space="0" w:color="auto"/>
        <w:left w:val="none" w:sz="0" w:space="0" w:color="auto"/>
        <w:bottom w:val="none" w:sz="0" w:space="0" w:color="auto"/>
        <w:right w:val="none" w:sz="0" w:space="0" w:color="auto"/>
      </w:divBdr>
    </w:div>
    <w:div w:id="592200903">
      <w:bodyDiv w:val="1"/>
      <w:marLeft w:val="0"/>
      <w:marRight w:val="0"/>
      <w:marTop w:val="0"/>
      <w:marBottom w:val="0"/>
      <w:divBdr>
        <w:top w:val="none" w:sz="0" w:space="0" w:color="auto"/>
        <w:left w:val="none" w:sz="0" w:space="0" w:color="auto"/>
        <w:bottom w:val="none" w:sz="0" w:space="0" w:color="auto"/>
        <w:right w:val="none" w:sz="0" w:space="0" w:color="auto"/>
      </w:divBdr>
    </w:div>
    <w:div w:id="595940197">
      <w:bodyDiv w:val="1"/>
      <w:marLeft w:val="0"/>
      <w:marRight w:val="0"/>
      <w:marTop w:val="0"/>
      <w:marBottom w:val="0"/>
      <w:divBdr>
        <w:top w:val="none" w:sz="0" w:space="0" w:color="auto"/>
        <w:left w:val="none" w:sz="0" w:space="0" w:color="auto"/>
        <w:bottom w:val="none" w:sz="0" w:space="0" w:color="auto"/>
        <w:right w:val="none" w:sz="0" w:space="0" w:color="auto"/>
      </w:divBdr>
    </w:div>
    <w:div w:id="622886134">
      <w:bodyDiv w:val="1"/>
      <w:marLeft w:val="0"/>
      <w:marRight w:val="0"/>
      <w:marTop w:val="0"/>
      <w:marBottom w:val="0"/>
      <w:divBdr>
        <w:top w:val="none" w:sz="0" w:space="0" w:color="auto"/>
        <w:left w:val="none" w:sz="0" w:space="0" w:color="auto"/>
        <w:bottom w:val="none" w:sz="0" w:space="0" w:color="auto"/>
        <w:right w:val="none" w:sz="0" w:space="0" w:color="auto"/>
      </w:divBdr>
    </w:div>
    <w:div w:id="628173396">
      <w:bodyDiv w:val="1"/>
      <w:marLeft w:val="0"/>
      <w:marRight w:val="0"/>
      <w:marTop w:val="0"/>
      <w:marBottom w:val="0"/>
      <w:divBdr>
        <w:top w:val="none" w:sz="0" w:space="0" w:color="auto"/>
        <w:left w:val="none" w:sz="0" w:space="0" w:color="auto"/>
        <w:bottom w:val="none" w:sz="0" w:space="0" w:color="auto"/>
        <w:right w:val="none" w:sz="0" w:space="0" w:color="auto"/>
      </w:divBdr>
    </w:div>
    <w:div w:id="642348040">
      <w:bodyDiv w:val="1"/>
      <w:marLeft w:val="0"/>
      <w:marRight w:val="0"/>
      <w:marTop w:val="0"/>
      <w:marBottom w:val="0"/>
      <w:divBdr>
        <w:top w:val="none" w:sz="0" w:space="0" w:color="auto"/>
        <w:left w:val="none" w:sz="0" w:space="0" w:color="auto"/>
        <w:bottom w:val="none" w:sz="0" w:space="0" w:color="auto"/>
        <w:right w:val="none" w:sz="0" w:space="0" w:color="auto"/>
      </w:divBdr>
      <w:divsChild>
        <w:div w:id="289014258">
          <w:marLeft w:val="274"/>
          <w:marRight w:val="0"/>
          <w:marTop w:val="0"/>
          <w:marBottom w:val="120"/>
          <w:divBdr>
            <w:top w:val="none" w:sz="0" w:space="0" w:color="auto"/>
            <w:left w:val="none" w:sz="0" w:space="0" w:color="auto"/>
            <w:bottom w:val="none" w:sz="0" w:space="0" w:color="auto"/>
            <w:right w:val="none" w:sz="0" w:space="0" w:color="auto"/>
          </w:divBdr>
        </w:div>
      </w:divsChild>
    </w:div>
    <w:div w:id="647325122">
      <w:bodyDiv w:val="1"/>
      <w:marLeft w:val="0"/>
      <w:marRight w:val="0"/>
      <w:marTop w:val="0"/>
      <w:marBottom w:val="0"/>
      <w:divBdr>
        <w:top w:val="none" w:sz="0" w:space="0" w:color="auto"/>
        <w:left w:val="none" w:sz="0" w:space="0" w:color="auto"/>
        <w:bottom w:val="none" w:sz="0" w:space="0" w:color="auto"/>
        <w:right w:val="none" w:sz="0" w:space="0" w:color="auto"/>
      </w:divBdr>
    </w:div>
    <w:div w:id="649217869">
      <w:bodyDiv w:val="1"/>
      <w:marLeft w:val="0"/>
      <w:marRight w:val="0"/>
      <w:marTop w:val="0"/>
      <w:marBottom w:val="0"/>
      <w:divBdr>
        <w:top w:val="none" w:sz="0" w:space="0" w:color="auto"/>
        <w:left w:val="none" w:sz="0" w:space="0" w:color="auto"/>
        <w:bottom w:val="none" w:sz="0" w:space="0" w:color="auto"/>
        <w:right w:val="none" w:sz="0" w:space="0" w:color="auto"/>
      </w:divBdr>
    </w:div>
    <w:div w:id="649870532">
      <w:bodyDiv w:val="1"/>
      <w:marLeft w:val="0"/>
      <w:marRight w:val="0"/>
      <w:marTop w:val="0"/>
      <w:marBottom w:val="0"/>
      <w:divBdr>
        <w:top w:val="none" w:sz="0" w:space="0" w:color="auto"/>
        <w:left w:val="none" w:sz="0" w:space="0" w:color="auto"/>
        <w:bottom w:val="none" w:sz="0" w:space="0" w:color="auto"/>
        <w:right w:val="none" w:sz="0" w:space="0" w:color="auto"/>
      </w:divBdr>
    </w:div>
    <w:div w:id="662582655">
      <w:bodyDiv w:val="1"/>
      <w:marLeft w:val="0"/>
      <w:marRight w:val="0"/>
      <w:marTop w:val="0"/>
      <w:marBottom w:val="0"/>
      <w:divBdr>
        <w:top w:val="none" w:sz="0" w:space="0" w:color="auto"/>
        <w:left w:val="none" w:sz="0" w:space="0" w:color="auto"/>
        <w:bottom w:val="none" w:sz="0" w:space="0" w:color="auto"/>
        <w:right w:val="none" w:sz="0" w:space="0" w:color="auto"/>
      </w:divBdr>
      <w:divsChild>
        <w:div w:id="1222255729">
          <w:marLeft w:val="274"/>
          <w:marRight w:val="0"/>
          <w:marTop w:val="0"/>
          <w:marBottom w:val="120"/>
          <w:divBdr>
            <w:top w:val="none" w:sz="0" w:space="0" w:color="auto"/>
            <w:left w:val="none" w:sz="0" w:space="0" w:color="auto"/>
            <w:bottom w:val="none" w:sz="0" w:space="0" w:color="auto"/>
            <w:right w:val="none" w:sz="0" w:space="0" w:color="auto"/>
          </w:divBdr>
        </w:div>
      </w:divsChild>
    </w:div>
    <w:div w:id="664630002">
      <w:bodyDiv w:val="1"/>
      <w:marLeft w:val="0"/>
      <w:marRight w:val="0"/>
      <w:marTop w:val="0"/>
      <w:marBottom w:val="0"/>
      <w:divBdr>
        <w:top w:val="none" w:sz="0" w:space="0" w:color="auto"/>
        <w:left w:val="none" w:sz="0" w:space="0" w:color="auto"/>
        <w:bottom w:val="none" w:sz="0" w:space="0" w:color="auto"/>
        <w:right w:val="none" w:sz="0" w:space="0" w:color="auto"/>
      </w:divBdr>
    </w:div>
    <w:div w:id="675962949">
      <w:bodyDiv w:val="1"/>
      <w:marLeft w:val="0"/>
      <w:marRight w:val="0"/>
      <w:marTop w:val="0"/>
      <w:marBottom w:val="0"/>
      <w:divBdr>
        <w:top w:val="none" w:sz="0" w:space="0" w:color="auto"/>
        <w:left w:val="none" w:sz="0" w:space="0" w:color="auto"/>
        <w:bottom w:val="none" w:sz="0" w:space="0" w:color="auto"/>
        <w:right w:val="none" w:sz="0" w:space="0" w:color="auto"/>
      </w:divBdr>
    </w:div>
    <w:div w:id="683358726">
      <w:bodyDiv w:val="1"/>
      <w:marLeft w:val="0"/>
      <w:marRight w:val="0"/>
      <w:marTop w:val="0"/>
      <w:marBottom w:val="0"/>
      <w:divBdr>
        <w:top w:val="none" w:sz="0" w:space="0" w:color="auto"/>
        <w:left w:val="none" w:sz="0" w:space="0" w:color="auto"/>
        <w:bottom w:val="none" w:sz="0" w:space="0" w:color="auto"/>
        <w:right w:val="none" w:sz="0" w:space="0" w:color="auto"/>
      </w:divBdr>
    </w:div>
    <w:div w:id="690422079">
      <w:bodyDiv w:val="1"/>
      <w:marLeft w:val="0"/>
      <w:marRight w:val="0"/>
      <w:marTop w:val="0"/>
      <w:marBottom w:val="0"/>
      <w:divBdr>
        <w:top w:val="none" w:sz="0" w:space="0" w:color="auto"/>
        <w:left w:val="none" w:sz="0" w:space="0" w:color="auto"/>
        <w:bottom w:val="none" w:sz="0" w:space="0" w:color="auto"/>
        <w:right w:val="none" w:sz="0" w:space="0" w:color="auto"/>
      </w:divBdr>
    </w:div>
    <w:div w:id="697049598">
      <w:bodyDiv w:val="1"/>
      <w:marLeft w:val="0"/>
      <w:marRight w:val="0"/>
      <w:marTop w:val="0"/>
      <w:marBottom w:val="0"/>
      <w:divBdr>
        <w:top w:val="none" w:sz="0" w:space="0" w:color="auto"/>
        <w:left w:val="none" w:sz="0" w:space="0" w:color="auto"/>
        <w:bottom w:val="none" w:sz="0" w:space="0" w:color="auto"/>
        <w:right w:val="none" w:sz="0" w:space="0" w:color="auto"/>
      </w:divBdr>
    </w:div>
    <w:div w:id="702287525">
      <w:bodyDiv w:val="1"/>
      <w:marLeft w:val="0"/>
      <w:marRight w:val="0"/>
      <w:marTop w:val="0"/>
      <w:marBottom w:val="0"/>
      <w:divBdr>
        <w:top w:val="none" w:sz="0" w:space="0" w:color="auto"/>
        <w:left w:val="none" w:sz="0" w:space="0" w:color="auto"/>
        <w:bottom w:val="none" w:sz="0" w:space="0" w:color="auto"/>
        <w:right w:val="none" w:sz="0" w:space="0" w:color="auto"/>
      </w:divBdr>
    </w:div>
    <w:div w:id="707488031">
      <w:bodyDiv w:val="1"/>
      <w:marLeft w:val="0"/>
      <w:marRight w:val="0"/>
      <w:marTop w:val="0"/>
      <w:marBottom w:val="0"/>
      <w:divBdr>
        <w:top w:val="none" w:sz="0" w:space="0" w:color="auto"/>
        <w:left w:val="none" w:sz="0" w:space="0" w:color="auto"/>
        <w:bottom w:val="none" w:sz="0" w:space="0" w:color="auto"/>
        <w:right w:val="none" w:sz="0" w:space="0" w:color="auto"/>
      </w:divBdr>
    </w:div>
    <w:div w:id="707726574">
      <w:bodyDiv w:val="1"/>
      <w:marLeft w:val="0"/>
      <w:marRight w:val="0"/>
      <w:marTop w:val="0"/>
      <w:marBottom w:val="0"/>
      <w:divBdr>
        <w:top w:val="none" w:sz="0" w:space="0" w:color="auto"/>
        <w:left w:val="none" w:sz="0" w:space="0" w:color="auto"/>
        <w:bottom w:val="none" w:sz="0" w:space="0" w:color="auto"/>
        <w:right w:val="none" w:sz="0" w:space="0" w:color="auto"/>
      </w:divBdr>
    </w:div>
    <w:div w:id="708527673">
      <w:bodyDiv w:val="1"/>
      <w:marLeft w:val="0"/>
      <w:marRight w:val="0"/>
      <w:marTop w:val="0"/>
      <w:marBottom w:val="0"/>
      <w:divBdr>
        <w:top w:val="none" w:sz="0" w:space="0" w:color="auto"/>
        <w:left w:val="none" w:sz="0" w:space="0" w:color="auto"/>
        <w:bottom w:val="none" w:sz="0" w:space="0" w:color="auto"/>
        <w:right w:val="none" w:sz="0" w:space="0" w:color="auto"/>
      </w:divBdr>
    </w:div>
    <w:div w:id="731850311">
      <w:bodyDiv w:val="1"/>
      <w:marLeft w:val="0"/>
      <w:marRight w:val="0"/>
      <w:marTop w:val="0"/>
      <w:marBottom w:val="0"/>
      <w:divBdr>
        <w:top w:val="none" w:sz="0" w:space="0" w:color="auto"/>
        <w:left w:val="none" w:sz="0" w:space="0" w:color="auto"/>
        <w:bottom w:val="none" w:sz="0" w:space="0" w:color="auto"/>
        <w:right w:val="none" w:sz="0" w:space="0" w:color="auto"/>
      </w:divBdr>
    </w:div>
    <w:div w:id="741294647">
      <w:bodyDiv w:val="1"/>
      <w:marLeft w:val="0"/>
      <w:marRight w:val="0"/>
      <w:marTop w:val="0"/>
      <w:marBottom w:val="0"/>
      <w:divBdr>
        <w:top w:val="none" w:sz="0" w:space="0" w:color="auto"/>
        <w:left w:val="none" w:sz="0" w:space="0" w:color="auto"/>
        <w:bottom w:val="none" w:sz="0" w:space="0" w:color="auto"/>
        <w:right w:val="none" w:sz="0" w:space="0" w:color="auto"/>
      </w:divBdr>
      <w:divsChild>
        <w:div w:id="398404789">
          <w:marLeft w:val="274"/>
          <w:marRight w:val="0"/>
          <w:marTop w:val="0"/>
          <w:marBottom w:val="120"/>
          <w:divBdr>
            <w:top w:val="none" w:sz="0" w:space="0" w:color="auto"/>
            <w:left w:val="none" w:sz="0" w:space="0" w:color="auto"/>
            <w:bottom w:val="none" w:sz="0" w:space="0" w:color="auto"/>
            <w:right w:val="none" w:sz="0" w:space="0" w:color="auto"/>
          </w:divBdr>
        </w:div>
      </w:divsChild>
    </w:div>
    <w:div w:id="766777052">
      <w:bodyDiv w:val="1"/>
      <w:marLeft w:val="0"/>
      <w:marRight w:val="0"/>
      <w:marTop w:val="0"/>
      <w:marBottom w:val="0"/>
      <w:divBdr>
        <w:top w:val="none" w:sz="0" w:space="0" w:color="auto"/>
        <w:left w:val="none" w:sz="0" w:space="0" w:color="auto"/>
        <w:bottom w:val="none" w:sz="0" w:space="0" w:color="auto"/>
        <w:right w:val="none" w:sz="0" w:space="0" w:color="auto"/>
      </w:divBdr>
      <w:divsChild>
        <w:div w:id="1185171178">
          <w:marLeft w:val="274"/>
          <w:marRight w:val="0"/>
          <w:marTop w:val="0"/>
          <w:marBottom w:val="120"/>
          <w:divBdr>
            <w:top w:val="none" w:sz="0" w:space="0" w:color="auto"/>
            <w:left w:val="none" w:sz="0" w:space="0" w:color="auto"/>
            <w:bottom w:val="none" w:sz="0" w:space="0" w:color="auto"/>
            <w:right w:val="none" w:sz="0" w:space="0" w:color="auto"/>
          </w:divBdr>
        </w:div>
      </w:divsChild>
    </w:div>
    <w:div w:id="771583950">
      <w:bodyDiv w:val="1"/>
      <w:marLeft w:val="0"/>
      <w:marRight w:val="0"/>
      <w:marTop w:val="0"/>
      <w:marBottom w:val="0"/>
      <w:divBdr>
        <w:top w:val="none" w:sz="0" w:space="0" w:color="auto"/>
        <w:left w:val="none" w:sz="0" w:space="0" w:color="auto"/>
        <w:bottom w:val="none" w:sz="0" w:space="0" w:color="auto"/>
        <w:right w:val="none" w:sz="0" w:space="0" w:color="auto"/>
      </w:divBdr>
      <w:divsChild>
        <w:div w:id="958033058">
          <w:marLeft w:val="994"/>
          <w:marRight w:val="0"/>
          <w:marTop w:val="0"/>
          <w:marBottom w:val="120"/>
          <w:divBdr>
            <w:top w:val="none" w:sz="0" w:space="0" w:color="auto"/>
            <w:left w:val="none" w:sz="0" w:space="0" w:color="auto"/>
            <w:bottom w:val="none" w:sz="0" w:space="0" w:color="auto"/>
            <w:right w:val="none" w:sz="0" w:space="0" w:color="auto"/>
          </w:divBdr>
        </w:div>
        <w:div w:id="1355230901">
          <w:marLeft w:val="994"/>
          <w:marRight w:val="0"/>
          <w:marTop w:val="0"/>
          <w:marBottom w:val="120"/>
          <w:divBdr>
            <w:top w:val="none" w:sz="0" w:space="0" w:color="auto"/>
            <w:left w:val="none" w:sz="0" w:space="0" w:color="auto"/>
            <w:bottom w:val="none" w:sz="0" w:space="0" w:color="auto"/>
            <w:right w:val="none" w:sz="0" w:space="0" w:color="auto"/>
          </w:divBdr>
        </w:div>
        <w:div w:id="1877346984">
          <w:marLeft w:val="994"/>
          <w:marRight w:val="0"/>
          <w:marTop w:val="0"/>
          <w:marBottom w:val="120"/>
          <w:divBdr>
            <w:top w:val="none" w:sz="0" w:space="0" w:color="auto"/>
            <w:left w:val="none" w:sz="0" w:space="0" w:color="auto"/>
            <w:bottom w:val="none" w:sz="0" w:space="0" w:color="auto"/>
            <w:right w:val="none" w:sz="0" w:space="0" w:color="auto"/>
          </w:divBdr>
        </w:div>
      </w:divsChild>
    </w:div>
    <w:div w:id="780105707">
      <w:bodyDiv w:val="1"/>
      <w:marLeft w:val="0"/>
      <w:marRight w:val="0"/>
      <w:marTop w:val="0"/>
      <w:marBottom w:val="0"/>
      <w:divBdr>
        <w:top w:val="none" w:sz="0" w:space="0" w:color="auto"/>
        <w:left w:val="none" w:sz="0" w:space="0" w:color="auto"/>
        <w:bottom w:val="none" w:sz="0" w:space="0" w:color="auto"/>
        <w:right w:val="none" w:sz="0" w:space="0" w:color="auto"/>
      </w:divBdr>
    </w:div>
    <w:div w:id="804004349">
      <w:bodyDiv w:val="1"/>
      <w:marLeft w:val="0"/>
      <w:marRight w:val="0"/>
      <w:marTop w:val="0"/>
      <w:marBottom w:val="0"/>
      <w:divBdr>
        <w:top w:val="none" w:sz="0" w:space="0" w:color="auto"/>
        <w:left w:val="none" w:sz="0" w:space="0" w:color="auto"/>
        <w:bottom w:val="none" w:sz="0" w:space="0" w:color="auto"/>
        <w:right w:val="none" w:sz="0" w:space="0" w:color="auto"/>
      </w:divBdr>
      <w:divsChild>
        <w:div w:id="1703046919">
          <w:marLeft w:val="274"/>
          <w:marRight w:val="0"/>
          <w:marTop w:val="0"/>
          <w:marBottom w:val="0"/>
          <w:divBdr>
            <w:top w:val="none" w:sz="0" w:space="0" w:color="auto"/>
            <w:left w:val="none" w:sz="0" w:space="0" w:color="auto"/>
            <w:bottom w:val="none" w:sz="0" w:space="0" w:color="auto"/>
            <w:right w:val="none" w:sz="0" w:space="0" w:color="auto"/>
          </w:divBdr>
        </w:div>
        <w:div w:id="487553160">
          <w:marLeft w:val="274"/>
          <w:marRight w:val="0"/>
          <w:marTop w:val="0"/>
          <w:marBottom w:val="0"/>
          <w:divBdr>
            <w:top w:val="none" w:sz="0" w:space="0" w:color="auto"/>
            <w:left w:val="none" w:sz="0" w:space="0" w:color="auto"/>
            <w:bottom w:val="none" w:sz="0" w:space="0" w:color="auto"/>
            <w:right w:val="none" w:sz="0" w:space="0" w:color="auto"/>
          </w:divBdr>
        </w:div>
        <w:div w:id="1726028454">
          <w:marLeft w:val="274"/>
          <w:marRight w:val="0"/>
          <w:marTop w:val="0"/>
          <w:marBottom w:val="0"/>
          <w:divBdr>
            <w:top w:val="none" w:sz="0" w:space="0" w:color="auto"/>
            <w:left w:val="none" w:sz="0" w:space="0" w:color="auto"/>
            <w:bottom w:val="none" w:sz="0" w:space="0" w:color="auto"/>
            <w:right w:val="none" w:sz="0" w:space="0" w:color="auto"/>
          </w:divBdr>
        </w:div>
        <w:div w:id="737822446">
          <w:marLeft w:val="274"/>
          <w:marRight w:val="0"/>
          <w:marTop w:val="0"/>
          <w:marBottom w:val="0"/>
          <w:divBdr>
            <w:top w:val="none" w:sz="0" w:space="0" w:color="auto"/>
            <w:left w:val="none" w:sz="0" w:space="0" w:color="auto"/>
            <w:bottom w:val="none" w:sz="0" w:space="0" w:color="auto"/>
            <w:right w:val="none" w:sz="0" w:space="0" w:color="auto"/>
          </w:divBdr>
        </w:div>
      </w:divsChild>
    </w:div>
    <w:div w:id="808133934">
      <w:bodyDiv w:val="1"/>
      <w:marLeft w:val="0"/>
      <w:marRight w:val="0"/>
      <w:marTop w:val="0"/>
      <w:marBottom w:val="0"/>
      <w:divBdr>
        <w:top w:val="none" w:sz="0" w:space="0" w:color="auto"/>
        <w:left w:val="none" w:sz="0" w:space="0" w:color="auto"/>
        <w:bottom w:val="none" w:sz="0" w:space="0" w:color="auto"/>
        <w:right w:val="none" w:sz="0" w:space="0" w:color="auto"/>
      </w:divBdr>
    </w:div>
    <w:div w:id="809249510">
      <w:bodyDiv w:val="1"/>
      <w:marLeft w:val="0"/>
      <w:marRight w:val="0"/>
      <w:marTop w:val="0"/>
      <w:marBottom w:val="0"/>
      <w:divBdr>
        <w:top w:val="none" w:sz="0" w:space="0" w:color="auto"/>
        <w:left w:val="none" w:sz="0" w:space="0" w:color="auto"/>
        <w:bottom w:val="none" w:sz="0" w:space="0" w:color="auto"/>
        <w:right w:val="none" w:sz="0" w:space="0" w:color="auto"/>
      </w:divBdr>
    </w:div>
    <w:div w:id="818806983">
      <w:bodyDiv w:val="1"/>
      <w:marLeft w:val="0"/>
      <w:marRight w:val="0"/>
      <w:marTop w:val="0"/>
      <w:marBottom w:val="0"/>
      <w:divBdr>
        <w:top w:val="none" w:sz="0" w:space="0" w:color="auto"/>
        <w:left w:val="none" w:sz="0" w:space="0" w:color="auto"/>
        <w:bottom w:val="none" w:sz="0" w:space="0" w:color="auto"/>
        <w:right w:val="none" w:sz="0" w:space="0" w:color="auto"/>
      </w:divBdr>
    </w:div>
    <w:div w:id="820384170">
      <w:bodyDiv w:val="1"/>
      <w:marLeft w:val="0"/>
      <w:marRight w:val="0"/>
      <w:marTop w:val="0"/>
      <w:marBottom w:val="0"/>
      <w:divBdr>
        <w:top w:val="none" w:sz="0" w:space="0" w:color="auto"/>
        <w:left w:val="none" w:sz="0" w:space="0" w:color="auto"/>
        <w:bottom w:val="none" w:sz="0" w:space="0" w:color="auto"/>
        <w:right w:val="none" w:sz="0" w:space="0" w:color="auto"/>
      </w:divBdr>
    </w:div>
    <w:div w:id="847594478">
      <w:bodyDiv w:val="1"/>
      <w:marLeft w:val="0"/>
      <w:marRight w:val="0"/>
      <w:marTop w:val="0"/>
      <w:marBottom w:val="0"/>
      <w:divBdr>
        <w:top w:val="none" w:sz="0" w:space="0" w:color="auto"/>
        <w:left w:val="none" w:sz="0" w:space="0" w:color="auto"/>
        <w:bottom w:val="none" w:sz="0" w:space="0" w:color="auto"/>
        <w:right w:val="none" w:sz="0" w:space="0" w:color="auto"/>
      </w:divBdr>
    </w:div>
    <w:div w:id="854270874">
      <w:bodyDiv w:val="1"/>
      <w:marLeft w:val="0"/>
      <w:marRight w:val="0"/>
      <w:marTop w:val="0"/>
      <w:marBottom w:val="0"/>
      <w:divBdr>
        <w:top w:val="none" w:sz="0" w:space="0" w:color="auto"/>
        <w:left w:val="none" w:sz="0" w:space="0" w:color="auto"/>
        <w:bottom w:val="none" w:sz="0" w:space="0" w:color="auto"/>
        <w:right w:val="none" w:sz="0" w:space="0" w:color="auto"/>
      </w:divBdr>
      <w:divsChild>
        <w:div w:id="182789167">
          <w:marLeft w:val="274"/>
          <w:marRight w:val="0"/>
          <w:marTop w:val="0"/>
          <w:marBottom w:val="120"/>
          <w:divBdr>
            <w:top w:val="none" w:sz="0" w:space="0" w:color="auto"/>
            <w:left w:val="none" w:sz="0" w:space="0" w:color="auto"/>
            <w:bottom w:val="none" w:sz="0" w:space="0" w:color="auto"/>
            <w:right w:val="none" w:sz="0" w:space="0" w:color="auto"/>
          </w:divBdr>
        </w:div>
      </w:divsChild>
    </w:div>
    <w:div w:id="854684997">
      <w:bodyDiv w:val="1"/>
      <w:marLeft w:val="0"/>
      <w:marRight w:val="0"/>
      <w:marTop w:val="0"/>
      <w:marBottom w:val="0"/>
      <w:divBdr>
        <w:top w:val="none" w:sz="0" w:space="0" w:color="auto"/>
        <w:left w:val="none" w:sz="0" w:space="0" w:color="auto"/>
        <w:bottom w:val="none" w:sz="0" w:space="0" w:color="auto"/>
        <w:right w:val="none" w:sz="0" w:space="0" w:color="auto"/>
      </w:divBdr>
    </w:div>
    <w:div w:id="863516154">
      <w:bodyDiv w:val="1"/>
      <w:marLeft w:val="0"/>
      <w:marRight w:val="0"/>
      <w:marTop w:val="0"/>
      <w:marBottom w:val="0"/>
      <w:divBdr>
        <w:top w:val="none" w:sz="0" w:space="0" w:color="auto"/>
        <w:left w:val="none" w:sz="0" w:space="0" w:color="auto"/>
        <w:bottom w:val="none" w:sz="0" w:space="0" w:color="auto"/>
        <w:right w:val="none" w:sz="0" w:space="0" w:color="auto"/>
      </w:divBdr>
    </w:div>
    <w:div w:id="888611463">
      <w:bodyDiv w:val="1"/>
      <w:marLeft w:val="0"/>
      <w:marRight w:val="0"/>
      <w:marTop w:val="0"/>
      <w:marBottom w:val="0"/>
      <w:divBdr>
        <w:top w:val="none" w:sz="0" w:space="0" w:color="auto"/>
        <w:left w:val="none" w:sz="0" w:space="0" w:color="auto"/>
        <w:bottom w:val="none" w:sz="0" w:space="0" w:color="auto"/>
        <w:right w:val="none" w:sz="0" w:space="0" w:color="auto"/>
      </w:divBdr>
    </w:div>
    <w:div w:id="890505534">
      <w:bodyDiv w:val="1"/>
      <w:marLeft w:val="0"/>
      <w:marRight w:val="0"/>
      <w:marTop w:val="0"/>
      <w:marBottom w:val="0"/>
      <w:divBdr>
        <w:top w:val="none" w:sz="0" w:space="0" w:color="auto"/>
        <w:left w:val="none" w:sz="0" w:space="0" w:color="auto"/>
        <w:bottom w:val="none" w:sz="0" w:space="0" w:color="auto"/>
        <w:right w:val="none" w:sz="0" w:space="0" w:color="auto"/>
      </w:divBdr>
    </w:div>
    <w:div w:id="890699803">
      <w:bodyDiv w:val="1"/>
      <w:marLeft w:val="0"/>
      <w:marRight w:val="0"/>
      <w:marTop w:val="0"/>
      <w:marBottom w:val="0"/>
      <w:divBdr>
        <w:top w:val="none" w:sz="0" w:space="0" w:color="auto"/>
        <w:left w:val="none" w:sz="0" w:space="0" w:color="auto"/>
        <w:bottom w:val="none" w:sz="0" w:space="0" w:color="auto"/>
        <w:right w:val="none" w:sz="0" w:space="0" w:color="auto"/>
      </w:divBdr>
    </w:div>
    <w:div w:id="892890622">
      <w:bodyDiv w:val="1"/>
      <w:marLeft w:val="0"/>
      <w:marRight w:val="0"/>
      <w:marTop w:val="0"/>
      <w:marBottom w:val="0"/>
      <w:divBdr>
        <w:top w:val="none" w:sz="0" w:space="0" w:color="auto"/>
        <w:left w:val="none" w:sz="0" w:space="0" w:color="auto"/>
        <w:bottom w:val="none" w:sz="0" w:space="0" w:color="auto"/>
        <w:right w:val="none" w:sz="0" w:space="0" w:color="auto"/>
      </w:divBdr>
    </w:div>
    <w:div w:id="893663370">
      <w:bodyDiv w:val="1"/>
      <w:marLeft w:val="0"/>
      <w:marRight w:val="0"/>
      <w:marTop w:val="0"/>
      <w:marBottom w:val="0"/>
      <w:divBdr>
        <w:top w:val="none" w:sz="0" w:space="0" w:color="auto"/>
        <w:left w:val="none" w:sz="0" w:space="0" w:color="auto"/>
        <w:bottom w:val="none" w:sz="0" w:space="0" w:color="auto"/>
        <w:right w:val="none" w:sz="0" w:space="0" w:color="auto"/>
      </w:divBdr>
    </w:div>
    <w:div w:id="897666917">
      <w:bodyDiv w:val="1"/>
      <w:marLeft w:val="0"/>
      <w:marRight w:val="0"/>
      <w:marTop w:val="0"/>
      <w:marBottom w:val="0"/>
      <w:divBdr>
        <w:top w:val="none" w:sz="0" w:space="0" w:color="auto"/>
        <w:left w:val="none" w:sz="0" w:space="0" w:color="auto"/>
        <w:bottom w:val="none" w:sz="0" w:space="0" w:color="auto"/>
        <w:right w:val="none" w:sz="0" w:space="0" w:color="auto"/>
      </w:divBdr>
    </w:div>
    <w:div w:id="901478105">
      <w:bodyDiv w:val="1"/>
      <w:marLeft w:val="0"/>
      <w:marRight w:val="0"/>
      <w:marTop w:val="0"/>
      <w:marBottom w:val="0"/>
      <w:divBdr>
        <w:top w:val="none" w:sz="0" w:space="0" w:color="auto"/>
        <w:left w:val="none" w:sz="0" w:space="0" w:color="auto"/>
        <w:bottom w:val="none" w:sz="0" w:space="0" w:color="auto"/>
        <w:right w:val="none" w:sz="0" w:space="0" w:color="auto"/>
      </w:divBdr>
      <w:divsChild>
        <w:div w:id="100689342">
          <w:marLeft w:val="274"/>
          <w:marRight w:val="0"/>
          <w:marTop w:val="0"/>
          <w:marBottom w:val="0"/>
          <w:divBdr>
            <w:top w:val="none" w:sz="0" w:space="0" w:color="auto"/>
            <w:left w:val="none" w:sz="0" w:space="0" w:color="auto"/>
            <w:bottom w:val="none" w:sz="0" w:space="0" w:color="auto"/>
            <w:right w:val="none" w:sz="0" w:space="0" w:color="auto"/>
          </w:divBdr>
        </w:div>
        <w:div w:id="472799086">
          <w:marLeft w:val="274"/>
          <w:marRight w:val="0"/>
          <w:marTop w:val="0"/>
          <w:marBottom w:val="0"/>
          <w:divBdr>
            <w:top w:val="none" w:sz="0" w:space="0" w:color="auto"/>
            <w:left w:val="none" w:sz="0" w:space="0" w:color="auto"/>
            <w:bottom w:val="none" w:sz="0" w:space="0" w:color="auto"/>
            <w:right w:val="none" w:sz="0" w:space="0" w:color="auto"/>
          </w:divBdr>
        </w:div>
      </w:divsChild>
    </w:div>
    <w:div w:id="911089109">
      <w:bodyDiv w:val="1"/>
      <w:marLeft w:val="0"/>
      <w:marRight w:val="0"/>
      <w:marTop w:val="0"/>
      <w:marBottom w:val="0"/>
      <w:divBdr>
        <w:top w:val="none" w:sz="0" w:space="0" w:color="auto"/>
        <w:left w:val="none" w:sz="0" w:space="0" w:color="auto"/>
        <w:bottom w:val="none" w:sz="0" w:space="0" w:color="auto"/>
        <w:right w:val="none" w:sz="0" w:space="0" w:color="auto"/>
      </w:divBdr>
    </w:div>
    <w:div w:id="911545220">
      <w:bodyDiv w:val="1"/>
      <w:marLeft w:val="0"/>
      <w:marRight w:val="0"/>
      <w:marTop w:val="0"/>
      <w:marBottom w:val="0"/>
      <w:divBdr>
        <w:top w:val="none" w:sz="0" w:space="0" w:color="auto"/>
        <w:left w:val="none" w:sz="0" w:space="0" w:color="auto"/>
        <w:bottom w:val="none" w:sz="0" w:space="0" w:color="auto"/>
        <w:right w:val="none" w:sz="0" w:space="0" w:color="auto"/>
      </w:divBdr>
      <w:divsChild>
        <w:div w:id="2018193499">
          <w:marLeft w:val="274"/>
          <w:marRight w:val="0"/>
          <w:marTop w:val="0"/>
          <w:marBottom w:val="120"/>
          <w:divBdr>
            <w:top w:val="none" w:sz="0" w:space="0" w:color="auto"/>
            <w:left w:val="none" w:sz="0" w:space="0" w:color="auto"/>
            <w:bottom w:val="none" w:sz="0" w:space="0" w:color="auto"/>
            <w:right w:val="none" w:sz="0" w:space="0" w:color="auto"/>
          </w:divBdr>
        </w:div>
      </w:divsChild>
    </w:div>
    <w:div w:id="917834961">
      <w:bodyDiv w:val="1"/>
      <w:marLeft w:val="0"/>
      <w:marRight w:val="0"/>
      <w:marTop w:val="0"/>
      <w:marBottom w:val="0"/>
      <w:divBdr>
        <w:top w:val="none" w:sz="0" w:space="0" w:color="auto"/>
        <w:left w:val="none" w:sz="0" w:space="0" w:color="auto"/>
        <w:bottom w:val="none" w:sz="0" w:space="0" w:color="auto"/>
        <w:right w:val="none" w:sz="0" w:space="0" w:color="auto"/>
      </w:divBdr>
    </w:div>
    <w:div w:id="926619295">
      <w:bodyDiv w:val="1"/>
      <w:marLeft w:val="0"/>
      <w:marRight w:val="0"/>
      <w:marTop w:val="0"/>
      <w:marBottom w:val="0"/>
      <w:divBdr>
        <w:top w:val="none" w:sz="0" w:space="0" w:color="auto"/>
        <w:left w:val="none" w:sz="0" w:space="0" w:color="auto"/>
        <w:bottom w:val="none" w:sz="0" w:space="0" w:color="auto"/>
        <w:right w:val="none" w:sz="0" w:space="0" w:color="auto"/>
      </w:divBdr>
    </w:div>
    <w:div w:id="942152987">
      <w:bodyDiv w:val="1"/>
      <w:marLeft w:val="0"/>
      <w:marRight w:val="0"/>
      <w:marTop w:val="0"/>
      <w:marBottom w:val="0"/>
      <w:divBdr>
        <w:top w:val="none" w:sz="0" w:space="0" w:color="auto"/>
        <w:left w:val="none" w:sz="0" w:space="0" w:color="auto"/>
        <w:bottom w:val="none" w:sz="0" w:space="0" w:color="auto"/>
        <w:right w:val="none" w:sz="0" w:space="0" w:color="auto"/>
      </w:divBdr>
    </w:div>
    <w:div w:id="953055247">
      <w:bodyDiv w:val="1"/>
      <w:marLeft w:val="0"/>
      <w:marRight w:val="0"/>
      <w:marTop w:val="0"/>
      <w:marBottom w:val="0"/>
      <w:divBdr>
        <w:top w:val="none" w:sz="0" w:space="0" w:color="auto"/>
        <w:left w:val="none" w:sz="0" w:space="0" w:color="auto"/>
        <w:bottom w:val="none" w:sz="0" w:space="0" w:color="auto"/>
        <w:right w:val="none" w:sz="0" w:space="0" w:color="auto"/>
      </w:divBdr>
    </w:div>
    <w:div w:id="960264907">
      <w:bodyDiv w:val="1"/>
      <w:marLeft w:val="0"/>
      <w:marRight w:val="0"/>
      <w:marTop w:val="0"/>
      <w:marBottom w:val="0"/>
      <w:divBdr>
        <w:top w:val="none" w:sz="0" w:space="0" w:color="auto"/>
        <w:left w:val="none" w:sz="0" w:space="0" w:color="auto"/>
        <w:bottom w:val="none" w:sz="0" w:space="0" w:color="auto"/>
        <w:right w:val="none" w:sz="0" w:space="0" w:color="auto"/>
      </w:divBdr>
      <w:divsChild>
        <w:div w:id="1060206753">
          <w:marLeft w:val="994"/>
          <w:marRight w:val="0"/>
          <w:marTop w:val="0"/>
          <w:marBottom w:val="120"/>
          <w:divBdr>
            <w:top w:val="none" w:sz="0" w:space="0" w:color="auto"/>
            <w:left w:val="none" w:sz="0" w:space="0" w:color="auto"/>
            <w:bottom w:val="none" w:sz="0" w:space="0" w:color="auto"/>
            <w:right w:val="none" w:sz="0" w:space="0" w:color="auto"/>
          </w:divBdr>
        </w:div>
        <w:div w:id="1297103133">
          <w:marLeft w:val="994"/>
          <w:marRight w:val="0"/>
          <w:marTop w:val="0"/>
          <w:marBottom w:val="120"/>
          <w:divBdr>
            <w:top w:val="none" w:sz="0" w:space="0" w:color="auto"/>
            <w:left w:val="none" w:sz="0" w:space="0" w:color="auto"/>
            <w:bottom w:val="none" w:sz="0" w:space="0" w:color="auto"/>
            <w:right w:val="none" w:sz="0" w:space="0" w:color="auto"/>
          </w:divBdr>
        </w:div>
      </w:divsChild>
    </w:div>
    <w:div w:id="961837551">
      <w:bodyDiv w:val="1"/>
      <w:marLeft w:val="0"/>
      <w:marRight w:val="0"/>
      <w:marTop w:val="0"/>
      <w:marBottom w:val="0"/>
      <w:divBdr>
        <w:top w:val="none" w:sz="0" w:space="0" w:color="auto"/>
        <w:left w:val="none" w:sz="0" w:space="0" w:color="auto"/>
        <w:bottom w:val="none" w:sz="0" w:space="0" w:color="auto"/>
        <w:right w:val="none" w:sz="0" w:space="0" w:color="auto"/>
      </w:divBdr>
    </w:div>
    <w:div w:id="969239870">
      <w:bodyDiv w:val="1"/>
      <w:marLeft w:val="0"/>
      <w:marRight w:val="0"/>
      <w:marTop w:val="0"/>
      <w:marBottom w:val="0"/>
      <w:divBdr>
        <w:top w:val="none" w:sz="0" w:space="0" w:color="auto"/>
        <w:left w:val="none" w:sz="0" w:space="0" w:color="auto"/>
        <w:bottom w:val="none" w:sz="0" w:space="0" w:color="auto"/>
        <w:right w:val="none" w:sz="0" w:space="0" w:color="auto"/>
      </w:divBdr>
    </w:div>
    <w:div w:id="971523294">
      <w:bodyDiv w:val="1"/>
      <w:marLeft w:val="0"/>
      <w:marRight w:val="0"/>
      <w:marTop w:val="0"/>
      <w:marBottom w:val="0"/>
      <w:divBdr>
        <w:top w:val="none" w:sz="0" w:space="0" w:color="auto"/>
        <w:left w:val="none" w:sz="0" w:space="0" w:color="auto"/>
        <w:bottom w:val="none" w:sz="0" w:space="0" w:color="auto"/>
        <w:right w:val="none" w:sz="0" w:space="0" w:color="auto"/>
      </w:divBdr>
    </w:div>
    <w:div w:id="985889038">
      <w:bodyDiv w:val="1"/>
      <w:marLeft w:val="0"/>
      <w:marRight w:val="0"/>
      <w:marTop w:val="0"/>
      <w:marBottom w:val="0"/>
      <w:divBdr>
        <w:top w:val="none" w:sz="0" w:space="0" w:color="auto"/>
        <w:left w:val="none" w:sz="0" w:space="0" w:color="auto"/>
        <w:bottom w:val="none" w:sz="0" w:space="0" w:color="auto"/>
        <w:right w:val="none" w:sz="0" w:space="0" w:color="auto"/>
      </w:divBdr>
    </w:div>
    <w:div w:id="986014592">
      <w:bodyDiv w:val="1"/>
      <w:marLeft w:val="0"/>
      <w:marRight w:val="0"/>
      <w:marTop w:val="0"/>
      <w:marBottom w:val="0"/>
      <w:divBdr>
        <w:top w:val="none" w:sz="0" w:space="0" w:color="auto"/>
        <w:left w:val="none" w:sz="0" w:space="0" w:color="auto"/>
        <w:bottom w:val="none" w:sz="0" w:space="0" w:color="auto"/>
        <w:right w:val="none" w:sz="0" w:space="0" w:color="auto"/>
      </w:divBdr>
    </w:div>
    <w:div w:id="1000546003">
      <w:bodyDiv w:val="1"/>
      <w:marLeft w:val="0"/>
      <w:marRight w:val="0"/>
      <w:marTop w:val="0"/>
      <w:marBottom w:val="0"/>
      <w:divBdr>
        <w:top w:val="none" w:sz="0" w:space="0" w:color="auto"/>
        <w:left w:val="none" w:sz="0" w:space="0" w:color="auto"/>
        <w:bottom w:val="none" w:sz="0" w:space="0" w:color="auto"/>
        <w:right w:val="none" w:sz="0" w:space="0" w:color="auto"/>
      </w:divBdr>
    </w:div>
    <w:div w:id="1012226708">
      <w:bodyDiv w:val="1"/>
      <w:marLeft w:val="0"/>
      <w:marRight w:val="0"/>
      <w:marTop w:val="0"/>
      <w:marBottom w:val="0"/>
      <w:divBdr>
        <w:top w:val="none" w:sz="0" w:space="0" w:color="auto"/>
        <w:left w:val="none" w:sz="0" w:space="0" w:color="auto"/>
        <w:bottom w:val="none" w:sz="0" w:space="0" w:color="auto"/>
        <w:right w:val="none" w:sz="0" w:space="0" w:color="auto"/>
      </w:divBdr>
    </w:div>
    <w:div w:id="1012533405">
      <w:bodyDiv w:val="1"/>
      <w:marLeft w:val="0"/>
      <w:marRight w:val="0"/>
      <w:marTop w:val="0"/>
      <w:marBottom w:val="0"/>
      <w:divBdr>
        <w:top w:val="none" w:sz="0" w:space="0" w:color="auto"/>
        <w:left w:val="none" w:sz="0" w:space="0" w:color="auto"/>
        <w:bottom w:val="none" w:sz="0" w:space="0" w:color="auto"/>
        <w:right w:val="none" w:sz="0" w:space="0" w:color="auto"/>
      </w:divBdr>
    </w:div>
    <w:div w:id="1021052796">
      <w:bodyDiv w:val="1"/>
      <w:marLeft w:val="0"/>
      <w:marRight w:val="0"/>
      <w:marTop w:val="0"/>
      <w:marBottom w:val="0"/>
      <w:divBdr>
        <w:top w:val="none" w:sz="0" w:space="0" w:color="auto"/>
        <w:left w:val="none" w:sz="0" w:space="0" w:color="auto"/>
        <w:bottom w:val="none" w:sz="0" w:space="0" w:color="auto"/>
        <w:right w:val="none" w:sz="0" w:space="0" w:color="auto"/>
      </w:divBdr>
    </w:div>
    <w:div w:id="1055154493">
      <w:bodyDiv w:val="1"/>
      <w:marLeft w:val="0"/>
      <w:marRight w:val="0"/>
      <w:marTop w:val="0"/>
      <w:marBottom w:val="0"/>
      <w:divBdr>
        <w:top w:val="none" w:sz="0" w:space="0" w:color="auto"/>
        <w:left w:val="none" w:sz="0" w:space="0" w:color="auto"/>
        <w:bottom w:val="none" w:sz="0" w:space="0" w:color="auto"/>
        <w:right w:val="none" w:sz="0" w:space="0" w:color="auto"/>
      </w:divBdr>
    </w:div>
    <w:div w:id="1055156701">
      <w:bodyDiv w:val="1"/>
      <w:marLeft w:val="0"/>
      <w:marRight w:val="0"/>
      <w:marTop w:val="0"/>
      <w:marBottom w:val="0"/>
      <w:divBdr>
        <w:top w:val="none" w:sz="0" w:space="0" w:color="auto"/>
        <w:left w:val="none" w:sz="0" w:space="0" w:color="auto"/>
        <w:bottom w:val="none" w:sz="0" w:space="0" w:color="auto"/>
        <w:right w:val="none" w:sz="0" w:space="0" w:color="auto"/>
      </w:divBdr>
    </w:div>
    <w:div w:id="1057162964">
      <w:bodyDiv w:val="1"/>
      <w:marLeft w:val="0"/>
      <w:marRight w:val="0"/>
      <w:marTop w:val="0"/>
      <w:marBottom w:val="0"/>
      <w:divBdr>
        <w:top w:val="none" w:sz="0" w:space="0" w:color="auto"/>
        <w:left w:val="none" w:sz="0" w:space="0" w:color="auto"/>
        <w:bottom w:val="none" w:sz="0" w:space="0" w:color="auto"/>
        <w:right w:val="none" w:sz="0" w:space="0" w:color="auto"/>
      </w:divBdr>
    </w:div>
    <w:div w:id="1060059034">
      <w:bodyDiv w:val="1"/>
      <w:marLeft w:val="0"/>
      <w:marRight w:val="0"/>
      <w:marTop w:val="0"/>
      <w:marBottom w:val="0"/>
      <w:divBdr>
        <w:top w:val="none" w:sz="0" w:space="0" w:color="auto"/>
        <w:left w:val="none" w:sz="0" w:space="0" w:color="auto"/>
        <w:bottom w:val="none" w:sz="0" w:space="0" w:color="auto"/>
        <w:right w:val="none" w:sz="0" w:space="0" w:color="auto"/>
      </w:divBdr>
    </w:div>
    <w:div w:id="1073815862">
      <w:bodyDiv w:val="1"/>
      <w:marLeft w:val="0"/>
      <w:marRight w:val="0"/>
      <w:marTop w:val="0"/>
      <w:marBottom w:val="0"/>
      <w:divBdr>
        <w:top w:val="none" w:sz="0" w:space="0" w:color="auto"/>
        <w:left w:val="none" w:sz="0" w:space="0" w:color="auto"/>
        <w:bottom w:val="none" w:sz="0" w:space="0" w:color="auto"/>
        <w:right w:val="none" w:sz="0" w:space="0" w:color="auto"/>
      </w:divBdr>
    </w:div>
    <w:div w:id="1080560246">
      <w:bodyDiv w:val="1"/>
      <w:marLeft w:val="0"/>
      <w:marRight w:val="0"/>
      <w:marTop w:val="0"/>
      <w:marBottom w:val="0"/>
      <w:divBdr>
        <w:top w:val="none" w:sz="0" w:space="0" w:color="auto"/>
        <w:left w:val="none" w:sz="0" w:space="0" w:color="auto"/>
        <w:bottom w:val="none" w:sz="0" w:space="0" w:color="auto"/>
        <w:right w:val="none" w:sz="0" w:space="0" w:color="auto"/>
      </w:divBdr>
    </w:div>
    <w:div w:id="1083450631">
      <w:bodyDiv w:val="1"/>
      <w:marLeft w:val="0"/>
      <w:marRight w:val="0"/>
      <w:marTop w:val="0"/>
      <w:marBottom w:val="0"/>
      <w:divBdr>
        <w:top w:val="none" w:sz="0" w:space="0" w:color="auto"/>
        <w:left w:val="none" w:sz="0" w:space="0" w:color="auto"/>
        <w:bottom w:val="none" w:sz="0" w:space="0" w:color="auto"/>
        <w:right w:val="none" w:sz="0" w:space="0" w:color="auto"/>
      </w:divBdr>
    </w:div>
    <w:div w:id="1094938405">
      <w:bodyDiv w:val="1"/>
      <w:marLeft w:val="0"/>
      <w:marRight w:val="0"/>
      <w:marTop w:val="0"/>
      <w:marBottom w:val="0"/>
      <w:divBdr>
        <w:top w:val="none" w:sz="0" w:space="0" w:color="auto"/>
        <w:left w:val="none" w:sz="0" w:space="0" w:color="auto"/>
        <w:bottom w:val="none" w:sz="0" w:space="0" w:color="auto"/>
        <w:right w:val="none" w:sz="0" w:space="0" w:color="auto"/>
      </w:divBdr>
    </w:div>
    <w:div w:id="1099719276">
      <w:bodyDiv w:val="1"/>
      <w:marLeft w:val="0"/>
      <w:marRight w:val="0"/>
      <w:marTop w:val="0"/>
      <w:marBottom w:val="0"/>
      <w:divBdr>
        <w:top w:val="none" w:sz="0" w:space="0" w:color="auto"/>
        <w:left w:val="none" w:sz="0" w:space="0" w:color="auto"/>
        <w:bottom w:val="none" w:sz="0" w:space="0" w:color="auto"/>
        <w:right w:val="none" w:sz="0" w:space="0" w:color="auto"/>
      </w:divBdr>
    </w:div>
    <w:div w:id="1100182646">
      <w:bodyDiv w:val="1"/>
      <w:marLeft w:val="0"/>
      <w:marRight w:val="0"/>
      <w:marTop w:val="0"/>
      <w:marBottom w:val="0"/>
      <w:divBdr>
        <w:top w:val="none" w:sz="0" w:space="0" w:color="auto"/>
        <w:left w:val="none" w:sz="0" w:space="0" w:color="auto"/>
        <w:bottom w:val="none" w:sz="0" w:space="0" w:color="auto"/>
        <w:right w:val="none" w:sz="0" w:space="0" w:color="auto"/>
      </w:divBdr>
    </w:div>
    <w:div w:id="1100299592">
      <w:bodyDiv w:val="1"/>
      <w:marLeft w:val="0"/>
      <w:marRight w:val="0"/>
      <w:marTop w:val="0"/>
      <w:marBottom w:val="0"/>
      <w:divBdr>
        <w:top w:val="none" w:sz="0" w:space="0" w:color="auto"/>
        <w:left w:val="none" w:sz="0" w:space="0" w:color="auto"/>
        <w:bottom w:val="none" w:sz="0" w:space="0" w:color="auto"/>
        <w:right w:val="none" w:sz="0" w:space="0" w:color="auto"/>
      </w:divBdr>
    </w:div>
    <w:div w:id="1113673609">
      <w:bodyDiv w:val="1"/>
      <w:marLeft w:val="0"/>
      <w:marRight w:val="0"/>
      <w:marTop w:val="0"/>
      <w:marBottom w:val="0"/>
      <w:divBdr>
        <w:top w:val="none" w:sz="0" w:space="0" w:color="auto"/>
        <w:left w:val="none" w:sz="0" w:space="0" w:color="auto"/>
        <w:bottom w:val="none" w:sz="0" w:space="0" w:color="auto"/>
        <w:right w:val="none" w:sz="0" w:space="0" w:color="auto"/>
      </w:divBdr>
    </w:div>
    <w:div w:id="1113786267">
      <w:bodyDiv w:val="1"/>
      <w:marLeft w:val="0"/>
      <w:marRight w:val="0"/>
      <w:marTop w:val="0"/>
      <w:marBottom w:val="0"/>
      <w:divBdr>
        <w:top w:val="none" w:sz="0" w:space="0" w:color="auto"/>
        <w:left w:val="none" w:sz="0" w:space="0" w:color="auto"/>
        <w:bottom w:val="none" w:sz="0" w:space="0" w:color="auto"/>
        <w:right w:val="none" w:sz="0" w:space="0" w:color="auto"/>
      </w:divBdr>
    </w:div>
    <w:div w:id="1132283189">
      <w:bodyDiv w:val="1"/>
      <w:marLeft w:val="0"/>
      <w:marRight w:val="0"/>
      <w:marTop w:val="0"/>
      <w:marBottom w:val="0"/>
      <w:divBdr>
        <w:top w:val="none" w:sz="0" w:space="0" w:color="auto"/>
        <w:left w:val="none" w:sz="0" w:space="0" w:color="auto"/>
        <w:bottom w:val="none" w:sz="0" w:space="0" w:color="auto"/>
        <w:right w:val="none" w:sz="0" w:space="0" w:color="auto"/>
      </w:divBdr>
    </w:div>
    <w:div w:id="1153717737">
      <w:bodyDiv w:val="1"/>
      <w:marLeft w:val="0"/>
      <w:marRight w:val="0"/>
      <w:marTop w:val="0"/>
      <w:marBottom w:val="0"/>
      <w:divBdr>
        <w:top w:val="none" w:sz="0" w:space="0" w:color="auto"/>
        <w:left w:val="none" w:sz="0" w:space="0" w:color="auto"/>
        <w:bottom w:val="none" w:sz="0" w:space="0" w:color="auto"/>
        <w:right w:val="none" w:sz="0" w:space="0" w:color="auto"/>
      </w:divBdr>
      <w:divsChild>
        <w:div w:id="807554168">
          <w:marLeft w:val="274"/>
          <w:marRight w:val="0"/>
          <w:marTop w:val="0"/>
          <w:marBottom w:val="120"/>
          <w:divBdr>
            <w:top w:val="none" w:sz="0" w:space="0" w:color="auto"/>
            <w:left w:val="none" w:sz="0" w:space="0" w:color="auto"/>
            <w:bottom w:val="none" w:sz="0" w:space="0" w:color="auto"/>
            <w:right w:val="none" w:sz="0" w:space="0" w:color="auto"/>
          </w:divBdr>
        </w:div>
      </w:divsChild>
    </w:div>
    <w:div w:id="1158689262">
      <w:bodyDiv w:val="1"/>
      <w:marLeft w:val="0"/>
      <w:marRight w:val="0"/>
      <w:marTop w:val="0"/>
      <w:marBottom w:val="0"/>
      <w:divBdr>
        <w:top w:val="none" w:sz="0" w:space="0" w:color="auto"/>
        <w:left w:val="none" w:sz="0" w:space="0" w:color="auto"/>
        <w:bottom w:val="none" w:sz="0" w:space="0" w:color="auto"/>
        <w:right w:val="none" w:sz="0" w:space="0" w:color="auto"/>
      </w:divBdr>
    </w:div>
    <w:div w:id="1159881108">
      <w:bodyDiv w:val="1"/>
      <w:marLeft w:val="0"/>
      <w:marRight w:val="0"/>
      <w:marTop w:val="0"/>
      <w:marBottom w:val="0"/>
      <w:divBdr>
        <w:top w:val="none" w:sz="0" w:space="0" w:color="auto"/>
        <w:left w:val="none" w:sz="0" w:space="0" w:color="auto"/>
        <w:bottom w:val="none" w:sz="0" w:space="0" w:color="auto"/>
        <w:right w:val="none" w:sz="0" w:space="0" w:color="auto"/>
      </w:divBdr>
    </w:div>
    <w:div w:id="1162701825">
      <w:bodyDiv w:val="1"/>
      <w:marLeft w:val="0"/>
      <w:marRight w:val="0"/>
      <w:marTop w:val="0"/>
      <w:marBottom w:val="0"/>
      <w:divBdr>
        <w:top w:val="none" w:sz="0" w:space="0" w:color="auto"/>
        <w:left w:val="none" w:sz="0" w:space="0" w:color="auto"/>
        <w:bottom w:val="none" w:sz="0" w:space="0" w:color="auto"/>
        <w:right w:val="none" w:sz="0" w:space="0" w:color="auto"/>
      </w:divBdr>
      <w:divsChild>
        <w:div w:id="668361717">
          <w:marLeft w:val="274"/>
          <w:marRight w:val="0"/>
          <w:marTop w:val="0"/>
          <w:marBottom w:val="120"/>
          <w:divBdr>
            <w:top w:val="none" w:sz="0" w:space="0" w:color="auto"/>
            <w:left w:val="none" w:sz="0" w:space="0" w:color="auto"/>
            <w:bottom w:val="none" w:sz="0" w:space="0" w:color="auto"/>
            <w:right w:val="none" w:sz="0" w:space="0" w:color="auto"/>
          </w:divBdr>
        </w:div>
      </w:divsChild>
    </w:div>
    <w:div w:id="1169834949">
      <w:bodyDiv w:val="1"/>
      <w:marLeft w:val="0"/>
      <w:marRight w:val="0"/>
      <w:marTop w:val="0"/>
      <w:marBottom w:val="0"/>
      <w:divBdr>
        <w:top w:val="none" w:sz="0" w:space="0" w:color="auto"/>
        <w:left w:val="none" w:sz="0" w:space="0" w:color="auto"/>
        <w:bottom w:val="none" w:sz="0" w:space="0" w:color="auto"/>
        <w:right w:val="none" w:sz="0" w:space="0" w:color="auto"/>
      </w:divBdr>
    </w:div>
    <w:div w:id="1179781373">
      <w:bodyDiv w:val="1"/>
      <w:marLeft w:val="0"/>
      <w:marRight w:val="0"/>
      <w:marTop w:val="0"/>
      <w:marBottom w:val="0"/>
      <w:divBdr>
        <w:top w:val="none" w:sz="0" w:space="0" w:color="auto"/>
        <w:left w:val="none" w:sz="0" w:space="0" w:color="auto"/>
        <w:bottom w:val="none" w:sz="0" w:space="0" w:color="auto"/>
        <w:right w:val="none" w:sz="0" w:space="0" w:color="auto"/>
      </w:divBdr>
    </w:div>
    <w:div w:id="1199122262">
      <w:bodyDiv w:val="1"/>
      <w:marLeft w:val="0"/>
      <w:marRight w:val="0"/>
      <w:marTop w:val="0"/>
      <w:marBottom w:val="0"/>
      <w:divBdr>
        <w:top w:val="none" w:sz="0" w:space="0" w:color="auto"/>
        <w:left w:val="none" w:sz="0" w:space="0" w:color="auto"/>
        <w:bottom w:val="none" w:sz="0" w:space="0" w:color="auto"/>
        <w:right w:val="none" w:sz="0" w:space="0" w:color="auto"/>
      </w:divBdr>
    </w:div>
    <w:div w:id="1206454634">
      <w:bodyDiv w:val="1"/>
      <w:marLeft w:val="0"/>
      <w:marRight w:val="0"/>
      <w:marTop w:val="0"/>
      <w:marBottom w:val="0"/>
      <w:divBdr>
        <w:top w:val="none" w:sz="0" w:space="0" w:color="auto"/>
        <w:left w:val="none" w:sz="0" w:space="0" w:color="auto"/>
        <w:bottom w:val="none" w:sz="0" w:space="0" w:color="auto"/>
        <w:right w:val="none" w:sz="0" w:space="0" w:color="auto"/>
      </w:divBdr>
    </w:div>
    <w:div w:id="1213227213">
      <w:bodyDiv w:val="1"/>
      <w:marLeft w:val="0"/>
      <w:marRight w:val="0"/>
      <w:marTop w:val="0"/>
      <w:marBottom w:val="0"/>
      <w:divBdr>
        <w:top w:val="none" w:sz="0" w:space="0" w:color="auto"/>
        <w:left w:val="none" w:sz="0" w:space="0" w:color="auto"/>
        <w:bottom w:val="none" w:sz="0" w:space="0" w:color="auto"/>
        <w:right w:val="none" w:sz="0" w:space="0" w:color="auto"/>
      </w:divBdr>
    </w:div>
    <w:div w:id="1219708830">
      <w:bodyDiv w:val="1"/>
      <w:marLeft w:val="0"/>
      <w:marRight w:val="0"/>
      <w:marTop w:val="0"/>
      <w:marBottom w:val="0"/>
      <w:divBdr>
        <w:top w:val="none" w:sz="0" w:space="0" w:color="auto"/>
        <w:left w:val="none" w:sz="0" w:space="0" w:color="auto"/>
        <w:bottom w:val="none" w:sz="0" w:space="0" w:color="auto"/>
        <w:right w:val="none" w:sz="0" w:space="0" w:color="auto"/>
      </w:divBdr>
    </w:div>
    <w:div w:id="1221943771">
      <w:bodyDiv w:val="1"/>
      <w:marLeft w:val="0"/>
      <w:marRight w:val="0"/>
      <w:marTop w:val="0"/>
      <w:marBottom w:val="0"/>
      <w:divBdr>
        <w:top w:val="none" w:sz="0" w:space="0" w:color="auto"/>
        <w:left w:val="none" w:sz="0" w:space="0" w:color="auto"/>
        <w:bottom w:val="none" w:sz="0" w:space="0" w:color="auto"/>
        <w:right w:val="none" w:sz="0" w:space="0" w:color="auto"/>
      </w:divBdr>
    </w:div>
    <w:div w:id="1223830670">
      <w:bodyDiv w:val="1"/>
      <w:marLeft w:val="0"/>
      <w:marRight w:val="0"/>
      <w:marTop w:val="0"/>
      <w:marBottom w:val="0"/>
      <w:divBdr>
        <w:top w:val="none" w:sz="0" w:space="0" w:color="auto"/>
        <w:left w:val="none" w:sz="0" w:space="0" w:color="auto"/>
        <w:bottom w:val="none" w:sz="0" w:space="0" w:color="auto"/>
        <w:right w:val="none" w:sz="0" w:space="0" w:color="auto"/>
      </w:divBdr>
      <w:divsChild>
        <w:div w:id="548226935">
          <w:marLeft w:val="274"/>
          <w:marRight w:val="0"/>
          <w:marTop w:val="0"/>
          <w:marBottom w:val="120"/>
          <w:divBdr>
            <w:top w:val="none" w:sz="0" w:space="0" w:color="auto"/>
            <w:left w:val="none" w:sz="0" w:space="0" w:color="auto"/>
            <w:bottom w:val="none" w:sz="0" w:space="0" w:color="auto"/>
            <w:right w:val="none" w:sz="0" w:space="0" w:color="auto"/>
          </w:divBdr>
        </w:div>
      </w:divsChild>
    </w:div>
    <w:div w:id="1232614243">
      <w:bodyDiv w:val="1"/>
      <w:marLeft w:val="0"/>
      <w:marRight w:val="0"/>
      <w:marTop w:val="0"/>
      <w:marBottom w:val="0"/>
      <w:divBdr>
        <w:top w:val="none" w:sz="0" w:space="0" w:color="auto"/>
        <w:left w:val="none" w:sz="0" w:space="0" w:color="auto"/>
        <w:bottom w:val="none" w:sz="0" w:space="0" w:color="auto"/>
        <w:right w:val="none" w:sz="0" w:space="0" w:color="auto"/>
      </w:divBdr>
    </w:div>
    <w:div w:id="1256673015">
      <w:bodyDiv w:val="1"/>
      <w:marLeft w:val="0"/>
      <w:marRight w:val="0"/>
      <w:marTop w:val="0"/>
      <w:marBottom w:val="0"/>
      <w:divBdr>
        <w:top w:val="none" w:sz="0" w:space="0" w:color="auto"/>
        <w:left w:val="none" w:sz="0" w:space="0" w:color="auto"/>
        <w:bottom w:val="none" w:sz="0" w:space="0" w:color="auto"/>
        <w:right w:val="none" w:sz="0" w:space="0" w:color="auto"/>
      </w:divBdr>
      <w:divsChild>
        <w:div w:id="216208951">
          <w:marLeft w:val="274"/>
          <w:marRight w:val="0"/>
          <w:marTop w:val="0"/>
          <w:marBottom w:val="200"/>
          <w:divBdr>
            <w:top w:val="none" w:sz="0" w:space="0" w:color="auto"/>
            <w:left w:val="none" w:sz="0" w:space="0" w:color="auto"/>
            <w:bottom w:val="none" w:sz="0" w:space="0" w:color="auto"/>
            <w:right w:val="none" w:sz="0" w:space="0" w:color="auto"/>
          </w:divBdr>
        </w:div>
      </w:divsChild>
    </w:div>
    <w:div w:id="1268735612">
      <w:bodyDiv w:val="1"/>
      <w:marLeft w:val="0"/>
      <w:marRight w:val="0"/>
      <w:marTop w:val="0"/>
      <w:marBottom w:val="0"/>
      <w:divBdr>
        <w:top w:val="none" w:sz="0" w:space="0" w:color="auto"/>
        <w:left w:val="none" w:sz="0" w:space="0" w:color="auto"/>
        <w:bottom w:val="none" w:sz="0" w:space="0" w:color="auto"/>
        <w:right w:val="none" w:sz="0" w:space="0" w:color="auto"/>
      </w:divBdr>
    </w:div>
    <w:div w:id="1270744021">
      <w:bodyDiv w:val="1"/>
      <w:marLeft w:val="0"/>
      <w:marRight w:val="0"/>
      <w:marTop w:val="0"/>
      <w:marBottom w:val="0"/>
      <w:divBdr>
        <w:top w:val="none" w:sz="0" w:space="0" w:color="auto"/>
        <w:left w:val="none" w:sz="0" w:space="0" w:color="auto"/>
        <w:bottom w:val="none" w:sz="0" w:space="0" w:color="auto"/>
        <w:right w:val="none" w:sz="0" w:space="0" w:color="auto"/>
      </w:divBdr>
    </w:div>
    <w:div w:id="1291131130">
      <w:bodyDiv w:val="1"/>
      <w:marLeft w:val="0"/>
      <w:marRight w:val="0"/>
      <w:marTop w:val="0"/>
      <w:marBottom w:val="0"/>
      <w:divBdr>
        <w:top w:val="none" w:sz="0" w:space="0" w:color="auto"/>
        <w:left w:val="none" w:sz="0" w:space="0" w:color="auto"/>
        <w:bottom w:val="none" w:sz="0" w:space="0" w:color="auto"/>
        <w:right w:val="none" w:sz="0" w:space="0" w:color="auto"/>
      </w:divBdr>
    </w:div>
    <w:div w:id="1293485373">
      <w:bodyDiv w:val="1"/>
      <w:marLeft w:val="0"/>
      <w:marRight w:val="0"/>
      <w:marTop w:val="0"/>
      <w:marBottom w:val="0"/>
      <w:divBdr>
        <w:top w:val="none" w:sz="0" w:space="0" w:color="auto"/>
        <w:left w:val="none" w:sz="0" w:space="0" w:color="auto"/>
        <w:bottom w:val="none" w:sz="0" w:space="0" w:color="auto"/>
        <w:right w:val="none" w:sz="0" w:space="0" w:color="auto"/>
      </w:divBdr>
    </w:div>
    <w:div w:id="1300070132">
      <w:bodyDiv w:val="1"/>
      <w:marLeft w:val="0"/>
      <w:marRight w:val="0"/>
      <w:marTop w:val="0"/>
      <w:marBottom w:val="0"/>
      <w:divBdr>
        <w:top w:val="none" w:sz="0" w:space="0" w:color="auto"/>
        <w:left w:val="none" w:sz="0" w:space="0" w:color="auto"/>
        <w:bottom w:val="none" w:sz="0" w:space="0" w:color="auto"/>
        <w:right w:val="none" w:sz="0" w:space="0" w:color="auto"/>
      </w:divBdr>
    </w:div>
    <w:div w:id="1313408556">
      <w:bodyDiv w:val="1"/>
      <w:marLeft w:val="0"/>
      <w:marRight w:val="0"/>
      <w:marTop w:val="0"/>
      <w:marBottom w:val="0"/>
      <w:divBdr>
        <w:top w:val="none" w:sz="0" w:space="0" w:color="auto"/>
        <w:left w:val="none" w:sz="0" w:space="0" w:color="auto"/>
        <w:bottom w:val="none" w:sz="0" w:space="0" w:color="auto"/>
        <w:right w:val="none" w:sz="0" w:space="0" w:color="auto"/>
      </w:divBdr>
      <w:divsChild>
        <w:div w:id="1538546413">
          <w:marLeft w:val="274"/>
          <w:marRight w:val="0"/>
          <w:marTop w:val="0"/>
          <w:marBottom w:val="120"/>
          <w:divBdr>
            <w:top w:val="none" w:sz="0" w:space="0" w:color="auto"/>
            <w:left w:val="none" w:sz="0" w:space="0" w:color="auto"/>
            <w:bottom w:val="none" w:sz="0" w:space="0" w:color="auto"/>
            <w:right w:val="none" w:sz="0" w:space="0" w:color="auto"/>
          </w:divBdr>
        </w:div>
      </w:divsChild>
    </w:div>
    <w:div w:id="1316372857">
      <w:bodyDiv w:val="1"/>
      <w:marLeft w:val="0"/>
      <w:marRight w:val="0"/>
      <w:marTop w:val="0"/>
      <w:marBottom w:val="0"/>
      <w:divBdr>
        <w:top w:val="none" w:sz="0" w:space="0" w:color="auto"/>
        <w:left w:val="none" w:sz="0" w:space="0" w:color="auto"/>
        <w:bottom w:val="none" w:sz="0" w:space="0" w:color="auto"/>
        <w:right w:val="none" w:sz="0" w:space="0" w:color="auto"/>
      </w:divBdr>
    </w:div>
    <w:div w:id="1326009343">
      <w:bodyDiv w:val="1"/>
      <w:marLeft w:val="0"/>
      <w:marRight w:val="0"/>
      <w:marTop w:val="0"/>
      <w:marBottom w:val="0"/>
      <w:divBdr>
        <w:top w:val="none" w:sz="0" w:space="0" w:color="auto"/>
        <w:left w:val="none" w:sz="0" w:space="0" w:color="auto"/>
        <w:bottom w:val="none" w:sz="0" w:space="0" w:color="auto"/>
        <w:right w:val="none" w:sz="0" w:space="0" w:color="auto"/>
      </w:divBdr>
    </w:div>
    <w:div w:id="1347562237">
      <w:bodyDiv w:val="1"/>
      <w:marLeft w:val="0"/>
      <w:marRight w:val="0"/>
      <w:marTop w:val="0"/>
      <w:marBottom w:val="0"/>
      <w:divBdr>
        <w:top w:val="none" w:sz="0" w:space="0" w:color="auto"/>
        <w:left w:val="none" w:sz="0" w:space="0" w:color="auto"/>
        <w:bottom w:val="none" w:sz="0" w:space="0" w:color="auto"/>
        <w:right w:val="none" w:sz="0" w:space="0" w:color="auto"/>
      </w:divBdr>
    </w:div>
    <w:div w:id="1356224646">
      <w:bodyDiv w:val="1"/>
      <w:marLeft w:val="0"/>
      <w:marRight w:val="0"/>
      <w:marTop w:val="0"/>
      <w:marBottom w:val="0"/>
      <w:divBdr>
        <w:top w:val="none" w:sz="0" w:space="0" w:color="auto"/>
        <w:left w:val="none" w:sz="0" w:space="0" w:color="auto"/>
        <w:bottom w:val="none" w:sz="0" w:space="0" w:color="auto"/>
        <w:right w:val="none" w:sz="0" w:space="0" w:color="auto"/>
      </w:divBdr>
    </w:div>
    <w:div w:id="1365446439">
      <w:bodyDiv w:val="1"/>
      <w:marLeft w:val="0"/>
      <w:marRight w:val="0"/>
      <w:marTop w:val="0"/>
      <w:marBottom w:val="0"/>
      <w:divBdr>
        <w:top w:val="none" w:sz="0" w:space="0" w:color="auto"/>
        <w:left w:val="none" w:sz="0" w:space="0" w:color="auto"/>
        <w:bottom w:val="none" w:sz="0" w:space="0" w:color="auto"/>
        <w:right w:val="none" w:sz="0" w:space="0" w:color="auto"/>
      </w:divBdr>
    </w:div>
    <w:div w:id="1382679403">
      <w:bodyDiv w:val="1"/>
      <w:marLeft w:val="0"/>
      <w:marRight w:val="0"/>
      <w:marTop w:val="0"/>
      <w:marBottom w:val="0"/>
      <w:divBdr>
        <w:top w:val="none" w:sz="0" w:space="0" w:color="auto"/>
        <w:left w:val="none" w:sz="0" w:space="0" w:color="auto"/>
        <w:bottom w:val="none" w:sz="0" w:space="0" w:color="auto"/>
        <w:right w:val="none" w:sz="0" w:space="0" w:color="auto"/>
      </w:divBdr>
    </w:div>
    <w:div w:id="1385253627">
      <w:bodyDiv w:val="1"/>
      <w:marLeft w:val="0"/>
      <w:marRight w:val="0"/>
      <w:marTop w:val="0"/>
      <w:marBottom w:val="0"/>
      <w:divBdr>
        <w:top w:val="none" w:sz="0" w:space="0" w:color="auto"/>
        <w:left w:val="none" w:sz="0" w:space="0" w:color="auto"/>
        <w:bottom w:val="none" w:sz="0" w:space="0" w:color="auto"/>
        <w:right w:val="none" w:sz="0" w:space="0" w:color="auto"/>
      </w:divBdr>
    </w:div>
    <w:div w:id="1390568561">
      <w:bodyDiv w:val="1"/>
      <w:marLeft w:val="0"/>
      <w:marRight w:val="0"/>
      <w:marTop w:val="0"/>
      <w:marBottom w:val="0"/>
      <w:divBdr>
        <w:top w:val="none" w:sz="0" w:space="0" w:color="auto"/>
        <w:left w:val="none" w:sz="0" w:space="0" w:color="auto"/>
        <w:bottom w:val="none" w:sz="0" w:space="0" w:color="auto"/>
        <w:right w:val="none" w:sz="0" w:space="0" w:color="auto"/>
      </w:divBdr>
    </w:div>
    <w:div w:id="1398361736">
      <w:bodyDiv w:val="1"/>
      <w:marLeft w:val="0"/>
      <w:marRight w:val="0"/>
      <w:marTop w:val="0"/>
      <w:marBottom w:val="0"/>
      <w:divBdr>
        <w:top w:val="none" w:sz="0" w:space="0" w:color="auto"/>
        <w:left w:val="none" w:sz="0" w:space="0" w:color="auto"/>
        <w:bottom w:val="none" w:sz="0" w:space="0" w:color="auto"/>
        <w:right w:val="none" w:sz="0" w:space="0" w:color="auto"/>
      </w:divBdr>
      <w:divsChild>
        <w:div w:id="28577003">
          <w:marLeft w:val="576"/>
          <w:marRight w:val="0"/>
          <w:marTop w:val="0"/>
          <w:marBottom w:val="120"/>
          <w:divBdr>
            <w:top w:val="none" w:sz="0" w:space="0" w:color="auto"/>
            <w:left w:val="none" w:sz="0" w:space="0" w:color="auto"/>
            <w:bottom w:val="none" w:sz="0" w:space="0" w:color="auto"/>
            <w:right w:val="none" w:sz="0" w:space="0" w:color="auto"/>
          </w:divBdr>
        </w:div>
        <w:div w:id="241841908">
          <w:marLeft w:val="576"/>
          <w:marRight w:val="0"/>
          <w:marTop w:val="0"/>
          <w:marBottom w:val="120"/>
          <w:divBdr>
            <w:top w:val="none" w:sz="0" w:space="0" w:color="auto"/>
            <w:left w:val="none" w:sz="0" w:space="0" w:color="auto"/>
            <w:bottom w:val="none" w:sz="0" w:space="0" w:color="auto"/>
            <w:right w:val="none" w:sz="0" w:space="0" w:color="auto"/>
          </w:divBdr>
        </w:div>
        <w:div w:id="1550844464">
          <w:marLeft w:val="274"/>
          <w:marRight w:val="0"/>
          <w:marTop w:val="0"/>
          <w:marBottom w:val="120"/>
          <w:divBdr>
            <w:top w:val="none" w:sz="0" w:space="0" w:color="auto"/>
            <w:left w:val="none" w:sz="0" w:space="0" w:color="auto"/>
            <w:bottom w:val="none" w:sz="0" w:space="0" w:color="auto"/>
            <w:right w:val="none" w:sz="0" w:space="0" w:color="auto"/>
          </w:divBdr>
        </w:div>
        <w:div w:id="1733575510">
          <w:marLeft w:val="576"/>
          <w:marRight w:val="0"/>
          <w:marTop w:val="0"/>
          <w:marBottom w:val="120"/>
          <w:divBdr>
            <w:top w:val="none" w:sz="0" w:space="0" w:color="auto"/>
            <w:left w:val="none" w:sz="0" w:space="0" w:color="auto"/>
            <w:bottom w:val="none" w:sz="0" w:space="0" w:color="auto"/>
            <w:right w:val="none" w:sz="0" w:space="0" w:color="auto"/>
          </w:divBdr>
        </w:div>
      </w:divsChild>
    </w:div>
    <w:div w:id="1410272261">
      <w:bodyDiv w:val="1"/>
      <w:marLeft w:val="0"/>
      <w:marRight w:val="0"/>
      <w:marTop w:val="0"/>
      <w:marBottom w:val="0"/>
      <w:divBdr>
        <w:top w:val="none" w:sz="0" w:space="0" w:color="auto"/>
        <w:left w:val="none" w:sz="0" w:space="0" w:color="auto"/>
        <w:bottom w:val="none" w:sz="0" w:space="0" w:color="auto"/>
        <w:right w:val="none" w:sz="0" w:space="0" w:color="auto"/>
      </w:divBdr>
    </w:div>
    <w:div w:id="1424569591">
      <w:bodyDiv w:val="1"/>
      <w:marLeft w:val="0"/>
      <w:marRight w:val="0"/>
      <w:marTop w:val="0"/>
      <w:marBottom w:val="0"/>
      <w:divBdr>
        <w:top w:val="none" w:sz="0" w:space="0" w:color="auto"/>
        <w:left w:val="none" w:sz="0" w:space="0" w:color="auto"/>
        <w:bottom w:val="none" w:sz="0" w:space="0" w:color="auto"/>
        <w:right w:val="none" w:sz="0" w:space="0" w:color="auto"/>
      </w:divBdr>
    </w:div>
    <w:div w:id="1435247183">
      <w:bodyDiv w:val="1"/>
      <w:marLeft w:val="0"/>
      <w:marRight w:val="0"/>
      <w:marTop w:val="0"/>
      <w:marBottom w:val="0"/>
      <w:divBdr>
        <w:top w:val="none" w:sz="0" w:space="0" w:color="auto"/>
        <w:left w:val="none" w:sz="0" w:space="0" w:color="auto"/>
        <w:bottom w:val="none" w:sz="0" w:space="0" w:color="auto"/>
        <w:right w:val="none" w:sz="0" w:space="0" w:color="auto"/>
      </w:divBdr>
    </w:div>
    <w:div w:id="1437403100">
      <w:bodyDiv w:val="1"/>
      <w:marLeft w:val="0"/>
      <w:marRight w:val="0"/>
      <w:marTop w:val="0"/>
      <w:marBottom w:val="0"/>
      <w:divBdr>
        <w:top w:val="none" w:sz="0" w:space="0" w:color="auto"/>
        <w:left w:val="none" w:sz="0" w:space="0" w:color="auto"/>
        <w:bottom w:val="none" w:sz="0" w:space="0" w:color="auto"/>
        <w:right w:val="none" w:sz="0" w:space="0" w:color="auto"/>
      </w:divBdr>
    </w:div>
    <w:div w:id="1444885476">
      <w:bodyDiv w:val="1"/>
      <w:marLeft w:val="0"/>
      <w:marRight w:val="0"/>
      <w:marTop w:val="0"/>
      <w:marBottom w:val="0"/>
      <w:divBdr>
        <w:top w:val="none" w:sz="0" w:space="0" w:color="auto"/>
        <w:left w:val="none" w:sz="0" w:space="0" w:color="auto"/>
        <w:bottom w:val="none" w:sz="0" w:space="0" w:color="auto"/>
        <w:right w:val="none" w:sz="0" w:space="0" w:color="auto"/>
      </w:divBdr>
      <w:divsChild>
        <w:div w:id="498811864">
          <w:marLeft w:val="274"/>
          <w:marRight w:val="0"/>
          <w:marTop w:val="0"/>
          <w:marBottom w:val="120"/>
          <w:divBdr>
            <w:top w:val="none" w:sz="0" w:space="0" w:color="auto"/>
            <w:left w:val="none" w:sz="0" w:space="0" w:color="auto"/>
            <w:bottom w:val="none" w:sz="0" w:space="0" w:color="auto"/>
            <w:right w:val="none" w:sz="0" w:space="0" w:color="auto"/>
          </w:divBdr>
        </w:div>
      </w:divsChild>
    </w:div>
    <w:div w:id="1449736688">
      <w:bodyDiv w:val="1"/>
      <w:marLeft w:val="0"/>
      <w:marRight w:val="0"/>
      <w:marTop w:val="0"/>
      <w:marBottom w:val="0"/>
      <w:divBdr>
        <w:top w:val="none" w:sz="0" w:space="0" w:color="auto"/>
        <w:left w:val="none" w:sz="0" w:space="0" w:color="auto"/>
        <w:bottom w:val="none" w:sz="0" w:space="0" w:color="auto"/>
        <w:right w:val="none" w:sz="0" w:space="0" w:color="auto"/>
      </w:divBdr>
    </w:div>
    <w:div w:id="1468821266">
      <w:bodyDiv w:val="1"/>
      <w:marLeft w:val="0"/>
      <w:marRight w:val="0"/>
      <w:marTop w:val="0"/>
      <w:marBottom w:val="0"/>
      <w:divBdr>
        <w:top w:val="none" w:sz="0" w:space="0" w:color="auto"/>
        <w:left w:val="none" w:sz="0" w:space="0" w:color="auto"/>
        <w:bottom w:val="none" w:sz="0" w:space="0" w:color="auto"/>
        <w:right w:val="none" w:sz="0" w:space="0" w:color="auto"/>
      </w:divBdr>
    </w:div>
    <w:div w:id="1471285448">
      <w:bodyDiv w:val="1"/>
      <w:marLeft w:val="0"/>
      <w:marRight w:val="0"/>
      <w:marTop w:val="0"/>
      <w:marBottom w:val="0"/>
      <w:divBdr>
        <w:top w:val="none" w:sz="0" w:space="0" w:color="auto"/>
        <w:left w:val="none" w:sz="0" w:space="0" w:color="auto"/>
        <w:bottom w:val="none" w:sz="0" w:space="0" w:color="auto"/>
        <w:right w:val="none" w:sz="0" w:space="0" w:color="auto"/>
      </w:divBdr>
    </w:div>
    <w:div w:id="1474056748">
      <w:bodyDiv w:val="1"/>
      <w:marLeft w:val="0"/>
      <w:marRight w:val="0"/>
      <w:marTop w:val="0"/>
      <w:marBottom w:val="0"/>
      <w:divBdr>
        <w:top w:val="none" w:sz="0" w:space="0" w:color="auto"/>
        <w:left w:val="none" w:sz="0" w:space="0" w:color="auto"/>
        <w:bottom w:val="none" w:sz="0" w:space="0" w:color="auto"/>
        <w:right w:val="none" w:sz="0" w:space="0" w:color="auto"/>
      </w:divBdr>
    </w:div>
    <w:div w:id="1476945617">
      <w:bodyDiv w:val="1"/>
      <w:marLeft w:val="0"/>
      <w:marRight w:val="0"/>
      <w:marTop w:val="0"/>
      <w:marBottom w:val="0"/>
      <w:divBdr>
        <w:top w:val="none" w:sz="0" w:space="0" w:color="auto"/>
        <w:left w:val="none" w:sz="0" w:space="0" w:color="auto"/>
        <w:bottom w:val="none" w:sz="0" w:space="0" w:color="auto"/>
        <w:right w:val="none" w:sz="0" w:space="0" w:color="auto"/>
      </w:divBdr>
    </w:div>
    <w:div w:id="1479416857">
      <w:bodyDiv w:val="1"/>
      <w:marLeft w:val="0"/>
      <w:marRight w:val="0"/>
      <w:marTop w:val="0"/>
      <w:marBottom w:val="0"/>
      <w:divBdr>
        <w:top w:val="none" w:sz="0" w:space="0" w:color="auto"/>
        <w:left w:val="none" w:sz="0" w:space="0" w:color="auto"/>
        <w:bottom w:val="none" w:sz="0" w:space="0" w:color="auto"/>
        <w:right w:val="none" w:sz="0" w:space="0" w:color="auto"/>
      </w:divBdr>
    </w:div>
    <w:div w:id="1494905487">
      <w:bodyDiv w:val="1"/>
      <w:marLeft w:val="0"/>
      <w:marRight w:val="0"/>
      <w:marTop w:val="0"/>
      <w:marBottom w:val="0"/>
      <w:divBdr>
        <w:top w:val="none" w:sz="0" w:space="0" w:color="auto"/>
        <w:left w:val="none" w:sz="0" w:space="0" w:color="auto"/>
        <w:bottom w:val="none" w:sz="0" w:space="0" w:color="auto"/>
        <w:right w:val="none" w:sz="0" w:space="0" w:color="auto"/>
      </w:divBdr>
    </w:div>
    <w:div w:id="1497069169">
      <w:bodyDiv w:val="1"/>
      <w:marLeft w:val="0"/>
      <w:marRight w:val="0"/>
      <w:marTop w:val="0"/>
      <w:marBottom w:val="0"/>
      <w:divBdr>
        <w:top w:val="none" w:sz="0" w:space="0" w:color="auto"/>
        <w:left w:val="none" w:sz="0" w:space="0" w:color="auto"/>
        <w:bottom w:val="none" w:sz="0" w:space="0" w:color="auto"/>
        <w:right w:val="none" w:sz="0" w:space="0" w:color="auto"/>
      </w:divBdr>
    </w:div>
    <w:div w:id="1499733994">
      <w:bodyDiv w:val="1"/>
      <w:marLeft w:val="0"/>
      <w:marRight w:val="0"/>
      <w:marTop w:val="0"/>
      <w:marBottom w:val="0"/>
      <w:divBdr>
        <w:top w:val="none" w:sz="0" w:space="0" w:color="auto"/>
        <w:left w:val="none" w:sz="0" w:space="0" w:color="auto"/>
        <w:bottom w:val="none" w:sz="0" w:space="0" w:color="auto"/>
        <w:right w:val="none" w:sz="0" w:space="0" w:color="auto"/>
      </w:divBdr>
    </w:div>
    <w:div w:id="1500151410">
      <w:bodyDiv w:val="1"/>
      <w:marLeft w:val="0"/>
      <w:marRight w:val="0"/>
      <w:marTop w:val="0"/>
      <w:marBottom w:val="0"/>
      <w:divBdr>
        <w:top w:val="none" w:sz="0" w:space="0" w:color="auto"/>
        <w:left w:val="none" w:sz="0" w:space="0" w:color="auto"/>
        <w:bottom w:val="none" w:sz="0" w:space="0" w:color="auto"/>
        <w:right w:val="none" w:sz="0" w:space="0" w:color="auto"/>
      </w:divBdr>
    </w:div>
    <w:div w:id="1505585896">
      <w:bodyDiv w:val="1"/>
      <w:marLeft w:val="0"/>
      <w:marRight w:val="0"/>
      <w:marTop w:val="0"/>
      <w:marBottom w:val="0"/>
      <w:divBdr>
        <w:top w:val="none" w:sz="0" w:space="0" w:color="auto"/>
        <w:left w:val="none" w:sz="0" w:space="0" w:color="auto"/>
        <w:bottom w:val="none" w:sz="0" w:space="0" w:color="auto"/>
        <w:right w:val="none" w:sz="0" w:space="0" w:color="auto"/>
      </w:divBdr>
    </w:div>
    <w:div w:id="1506819137">
      <w:bodyDiv w:val="1"/>
      <w:marLeft w:val="0"/>
      <w:marRight w:val="0"/>
      <w:marTop w:val="0"/>
      <w:marBottom w:val="0"/>
      <w:divBdr>
        <w:top w:val="none" w:sz="0" w:space="0" w:color="auto"/>
        <w:left w:val="none" w:sz="0" w:space="0" w:color="auto"/>
        <w:bottom w:val="none" w:sz="0" w:space="0" w:color="auto"/>
        <w:right w:val="none" w:sz="0" w:space="0" w:color="auto"/>
      </w:divBdr>
    </w:div>
    <w:div w:id="1521553834">
      <w:bodyDiv w:val="1"/>
      <w:marLeft w:val="0"/>
      <w:marRight w:val="0"/>
      <w:marTop w:val="0"/>
      <w:marBottom w:val="0"/>
      <w:divBdr>
        <w:top w:val="none" w:sz="0" w:space="0" w:color="auto"/>
        <w:left w:val="none" w:sz="0" w:space="0" w:color="auto"/>
        <w:bottom w:val="none" w:sz="0" w:space="0" w:color="auto"/>
        <w:right w:val="none" w:sz="0" w:space="0" w:color="auto"/>
      </w:divBdr>
    </w:div>
    <w:div w:id="1523201945">
      <w:bodyDiv w:val="1"/>
      <w:marLeft w:val="0"/>
      <w:marRight w:val="0"/>
      <w:marTop w:val="0"/>
      <w:marBottom w:val="0"/>
      <w:divBdr>
        <w:top w:val="none" w:sz="0" w:space="0" w:color="auto"/>
        <w:left w:val="none" w:sz="0" w:space="0" w:color="auto"/>
        <w:bottom w:val="none" w:sz="0" w:space="0" w:color="auto"/>
        <w:right w:val="none" w:sz="0" w:space="0" w:color="auto"/>
      </w:divBdr>
      <w:divsChild>
        <w:div w:id="2136555357">
          <w:marLeft w:val="274"/>
          <w:marRight w:val="0"/>
          <w:marTop w:val="0"/>
          <w:marBottom w:val="200"/>
          <w:divBdr>
            <w:top w:val="none" w:sz="0" w:space="0" w:color="auto"/>
            <w:left w:val="none" w:sz="0" w:space="0" w:color="auto"/>
            <w:bottom w:val="none" w:sz="0" w:space="0" w:color="auto"/>
            <w:right w:val="none" w:sz="0" w:space="0" w:color="auto"/>
          </w:divBdr>
        </w:div>
      </w:divsChild>
    </w:div>
    <w:div w:id="1529416754">
      <w:bodyDiv w:val="1"/>
      <w:marLeft w:val="0"/>
      <w:marRight w:val="0"/>
      <w:marTop w:val="0"/>
      <w:marBottom w:val="0"/>
      <w:divBdr>
        <w:top w:val="none" w:sz="0" w:space="0" w:color="auto"/>
        <w:left w:val="none" w:sz="0" w:space="0" w:color="auto"/>
        <w:bottom w:val="none" w:sz="0" w:space="0" w:color="auto"/>
        <w:right w:val="none" w:sz="0" w:space="0" w:color="auto"/>
      </w:divBdr>
    </w:div>
    <w:div w:id="1531458705">
      <w:bodyDiv w:val="1"/>
      <w:marLeft w:val="0"/>
      <w:marRight w:val="0"/>
      <w:marTop w:val="0"/>
      <w:marBottom w:val="0"/>
      <w:divBdr>
        <w:top w:val="none" w:sz="0" w:space="0" w:color="auto"/>
        <w:left w:val="none" w:sz="0" w:space="0" w:color="auto"/>
        <w:bottom w:val="none" w:sz="0" w:space="0" w:color="auto"/>
        <w:right w:val="none" w:sz="0" w:space="0" w:color="auto"/>
      </w:divBdr>
    </w:div>
    <w:div w:id="1533573360">
      <w:bodyDiv w:val="1"/>
      <w:marLeft w:val="0"/>
      <w:marRight w:val="0"/>
      <w:marTop w:val="0"/>
      <w:marBottom w:val="0"/>
      <w:divBdr>
        <w:top w:val="none" w:sz="0" w:space="0" w:color="auto"/>
        <w:left w:val="none" w:sz="0" w:space="0" w:color="auto"/>
        <w:bottom w:val="none" w:sz="0" w:space="0" w:color="auto"/>
        <w:right w:val="none" w:sz="0" w:space="0" w:color="auto"/>
      </w:divBdr>
    </w:div>
    <w:div w:id="1551918032">
      <w:bodyDiv w:val="1"/>
      <w:marLeft w:val="0"/>
      <w:marRight w:val="0"/>
      <w:marTop w:val="0"/>
      <w:marBottom w:val="0"/>
      <w:divBdr>
        <w:top w:val="none" w:sz="0" w:space="0" w:color="auto"/>
        <w:left w:val="none" w:sz="0" w:space="0" w:color="auto"/>
        <w:bottom w:val="none" w:sz="0" w:space="0" w:color="auto"/>
        <w:right w:val="none" w:sz="0" w:space="0" w:color="auto"/>
      </w:divBdr>
    </w:div>
    <w:div w:id="1570967158">
      <w:bodyDiv w:val="1"/>
      <w:marLeft w:val="0"/>
      <w:marRight w:val="0"/>
      <w:marTop w:val="0"/>
      <w:marBottom w:val="0"/>
      <w:divBdr>
        <w:top w:val="none" w:sz="0" w:space="0" w:color="auto"/>
        <w:left w:val="none" w:sz="0" w:space="0" w:color="auto"/>
        <w:bottom w:val="none" w:sz="0" w:space="0" w:color="auto"/>
        <w:right w:val="none" w:sz="0" w:space="0" w:color="auto"/>
      </w:divBdr>
    </w:div>
    <w:div w:id="1582451892">
      <w:bodyDiv w:val="1"/>
      <w:marLeft w:val="0"/>
      <w:marRight w:val="0"/>
      <w:marTop w:val="0"/>
      <w:marBottom w:val="0"/>
      <w:divBdr>
        <w:top w:val="none" w:sz="0" w:space="0" w:color="auto"/>
        <w:left w:val="none" w:sz="0" w:space="0" w:color="auto"/>
        <w:bottom w:val="none" w:sz="0" w:space="0" w:color="auto"/>
        <w:right w:val="none" w:sz="0" w:space="0" w:color="auto"/>
      </w:divBdr>
    </w:div>
    <w:div w:id="1596744138">
      <w:bodyDiv w:val="1"/>
      <w:marLeft w:val="0"/>
      <w:marRight w:val="0"/>
      <w:marTop w:val="0"/>
      <w:marBottom w:val="0"/>
      <w:divBdr>
        <w:top w:val="none" w:sz="0" w:space="0" w:color="auto"/>
        <w:left w:val="none" w:sz="0" w:space="0" w:color="auto"/>
        <w:bottom w:val="none" w:sz="0" w:space="0" w:color="auto"/>
        <w:right w:val="none" w:sz="0" w:space="0" w:color="auto"/>
      </w:divBdr>
    </w:div>
    <w:div w:id="1607613603">
      <w:bodyDiv w:val="1"/>
      <w:marLeft w:val="0"/>
      <w:marRight w:val="0"/>
      <w:marTop w:val="0"/>
      <w:marBottom w:val="0"/>
      <w:divBdr>
        <w:top w:val="none" w:sz="0" w:space="0" w:color="auto"/>
        <w:left w:val="none" w:sz="0" w:space="0" w:color="auto"/>
        <w:bottom w:val="none" w:sz="0" w:space="0" w:color="auto"/>
        <w:right w:val="none" w:sz="0" w:space="0" w:color="auto"/>
      </w:divBdr>
    </w:div>
    <w:div w:id="1623222189">
      <w:bodyDiv w:val="1"/>
      <w:marLeft w:val="0"/>
      <w:marRight w:val="0"/>
      <w:marTop w:val="0"/>
      <w:marBottom w:val="0"/>
      <w:divBdr>
        <w:top w:val="none" w:sz="0" w:space="0" w:color="auto"/>
        <w:left w:val="none" w:sz="0" w:space="0" w:color="auto"/>
        <w:bottom w:val="none" w:sz="0" w:space="0" w:color="auto"/>
        <w:right w:val="none" w:sz="0" w:space="0" w:color="auto"/>
      </w:divBdr>
    </w:div>
    <w:div w:id="1632860413">
      <w:bodyDiv w:val="1"/>
      <w:marLeft w:val="0"/>
      <w:marRight w:val="0"/>
      <w:marTop w:val="0"/>
      <w:marBottom w:val="0"/>
      <w:divBdr>
        <w:top w:val="none" w:sz="0" w:space="0" w:color="auto"/>
        <w:left w:val="none" w:sz="0" w:space="0" w:color="auto"/>
        <w:bottom w:val="none" w:sz="0" w:space="0" w:color="auto"/>
        <w:right w:val="none" w:sz="0" w:space="0" w:color="auto"/>
      </w:divBdr>
      <w:divsChild>
        <w:div w:id="107241672">
          <w:marLeft w:val="274"/>
          <w:marRight w:val="0"/>
          <w:marTop w:val="0"/>
          <w:marBottom w:val="120"/>
          <w:divBdr>
            <w:top w:val="none" w:sz="0" w:space="0" w:color="auto"/>
            <w:left w:val="none" w:sz="0" w:space="0" w:color="auto"/>
            <w:bottom w:val="none" w:sz="0" w:space="0" w:color="auto"/>
            <w:right w:val="none" w:sz="0" w:space="0" w:color="auto"/>
          </w:divBdr>
        </w:div>
        <w:div w:id="830369248">
          <w:marLeft w:val="274"/>
          <w:marRight w:val="0"/>
          <w:marTop w:val="0"/>
          <w:marBottom w:val="120"/>
          <w:divBdr>
            <w:top w:val="none" w:sz="0" w:space="0" w:color="auto"/>
            <w:left w:val="none" w:sz="0" w:space="0" w:color="auto"/>
            <w:bottom w:val="none" w:sz="0" w:space="0" w:color="auto"/>
            <w:right w:val="none" w:sz="0" w:space="0" w:color="auto"/>
          </w:divBdr>
        </w:div>
        <w:div w:id="1071926956">
          <w:marLeft w:val="274"/>
          <w:marRight w:val="0"/>
          <w:marTop w:val="0"/>
          <w:marBottom w:val="120"/>
          <w:divBdr>
            <w:top w:val="none" w:sz="0" w:space="0" w:color="auto"/>
            <w:left w:val="none" w:sz="0" w:space="0" w:color="auto"/>
            <w:bottom w:val="none" w:sz="0" w:space="0" w:color="auto"/>
            <w:right w:val="none" w:sz="0" w:space="0" w:color="auto"/>
          </w:divBdr>
        </w:div>
        <w:div w:id="1327132917">
          <w:marLeft w:val="274"/>
          <w:marRight w:val="0"/>
          <w:marTop w:val="0"/>
          <w:marBottom w:val="120"/>
          <w:divBdr>
            <w:top w:val="none" w:sz="0" w:space="0" w:color="auto"/>
            <w:left w:val="none" w:sz="0" w:space="0" w:color="auto"/>
            <w:bottom w:val="none" w:sz="0" w:space="0" w:color="auto"/>
            <w:right w:val="none" w:sz="0" w:space="0" w:color="auto"/>
          </w:divBdr>
        </w:div>
        <w:div w:id="1398631795">
          <w:marLeft w:val="994"/>
          <w:marRight w:val="0"/>
          <w:marTop w:val="0"/>
          <w:marBottom w:val="120"/>
          <w:divBdr>
            <w:top w:val="none" w:sz="0" w:space="0" w:color="auto"/>
            <w:left w:val="none" w:sz="0" w:space="0" w:color="auto"/>
            <w:bottom w:val="none" w:sz="0" w:space="0" w:color="auto"/>
            <w:right w:val="none" w:sz="0" w:space="0" w:color="auto"/>
          </w:divBdr>
        </w:div>
        <w:div w:id="1494562005">
          <w:marLeft w:val="274"/>
          <w:marRight w:val="0"/>
          <w:marTop w:val="0"/>
          <w:marBottom w:val="120"/>
          <w:divBdr>
            <w:top w:val="none" w:sz="0" w:space="0" w:color="auto"/>
            <w:left w:val="none" w:sz="0" w:space="0" w:color="auto"/>
            <w:bottom w:val="none" w:sz="0" w:space="0" w:color="auto"/>
            <w:right w:val="none" w:sz="0" w:space="0" w:color="auto"/>
          </w:divBdr>
        </w:div>
        <w:div w:id="1534491347">
          <w:marLeft w:val="274"/>
          <w:marRight w:val="0"/>
          <w:marTop w:val="0"/>
          <w:marBottom w:val="120"/>
          <w:divBdr>
            <w:top w:val="none" w:sz="0" w:space="0" w:color="auto"/>
            <w:left w:val="none" w:sz="0" w:space="0" w:color="auto"/>
            <w:bottom w:val="none" w:sz="0" w:space="0" w:color="auto"/>
            <w:right w:val="none" w:sz="0" w:space="0" w:color="auto"/>
          </w:divBdr>
        </w:div>
        <w:div w:id="2134397877">
          <w:marLeft w:val="994"/>
          <w:marRight w:val="0"/>
          <w:marTop w:val="0"/>
          <w:marBottom w:val="120"/>
          <w:divBdr>
            <w:top w:val="none" w:sz="0" w:space="0" w:color="auto"/>
            <w:left w:val="none" w:sz="0" w:space="0" w:color="auto"/>
            <w:bottom w:val="none" w:sz="0" w:space="0" w:color="auto"/>
            <w:right w:val="none" w:sz="0" w:space="0" w:color="auto"/>
          </w:divBdr>
        </w:div>
      </w:divsChild>
    </w:div>
    <w:div w:id="1635867537">
      <w:bodyDiv w:val="1"/>
      <w:marLeft w:val="0"/>
      <w:marRight w:val="0"/>
      <w:marTop w:val="0"/>
      <w:marBottom w:val="0"/>
      <w:divBdr>
        <w:top w:val="none" w:sz="0" w:space="0" w:color="auto"/>
        <w:left w:val="none" w:sz="0" w:space="0" w:color="auto"/>
        <w:bottom w:val="none" w:sz="0" w:space="0" w:color="auto"/>
        <w:right w:val="none" w:sz="0" w:space="0" w:color="auto"/>
      </w:divBdr>
    </w:div>
    <w:div w:id="1637755403">
      <w:bodyDiv w:val="1"/>
      <w:marLeft w:val="0"/>
      <w:marRight w:val="0"/>
      <w:marTop w:val="0"/>
      <w:marBottom w:val="0"/>
      <w:divBdr>
        <w:top w:val="none" w:sz="0" w:space="0" w:color="auto"/>
        <w:left w:val="none" w:sz="0" w:space="0" w:color="auto"/>
        <w:bottom w:val="none" w:sz="0" w:space="0" w:color="auto"/>
        <w:right w:val="none" w:sz="0" w:space="0" w:color="auto"/>
      </w:divBdr>
    </w:div>
    <w:div w:id="1640308203">
      <w:bodyDiv w:val="1"/>
      <w:marLeft w:val="0"/>
      <w:marRight w:val="0"/>
      <w:marTop w:val="0"/>
      <w:marBottom w:val="0"/>
      <w:divBdr>
        <w:top w:val="none" w:sz="0" w:space="0" w:color="auto"/>
        <w:left w:val="none" w:sz="0" w:space="0" w:color="auto"/>
        <w:bottom w:val="none" w:sz="0" w:space="0" w:color="auto"/>
        <w:right w:val="none" w:sz="0" w:space="0" w:color="auto"/>
      </w:divBdr>
    </w:div>
    <w:div w:id="1644777859">
      <w:bodyDiv w:val="1"/>
      <w:marLeft w:val="0"/>
      <w:marRight w:val="0"/>
      <w:marTop w:val="0"/>
      <w:marBottom w:val="0"/>
      <w:divBdr>
        <w:top w:val="none" w:sz="0" w:space="0" w:color="auto"/>
        <w:left w:val="none" w:sz="0" w:space="0" w:color="auto"/>
        <w:bottom w:val="none" w:sz="0" w:space="0" w:color="auto"/>
        <w:right w:val="none" w:sz="0" w:space="0" w:color="auto"/>
      </w:divBdr>
      <w:divsChild>
        <w:div w:id="1148979473">
          <w:marLeft w:val="274"/>
          <w:marRight w:val="0"/>
          <w:marTop w:val="0"/>
          <w:marBottom w:val="120"/>
          <w:divBdr>
            <w:top w:val="none" w:sz="0" w:space="0" w:color="auto"/>
            <w:left w:val="none" w:sz="0" w:space="0" w:color="auto"/>
            <w:bottom w:val="none" w:sz="0" w:space="0" w:color="auto"/>
            <w:right w:val="none" w:sz="0" w:space="0" w:color="auto"/>
          </w:divBdr>
        </w:div>
      </w:divsChild>
    </w:div>
    <w:div w:id="1644888114">
      <w:bodyDiv w:val="1"/>
      <w:marLeft w:val="0"/>
      <w:marRight w:val="0"/>
      <w:marTop w:val="0"/>
      <w:marBottom w:val="0"/>
      <w:divBdr>
        <w:top w:val="none" w:sz="0" w:space="0" w:color="auto"/>
        <w:left w:val="none" w:sz="0" w:space="0" w:color="auto"/>
        <w:bottom w:val="none" w:sz="0" w:space="0" w:color="auto"/>
        <w:right w:val="none" w:sz="0" w:space="0" w:color="auto"/>
      </w:divBdr>
    </w:div>
    <w:div w:id="1664236184">
      <w:bodyDiv w:val="1"/>
      <w:marLeft w:val="0"/>
      <w:marRight w:val="0"/>
      <w:marTop w:val="0"/>
      <w:marBottom w:val="0"/>
      <w:divBdr>
        <w:top w:val="none" w:sz="0" w:space="0" w:color="auto"/>
        <w:left w:val="none" w:sz="0" w:space="0" w:color="auto"/>
        <w:bottom w:val="none" w:sz="0" w:space="0" w:color="auto"/>
        <w:right w:val="none" w:sz="0" w:space="0" w:color="auto"/>
      </w:divBdr>
      <w:divsChild>
        <w:div w:id="201330661">
          <w:marLeft w:val="274"/>
          <w:marRight w:val="0"/>
          <w:marTop w:val="0"/>
          <w:marBottom w:val="0"/>
          <w:divBdr>
            <w:top w:val="none" w:sz="0" w:space="0" w:color="auto"/>
            <w:left w:val="none" w:sz="0" w:space="0" w:color="auto"/>
            <w:bottom w:val="none" w:sz="0" w:space="0" w:color="auto"/>
            <w:right w:val="none" w:sz="0" w:space="0" w:color="auto"/>
          </w:divBdr>
        </w:div>
      </w:divsChild>
    </w:div>
    <w:div w:id="1664891839">
      <w:bodyDiv w:val="1"/>
      <w:marLeft w:val="0"/>
      <w:marRight w:val="0"/>
      <w:marTop w:val="0"/>
      <w:marBottom w:val="0"/>
      <w:divBdr>
        <w:top w:val="none" w:sz="0" w:space="0" w:color="auto"/>
        <w:left w:val="none" w:sz="0" w:space="0" w:color="auto"/>
        <w:bottom w:val="none" w:sz="0" w:space="0" w:color="auto"/>
        <w:right w:val="none" w:sz="0" w:space="0" w:color="auto"/>
      </w:divBdr>
    </w:div>
    <w:div w:id="1676108072">
      <w:bodyDiv w:val="1"/>
      <w:marLeft w:val="0"/>
      <w:marRight w:val="0"/>
      <w:marTop w:val="0"/>
      <w:marBottom w:val="0"/>
      <w:divBdr>
        <w:top w:val="none" w:sz="0" w:space="0" w:color="auto"/>
        <w:left w:val="none" w:sz="0" w:space="0" w:color="auto"/>
        <w:bottom w:val="none" w:sz="0" w:space="0" w:color="auto"/>
        <w:right w:val="none" w:sz="0" w:space="0" w:color="auto"/>
      </w:divBdr>
    </w:div>
    <w:div w:id="1678535229">
      <w:bodyDiv w:val="1"/>
      <w:marLeft w:val="0"/>
      <w:marRight w:val="0"/>
      <w:marTop w:val="0"/>
      <w:marBottom w:val="0"/>
      <w:divBdr>
        <w:top w:val="none" w:sz="0" w:space="0" w:color="auto"/>
        <w:left w:val="none" w:sz="0" w:space="0" w:color="auto"/>
        <w:bottom w:val="none" w:sz="0" w:space="0" w:color="auto"/>
        <w:right w:val="none" w:sz="0" w:space="0" w:color="auto"/>
      </w:divBdr>
    </w:div>
    <w:div w:id="1681006071">
      <w:bodyDiv w:val="1"/>
      <w:marLeft w:val="0"/>
      <w:marRight w:val="0"/>
      <w:marTop w:val="0"/>
      <w:marBottom w:val="0"/>
      <w:divBdr>
        <w:top w:val="none" w:sz="0" w:space="0" w:color="auto"/>
        <w:left w:val="none" w:sz="0" w:space="0" w:color="auto"/>
        <w:bottom w:val="none" w:sz="0" w:space="0" w:color="auto"/>
        <w:right w:val="none" w:sz="0" w:space="0" w:color="auto"/>
      </w:divBdr>
    </w:div>
    <w:div w:id="1684285200">
      <w:bodyDiv w:val="1"/>
      <w:marLeft w:val="0"/>
      <w:marRight w:val="0"/>
      <w:marTop w:val="0"/>
      <w:marBottom w:val="0"/>
      <w:divBdr>
        <w:top w:val="none" w:sz="0" w:space="0" w:color="auto"/>
        <w:left w:val="none" w:sz="0" w:space="0" w:color="auto"/>
        <w:bottom w:val="none" w:sz="0" w:space="0" w:color="auto"/>
        <w:right w:val="none" w:sz="0" w:space="0" w:color="auto"/>
      </w:divBdr>
    </w:div>
    <w:div w:id="1692414023">
      <w:bodyDiv w:val="1"/>
      <w:marLeft w:val="0"/>
      <w:marRight w:val="0"/>
      <w:marTop w:val="0"/>
      <w:marBottom w:val="0"/>
      <w:divBdr>
        <w:top w:val="none" w:sz="0" w:space="0" w:color="auto"/>
        <w:left w:val="none" w:sz="0" w:space="0" w:color="auto"/>
        <w:bottom w:val="none" w:sz="0" w:space="0" w:color="auto"/>
        <w:right w:val="none" w:sz="0" w:space="0" w:color="auto"/>
      </w:divBdr>
    </w:div>
    <w:div w:id="1693219934">
      <w:bodyDiv w:val="1"/>
      <w:marLeft w:val="0"/>
      <w:marRight w:val="0"/>
      <w:marTop w:val="0"/>
      <w:marBottom w:val="0"/>
      <w:divBdr>
        <w:top w:val="none" w:sz="0" w:space="0" w:color="auto"/>
        <w:left w:val="none" w:sz="0" w:space="0" w:color="auto"/>
        <w:bottom w:val="none" w:sz="0" w:space="0" w:color="auto"/>
        <w:right w:val="none" w:sz="0" w:space="0" w:color="auto"/>
      </w:divBdr>
    </w:div>
    <w:div w:id="1695885251">
      <w:bodyDiv w:val="1"/>
      <w:marLeft w:val="0"/>
      <w:marRight w:val="0"/>
      <w:marTop w:val="0"/>
      <w:marBottom w:val="0"/>
      <w:divBdr>
        <w:top w:val="none" w:sz="0" w:space="0" w:color="auto"/>
        <w:left w:val="none" w:sz="0" w:space="0" w:color="auto"/>
        <w:bottom w:val="none" w:sz="0" w:space="0" w:color="auto"/>
        <w:right w:val="none" w:sz="0" w:space="0" w:color="auto"/>
      </w:divBdr>
    </w:div>
    <w:div w:id="1703626289">
      <w:bodyDiv w:val="1"/>
      <w:marLeft w:val="0"/>
      <w:marRight w:val="0"/>
      <w:marTop w:val="0"/>
      <w:marBottom w:val="0"/>
      <w:divBdr>
        <w:top w:val="none" w:sz="0" w:space="0" w:color="auto"/>
        <w:left w:val="none" w:sz="0" w:space="0" w:color="auto"/>
        <w:bottom w:val="none" w:sz="0" w:space="0" w:color="auto"/>
        <w:right w:val="none" w:sz="0" w:space="0" w:color="auto"/>
      </w:divBdr>
    </w:div>
    <w:div w:id="1718775923">
      <w:bodyDiv w:val="1"/>
      <w:marLeft w:val="0"/>
      <w:marRight w:val="0"/>
      <w:marTop w:val="0"/>
      <w:marBottom w:val="0"/>
      <w:divBdr>
        <w:top w:val="none" w:sz="0" w:space="0" w:color="auto"/>
        <w:left w:val="none" w:sz="0" w:space="0" w:color="auto"/>
        <w:bottom w:val="none" w:sz="0" w:space="0" w:color="auto"/>
        <w:right w:val="none" w:sz="0" w:space="0" w:color="auto"/>
      </w:divBdr>
      <w:divsChild>
        <w:div w:id="46953270">
          <w:marLeft w:val="274"/>
          <w:marRight w:val="0"/>
          <w:marTop w:val="0"/>
          <w:marBottom w:val="200"/>
          <w:divBdr>
            <w:top w:val="none" w:sz="0" w:space="0" w:color="auto"/>
            <w:left w:val="none" w:sz="0" w:space="0" w:color="auto"/>
            <w:bottom w:val="none" w:sz="0" w:space="0" w:color="auto"/>
            <w:right w:val="none" w:sz="0" w:space="0" w:color="auto"/>
          </w:divBdr>
        </w:div>
        <w:div w:id="252402517">
          <w:marLeft w:val="274"/>
          <w:marRight w:val="0"/>
          <w:marTop w:val="0"/>
          <w:marBottom w:val="120"/>
          <w:divBdr>
            <w:top w:val="none" w:sz="0" w:space="0" w:color="auto"/>
            <w:left w:val="none" w:sz="0" w:space="0" w:color="auto"/>
            <w:bottom w:val="none" w:sz="0" w:space="0" w:color="auto"/>
            <w:right w:val="none" w:sz="0" w:space="0" w:color="auto"/>
          </w:divBdr>
        </w:div>
        <w:div w:id="547693144">
          <w:marLeft w:val="274"/>
          <w:marRight w:val="0"/>
          <w:marTop w:val="0"/>
          <w:marBottom w:val="120"/>
          <w:divBdr>
            <w:top w:val="none" w:sz="0" w:space="0" w:color="auto"/>
            <w:left w:val="none" w:sz="0" w:space="0" w:color="auto"/>
            <w:bottom w:val="none" w:sz="0" w:space="0" w:color="auto"/>
            <w:right w:val="none" w:sz="0" w:space="0" w:color="auto"/>
          </w:divBdr>
        </w:div>
        <w:div w:id="563102859">
          <w:marLeft w:val="274"/>
          <w:marRight w:val="0"/>
          <w:marTop w:val="0"/>
          <w:marBottom w:val="120"/>
          <w:divBdr>
            <w:top w:val="none" w:sz="0" w:space="0" w:color="auto"/>
            <w:left w:val="none" w:sz="0" w:space="0" w:color="auto"/>
            <w:bottom w:val="none" w:sz="0" w:space="0" w:color="auto"/>
            <w:right w:val="none" w:sz="0" w:space="0" w:color="auto"/>
          </w:divBdr>
        </w:div>
        <w:div w:id="686323252">
          <w:marLeft w:val="274"/>
          <w:marRight w:val="0"/>
          <w:marTop w:val="0"/>
          <w:marBottom w:val="120"/>
          <w:divBdr>
            <w:top w:val="none" w:sz="0" w:space="0" w:color="auto"/>
            <w:left w:val="none" w:sz="0" w:space="0" w:color="auto"/>
            <w:bottom w:val="none" w:sz="0" w:space="0" w:color="auto"/>
            <w:right w:val="none" w:sz="0" w:space="0" w:color="auto"/>
          </w:divBdr>
        </w:div>
        <w:div w:id="1518077128">
          <w:marLeft w:val="274"/>
          <w:marRight w:val="0"/>
          <w:marTop w:val="0"/>
          <w:marBottom w:val="120"/>
          <w:divBdr>
            <w:top w:val="none" w:sz="0" w:space="0" w:color="auto"/>
            <w:left w:val="none" w:sz="0" w:space="0" w:color="auto"/>
            <w:bottom w:val="none" w:sz="0" w:space="0" w:color="auto"/>
            <w:right w:val="none" w:sz="0" w:space="0" w:color="auto"/>
          </w:divBdr>
        </w:div>
        <w:div w:id="1883857720">
          <w:marLeft w:val="274"/>
          <w:marRight w:val="0"/>
          <w:marTop w:val="0"/>
          <w:marBottom w:val="120"/>
          <w:divBdr>
            <w:top w:val="none" w:sz="0" w:space="0" w:color="auto"/>
            <w:left w:val="none" w:sz="0" w:space="0" w:color="auto"/>
            <w:bottom w:val="none" w:sz="0" w:space="0" w:color="auto"/>
            <w:right w:val="none" w:sz="0" w:space="0" w:color="auto"/>
          </w:divBdr>
        </w:div>
        <w:div w:id="2067098949">
          <w:marLeft w:val="274"/>
          <w:marRight w:val="0"/>
          <w:marTop w:val="0"/>
          <w:marBottom w:val="120"/>
          <w:divBdr>
            <w:top w:val="none" w:sz="0" w:space="0" w:color="auto"/>
            <w:left w:val="none" w:sz="0" w:space="0" w:color="auto"/>
            <w:bottom w:val="none" w:sz="0" w:space="0" w:color="auto"/>
            <w:right w:val="none" w:sz="0" w:space="0" w:color="auto"/>
          </w:divBdr>
        </w:div>
      </w:divsChild>
    </w:div>
    <w:div w:id="1721705076">
      <w:bodyDiv w:val="1"/>
      <w:marLeft w:val="0"/>
      <w:marRight w:val="0"/>
      <w:marTop w:val="0"/>
      <w:marBottom w:val="0"/>
      <w:divBdr>
        <w:top w:val="none" w:sz="0" w:space="0" w:color="auto"/>
        <w:left w:val="none" w:sz="0" w:space="0" w:color="auto"/>
        <w:bottom w:val="none" w:sz="0" w:space="0" w:color="auto"/>
        <w:right w:val="none" w:sz="0" w:space="0" w:color="auto"/>
      </w:divBdr>
    </w:div>
    <w:div w:id="1722628114">
      <w:bodyDiv w:val="1"/>
      <w:marLeft w:val="0"/>
      <w:marRight w:val="0"/>
      <w:marTop w:val="0"/>
      <w:marBottom w:val="0"/>
      <w:divBdr>
        <w:top w:val="none" w:sz="0" w:space="0" w:color="auto"/>
        <w:left w:val="none" w:sz="0" w:space="0" w:color="auto"/>
        <w:bottom w:val="none" w:sz="0" w:space="0" w:color="auto"/>
        <w:right w:val="none" w:sz="0" w:space="0" w:color="auto"/>
      </w:divBdr>
    </w:div>
    <w:div w:id="1727797710">
      <w:bodyDiv w:val="1"/>
      <w:marLeft w:val="0"/>
      <w:marRight w:val="0"/>
      <w:marTop w:val="0"/>
      <w:marBottom w:val="0"/>
      <w:divBdr>
        <w:top w:val="none" w:sz="0" w:space="0" w:color="auto"/>
        <w:left w:val="none" w:sz="0" w:space="0" w:color="auto"/>
        <w:bottom w:val="none" w:sz="0" w:space="0" w:color="auto"/>
        <w:right w:val="none" w:sz="0" w:space="0" w:color="auto"/>
      </w:divBdr>
    </w:div>
    <w:div w:id="1737313185">
      <w:bodyDiv w:val="1"/>
      <w:marLeft w:val="0"/>
      <w:marRight w:val="0"/>
      <w:marTop w:val="0"/>
      <w:marBottom w:val="0"/>
      <w:divBdr>
        <w:top w:val="none" w:sz="0" w:space="0" w:color="auto"/>
        <w:left w:val="none" w:sz="0" w:space="0" w:color="auto"/>
        <w:bottom w:val="none" w:sz="0" w:space="0" w:color="auto"/>
        <w:right w:val="none" w:sz="0" w:space="0" w:color="auto"/>
      </w:divBdr>
    </w:div>
    <w:div w:id="1759672827">
      <w:bodyDiv w:val="1"/>
      <w:marLeft w:val="0"/>
      <w:marRight w:val="0"/>
      <w:marTop w:val="0"/>
      <w:marBottom w:val="0"/>
      <w:divBdr>
        <w:top w:val="none" w:sz="0" w:space="0" w:color="auto"/>
        <w:left w:val="none" w:sz="0" w:space="0" w:color="auto"/>
        <w:bottom w:val="none" w:sz="0" w:space="0" w:color="auto"/>
        <w:right w:val="none" w:sz="0" w:space="0" w:color="auto"/>
      </w:divBdr>
    </w:div>
    <w:div w:id="1762485094">
      <w:bodyDiv w:val="1"/>
      <w:marLeft w:val="0"/>
      <w:marRight w:val="0"/>
      <w:marTop w:val="0"/>
      <w:marBottom w:val="0"/>
      <w:divBdr>
        <w:top w:val="none" w:sz="0" w:space="0" w:color="auto"/>
        <w:left w:val="none" w:sz="0" w:space="0" w:color="auto"/>
        <w:bottom w:val="none" w:sz="0" w:space="0" w:color="auto"/>
        <w:right w:val="none" w:sz="0" w:space="0" w:color="auto"/>
      </w:divBdr>
    </w:div>
    <w:div w:id="1770805926">
      <w:bodyDiv w:val="1"/>
      <w:marLeft w:val="0"/>
      <w:marRight w:val="0"/>
      <w:marTop w:val="0"/>
      <w:marBottom w:val="0"/>
      <w:divBdr>
        <w:top w:val="none" w:sz="0" w:space="0" w:color="auto"/>
        <w:left w:val="none" w:sz="0" w:space="0" w:color="auto"/>
        <w:bottom w:val="none" w:sz="0" w:space="0" w:color="auto"/>
        <w:right w:val="none" w:sz="0" w:space="0" w:color="auto"/>
      </w:divBdr>
      <w:divsChild>
        <w:div w:id="819158279">
          <w:marLeft w:val="274"/>
          <w:marRight w:val="0"/>
          <w:marTop w:val="0"/>
          <w:marBottom w:val="120"/>
          <w:divBdr>
            <w:top w:val="none" w:sz="0" w:space="0" w:color="auto"/>
            <w:left w:val="none" w:sz="0" w:space="0" w:color="auto"/>
            <w:bottom w:val="none" w:sz="0" w:space="0" w:color="auto"/>
            <w:right w:val="none" w:sz="0" w:space="0" w:color="auto"/>
          </w:divBdr>
        </w:div>
      </w:divsChild>
    </w:div>
    <w:div w:id="1773549936">
      <w:bodyDiv w:val="1"/>
      <w:marLeft w:val="0"/>
      <w:marRight w:val="0"/>
      <w:marTop w:val="0"/>
      <w:marBottom w:val="0"/>
      <w:divBdr>
        <w:top w:val="none" w:sz="0" w:space="0" w:color="auto"/>
        <w:left w:val="none" w:sz="0" w:space="0" w:color="auto"/>
        <w:bottom w:val="none" w:sz="0" w:space="0" w:color="auto"/>
        <w:right w:val="none" w:sz="0" w:space="0" w:color="auto"/>
      </w:divBdr>
      <w:divsChild>
        <w:div w:id="504436533">
          <w:marLeft w:val="274"/>
          <w:marRight w:val="0"/>
          <w:marTop w:val="0"/>
          <w:marBottom w:val="0"/>
          <w:divBdr>
            <w:top w:val="none" w:sz="0" w:space="0" w:color="auto"/>
            <w:left w:val="none" w:sz="0" w:space="0" w:color="auto"/>
            <w:bottom w:val="none" w:sz="0" w:space="0" w:color="auto"/>
            <w:right w:val="none" w:sz="0" w:space="0" w:color="auto"/>
          </w:divBdr>
        </w:div>
      </w:divsChild>
    </w:div>
    <w:div w:id="1792044805">
      <w:bodyDiv w:val="1"/>
      <w:marLeft w:val="0"/>
      <w:marRight w:val="0"/>
      <w:marTop w:val="0"/>
      <w:marBottom w:val="0"/>
      <w:divBdr>
        <w:top w:val="none" w:sz="0" w:space="0" w:color="auto"/>
        <w:left w:val="none" w:sz="0" w:space="0" w:color="auto"/>
        <w:bottom w:val="none" w:sz="0" w:space="0" w:color="auto"/>
        <w:right w:val="none" w:sz="0" w:space="0" w:color="auto"/>
      </w:divBdr>
    </w:div>
    <w:div w:id="1793476493">
      <w:bodyDiv w:val="1"/>
      <w:marLeft w:val="0"/>
      <w:marRight w:val="0"/>
      <w:marTop w:val="0"/>
      <w:marBottom w:val="0"/>
      <w:divBdr>
        <w:top w:val="none" w:sz="0" w:space="0" w:color="auto"/>
        <w:left w:val="none" w:sz="0" w:space="0" w:color="auto"/>
        <w:bottom w:val="none" w:sz="0" w:space="0" w:color="auto"/>
        <w:right w:val="none" w:sz="0" w:space="0" w:color="auto"/>
      </w:divBdr>
    </w:div>
    <w:div w:id="1793867457">
      <w:bodyDiv w:val="1"/>
      <w:marLeft w:val="0"/>
      <w:marRight w:val="0"/>
      <w:marTop w:val="0"/>
      <w:marBottom w:val="0"/>
      <w:divBdr>
        <w:top w:val="none" w:sz="0" w:space="0" w:color="auto"/>
        <w:left w:val="none" w:sz="0" w:space="0" w:color="auto"/>
        <w:bottom w:val="none" w:sz="0" w:space="0" w:color="auto"/>
        <w:right w:val="none" w:sz="0" w:space="0" w:color="auto"/>
      </w:divBdr>
    </w:div>
    <w:div w:id="1794402065">
      <w:bodyDiv w:val="1"/>
      <w:marLeft w:val="0"/>
      <w:marRight w:val="0"/>
      <w:marTop w:val="0"/>
      <w:marBottom w:val="0"/>
      <w:divBdr>
        <w:top w:val="none" w:sz="0" w:space="0" w:color="auto"/>
        <w:left w:val="none" w:sz="0" w:space="0" w:color="auto"/>
        <w:bottom w:val="none" w:sz="0" w:space="0" w:color="auto"/>
        <w:right w:val="none" w:sz="0" w:space="0" w:color="auto"/>
      </w:divBdr>
    </w:div>
    <w:div w:id="1794980218">
      <w:bodyDiv w:val="1"/>
      <w:marLeft w:val="0"/>
      <w:marRight w:val="0"/>
      <w:marTop w:val="0"/>
      <w:marBottom w:val="0"/>
      <w:divBdr>
        <w:top w:val="none" w:sz="0" w:space="0" w:color="auto"/>
        <w:left w:val="none" w:sz="0" w:space="0" w:color="auto"/>
        <w:bottom w:val="none" w:sz="0" w:space="0" w:color="auto"/>
        <w:right w:val="none" w:sz="0" w:space="0" w:color="auto"/>
      </w:divBdr>
    </w:div>
    <w:div w:id="1797480088">
      <w:bodyDiv w:val="1"/>
      <w:marLeft w:val="0"/>
      <w:marRight w:val="0"/>
      <w:marTop w:val="0"/>
      <w:marBottom w:val="0"/>
      <w:divBdr>
        <w:top w:val="none" w:sz="0" w:space="0" w:color="auto"/>
        <w:left w:val="none" w:sz="0" w:space="0" w:color="auto"/>
        <w:bottom w:val="none" w:sz="0" w:space="0" w:color="auto"/>
        <w:right w:val="none" w:sz="0" w:space="0" w:color="auto"/>
      </w:divBdr>
    </w:div>
    <w:div w:id="1805922209">
      <w:bodyDiv w:val="1"/>
      <w:marLeft w:val="0"/>
      <w:marRight w:val="0"/>
      <w:marTop w:val="0"/>
      <w:marBottom w:val="0"/>
      <w:divBdr>
        <w:top w:val="none" w:sz="0" w:space="0" w:color="auto"/>
        <w:left w:val="none" w:sz="0" w:space="0" w:color="auto"/>
        <w:bottom w:val="none" w:sz="0" w:space="0" w:color="auto"/>
        <w:right w:val="none" w:sz="0" w:space="0" w:color="auto"/>
      </w:divBdr>
      <w:divsChild>
        <w:div w:id="251203634">
          <w:marLeft w:val="274"/>
          <w:marRight w:val="0"/>
          <w:marTop w:val="0"/>
          <w:marBottom w:val="120"/>
          <w:divBdr>
            <w:top w:val="none" w:sz="0" w:space="0" w:color="auto"/>
            <w:left w:val="none" w:sz="0" w:space="0" w:color="auto"/>
            <w:bottom w:val="none" w:sz="0" w:space="0" w:color="auto"/>
            <w:right w:val="none" w:sz="0" w:space="0" w:color="auto"/>
          </w:divBdr>
        </w:div>
      </w:divsChild>
    </w:div>
    <w:div w:id="1815871654">
      <w:bodyDiv w:val="1"/>
      <w:marLeft w:val="0"/>
      <w:marRight w:val="0"/>
      <w:marTop w:val="0"/>
      <w:marBottom w:val="0"/>
      <w:divBdr>
        <w:top w:val="none" w:sz="0" w:space="0" w:color="auto"/>
        <w:left w:val="none" w:sz="0" w:space="0" w:color="auto"/>
        <w:bottom w:val="none" w:sz="0" w:space="0" w:color="auto"/>
        <w:right w:val="none" w:sz="0" w:space="0" w:color="auto"/>
      </w:divBdr>
    </w:div>
    <w:div w:id="1829203771">
      <w:bodyDiv w:val="1"/>
      <w:marLeft w:val="0"/>
      <w:marRight w:val="0"/>
      <w:marTop w:val="0"/>
      <w:marBottom w:val="0"/>
      <w:divBdr>
        <w:top w:val="none" w:sz="0" w:space="0" w:color="auto"/>
        <w:left w:val="none" w:sz="0" w:space="0" w:color="auto"/>
        <w:bottom w:val="none" w:sz="0" w:space="0" w:color="auto"/>
        <w:right w:val="none" w:sz="0" w:space="0" w:color="auto"/>
      </w:divBdr>
    </w:div>
    <w:div w:id="1838304280">
      <w:bodyDiv w:val="1"/>
      <w:marLeft w:val="0"/>
      <w:marRight w:val="0"/>
      <w:marTop w:val="0"/>
      <w:marBottom w:val="0"/>
      <w:divBdr>
        <w:top w:val="none" w:sz="0" w:space="0" w:color="auto"/>
        <w:left w:val="none" w:sz="0" w:space="0" w:color="auto"/>
        <w:bottom w:val="none" w:sz="0" w:space="0" w:color="auto"/>
        <w:right w:val="none" w:sz="0" w:space="0" w:color="auto"/>
      </w:divBdr>
    </w:div>
    <w:div w:id="1839080631">
      <w:bodyDiv w:val="1"/>
      <w:marLeft w:val="0"/>
      <w:marRight w:val="0"/>
      <w:marTop w:val="0"/>
      <w:marBottom w:val="0"/>
      <w:divBdr>
        <w:top w:val="none" w:sz="0" w:space="0" w:color="auto"/>
        <w:left w:val="none" w:sz="0" w:space="0" w:color="auto"/>
        <w:bottom w:val="none" w:sz="0" w:space="0" w:color="auto"/>
        <w:right w:val="none" w:sz="0" w:space="0" w:color="auto"/>
      </w:divBdr>
    </w:div>
    <w:div w:id="1840385532">
      <w:bodyDiv w:val="1"/>
      <w:marLeft w:val="0"/>
      <w:marRight w:val="0"/>
      <w:marTop w:val="0"/>
      <w:marBottom w:val="0"/>
      <w:divBdr>
        <w:top w:val="none" w:sz="0" w:space="0" w:color="auto"/>
        <w:left w:val="none" w:sz="0" w:space="0" w:color="auto"/>
        <w:bottom w:val="none" w:sz="0" w:space="0" w:color="auto"/>
        <w:right w:val="none" w:sz="0" w:space="0" w:color="auto"/>
      </w:divBdr>
    </w:div>
    <w:div w:id="1852572689">
      <w:bodyDiv w:val="1"/>
      <w:marLeft w:val="0"/>
      <w:marRight w:val="0"/>
      <w:marTop w:val="0"/>
      <w:marBottom w:val="0"/>
      <w:divBdr>
        <w:top w:val="none" w:sz="0" w:space="0" w:color="auto"/>
        <w:left w:val="none" w:sz="0" w:space="0" w:color="auto"/>
        <w:bottom w:val="none" w:sz="0" w:space="0" w:color="auto"/>
        <w:right w:val="none" w:sz="0" w:space="0" w:color="auto"/>
      </w:divBdr>
      <w:divsChild>
        <w:div w:id="238832878">
          <w:marLeft w:val="994"/>
          <w:marRight w:val="0"/>
          <w:marTop w:val="0"/>
          <w:marBottom w:val="120"/>
          <w:divBdr>
            <w:top w:val="none" w:sz="0" w:space="0" w:color="auto"/>
            <w:left w:val="none" w:sz="0" w:space="0" w:color="auto"/>
            <w:bottom w:val="none" w:sz="0" w:space="0" w:color="auto"/>
            <w:right w:val="none" w:sz="0" w:space="0" w:color="auto"/>
          </w:divBdr>
        </w:div>
        <w:div w:id="429277120">
          <w:marLeft w:val="994"/>
          <w:marRight w:val="0"/>
          <w:marTop w:val="0"/>
          <w:marBottom w:val="120"/>
          <w:divBdr>
            <w:top w:val="none" w:sz="0" w:space="0" w:color="auto"/>
            <w:left w:val="none" w:sz="0" w:space="0" w:color="auto"/>
            <w:bottom w:val="none" w:sz="0" w:space="0" w:color="auto"/>
            <w:right w:val="none" w:sz="0" w:space="0" w:color="auto"/>
          </w:divBdr>
        </w:div>
        <w:div w:id="559751691">
          <w:marLeft w:val="994"/>
          <w:marRight w:val="0"/>
          <w:marTop w:val="0"/>
          <w:marBottom w:val="120"/>
          <w:divBdr>
            <w:top w:val="none" w:sz="0" w:space="0" w:color="auto"/>
            <w:left w:val="none" w:sz="0" w:space="0" w:color="auto"/>
            <w:bottom w:val="none" w:sz="0" w:space="0" w:color="auto"/>
            <w:right w:val="none" w:sz="0" w:space="0" w:color="auto"/>
          </w:divBdr>
        </w:div>
      </w:divsChild>
    </w:div>
    <w:div w:id="1854955417">
      <w:bodyDiv w:val="1"/>
      <w:marLeft w:val="0"/>
      <w:marRight w:val="0"/>
      <w:marTop w:val="0"/>
      <w:marBottom w:val="0"/>
      <w:divBdr>
        <w:top w:val="none" w:sz="0" w:space="0" w:color="auto"/>
        <w:left w:val="none" w:sz="0" w:space="0" w:color="auto"/>
        <w:bottom w:val="none" w:sz="0" w:space="0" w:color="auto"/>
        <w:right w:val="none" w:sz="0" w:space="0" w:color="auto"/>
      </w:divBdr>
      <w:divsChild>
        <w:div w:id="613708347">
          <w:marLeft w:val="274"/>
          <w:marRight w:val="0"/>
          <w:marTop w:val="0"/>
          <w:marBottom w:val="120"/>
          <w:divBdr>
            <w:top w:val="none" w:sz="0" w:space="0" w:color="auto"/>
            <w:left w:val="none" w:sz="0" w:space="0" w:color="auto"/>
            <w:bottom w:val="none" w:sz="0" w:space="0" w:color="auto"/>
            <w:right w:val="none" w:sz="0" w:space="0" w:color="auto"/>
          </w:divBdr>
        </w:div>
      </w:divsChild>
    </w:div>
    <w:div w:id="1864174472">
      <w:bodyDiv w:val="1"/>
      <w:marLeft w:val="0"/>
      <w:marRight w:val="0"/>
      <w:marTop w:val="0"/>
      <w:marBottom w:val="0"/>
      <w:divBdr>
        <w:top w:val="none" w:sz="0" w:space="0" w:color="auto"/>
        <w:left w:val="none" w:sz="0" w:space="0" w:color="auto"/>
        <w:bottom w:val="none" w:sz="0" w:space="0" w:color="auto"/>
        <w:right w:val="none" w:sz="0" w:space="0" w:color="auto"/>
      </w:divBdr>
    </w:div>
    <w:div w:id="1869903976">
      <w:bodyDiv w:val="1"/>
      <w:marLeft w:val="0"/>
      <w:marRight w:val="0"/>
      <w:marTop w:val="0"/>
      <w:marBottom w:val="0"/>
      <w:divBdr>
        <w:top w:val="none" w:sz="0" w:space="0" w:color="auto"/>
        <w:left w:val="none" w:sz="0" w:space="0" w:color="auto"/>
        <w:bottom w:val="none" w:sz="0" w:space="0" w:color="auto"/>
        <w:right w:val="none" w:sz="0" w:space="0" w:color="auto"/>
      </w:divBdr>
    </w:div>
    <w:div w:id="1879849569">
      <w:bodyDiv w:val="1"/>
      <w:marLeft w:val="0"/>
      <w:marRight w:val="0"/>
      <w:marTop w:val="0"/>
      <w:marBottom w:val="0"/>
      <w:divBdr>
        <w:top w:val="none" w:sz="0" w:space="0" w:color="auto"/>
        <w:left w:val="none" w:sz="0" w:space="0" w:color="auto"/>
        <w:bottom w:val="none" w:sz="0" w:space="0" w:color="auto"/>
        <w:right w:val="none" w:sz="0" w:space="0" w:color="auto"/>
      </w:divBdr>
    </w:div>
    <w:div w:id="1882863739">
      <w:bodyDiv w:val="1"/>
      <w:marLeft w:val="0"/>
      <w:marRight w:val="0"/>
      <w:marTop w:val="0"/>
      <w:marBottom w:val="0"/>
      <w:divBdr>
        <w:top w:val="none" w:sz="0" w:space="0" w:color="auto"/>
        <w:left w:val="none" w:sz="0" w:space="0" w:color="auto"/>
        <w:bottom w:val="none" w:sz="0" w:space="0" w:color="auto"/>
        <w:right w:val="none" w:sz="0" w:space="0" w:color="auto"/>
      </w:divBdr>
    </w:div>
    <w:div w:id="1887521783">
      <w:bodyDiv w:val="1"/>
      <w:marLeft w:val="0"/>
      <w:marRight w:val="0"/>
      <w:marTop w:val="0"/>
      <w:marBottom w:val="0"/>
      <w:divBdr>
        <w:top w:val="none" w:sz="0" w:space="0" w:color="auto"/>
        <w:left w:val="none" w:sz="0" w:space="0" w:color="auto"/>
        <w:bottom w:val="none" w:sz="0" w:space="0" w:color="auto"/>
        <w:right w:val="none" w:sz="0" w:space="0" w:color="auto"/>
      </w:divBdr>
    </w:div>
    <w:div w:id="1887830591">
      <w:bodyDiv w:val="1"/>
      <w:marLeft w:val="0"/>
      <w:marRight w:val="0"/>
      <w:marTop w:val="0"/>
      <w:marBottom w:val="0"/>
      <w:divBdr>
        <w:top w:val="none" w:sz="0" w:space="0" w:color="auto"/>
        <w:left w:val="none" w:sz="0" w:space="0" w:color="auto"/>
        <w:bottom w:val="none" w:sz="0" w:space="0" w:color="auto"/>
        <w:right w:val="none" w:sz="0" w:space="0" w:color="auto"/>
      </w:divBdr>
      <w:divsChild>
        <w:div w:id="1824197218">
          <w:marLeft w:val="274"/>
          <w:marRight w:val="0"/>
          <w:marTop w:val="0"/>
          <w:marBottom w:val="120"/>
          <w:divBdr>
            <w:top w:val="none" w:sz="0" w:space="0" w:color="auto"/>
            <w:left w:val="none" w:sz="0" w:space="0" w:color="auto"/>
            <w:bottom w:val="none" w:sz="0" w:space="0" w:color="auto"/>
            <w:right w:val="none" w:sz="0" w:space="0" w:color="auto"/>
          </w:divBdr>
        </w:div>
        <w:div w:id="2109426593">
          <w:marLeft w:val="274"/>
          <w:marRight w:val="0"/>
          <w:marTop w:val="0"/>
          <w:marBottom w:val="120"/>
          <w:divBdr>
            <w:top w:val="none" w:sz="0" w:space="0" w:color="auto"/>
            <w:left w:val="none" w:sz="0" w:space="0" w:color="auto"/>
            <w:bottom w:val="none" w:sz="0" w:space="0" w:color="auto"/>
            <w:right w:val="none" w:sz="0" w:space="0" w:color="auto"/>
          </w:divBdr>
        </w:div>
      </w:divsChild>
    </w:div>
    <w:div w:id="1890069381">
      <w:bodyDiv w:val="1"/>
      <w:marLeft w:val="0"/>
      <w:marRight w:val="0"/>
      <w:marTop w:val="0"/>
      <w:marBottom w:val="0"/>
      <w:divBdr>
        <w:top w:val="none" w:sz="0" w:space="0" w:color="auto"/>
        <w:left w:val="none" w:sz="0" w:space="0" w:color="auto"/>
        <w:bottom w:val="none" w:sz="0" w:space="0" w:color="auto"/>
        <w:right w:val="none" w:sz="0" w:space="0" w:color="auto"/>
      </w:divBdr>
    </w:div>
    <w:div w:id="1906334395">
      <w:bodyDiv w:val="1"/>
      <w:marLeft w:val="0"/>
      <w:marRight w:val="0"/>
      <w:marTop w:val="0"/>
      <w:marBottom w:val="0"/>
      <w:divBdr>
        <w:top w:val="none" w:sz="0" w:space="0" w:color="auto"/>
        <w:left w:val="none" w:sz="0" w:space="0" w:color="auto"/>
        <w:bottom w:val="none" w:sz="0" w:space="0" w:color="auto"/>
        <w:right w:val="none" w:sz="0" w:space="0" w:color="auto"/>
      </w:divBdr>
    </w:div>
    <w:div w:id="1921477241">
      <w:bodyDiv w:val="1"/>
      <w:marLeft w:val="0"/>
      <w:marRight w:val="0"/>
      <w:marTop w:val="0"/>
      <w:marBottom w:val="0"/>
      <w:divBdr>
        <w:top w:val="none" w:sz="0" w:space="0" w:color="auto"/>
        <w:left w:val="none" w:sz="0" w:space="0" w:color="auto"/>
        <w:bottom w:val="none" w:sz="0" w:space="0" w:color="auto"/>
        <w:right w:val="none" w:sz="0" w:space="0" w:color="auto"/>
      </w:divBdr>
    </w:div>
    <w:div w:id="1935087281">
      <w:bodyDiv w:val="1"/>
      <w:marLeft w:val="0"/>
      <w:marRight w:val="0"/>
      <w:marTop w:val="0"/>
      <w:marBottom w:val="0"/>
      <w:divBdr>
        <w:top w:val="none" w:sz="0" w:space="0" w:color="auto"/>
        <w:left w:val="none" w:sz="0" w:space="0" w:color="auto"/>
        <w:bottom w:val="none" w:sz="0" w:space="0" w:color="auto"/>
        <w:right w:val="none" w:sz="0" w:space="0" w:color="auto"/>
      </w:divBdr>
    </w:div>
    <w:div w:id="1940718529">
      <w:bodyDiv w:val="1"/>
      <w:marLeft w:val="0"/>
      <w:marRight w:val="0"/>
      <w:marTop w:val="0"/>
      <w:marBottom w:val="0"/>
      <w:divBdr>
        <w:top w:val="none" w:sz="0" w:space="0" w:color="auto"/>
        <w:left w:val="none" w:sz="0" w:space="0" w:color="auto"/>
        <w:bottom w:val="none" w:sz="0" w:space="0" w:color="auto"/>
        <w:right w:val="none" w:sz="0" w:space="0" w:color="auto"/>
      </w:divBdr>
      <w:divsChild>
        <w:div w:id="231162297">
          <w:marLeft w:val="274"/>
          <w:marRight w:val="0"/>
          <w:marTop w:val="0"/>
          <w:marBottom w:val="0"/>
          <w:divBdr>
            <w:top w:val="none" w:sz="0" w:space="0" w:color="auto"/>
            <w:left w:val="none" w:sz="0" w:space="0" w:color="auto"/>
            <w:bottom w:val="none" w:sz="0" w:space="0" w:color="auto"/>
            <w:right w:val="none" w:sz="0" w:space="0" w:color="auto"/>
          </w:divBdr>
        </w:div>
        <w:div w:id="1028488301">
          <w:marLeft w:val="274"/>
          <w:marRight w:val="0"/>
          <w:marTop w:val="0"/>
          <w:marBottom w:val="0"/>
          <w:divBdr>
            <w:top w:val="none" w:sz="0" w:space="0" w:color="auto"/>
            <w:left w:val="none" w:sz="0" w:space="0" w:color="auto"/>
            <w:bottom w:val="none" w:sz="0" w:space="0" w:color="auto"/>
            <w:right w:val="none" w:sz="0" w:space="0" w:color="auto"/>
          </w:divBdr>
        </w:div>
      </w:divsChild>
    </w:div>
    <w:div w:id="1982339907">
      <w:bodyDiv w:val="1"/>
      <w:marLeft w:val="0"/>
      <w:marRight w:val="0"/>
      <w:marTop w:val="0"/>
      <w:marBottom w:val="0"/>
      <w:divBdr>
        <w:top w:val="none" w:sz="0" w:space="0" w:color="auto"/>
        <w:left w:val="none" w:sz="0" w:space="0" w:color="auto"/>
        <w:bottom w:val="none" w:sz="0" w:space="0" w:color="auto"/>
        <w:right w:val="none" w:sz="0" w:space="0" w:color="auto"/>
      </w:divBdr>
    </w:div>
    <w:div w:id="1988589710">
      <w:bodyDiv w:val="1"/>
      <w:marLeft w:val="0"/>
      <w:marRight w:val="0"/>
      <w:marTop w:val="0"/>
      <w:marBottom w:val="0"/>
      <w:divBdr>
        <w:top w:val="none" w:sz="0" w:space="0" w:color="auto"/>
        <w:left w:val="none" w:sz="0" w:space="0" w:color="auto"/>
        <w:bottom w:val="none" w:sz="0" w:space="0" w:color="auto"/>
        <w:right w:val="none" w:sz="0" w:space="0" w:color="auto"/>
      </w:divBdr>
    </w:div>
    <w:div w:id="1990935509">
      <w:bodyDiv w:val="1"/>
      <w:marLeft w:val="0"/>
      <w:marRight w:val="0"/>
      <w:marTop w:val="0"/>
      <w:marBottom w:val="0"/>
      <w:divBdr>
        <w:top w:val="none" w:sz="0" w:space="0" w:color="auto"/>
        <w:left w:val="none" w:sz="0" w:space="0" w:color="auto"/>
        <w:bottom w:val="none" w:sz="0" w:space="0" w:color="auto"/>
        <w:right w:val="none" w:sz="0" w:space="0" w:color="auto"/>
      </w:divBdr>
      <w:divsChild>
        <w:div w:id="2116707902">
          <w:marLeft w:val="274"/>
          <w:marRight w:val="0"/>
          <w:marTop w:val="0"/>
          <w:marBottom w:val="200"/>
          <w:divBdr>
            <w:top w:val="none" w:sz="0" w:space="0" w:color="auto"/>
            <w:left w:val="none" w:sz="0" w:space="0" w:color="auto"/>
            <w:bottom w:val="none" w:sz="0" w:space="0" w:color="auto"/>
            <w:right w:val="none" w:sz="0" w:space="0" w:color="auto"/>
          </w:divBdr>
        </w:div>
      </w:divsChild>
    </w:div>
    <w:div w:id="1993017978">
      <w:bodyDiv w:val="1"/>
      <w:marLeft w:val="0"/>
      <w:marRight w:val="0"/>
      <w:marTop w:val="0"/>
      <w:marBottom w:val="0"/>
      <w:divBdr>
        <w:top w:val="none" w:sz="0" w:space="0" w:color="auto"/>
        <w:left w:val="none" w:sz="0" w:space="0" w:color="auto"/>
        <w:bottom w:val="none" w:sz="0" w:space="0" w:color="auto"/>
        <w:right w:val="none" w:sz="0" w:space="0" w:color="auto"/>
      </w:divBdr>
      <w:divsChild>
        <w:div w:id="142889969">
          <w:marLeft w:val="274"/>
          <w:marRight w:val="0"/>
          <w:marTop w:val="0"/>
          <w:marBottom w:val="0"/>
          <w:divBdr>
            <w:top w:val="none" w:sz="0" w:space="0" w:color="auto"/>
            <w:left w:val="none" w:sz="0" w:space="0" w:color="auto"/>
            <w:bottom w:val="none" w:sz="0" w:space="0" w:color="auto"/>
            <w:right w:val="none" w:sz="0" w:space="0" w:color="auto"/>
          </w:divBdr>
        </w:div>
        <w:div w:id="729304031">
          <w:marLeft w:val="274"/>
          <w:marRight w:val="0"/>
          <w:marTop w:val="0"/>
          <w:marBottom w:val="0"/>
          <w:divBdr>
            <w:top w:val="none" w:sz="0" w:space="0" w:color="auto"/>
            <w:left w:val="none" w:sz="0" w:space="0" w:color="auto"/>
            <w:bottom w:val="none" w:sz="0" w:space="0" w:color="auto"/>
            <w:right w:val="none" w:sz="0" w:space="0" w:color="auto"/>
          </w:divBdr>
        </w:div>
        <w:div w:id="874544470">
          <w:marLeft w:val="274"/>
          <w:marRight w:val="0"/>
          <w:marTop w:val="0"/>
          <w:marBottom w:val="0"/>
          <w:divBdr>
            <w:top w:val="none" w:sz="0" w:space="0" w:color="auto"/>
            <w:left w:val="none" w:sz="0" w:space="0" w:color="auto"/>
            <w:bottom w:val="none" w:sz="0" w:space="0" w:color="auto"/>
            <w:right w:val="none" w:sz="0" w:space="0" w:color="auto"/>
          </w:divBdr>
        </w:div>
        <w:div w:id="1332290222">
          <w:marLeft w:val="274"/>
          <w:marRight w:val="0"/>
          <w:marTop w:val="0"/>
          <w:marBottom w:val="0"/>
          <w:divBdr>
            <w:top w:val="none" w:sz="0" w:space="0" w:color="auto"/>
            <w:left w:val="none" w:sz="0" w:space="0" w:color="auto"/>
            <w:bottom w:val="none" w:sz="0" w:space="0" w:color="auto"/>
            <w:right w:val="none" w:sz="0" w:space="0" w:color="auto"/>
          </w:divBdr>
        </w:div>
        <w:div w:id="1798184125">
          <w:marLeft w:val="274"/>
          <w:marRight w:val="0"/>
          <w:marTop w:val="0"/>
          <w:marBottom w:val="0"/>
          <w:divBdr>
            <w:top w:val="none" w:sz="0" w:space="0" w:color="auto"/>
            <w:left w:val="none" w:sz="0" w:space="0" w:color="auto"/>
            <w:bottom w:val="none" w:sz="0" w:space="0" w:color="auto"/>
            <w:right w:val="none" w:sz="0" w:space="0" w:color="auto"/>
          </w:divBdr>
        </w:div>
        <w:div w:id="2099011920">
          <w:marLeft w:val="274"/>
          <w:marRight w:val="0"/>
          <w:marTop w:val="0"/>
          <w:marBottom w:val="0"/>
          <w:divBdr>
            <w:top w:val="none" w:sz="0" w:space="0" w:color="auto"/>
            <w:left w:val="none" w:sz="0" w:space="0" w:color="auto"/>
            <w:bottom w:val="none" w:sz="0" w:space="0" w:color="auto"/>
            <w:right w:val="none" w:sz="0" w:space="0" w:color="auto"/>
          </w:divBdr>
        </w:div>
      </w:divsChild>
    </w:div>
    <w:div w:id="1993289918">
      <w:bodyDiv w:val="1"/>
      <w:marLeft w:val="0"/>
      <w:marRight w:val="0"/>
      <w:marTop w:val="0"/>
      <w:marBottom w:val="0"/>
      <w:divBdr>
        <w:top w:val="none" w:sz="0" w:space="0" w:color="auto"/>
        <w:left w:val="none" w:sz="0" w:space="0" w:color="auto"/>
        <w:bottom w:val="none" w:sz="0" w:space="0" w:color="auto"/>
        <w:right w:val="none" w:sz="0" w:space="0" w:color="auto"/>
      </w:divBdr>
    </w:div>
    <w:div w:id="2005929793">
      <w:bodyDiv w:val="1"/>
      <w:marLeft w:val="0"/>
      <w:marRight w:val="0"/>
      <w:marTop w:val="0"/>
      <w:marBottom w:val="0"/>
      <w:divBdr>
        <w:top w:val="none" w:sz="0" w:space="0" w:color="auto"/>
        <w:left w:val="none" w:sz="0" w:space="0" w:color="auto"/>
        <w:bottom w:val="none" w:sz="0" w:space="0" w:color="auto"/>
        <w:right w:val="none" w:sz="0" w:space="0" w:color="auto"/>
      </w:divBdr>
    </w:div>
    <w:div w:id="2009625726">
      <w:bodyDiv w:val="1"/>
      <w:marLeft w:val="0"/>
      <w:marRight w:val="0"/>
      <w:marTop w:val="0"/>
      <w:marBottom w:val="0"/>
      <w:divBdr>
        <w:top w:val="none" w:sz="0" w:space="0" w:color="auto"/>
        <w:left w:val="none" w:sz="0" w:space="0" w:color="auto"/>
        <w:bottom w:val="none" w:sz="0" w:space="0" w:color="auto"/>
        <w:right w:val="none" w:sz="0" w:space="0" w:color="auto"/>
      </w:divBdr>
    </w:div>
    <w:div w:id="2016304285">
      <w:bodyDiv w:val="1"/>
      <w:marLeft w:val="0"/>
      <w:marRight w:val="0"/>
      <w:marTop w:val="0"/>
      <w:marBottom w:val="0"/>
      <w:divBdr>
        <w:top w:val="none" w:sz="0" w:space="0" w:color="auto"/>
        <w:left w:val="none" w:sz="0" w:space="0" w:color="auto"/>
        <w:bottom w:val="none" w:sz="0" w:space="0" w:color="auto"/>
        <w:right w:val="none" w:sz="0" w:space="0" w:color="auto"/>
      </w:divBdr>
    </w:div>
    <w:div w:id="2018799343">
      <w:bodyDiv w:val="1"/>
      <w:marLeft w:val="0"/>
      <w:marRight w:val="0"/>
      <w:marTop w:val="0"/>
      <w:marBottom w:val="0"/>
      <w:divBdr>
        <w:top w:val="none" w:sz="0" w:space="0" w:color="auto"/>
        <w:left w:val="none" w:sz="0" w:space="0" w:color="auto"/>
        <w:bottom w:val="none" w:sz="0" w:space="0" w:color="auto"/>
        <w:right w:val="none" w:sz="0" w:space="0" w:color="auto"/>
      </w:divBdr>
    </w:div>
    <w:div w:id="2024283525">
      <w:bodyDiv w:val="1"/>
      <w:marLeft w:val="0"/>
      <w:marRight w:val="0"/>
      <w:marTop w:val="0"/>
      <w:marBottom w:val="0"/>
      <w:divBdr>
        <w:top w:val="none" w:sz="0" w:space="0" w:color="auto"/>
        <w:left w:val="none" w:sz="0" w:space="0" w:color="auto"/>
        <w:bottom w:val="none" w:sz="0" w:space="0" w:color="auto"/>
        <w:right w:val="none" w:sz="0" w:space="0" w:color="auto"/>
      </w:divBdr>
      <w:divsChild>
        <w:div w:id="103690996">
          <w:marLeft w:val="360"/>
          <w:marRight w:val="0"/>
          <w:marTop w:val="0"/>
          <w:marBottom w:val="0"/>
          <w:divBdr>
            <w:top w:val="none" w:sz="0" w:space="0" w:color="auto"/>
            <w:left w:val="none" w:sz="0" w:space="0" w:color="auto"/>
            <w:bottom w:val="none" w:sz="0" w:space="0" w:color="auto"/>
            <w:right w:val="none" w:sz="0" w:space="0" w:color="auto"/>
          </w:divBdr>
        </w:div>
        <w:div w:id="281500561">
          <w:marLeft w:val="360"/>
          <w:marRight w:val="0"/>
          <w:marTop w:val="0"/>
          <w:marBottom w:val="0"/>
          <w:divBdr>
            <w:top w:val="none" w:sz="0" w:space="0" w:color="auto"/>
            <w:left w:val="none" w:sz="0" w:space="0" w:color="auto"/>
            <w:bottom w:val="none" w:sz="0" w:space="0" w:color="auto"/>
            <w:right w:val="none" w:sz="0" w:space="0" w:color="auto"/>
          </w:divBdr>
        </w:div>
        <w:div w:id="620764780">
          <w:marLeft w:val="360"/>
          <w:marRight w:val="0"/>
          <w:marTop w:val="0"/>
          <w:marBottom w:val="0"/>
          <w:divBdr>
            <w:top w:val="none" w:sz="0" w:space="0" w:color="auto"/>
            <w:left w:val="none" w:sz="0" w:space="0" w:color="auto"/>
            <w:bottom w:val="none" w:sz="0" w:space="0" w:color="auto"/>
            <w:right w:val="none" w:sz="0" w:space="0" w:color="auto"/>
          </w:divBdr>
        </w:div>
        <w:div w:id="669717836">
          <w:marLeft w:val="1080"/>
          <w:marRight w:val="0"/>
          <w:marTop w:val="0"/>
          <w:marBottom w:val="0"/>
          <w:divBdr>
            <w:top w:val="none" w:sz="0" w:space="0" w:color="auto"/>
            <w:left w:val="none" w:sz="0" w:space="0" w:color="auto"/>
            <w:bottom w:val="none" w:sz="0" w:space="0" w:color="auto"/>
            <w:right w:val="none" w:sz="0" w:space="0" w:color="auto"/>
          </w:divBdr>
        </w:div>
        <w:div w:id="745953393">
          <w:marLeft w:val="360"/>
          <w:marRight w:val="0"/>
          <w:marTop w:val="0"/>
          <w:marBottom w:val="0"/>
          <w:divBdr>
            <w:top w:val="none" w:sz="0" w:space="0" w:color="auto"/>
            <w:left w:val="none" w:sz="0" w:space="0" w:color="auto"/>
            <w:bottom w:val="none" w:sz="0" w:space="0" w:color="auto"/>
            <w:right w:val="none" w:sz="0" w:space="0" w:color="auto"/>
          </w:divBdr>
        </w:div>
        <w:div w:id="911155388">
          <w:marLeft w:val="1080"/>
          <w:marRight w:val="0"/>
          <w:marTop w:val="0"/>
          <w:marBottom w:val="0"/>
          <w:divBdr>
            <w:top w:val="none" w:sz="0" w:space="0" w:color="auto"/>
            <w:left w:val="none" w:sz="0" w:space="0" w:color="auto"/>
            <w:bottom w:val="none" w:sz="0" w:space="0" w:color="auto"/>
            <w:right w:val="none" w:sz="0" w:space="0" w:color="auto"/>
          </w:divBdr>
        </w:div>
        <w:div w:id="1164007497">
          <w:marLeft w:val="1080"/>
          <w:marRight w:val="0"/>
          <w:marTop w:val="0"/>
          <w:marBottom w:val="0"/>
          <w:divBdr>
            <w:top w:val="none" w:sz="0" w:space="0" w:color="auto"/>
            <w:left w:val="none" w:sz="0" w:space="0" w:color="auto"/>
            <w:bottom w:val="none" w:sz="0" w:space="0" w:color="auto"/>
            <w:right w:val="none" w:sz="0" w:space="0" w:color="auto"/>
          </w:divBdr>
        </w:div>
        <w:div w:id="1225796513">
          <w:marLeft w:val="1080"/>
          <w:marRight w:val="0"/>
          <w:marTop w:val="0"/>
          <w:marBottom w:val="0"/>
          <w:divBdr>
            <w:top w:val="none" w:sz="0" w:space="0" w:color="auto"/>
            <w:left w:val="none" w:sz="0" w:space="0" w:color="auto"/>
            <w:bottom w:val="none" w:sz="0" w:space="0" w:color="auto"/>
            <w:right w:val="none" w:sz="0" w:space="0" w:color="auto"/>
          </w:divBdr>
        </w:div>
        <w:div w:id="1326131152">
          <w:marLeft w:val="1080"/>
          <w:marRight w:val="0"/>
          <w:marTop w:val="0"/>
          <w:marBottom w:val="0"/>
          <w:divBdr>
            <w:top w:val="none" w:sz="0" w:space="0" w:color="auto"/>
            <w:left w:val="none" w:sz="0" w:space="0" w:color="auto"/>
            <w:bottom w:val="none" w:sz="0" w:space="0" w:color="auto"/>
            <w:right w:val="none" w:sz="0" w:space="0" w:color="auto"/>
          </w:divBdr>
        </w:div>
        <w:div w:id="1707026584">
          <w:marLeft w:val="360"/>
          <w:marRight w:val="0"/>
          <w:marTop w:val="0"/>
          <w:marBottom w:val="0"/>
          <w:divBdr>
            <w:top w:val="none" w:sz="0" w:space="0" w:color="auto"/>
            <w:left w:val="none" w:sz="0" w:space="0" w:color="auto"/>
            <w:bottom w:val="none" w:sz="0" w:space="0" w:color="auto"/>
            <w:right w:val="none" w:sz="0" w:space="0" w:color="auto"/>
          </w:divBdr>
        </w:div>
        <w:div w:id="1927768631">
          <w:marLeft w:val="360"/>
          <w:marRight w:val="0"/>
          <w:marTop w:val="0"/>
          <w:marBottom w:val="0"/>
          <w:divBdr>
            <w:top w:val="none" w:sz="0" w:space="0" w:color="auto"/>
            <w:left w:val="none" w:sz="0" w:space="0" w:color="auto"/>
            <w:bottom w:val="none" w:sz="0" w:space="0" w:color="auto"/>
            <w:right w:val="none" w:sz="0" w:space="0" w:color="auto"/>
          </w:divBdr>
        </w:div>
        <w:div w:id="1976107201">
          <w:marLeft w:val="1080"/>
          <w:marRight w:val="0"/>
          <w:marTop w:val="0"/>
          <w:marBottom w:val="0"/>
          <w:divBdr>
            <w:top w:val="none" w:sz="0" w:space="0" w:color="auto"/>
            <w:left w:val="none" w:sz="0" w:space="0" w:color="auto"/>
            <w:bottom w:val="none" w:sz="0" w:space="0" w:color="auto"/>
            <w:right w:val="none" w:sz="0" w:space="0" w:color="auto"/>
          </w:divBdr>
        </w:div>
        <w:div w:id="2024744196">
          <w:marLeft w:val="360"/>
          <w:marRight w:val="0"/>
          <w:marTop w:val="0"/>
          <w:marBottom w:val="0"/>
          <w:divBdr>
            <w:top w:val="none" w:sz="0" w:space="0" w:color="auto"/>
            <w:left w:val="none" w:sz="0" w:space="0" w:color="auto"/>
            <w:bottom w:val="none" w:sz="0" w:space="0" w:color="auto"/>
            <w:right w:val="none" w:sz="0" w:space="0" w:color="auto"/>
          </w:divBdr>
        </w:div>
      </w:divsChild>
    </w:div>
    <w:div w:id="2028478070">
      <w:bodyDiv w:val="1"/>
      <w:marLeft w:val="0"/>
      <w:marRight w:val="0"/>
      <w:marTop w:val="0"/>
      <w:marBottom w:val="0"/>
      <w:divBdr>
        <w:top w:val="none" w:sz="0" w:space="0" w:color="auto"/>
        <w:left w:val="none" w:sz="0" w:space="0" w:color="auto"/>
        <w:bottom w:val="none" w:sz="0" w:space="0" w:color="auto"/>
        <w:right w:val="none" w:sz="0" w:space="0" w:color="auto"/>
      </w:divBdr>
    </w:div>
    <w:div w:id="2038575403">
      <w:bodyDiv w:val="1"/>
      <w:marLeft w:val="0"/>
      <w:marRight w:val="0"/>
      <w:marTop w:val="0"/>
      <w:marBottom w:val="0"/>
      <w:divBdr>
        <w:top w:val="none" w:sz="0" w:space="0" w:color="auto"/>
        <w:left w:val="none" w:sz="0" w:space="0" w:color="auto"/>
        <w:bottom w:val="none" w:sz="0" w:space="0" w:color="auto"/>
        <w:right w:val="none" w:sz="0" w:space="0" w:color="auto"/>
      </w:divBdr>
    </w:div>
    <w:div w:id="2038768807">
      <w:bodyDiv w:val="1"/>
      <w:marLeft w:val="0"/>
      <w:marRight w:val="0"/>
      <w:marTop w:val="0"/>
      <w:marBottom w:val="0"/>
      <w:divBdr>
        <w:top w:val="none" w:sz="0" w:space="0" w:color="auto"/>
        <w:left w:val="none" w:sz="0" w:space="0" w:color="auto"/>
        <w:bottom w:val="none" w:sz="0" w:space="0" w:color="auto"/>
        <w:right w:val="none" w:sz="0" w:space="0" w:color="auto"/>
      </w:divBdr>
    </w:div>
    <w:div w:id="2045128744">
      <w:bodyDiv w:val="1"/>
      <w:marLeft w:val="0"/>
      <w:marRight w:val="0"/>
      <w:marTop w:val="0"/>
      <w:marBottom w:val="0"/>
      <w:divBdr>
        <w:top w:val="none" w:sz="0" w:space="0" w:color="auto"/>
        <w:left w:val="none" w:sz="0" w:space="0" w:color="auto"/>
        <w:bottom w:val="none" w:sz="0" w:space="0" w:color="auto"/>
        <w:right w:val="none" w:sz="0" w:space="0" w:color="auto"/>
      </w:divBdr>
    </w:div>
    <w:div w:id="2056656612">
      <w:bodyDiv w:val="1"/>
      <w:marLeft w:val="0"/>
      <w:marRight w:val="0"/>
      <w:marTop w:val="0"/>
      <w:marBottom w:val="0"/>
      <w:divBdr>
        <w:top w:val="none" w:sz="0" w:space="0" w:color="auto"/>
        <w:left w:val="none" w:sz="0" w:space="0" w:color="auto"/>
        <w:bottom w:val="none" w:sz="0" w:space="0" w:color="auto"/>
        <w:right w:val="none" w:sz="0" w:space="0" w:color="auto"/>
      </w:divBdr>
    </w:div>
    <w:div w:id="2057272931">
      <w:bodyDiv w:val="1"/>
      <w:marLeft w:val="0"/>
      <w:marRight w:val="0"/>
      <w:marTop w:val="0"/>
      <w:marBottom w:val="0"/>
      <w:divBdr>
        <w:top w:val="none" w:sz="0" w:space="0" w:color="auto"/>
        <w:left w:val="none" w:sz="0" w:space="0" w:color="auto"/>
        <w:bottom w:val="none" w:sz="0" w:space="0" w:color="auto"/>
        <w:right w:val="none" w:sz="0" w:space="0" w:color="auto"/>
      </w:divBdr>
    </w:div>
    <w:div w:id="2063096176">
      <w:bodyDiv w:val="1"/>
      <w:marLeft w:val="0"/>
      <w:marRight w:val="0"/>
      <w:marTop w:val="0"/>
      <w:marBottom w:val="0"/>
      <w:divBdr>
        <w:top w:val="none" w:sz="0" w:space="0" w:color="auto"/>
        <w:left w:val="none" w:sz="0" w:space="0" w:color="auto"/>
        <w:bottom w:val="none" w:sz="0" w:space="0" w:color="auto"/>
        <w:right w:val="none" w:sz="0" w:space="0" w:color="auto"/>
      </w:divBdr>
      <w:divsChild>
        <w:div w:id="569383691">
          <w:marLeft w:val="274"/>
          <w:marRight w:val="0"/>
          <w:marTop w:val="0"/>
          <w:marBottom w:val="120"/>
          <w:divBdr>
            <w:top w:val="none" w:sz="0" w:space="0" w:color="auto"/>
            <w:left w:val="none" w:sz="0" w:space="0" w:color="auto"/>
            <w:bottom w:val="none" w:sz="0" w:space="0" w:color="auto"/>
            <w:right w:val="none" w:sz="0" w:space="0" w:color="auto"/>
          </w:divBdr>
        </w:div>
      </w:divsChild>
    </w:div>
    <w:div w:id="2067797455">
      <w:bodyDiv w:val="1"/>
      <w:marLeft w:val="0"/>
      <w:marRight w:val="0"/>
      <w:marTop w:val="0"/>
      <w:marBottom w:val="0"/>
      <w:divBdr>
        <w:top w:val="none" w:sz="0" w:space="0" w:color="auto"/>
        <w:left w:val="none" w:sz="0" w:space="0" w:color="auto"/>
        <w:bottom w:val="none" w:sz="0" w:space="0" w:color="auto"/>
        <w:right w:val="none" w:sz="0" w:space="0" w:color="auto"/>
      </w:divBdr>
    </w:div>
    <w:div w:id="2120173806">
      <w:bodyDiv w:val="1"/>
      <w:marLeft w:val="0"/>
      <w:marRight w:val="0"/>
      <w:marTop w:val="0"/>
      <w:marBottom w:val="0"/>
      <w:divBdr>
        <w:top w:val="none" w:sz="0" w:space="0" w:color="auto"/>
        <w:left w:val="none" w:sz="0" w:space="0" w:color="auto"/>
        <w:bottom w:val="none" w:sz="0" w:space="0" w:color="auto"/>
        <w:right w:val="none" w:sz="0" w:space="0" w:color="auto"/>
      </w:divBdr>
    </w:div>
    <w:div w:id="2125807631">
      <w:bodyDiv w:val="1"/>
      <w:marLeft w:val="0"/>
      <w:marRight w:val="0"/>
      <w:marTop w:val="0"/>
      <w:marBottom w:val="0"/>
      <w:divBdr>
        <w:top w:val="none" w:sz="0" w:space="0" w:color="auto"/>
        <w:left w:val="none" w:sz="0" w:space="0" w:color="auto"/>
        <w:bottom w:val="none" w:sz="0" w:space="0" w:color="auto"/>
        <w:right w:val="none" w:sz="0" w:space="0" w:color="auto"/>
      </w:divBdr>
    </w:div>
    <w:div w:id="2134442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ss.gov/lists/hivaids-epidemiologic-profiles" TargetMode="External"/><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hyperlink" Target="https://www.hrsa.gov/ending-hiv-epidemic" TargetMode="Externa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ass.gov/lists/hivaids-epidemiologic-profiles" TargetMode="External"/><Relationship Id="rId24" Type="http://schemas.openxmlformats.org/officeDocument/2006/relationships/image" Target="media/image6.png"/><Relationship Id="rId32" Type="http://schemas.openxmlformats.org/officeDocument/2006/relationships/hyperlink" Target="https://www.cdc.gov/mmwr/preview/mmwrhtml/rr6303a1.htm"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5.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4.png"/><Relationship Id="rId61"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hyperlink" Target="https://www.cdc.gov/mmwr/preview/mmwrhtml/rr6303a1.htm" TargetMode="Externa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hyperlink" Target="http://www.donahue.umassp.edu/business-groups/economic-public-policy-research/massachusetts-population-estimates-progr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hyperlink" Target="https://jri.org/sites/default/files/2021-01/EHE%20Plan%20for%20SC%202020.pdf" TargetMode="External"/><Relationship Id="rId48" Type="http://schemas.openxmlformats.org/officeDocument/2006/relationships/image" Target="media/image26.png"/><Relationship Id="rId56" Type="http://schemas.openxmlformats.org/officeDocument/2006/relationships/hyperlink" Target="https://www.mass.gov/info-details/massgis-data-ma-executive-office-of-health-human-services-regions"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hyperlink" Target="https://www.mass.gov/lists/infectious-disease-data-reports-and-requests" TargetMode="Externa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hyperlink" Target="https://www.mass.gov/lists/death-data"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doi.org/10.1007/s40615-022-01456-7" TargetMode="External"/><Relationship Id="rId3" Type="http://schemas.openxmlformats.org/officeDocument/2006/relationships/hyperlink" Target="https://www.mass.gov/doc/joint-mdph-and-bphc-clinical-advisory-hiv-transmission-through-injection-drug-use-in-boston-march-15-2021/download" TargetMode="External"/><Relationship Id="rId7" Type="http://schemas.openxmlformats.org/officeDocument/2006/relationships/hyperlink" Target="https://www.atsdr.cdc.gov/placeandhealth/svi/index.html" TargetMode="External"/><Relationship Id="rId2" Type="http://schemas.openxmlformats.org/officeDocument/2006/relationships/hyperlink" Target="https://doi.org/10.2105/AJPH.2019.305366" TargetMode="External"/><Relationship Id="rId1" Type="http://schemas.openxmlformats.org/officeDocument/2006/relationships/hyperlink" Target="https://www.mass.gov/service-details/partner-services-program-information-for-healthcare-providers" TargetMode="External"/><Relationship Id="rId6" Type="http://schemas.openxmlformats.org/officeDocument/2006/relationships/hyperlink" Target="https://www.mass.gov/doc/joint-mdph-and-bphc-clinical-advisory-hiv-transmission-through-injection-drug-use-in-boston-march-15-2021/download" TargetMode="External"/><Relationship Id="rId5" Type="http://schemas.openxmlformats.org/officeDocument/2006/relationships/hyperlink" Target="https://www.mass.gov/doc/joint-mdph-and-bphc-clinical-advisory-hiv-transmission-through-injection-drug-use-in-boston-march-15-2021/download" TargetMode="External"/><Relationship Id="rId4" Type="http://schemas.openxmlformats.org/officeDocument/2006/relationships/hyperlink" Target="https://doi.org/10.2105/AJPH.2019.305366" TargetMode="External"/><Relationship Id="rId9" Type="http://schemas.openxmlformats.org/officeDocument/2006/relationships/hyperlink" Target="http://dx.doi.org/10.15585/mmwr.mm6942a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2D6AEBBE588B4F96BBE633A213897E" ma:contentTypeVersion="6" ma:contentTypeDescription="Create a new document." ma:contentTypeScope="" ma:versionID="2009cbe72b7cc97898d57948296e2ae7">
  <xsd:schema xmlns:xsd="http://www.w3.org/2001/XMLSchema" xmlns:xs="http://www.w3.org/2001/XMLSchema" xmlns:p="http://schemas.microsoft.com/office/2006/metadata/properties" xmlns:ns2="ead5da63-f61f-4570-9ce5-a2087f67ed9b" xmlns:ns3="552627a8-063d-4494-81f4-0c168e69223f" targetNamespace="http://schemas.microsoft.com/office/2006/metadata/properties" ma:root="true" ma:fieldsID="34d7f6d90c5043edd9789e6efc1b0db1" ns2:_="" ns3:_="">
    <xsd:import namespace="ead5da63-f61f-4570-9ce5-a2087f67ed9b"/>
    <xsd:import namespace="552627a8-063d-4494-81f4-0c168e6922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5da63-f61f-4570-9ce5-a2087f67ed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2627a8-063d-4494-81f4-0c168e69223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FC119-BDE2-48BA-981A-BCCDA456D3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5da63-f61f-4570-9ce5-a2087f67ed9b"/>
    <ds:schemaRef ds:uri="552627a8-063d-4494-81f4-0c168e6922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5E1BF7-87F8-4EC5-B598-0D19C2A63F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6F02B51-EECA-4431-9885-C3DC1BF13752}">
  <ds:schemaRefs>
    <ds:schemaRef ds:uri="http://schemas.microsoft.com/sharepoint/v3/contenttype/forms"/>
  </ds:schemaRefs>
</ds:datastoreItem>
</file>

<file path=customXml/itemProps4.xml><?xml version="1.0" encoding="utf-8"?>
<ds:datastoreItem xmlns:ds="http://schemas.openxmlformats.org/officeDocument/2006/customXml" ds:itemID="{FD8B3C36-6B47-4DAC-9033-AFE8D883C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10414</Words>
  <Characters>59361</Characters>
  <Application>Microsoft Office Word</Application>
  <DocSecurity>4</DocSecurity>
  <Lines>494</Lines>
  <Paragraphs>139</Paragraphs>
  <ScaleCrop>false</ScaleCrop>
  <HeadingPairs>
    <vt:vector size="2" baseType="variant">
      <vt:variant>
        <vt:lpstr>Title</vt:lpstr>
      </vt:variant>
      <vt:variant>
        <vt:i4>1</vt:i4>
      </vt:variant>
    </vt:vector>
  </HeadingPairs>
  <TitlesOfParts>
    <vt:vector size="1" baseType="lpstr">
      <vt:lpstr>Massachusetts HIV Epidemiologic Profile, Statewide Report – Data as of 7/1/2024, Accessible Version</vt:lpstr>
    </vt:vector>
  </TitlesOfParts>
  <Company/>
  <LinksUpToDate>false</LinksUpToDate>
  <CharactersWithSpaces>69636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HIV Epidemiologic Profile, Statewide Report – Data as of 7/1/2025, Accessible Version</dc:title>
  <dc:subject/>
  <dc:creator>Bureau of Infectious Disease and Laboratory Sciences;Massachusetts Department of Public Health</dc:creator>
  <cp:keywords>HIV, AIDS, HIV Surveillance Report, Massachusetts, Epidemiologic Profile</cp:keywords>
  <dc:description/>
  <cp:lastModifiedBy>Yeaple, Jennifer (DPH)</cp:lastModifiedBy>
  <cp:revision>2</cp:revision>
  <dcterms:created xsi:type="dcterms:W3CDTF">2026-02-24T17:52:00Z</dcterms:created>
  <dcterms:modified xsi:type="dcterms:W3CDTF">2026-02-24T17:52:00Z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0x0101002A2D6AEBBE588B4F96BBE633A213897E</vt:lpwstr>
  </property>
</Properties>
</file>