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620"/>
        <w:gridCol w:w="9200"/>
      </w:tblGrid>
      <w:tr w:rsidR="002B0F00" w14:paraId="16319A94" w14:textId="77777777" w:rsidTr="00A67C3F">
        <w:trPr>
          <w:trHeight w:hRule="exact" w:val="1395"/>
          <w:jc w:val="center"/>
        </w:trPr>
        <w:tc>
          <w:tcPr>
            <w:tcW w:w="1620" w:type="dxa"/>
            <w:vMerge w:val="restart"/>
            <w:tcBorders>
              <w:top w:val="nil"/>
              <w:left w:val="nil"/>
              <w:right w:val="nil"/>
            </w:tcBorders>
          </w:tcPr>
          <w:p w14:paraId="362F961D" w14:textId="77777777" w:rsidR="002B0F00" w:rsidRDefault="002B0F00" w:rsidP="00A67C3F">
            <w:pPr>
              <w:pStyle w:val="Header"/>
              <w:jc w:val="both"/>
            </w:pPr>
            <w:r>
              <w:rPr>
                <w:noProof/>
              </w:rPr>
              <w:drawing>
                <wp:inline distT="0" distB="0" distL="0" distR="0" wp14:anchorId="2529752E" wp14:editId="4281251A">
                  <wp:extent cx="862965" cy="1111885"/>
                  <wp:effectExtent l="19050" t="0" r="0" b="0"/>
                  <wp:docPr id="3" name="Picture 3"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ssDEP logo"/>
                          <pic:cNvPicPr>
                            <a:picLocks noChangeAspect="1" noChangeArrowheads="1"/>
                          </pic:cNvPicPr>
                        </pic:nvPicPr>
                        <pic:blipFill>
                          <a:blip r:embed="rId11"/>
                          <a:srcRect/>
                          <a:stretch>
                            <a:fillRect/>
                          </a:stretch>
                        </pic:blipFill>
                        <pic:spPr bwMode="auto">
                          <a:xfrm>
                            <a:off x="0" y="0"/>
                            <a:ext cx="862965" cy="1111885"/>
                          </a:xfrm>
                          <a:prstGeom prst="rect">
                            <a:avLst/>
                          </a:prstGeom>
                          <a:noFill/>
                          <a:ln w="9525">
                            <a:noFill/>
                            <a:miter lim="800000"/>
                            <a:headEnd/>
                            <a:tailEnd/>
                          </a:ln>
                        </pic:spPr>
                      </pic:pic>
                    </a:graphicData>
                  </a:graphic>
                </wp:inline>
              </w:drawing>
            </w:r>
          </w:p>
        </w:tc>
        <w:tc>
          <w:tcPr>
            <w:tcW w:w="9200" w:type="dxa"/>
            <w:tcBorders>
              <w:top w:val="nil"/>
              <w:left w:val="nil"/>
              <w:bottom w:val="nil"/>
              <w:right w:val="nil"/>
            </w:tcBorders>
            <w:tcMar>
              <w:left w:w="0" w:type="dxa"/>
            </w:tcMar>
          </w:tcPr>
          <w:p w14:paraId="5A9E98EC" w14:textId="77777777" w:rsidR="002B0F00" w:rsidRDefault="002B0F00" w:rsidP="00A67C3F">
            <w:pPr>
              <w:pStyle w:val="Header"/>
            </w:pPr>
            <w:r>
              <w:rPr>
                <w:noProof/>
              </w:rPr>
              <w:drawing>
                <wp:inline distT="0" distB="0" distL="0" distR="0" wp14:anchorId="6F79238B" wp14:editId="1555882E">
                  <wp:extent cx="5837555" cy="855980"/>
                  <wp:effectExtent l="0" t="0" r="0" b="1270"/>
                  <wp:docPr id="8" name="Picture 8" descr="Commonwealth of Massachusetts Executive Office of Energy and Environmental Affairs Department of Environment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mmonwealth of Massachusetts Executive Office of Energy and Environmental Affairs Department of Environmental Protection"/>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66000"/>
                                    </a14:imgEffect>
                                  </a14:imgLayer>
                                </a14:imgProps>
                              </a:ext>
                            </a:extLst>
                          </a:blip>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14:paraId="115D6D07" w14:textId="77777777" w:rsidR="002B0F00" w:rsidRDefault="002B0F00" w:rsidP="00A67C3F">
            <w:pPr>
              <w:pStyle w:val="Header"/>
            </w:pPr>
          </w:p>
          <w:p w14:paraId="482C7079" w14:textId="77777777" w:rsidR="002B0F00" w:rsidRDefault="002B0F00" w:rsidP="00A67C3F"/>
          <w:p w14:paraId="6BE39E02" w14:textId="77777777" w:rsidR="002B0F00" w:rsidRPr="001A50BD" w:rsidRDefault="002B0F00" w:rsidP="00A67C3F">
            <w:pPr>
              <w:tabs>
                <w:tab w:val="left" w:pos="1868"/>
              </w:tabs>
            </w:pPr>
          </w:p>
        </w:tc>
      </w:tr>
      <w:tr w:rsidR="002B0F00" w14:paraId="67C4AC21" w14:textId="77777777" w:rsidTr="00A67C3F">
        <w:trPr>
          <w:trHeight w:hRule="exact" w:val="600"/>
          <w:jc w:val="center"/>
        </w:trPr>
        <w:tc>
          <w:tcPr>
            <w:tcW w:w="1620" w:type="dxa"/>
            <w:vMerge/>
            <w:tcBorders>
              <w:left w:val="nil"/>
              <w:bottom w:val="nil"/>
              <w:right w:val="nil"/>
            </w:tcBorders>
          </w:tcPr>
          <w:p w14:paraId="0803F051" w14:textId="77777777" w:rsidR="002B0F00" w:rsidRDefault="002B0F00" w:rsidP="00A67C3F">
            <w:pPr>
              <w:pStyle w:val="Header"/>
              <w:jc w:val="both"/>
            </w:pPr>
          </w:p>
        </w:tc>
        <w:tc>
          <w:tcPr>
            <w:tcW w:w="9200" w:type="dxa"/>
            <w:tcBorders>
              <w:top w:val="nil"/>
              <w:left w:val="nil"/>
              <w:bottom w:val="nil"/>
              <w:right w:val="nil"/>
            </w:tcBorders>
            <w:tcMar>
              <w:left w:w="140" w:type="dxa"/>
            </w:tcMar>
          </w:tcPr>
          <w:p w14:paraId="1A271105" w14:textId="77777777" w:rsidR="002B0F00" w:rsidRDefault="002B0F00" w:rsidP="00A67C3F">
            <w:pPr>
              <w:pStyle w:val="Header"/>
              <w:ind w:left="-120"/>
            </w:pPr>
            <w:bookmarkStart w:id="0" w:name="Office"/>
            <w:bookmarkEnd w:id="0"/>
            <w:r>
              <w:rPr>
                <w:noProof/>
              </w:rPr>
              <w:drawing>
                <wp:inline distT="0" distB="0" distL="0" distR="0" wp14:anchorId="0D5609C8" wp14:editId="209AA17F">
                  <wp:extent cx="4584700" cy="165100"/>
                  <wp:effectExtent l="0" t="0" r="6350" b="6350"/>
                  <wp:docPr id="2" name="Picture 2" descr="100 Cambridge Street Suite 900, Boston, ma 02114, or call 617-292-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00 Cambridge Street Suite 900, Boston, ma 02114, or call 617-292-5000"/>
                          <pic:cNvPicPr/>
                        </pic:nvPicPr>
                        <pic:blipFill>
                          <a:blip r:embed="rId14" cstate="print">
                            <a:extLst>
                              <a:ext uri="{BEBA8EAE-BF5A-486C-A8C5-ECC9F3942E4B}">
                                <a14:imgProps xmlns:a14="http://schemas.microsoft.com/office/drawing/2010/main">
                                  <a14:imgLayer r:embed="rId15">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4584700" cy="165100"/>
                          </a:xfrm>
                          <a:prstGeom prst="rect">
                            <a:avLst/>
                          </a:prstGeom>
                        </pic:spPr>
                      </pic:pic>
                    </a:graphicData>
                  </a:graphic>
                </wp:inline>
              </w:drawing>
            </w:r>
          </w:p>
        </w:tc>
      </w:tr>
    </w:tbl>
    <w:p w14:paraId="7F0C5A7B" w14:textId="77777777" w:rsidR="002B0F00" w:rsidRPr="0075515B" w:rsidRDefault="002B0F00" w:rsidP="002B0F00">
      <w:pPr>
        <w:spacing w:after="0" w:line="240" w:lineRule="auto"/>
        <w:rPr>
          <w:b/>
          <w:bCs/>
          <w:color w:val="006229"/>
          <w:szCs w:val="24"/>
        </w:rPr>
      </w:pPr>
      <w:r w:rsidRPr="0075515B">
        <w:rPr>
          <w:b/>
          <w:bCs/>
          <w:color w:val="006229"/>
          <w:szCs w:val="24"/>
        </w:rPr>
        <w:t>Maura T. Healey, Governor</w:t>
      </w:r>
      <w:r w:rsidRPr="0075515B">
        <w:rPr>
          <w:b/>
          <w:bCs/>
          <w:color w:val="006229"/>
          <w:szCs w:val="24"/>
        </w:rPr>
        <w:tab/>
      </w:r>
      <w:r w:rsidRPr="0075515B">
        <w:rPr>
          <w:b/>
          <w:bCs/>
          <w:color w:val="006229"/>
          <w:szCs w:val="24"/>
        </w:rPr>
        <w:tab/>
      </w:r>
      <w:r w:rsidRPr="0075515B">
        <w:rPr>
          <w:b/>
          <w:bCs/>
          <w:color w:val="006229"/>
          <w:szCs w:val="24"/>
        </w:rPr>
        <w:tab/>
      </w:r>
      <w:r w:rsidRPr="0075515B">
        <w:rPr>
          <w:b/>
          <w:bCs/>
          <w:color w:val="006229"/>
          <w:szCs w:val="24"/>
        </w:rPr>
        <w:tab/>
      </w:r>
      <w:r w:rsidRPr="0075515B">
        <w:rPr>
          <w:b/>
          <w:bCs/>
          <w:color w:val="006229"/>
          <w:szCs w:val="24"/>
        </w:rPr>
        <w:tab/>
      </w:r>
      <w:r w:rsidRPr="0075515B">
        <w:rPr>
          <w:b/>
          <w:bCs/>
          <w:color w:val="006229"/>
          <w:szCs w:val="24"/>
        </w:rPr>
        <w:tab/>
        <w:t>Rebecca L. Tepper, Secretary</w:t>
      </w:r>
    </w:p>
    <w:p w14:paraId="17F8217D" w14:textId="77777777" w:rsidR="002B0F00" w:rsidRPr="0075515B" w:rsidRDefault="002B0F00" w:rsidP="002B0F00">
      <w:pPr>
        <w:spacing w:after="0" w:line="240" w:lineRule="auto"/>
        <w:rPr>
          <w:b/>
          <w:bCs/>
          <w:color w:val="006229"/>
          <w:szCs w:val="24"/>
        </w:rPr>
      </w:pPr>
      <w:r w:rsidRPr="0075515B">
        <w:rPr>
          <w:b/>
          <w:bCs/>
          <w:color w:val="006229"/>
          <w:szCs w:val="24"/>
        </w:rPr>
        <w:t>Kimberley Driscoll, Lieutenant Governor</w:t>
      </w:r>
      <w:r w:rsidRPr="0075515B">
        <w:rPr>
          <w:b/>
          <w:bCs/>
          <w:color w:val="006229"/>
          <w:szCs w:val="24"/>
        </w:rPr>
        <w:tab/>
      </w:r>
      <w:r w:rsidRPr="0075515B">
        <w:rPr>
          <w:b/>
          <w:bCs/>
          <w:color w:val="006229"/>
          <w:szCs w:val="24"/>
        </w:rPr>
        <w:tab/>
      </w:r>
      <w:r w:rsidRPr="0075515B">
        <w:rPr>
          <w:b/>
          <w:bCs/>
          <w:color w:val="006229"/>
          <w:szCs w:val="24"/>
        </w:rPr>
        <w:tab/>
      </w:r>
      <w:r w:rsidRPr="0075515B">
        <w:rPr>
          <w:b/>
          <w:bCs/>
          <w:color w:val="006229"/>
          <w:szCs w:val="24"/>
        </w:rPr>
        <w:tab/>
        <w:t>Bonnie Heiple, Commissioner</w:t>
      </w:r>
    </w:p>
    <w:p w14:paraId="1AE09E8F" w14:textId="77777777" w:rsidR="002B0F00" w:rsidRDefault="002B0F00" w:rsidP="006C24E4">
      <w:pPr>
        <w:pStyle w:val="Heading1"/>
        <w:contextualSpacing/>
        <w:rPr>
          <w:rFonts w:ascii="Calibri" w:hAnsi="Calibri"/>
          <w:sz w:val="22"/>
          <w:szCs w:val="22"/>
        </w:rPr>
      </w:pPr>
    </w:p>
    <w:p w14:paraId="5186B91C" w14:textId="454C4ADB" w:rsidR="00647055" w:rsidRPr="00656257" w:rsidRDefault="00647055" w:rsidP="006C24E4">
      <w:pPr>
        <w:pStyle w:val="Heading1"/>
        <w:contextualSpacing/>
        <w:rPr>
          <w:rFonts w:ascii="Calibri" w:hAnsi="Calibri"/>
          <w:sz w:val="24"/>
          <w:szCs w:val="24"/>
        </w:rPr>
      </w:pPr>
      <w:r w:rsidRPr="00656257">
        <w:rPr>
          <w:rFonts w:ascii="Calibri" w:hAnsi="Calibri"/>
          <w:sz w:val="24"/>
          <w:szCs w:val="24"/>
        </w:rPr>
        <w:t>NOTICE OF GRANT OPPORTUNITY</w:t>
      </w:r>
    </w:p>
    <w:p w14:paraId="38784043" w14:textId="77777777" w:rsidR="00647055" w:rsidRPr="00656257" w:rsidRDefault="00647055" w:rsidP="006C24E4">
      <w:pPr>
        <w:suppressAutoHyphens/>
        <w:spacing w:line="240" w:lineRule="auto"/>
        <w:contextualSpacing/>
        <w:jc w:val="center"/>
        <w:rPr>
          <w:rFonts w:ascii="Calibri" w:hAnsi="Calibri" w:cs="Arial"/>
          <w:b/>
          <w:bCs/>
          <w:spacing w:val="-3"/>
          <w:sz w:val="24"/>
          <w:szCs w:val="24"/>
        </w:rPr>
      </w:pPr>
      <w:r w:rsidRPr="00656257">
        <w:rPr>
          <w:rFonts w:ascii="Calibri" w:hAnsi="Calibri" w:cs="Arial"/>
          <w:b/>
          <w:bCs/>
          <w:spacing w:val="-3"/>
          <w:sz w:val="24"/>
          <w:szCs w:val="24"/>
        </w:rPr>
        <w:t>STATEWIDE WATER MANAGEMENT ACT GRANT</w:t>
      </w:r>
    </w:p>
    <w:p w14:paraId="44440D54" w14:textId="144F729A" w:rsidR="00647055" w:rsidRDefault="00647055" w:rsidP="00F6453A">
      <w:pPr>
        <w:pStyle w:val="NoSpacing"/>
      </w:pPr>
      <w:r w:rsidRPr="00656257">
        <w:rPr>
          <w:b/>
          <w:bCs/>
        </w:rPr>
        <w:t>Summary of Grant Opportunity:</w:t>
      </w:r>
      <w:r w:rsidRPr="00656257">
        <w:t xml:space="preserve">  The Commonwealth of Massachusetts, Department of Environmental Protection (MassDEP), Bureau of </w:t>
      </w:r>
      <w:r w:rsidR="00F253A2" w:rsidRPr="00656257">
        <w:t>Water Resources</w:t>
      </w:r>
      <w:r w:rsidRPr="00656257">
        <w:t xml:space="preserve">, </w:t>
      </w:r>
      <w:r w:rsidR="006D2789" w:rsidRPr="00656257">
        <w:rPr>
          <w:rFonts w:cstheme="minorHAnsi"/>
        </w:rPr>
        <w:t>is soliciting Water Management Act (WMA) grant proposals from Applicants who are Eligible Entities, in response to MassDEP’s Request for Responses, for projects providing planning assistance, (including Drought Planning and resiliency projects and select Firm Yield studies), rate studies, and implementation assistance, such as demand management, minimization, and mitigation activities for new withdrawal impacts in local communities.</w:t>
      </w:r>
      <w:r w:rsidR="006D2789" w:rsidRPr="00656257">
        <w:t xml:space="preserve"> </w:t>
      </w:r>
    </w:p>
    <w:p w14:paraId="28F92DB4" w14:textId="343EEC7D" w:rsidR="009C3782" w:rsidRPr="00656257" w:rsidRDefault="00647055" w:rsidP="00F6453A">
      <w:pPr>
        <w:pStyle w:val="NoSpacing"/>
      </w:pPr>
      <w:r w:rsidRPr="00656257">
        <w:rPr>
          <w:b/>
          <w:bCs/>
        </w:rPr>
        <w:t xml:space="preserve">Grant Opportunity Application and Requirements: </w:t>
      </w:r>
      <w:r w:rsidRPr="00656257">
        <w:t xml:space="preserve">MassDEP’s Request for Responses (RFR) for WMA grants was posted on MassDEP’s website on </w:t>
      </w:r>
      <w:r w:rsidR="00544D9B">
        <w:rPr>
          <w:i/>
          <w:iCs/>
        </w:rPr>
        <w:t>September 2</w:t>
      </w:r>
      <w:r w:rsidR="00AF5B51" w:rsidRPr="00656257">
        <w:rPr>
          <w:i/>
          <w:iCs/>
        </w:rPr>
        <w:t>, 2025</w:t>
      </w:r>
      <w:r w:rsidRPr="00656257">
        <w:t>, and MassDEP’s deadline for Responses to the RFR is</w:t>
      </w:r>
      <w:r w:rsidR="00C02262" w:rsidRPr="00656257">
        <w:rPr>
          <w:rFonts w:cs="Arial"/>
        </w:rPr>
        <w:t xml:space="preserve"> </w:t>
      </w:r>
      <w:r w:rsidR="00544D9B">
        <w:rPr>
          <w:rFonts w:cs="Arial"/>
          <w:b/>
          <w:bCs/>
        </w:rPr>
        <w:t>October 3</w:t>
      </w:r>
      <w:r w:rsidR="00A617DA" w:rsidRPr="00C93DD1">
        <w:rPr>
          <w:rFonts w:cs="Arial"/>
          <w:b/>
          <w:bCs/>
        </w:rPr>
        <w:t>, 2025</w:t>
      </w:r>
      <w:r w:rsidRPr="00C93DD1">
        <w:rPr>
          <w:b/>
          <w:bCs/>
        </w:rPr>
        <w:t>.</w:t>
      </w:r>
      <w:r w:rsidRPr="00656257">
        <w:t xml:space="preserve">  All Grant documents can be located at the following link</w:t>
      </w:r>
      <w:r w:rsidR="005E68F5" w:rsidRPr="00656257">
        <w:t>:</w:t>
      </w:r>
      <w:r w:rsidR="009C3782" w:rsidRPr="00656257">
        <w:t xml:space="preserve">  </w:t>
      </w:r>
      <w:hyperlink r:id="rId16" w:history="1">
        <w:r w:rsidR="00A617DA" w:rsidRPr="00656257">
          <w:rPr>
            <w:rStyle w:val="Hyperlink"/>
            <w:rFonts w:ascii="Calibri" w:hAnsi="Calibri"/>
            <w:szCs w:val="24"/>
          </w:rPr>
          <w:t>WMA Grant I Mass.gov</w:t>
        </w:r>
      </w:hyperlink>
    </w:p>
    <w:p w14:paraId="08EE5994" w14:textId="2E315584" w:rsidR="00647055" w:rsidRDefault="00647055" w:rsidP="00F6453A">
      <w:pPr>
        <w:pStyle w:val="NoSpacing"/>
      </w:pPr>
      <w:r w:rsidRPr="00656257">
        <w:rPr>
          <w:b/>
        </w:rPr>
        <w:t>E</w:t>
      </w:r>
      <w:r w:rsidR="005E68F5" w:rsidRPr="00656257">
        <w:rPr>
          <w:b/>
        </w:rPr>
        <w:t>ligible</w:t>
      </w:r>
      <w:r w:rsidRPr="00656257">
        <w:rPr>
          <w:b/>
        </w:rPr>
        <w:t xml:space="preserve"> </w:t>
      </w:r>
      <w:r w:rsidR="005E68F5" w:rsidRPr="00656257">
        <w:rPr>
          <w:b/>
        </w:rPr>
        <w:t>Entities:</w:t>
      </w:r>
      <w:r w:rsidR="00656160" w:rsidRPr="00656257">
        <w:t xml:space="preserve"> Public water suppliers with a WMA permit or permit application under review, or public water suppliers with a WMA registration (including eligible municipalities) are eligible to submit proposals in response to this RFR for this grant program.</w:t>
      </w:r>
      <w:r w:rsidRPr="00656257">
        <w:t xml:space="preserve">  Cooperative proposals are encouraged.</w:t>
      </w:r>
    </w:p>
    <w:p w14:paraId="0AB2FAA7" w14:textId="0D3DAA35" w:rsidR="00C054B5" w:rsidRPr="00656257" w:rsidRDefault="005E68F5" w:rsidP="00F6453A">
      <w:pPr>
        <w:pStyle w:val="NoSpacing"/>
        <w:rPr>
          <w:color w:val="0000FF" w:themeColor="hyperlink"/>
          <w:u w:val="single"/>
        </w:rPr>
      </w:pPr>
      <w:r w:rsidRPr="00656257">
        <w:rPr>
          <w:rFonts w:cstheme="minorHAnsi"/>
          <w:b/>
          <w:bCs/>
        </w:rPr>
        <w:t>Eligible Projects</w:t>
      </w:r>
      <w:r w:rsidRPr="00656257">
        <w:rPr>
          <w:rFonts w:cstheme="minorHAnsi"/>
        </w:rPr>
        <w:t>: The focus of the WMA grants is for: 1) planning projects for specific watersheds or sub</w:t>
      </w:r>
      <w:r w:rsidR="006D096F" w:rsidRPr="00656257">
        <w:rPr>
          <w:rFonts w:cstheme="minorHAnsi"/>
        </w:rPr>
        <w:t>-</w:t>
      </w:r>
      <w:r w:rsidRPr="00656257">
        <w:rPr>
          <w:rFonts w:cstheme="minorHAnsi"/>
        </w:rPr>
        <w:t xml:space="preserve">watersheds </w:t>
      </w:r>
      <w:r w:rsidR="00F253A2" w:rsidRPr="00656257">
        <w:rPr>
          <w:rFonts w:cstheme="minorHAnsi"/>
        </w:rPr>
        <w:t xml:space="preserve">that </w:t>
      </w:r>
      <w:r w:rsidRPr="00656257">
        <w:rPr>
          <w:rFonts w:cstheme="minorHAnsi"/>
        </w:rPr>
        <w:t xml:space="preserve">identify implementation projects </w:t>
      </w:r>
      <w:r w:rsidR="00F253A2" w:rsidRPr="00656257">
        <w:rPr>
          <w:rFonts w:cstheme="minorHAnsi"/>
        </w:rPr>
        <w:t xml:space="preserve">focused on </w:t>
      </w:r>
      <w:r w:rsidRPr="00656257">
        <w:rPr>
          <w:rFonts w:cstheme="minorHAnsi"/>
        </w:rPr>
        <w:t>improv</w:t>
      </w:r>
      <w:r w:rsidR="00F253A2" w:rsidRPr="00656257">
        <w:rPr>
          <w:rFonts w:cstheme="minorHAnsi"/>
        </w:rPr>
        <w:t>ing</w:t>
      </w:r>
      <w:r w:rsidRPr="00656257">
        <w:rPr>
          <w:rFonts w:cstheme="minorHAnsi"/>
        </w:rPr>
        <w:t xml:space="preserve"> ecological conditions</w:t>
      </w:r>
      <w:r w:rsidR="00C52ED5" w:rsidRPr="00656257">
        <w:rPr>
          <w:rFonts w:cstheme="minorHAnsi"/>
        </w:rPr>
        <w:t>, including</w:t>
      </w:r>
      <w:r w:rsidR="00D70AD7" w:rsidRPr="00656257">
        <w:rPr>
          <w:rFonts w:cstheme="minorHAnsi"/>
        </w:rPr>
        <w:t xml:space="preserve"> (but not limited to)</w:t>
      </w:r>
      <w:r w:rsidR="00C52ED5" w:rsidRPr="00656257">
        <w:rPr>
          <w:rFonts w:cstheme="minorHAnsi"/>
        </w:rPr>
        <w:t xml:space="preserve"> planning projects </w:t>
      </w:r>
      <w:r w:rsidR="00F253A2" w:rsidRPr="00656257">
        <w:rPr>
          <w:rFonts w:cstheme="minorHAnsi"/>
          <w:color w:val="111111"/>
          <w:lang w:val="en"/>
        </w:rPr>
        <w:t xml:space="preserve">that </w:t>
      </w:r>
      <w:r w:rsidR="00C52ED5" w:rsidRPr="00656257">
        <w:rPr>
          <w:rStyle w:val="None"/>
          <w:rFonts w:cstheme="minorHAnsi"/>
          <w:szCs w:val="24"/>
        </w:rPr>
        <w:t>identify the capacity of the water system to meet its demands from</w:t>
      </w:r>
      <w:r w:rsidR="006D096F" w:rsidRPr="00656257">
        <w:rPr>
          <w:rStyle w:val="None"/>
          <w:rFonts w:cstheme="minorHAnsi"/>
          <w:szCs w:val="24"/>
        </w:rPr>
        <w:t xml:space="preserve"> sources unaffected by </w:t>
      </w:r>
      <w:r w:rsidR="00C52ED5" w:rsidRPr="00656257">
        <w:rPr>
          <w:rFonts w:cstheme="minorHAnsi"/>
          <w:color w:val="111111"/>
          <w:lang w:val="en"/>
        </w:rPr>
        <w:t>per- and polyfluoroalkyl substances sources (</w:t>
      </w:r>
      <w:r w:rsidR="00C52ED5" w:rsidRPr="00656257">
        <w:rPr>
          <w:rStyle w:val="None"/>
          <w:rFonts w:cstheme="minorHAnsi"/>
          <w:szCs w:val="24"/>
        </w:rPr>
        <w:t>non-PFAS sources) and provide alternative source options</w:t>
      </w:r>
      <w:r w:rsidRPr="00656257">
        <w:rPr>
          <w:rFonts w:cstheme="minorHAnsi"/>
        </w:rPr>
        <w:t xml:space="preserve">; 2) </w:t>
      </w:r>
      <w:r w:rsidR="00194E31" w:rsidRPr="00656257">
        <w:rPr>
          <w:rFonts w:cstheme="minorHAnsi"/>
        </w:rPr>
        <w:t xml:space="preserve">demand management </w:t>
      </w:r>
      <w:r w:rsidRPr="00656257">
        <w:rPr>
          <w:rFonts w:cstheme="minorHAnsi"/>
        </w:rPr>
        <w:t xml:space="preserve">projects aimed </w:t>
      </w:r>
      <w:r w:rsidR="00194E31" w:rsidRPr="00656257">
        <w:rPr>
          <w:rFonts w:cstheme="minorHAnsi"/>
        </w:rPr>
        <w:t>at improving the e</w:t>
      </w:r>
      <w:r w:rsidR="00701DE6" w:rsidRPr="00656257">
        <w:rPr>
          <w:rFonts w:cstheme="minorHAnsi"/>
        </w:rPr>
        <w:t xml:space="preserve">fficiency of water use </w:t>
      </w:r>
      <w:r w:rsidRPr="00656257">
        <w:rPr>
          <w:rFonts w:cstheme="minorHAnsi"/>
        </w:rPr>
        <w:t>within a municipality or a watershed</w:t>
      </w:r>
      <w:r w:rsidR="007E706F" w:rsidRPr="00656257">
        <w:rPr>
          <w:rFonts w:cstheme="minorHAnsi"/>
        </w:rPr>
        <w:t xml:space="preserve">; </w:t>
      </w:r>
      <w:r w:rsidR="007E706F" w:rsidRPr="00656257">
        <w:rPr>
          <w:rStyle w:val="None"/>
          <w:rFonts w:cstheme="minorHAnsi"/>
          <w:szCs w:val="24"/>
        </w:rPr>
        <w:t>these projects may include studies to develop and implement Drought Plans consistent with the MA Drought Management Plan and Rate studies that help control demand</w:t>
      </w:r>
      <w:r w:rsidRPr="00656257">
        <w:rPr>
          <w:rFonts w:cstheme="minorHAnsi"/>
        </w:rPr>
        <w:t xml:space="preserve">; and 3) </w:t>
      </w:r>
      <w:r w:rsidR="008B1ABF" w:rsidRPr="00656257">
        <w:rPr>
          <w:rFonts w:cstheme="minorHAnsi"/>
        </w:rPr>
        <w:t>m</w:t>
      </w:r>
      <w:r w:rsidR="002763C4" w:rsidRPr="00656257">
        <w:rPr>
          <w:rStyle w:val="None"/>
          <w:rFonts w:cstheme="minorHAnsi"/>
          <w:szCs w:val="24"/>
        </w:rPr>
        <w:t>inimization and mitigation projects in one or more of the following categories: improving or increasing</w:t>
      </w:r>
      <w:r w:rsidR="002763C4" w:rsidRPr="00656257">
        <w:rPr>
          <w:rStyle w:val="None"/>
          <w:szCs w:val="24"/>
        </w:rPr>
        <w:t xml:space="preserve"> </w:t>
      </w:r>
      <w:r w:rsidRPr="00656257">
        <w:rPr>
          <w:rFonts w:cstheme="minorHAnsi"/>
        </w:rPr>
        <w:t>instream flow, wastewater projects that keep water local, stormwater management projects hat improve recharge, reduce impervious cover and/or improve water quality, water supply operational improvements, habitat improvement, and other projects that can be demonstrated to mitigate the impacts of water withdrawals.</w:t>
      </w:r>
      <w:r w:rsidR="00C054B5" w:rsidRPr="00656257">
        <w:rPr>
          <w:rFonts w:cstheme="minorHAnsi"/>
        </w:rPr>
        <w:t xml:space="preserve">  A full description of Eligible Projects can be found at: </w:t>
      </w:r>
      <w:hyperlink r:id="rId17" w:history="1">
        <w:r w:rsidR="00A617DA" w:rsidRPr="00656257">
          <w:rPr>
            <w:rStyle w:val="Hyperlink"/>
            <w:rFonts w:ascii="Calibri" w:hAnsi="Calibri"/>
            <w:szCs w:val="24"/>
          </w:rPr>
          <w:t>WMA Grant I Mass.gov</w:t>
        </w:r>
      </w:hyperlink>
    </w:p>
    <w:p w14:paraId="3AEF2FA6" w14:textId="59D03FD5" w:rsidR="00647055" w:rsidRPr="00656257" w:rsidRDefault="005E68F5" w:rsidP="00F6453A">
      <w:pPr>
        <w:pStyle w:val="NoSpacing"/>
      </w:pPr>
      <w:r w:rsidRPr="00656257">
        <w:rPr>
          <w:b/>
          <w:bCs/>
        </w:rPr>
        <w:t>Funding Availability:</w:t>
      </w:r>
      <w:r w:rsidRPr="00656257">
        <w:t xml:space="preserve"> </w:t>
      </w:r>
      <w:r w:rsidR="00D22FE3" w:rsidRPr="00656257">
        <w:t xml:space="preserve">The total funding currently available for projects under this Grant Announcement and at the time of posting is $1,000,000.  Grant Awards may range from $20,000 to $600,000 per </w:t>
      </w:r>
      <w:r w:rsidR="00D22FE3" w:rsidRPr="00656257">
        <w:lastRenderedPageBreak/>
        <w:t xml:space="preserve">applicant, although MassDEP reserves the right, in its discretion, to grant smaller or larger awards to proposals of exceptional merit. If additional funds become available during the period between the announcement of this grant opportunity and end of State Fiscal Year 2026, the Department reserves the right to allocate supplemental funds to this grant solicitation and/or initiate additional funding rounds. Grant Awards will only be made available to Public Water Suppliers that are located within communities that are either not subject to, or in compliance with M.G.L. CH.40A §3A, the MBTA Communities Act Law. For more information, please visit:   </w:t>
      </w:r>
      <w:hyperlink r:id="rId18" w:history="1">
        <w:r w:rsidR="00D22FE3" w:rsidRPr="00656257">
          <w:rPr>
            <w:rStyle w:val="Hyperlink"/>
            <w:rFonts w:ascii="Calibri" w:hAnsi="Calibri"/>
            <w:szCs w:val="24"/>
          </w:rPr>
          <w:t>MBTA Communities Act Compliance Resources I Mass.gov.</w:t>
        </w:r>
      </w:hyperlink>
    </w:p>
    <w:p w14:paraId="5A1828F7" w14:textId="6725CE19" w:rsidR="00647055" w:rsidRPr="00656257" w:rsidRDefault="005E68F5" w:rsidP="00F6453A">
      <w:pPr>
        <w:pStyle w:val="NoSpacing"/>
      </w:pPr>
      <w:r w:rsidRPr="00656257">
        <w:rPr>
          <w:b/>
        </w:rPr>
        <w:t xml:space="preserve">Grant Application Process: </w:t>
      </w:r>
      <w:r w:rsidR="00AD05EB" w:rsidRPr="00656257">
        <w:rPr>
          <w:bCs/>
        </w:rPr>
        <w:t>T</w:t>
      </w:r>
      <w:r w:rsidR="00647055" w:rsidRPr="00656257">
        <w:t xml:space="preserve">he RFR contains </w:t>
      </w:r>
      <w:r w:rsidR="003E02E4" w:rsidRPr="00656257">
        <w:t xml:space="preserve">all terms and requirements for </w:t>
      </w:r>
      <w:r w:rsidR="009D23D1" w:rsidRPr="00656257">
        <w:t xml:space="preserve">the WMA grant, including </w:t>
      </w:r>
      <w:r w:rsidR="00647055" w:rsidRPr="00656257">
        <w:t>a schedule for each step of the application process</w:t>
      </w:r>
      <w:r w:rsidR="009D23D1" w:rsidRPr="00656257">
        <w:t xml:space="preserve"> and</w:t>
      </w:r>
      <w:r w:rsidR="00AD05EB" w:rsidRPr="00656257">
        <w:t xml:space="preserve"> the</w:t>
      </w:r>
      <w:r w:rsidRPr="00656257">
        <w:t xml:space="preserve"> timeline for submission of Responses to the RFR</w:t>
      </w:r>
      <w:r w:rsidR="00D13776" w:rsidRPr="00656257">
        <w:t>, as well as a listing of all legal forms that grant recipients must complete to be awarded a WMA grant contract</w:t>
      </w:r>
      <w:r w:rsidR="00647055" w:rsidRPr="00656257">
        <w:t xml:space="preserve">.  Applications are reviewed and recommended by </w:t>
      </w:r>
      <w:r w:rsidR="00C22AEE" w:rsidRPr="00656257">
        <w:t>a</w:t>
      </w:r>
      <w:r w:rsidR="00C054B5" w:rsidRPr="00656257">
        <w:t>n inter-agency</w:t>
      </w:r>
      <w:r w:rsidR="00647055" w:rsidRPr="00656257">
        <w:t xml:space="preserve"> screening committee comprised of </w:t>
      </w:r>
      <w:r w:rsidR="00C054B5" w:rsidRPr="00656257">
        <w:t xml:space="preserve">personnel from </w:t>
      </w:r>
      <w:r w:rsidR="00647055" w:rsidRPr="00656257">
        <w:t xml:space="preserve">MassDEP, Department of Fish and Game, Department of Conservation and Recreation, and the Executive Office of Energy and Environmental Affairs.  </w:t>
      </w:r>
    </w:p>
    <w:p w14:paraId="470F992C" w14:textId="4A94C4E0" w:rsidR="000D3EAE" w:rsidRPr="00656257" w:rsidRDefault="005E68F5" w:rsidP="00F6453A">
      <w:pPr>
        <w:pStyle w:val="NoSpacing"/>
        <w:rPr>
          <w:rFonts w:ascii="Calibri" w:hAnsi="Calibri"/>
          <w:szCs w:val="24"/>
        </w:rPr>
      </w:pPr>
      <w:r w:rsidRPr="00656257">
        <w:rPr>
          <w:rFonts w:ascii="Calibri" w:hAnsi="Calibri"/>
          <w:b/>
          <w:spacing w:val="-2"/>
          <w:szCs w:val="24"/>
        </w:rPr>
        <w:t>Grant Evaluation Criteria:</w:t>
      </w:r>
      <w:r w:rsidR="00AD05EB" w:rsidRPr="00656257">
        <w:rPr>
          <w:rFonts w:ascii="Calibri" w:hAnsi="Calibri"/>
          <w:szCs w:val="24"/>
        </w:rPr>
        <w:t xml:space="preserve"> The grant e</w:t>
      </w:r>
      <w:r w:rsidR="00647055" w:rsidRPr="00656257">
        <w:rPr>
          <w:rFonts w:ascii="Calibri" w:hAnsi="Calibri"/>
          <w:szCs w:val="24"/>
        </w:rPr>
        <w:t xml:space="preserve">valuation criteria </w:t>
      </w:r>
      <w:r w:rsidR="00C054B5" w:rsidRPr="00656257">
        <w:rPr>
          <w:rFonts w:ascii="Calibri" w:hAnsi="Calibri"/>
          <w:szCs w:val="24"/>
        </w:rPr>
        <w:t>are</w:t>
      </w:r>
      <w:r w:rsidR="00647055" w:rsidRPr="00656257">
        <w:rPr>
          <w:rFonts w:ascii="Calibri" w:hAnsi="Calibri"/>
          <w:szCs w:val="24"/>
        </w:rPr>
        <w:t xml:space="preserve"> </w:t>
      </w:r>
      <w:r w:rsidR="00ED2072" w:rsidRPr="00656257">
        <w:rPr>
          <w:rFonts w:ascii="Calibri" w:hAnsi="Calibri"/>
          <w:szCs w:val="24"/>
        </w:rPr>
        <w:t xml:space="preserve">as </w:t>
      </w:r>
      <w:r w:rsidR="00647055" w:rsidRPr="00656257">
        <w:rPr>
          <w:rFonts w:ascii="Calibri" w:hAnsi="Calibri"/>
          <w:szCs w:val="24"/>
        </w:rPr>
        <w:t xml:space="preserve">specified in the RFR.   </w:t>
      </w:r>
    </w:p>
    <w:p w14:paraId="4E65D0B0" w14:textId="17DD6F2E" w:rsidR="00003F41" w:rsidRPr="00656257" w:rsidRDefault="00003F41" w:rsidP="00F6453A">
      <w:pPr>
        <w:pStyle w:val="NoSpacing"/>
        <w:rPr>
          <w:color w:val="000000" w:themeColor="text1"/>
          <w:szCs w:val="24"/>
        </w:rPr>
      </w:pPr>
      <w:r w:rsidRPr="00656257">
        <w:rPr>
          <w:b/>
          <w:bCs/>
          <w:color w:val="000000" w:themeColor="text1"/>
          <w:szCs w:val="24"/>
        </w:rPr>
        <w:t>Application Deadline</w:t>
      </w:r>
      <w:r w:rsidRPr="00656257">
        <w:rPr>
          <w:color w:val="000000" w:themeColor="text1"/>
          <w:szCs w:val="24"/>
        </w:rPr>
        <w:t xml:space="preserve">:  Applications are due </w:t>
      </w:r>
      <w:r w:rsidR="003A0756" w:rsidRPr="00656257">
        <w:rPr>
          <w:color w:val="000000" w:themeColor="text1"/>
          <w:szCs w:val="24"/>
        </w:rPr>
        <w:t xml:space="preserve">to Jen D’Urso </w:t>
      </w:r>
      <w:r w:rsidRPr="00656257">
        <w:rPr>
          <w:color w:val="000000" w:themeColor="text1"/>
          <w:szCs w:val="24"/>
        </w:rPr>
        <w:t>via email</w:t>
      </w:r>
      <w:r w:rsidR="003A0756" w:rsidRPr="00656257">
        <w:rPr>
          <w:color w:val="000000" w:themeColor="text1"/>
          <w:szCs w:val="24"/>
        </w:rPr>
        <w:t xml:space="preserve"> at: </w:t>
      </w:r>
      <w:hyperlink r:id="rId19" w:history="1">
        <w:r w:rsidR="003A0756" w:rsidRPr="00656257">
          <w:rPr>
            <w:rStyle w:val="Hyperlink"/>
            <w:szCs w:val="24"/>
          </w:rPr>
          <w:t>jen.durso@mass.gov</w:t>
        </w:r>
      </w:hyperlink>
      <w:r w:rsidRPr="00656257">
        <w:rPr>
          <w:color w:val="000000" w:themeColor="text1"/>
          <w:szCs w:val="24"/>
        </w:rPr>
        <w:t xml:space="preserve"> by </w:t>
      </w:r>
      <w:r w:rsidRPr="00C93DD1">
        <w:rPr>
          <w:b/>
          <w:bCs/>
          <w:color w:val="000000" w:themeColor="text1"/>
          <w:szCs w:val="24"/>
        </w:rPr>
        <w:t xml:space="preserve">5:00 P.M. on </w:t>
      </w:r>
      <w:r w:rsidR="00544D9B">
        <w:rPr>
          <w:b/>
          <w:bCs/>
          <w:color w:val="000000" w:themeColor="text1"/>
          <w:szCs w:val="24"/>
        </w:rPr>
        <w:t>October 3</w:t>
      </w:r>
      <w:r w:rsidR="003A0756" w:rsidRPr="00C93DD1">
        <w:rPr>
          <w:b/>
          <w:bCs/>
          <w:color w:val="000000" w:themeColor="text1"/>
          <w:szCs w:val="24"/>
        </w:rPr>
        <w:t xml:space="preserve">, </w:t>
      </w:r>
      <w:proofErr w:type="gramStart"/>
      <w:r w:rsidR="003A0756" w:rsidRPr="00C93DD1">
        <w:rPr>
          <w:b/>
          <w:bCs/>
          <w:color w:val="000000" w:themeColor="text1"/>
          <w:szCs w:val="24"/>
        </w:rPr>
        <w:t>2025</w:t>
      </w:r>
      <w:proofErr w:type="gramEnd"/>
      <w:r w:rsidR="003A0756" w:rsidRPr="00656257">
        <w:rPr>
          <w:color w:val="000000" w:themeColor="text1"/>
          <w:szCs w:val="24"/>
        </w:rPr>
        <w:t xml:space="preserve"> </w:t>
      </w:r>
      <w:r w:rsidRPr="00656257">
        <w:rPr>
          <w:color w:val="000000" w:themeColor="text1"/>
          <w:szCs w:val="24"/>
        </w:rPr>
        <w:t>with “FY202</w:t>
      </w:r>
      <w:r w:rsidR="003A0756" w:rsidRPr="00656257">
        <w:rPr>
          <w:color w:val="000000" w:themeColor="text1"/>
          <w:szCs w:val="24"/>
        </w:rPr>
        <w:t>6</w:t>
      </w:r>
      <w:r w:rsidRPr="00656257">
        <w:rPr>
          <w:color w:val="000000" w:themeColor="text1"/>
          <w:szCs w:val="24"/>
        </w:rPr>
        <w:t xml:space="preserve"> [Applicant Name] WMA Grant Application” in the email subject line.</w:t>
      </w:r>
    </w:p>
    <w:p w14:paraId="726CED76" w14:textId="00763AF6" w:rsidR="002B0DA5" w:rsidRDefault="002B0DA5" w:rsidP="00F6453A">
      <w:pPr>
        <w:pStyle w:val="NoSpacing"/>
        <w:rPr>
          <w:color w:val="000000" w:themeColor="text1"/>
        </w:rPr>
      </w:pPr>
      <w:r w:rsidRPr="00DC723C">
        <w:rPr>
          <w:b/>
          <w:bCs/>
          <w:color w:val="000000" w:themeColor="text1"/>
        </w:rPr>
        <w:t xml:space="preserve">Match and Other Funding Obligations: </w:t>
      </w:r>
      <w:r w:rsidRPr="00DC723C">
        <w:rPr>
          <w:color w:val="000000" w:themeColor="text1"/>
        </w:rPr>
        <w:t>Applicants are required to provide twenty percent (20%) in matching funds or in-kind services. Applicants will need to identify other known sources of funding for a proposed project on the Application Form, from both secured and anticipated sources. In addition, applicants are advised that grant awards involving capital funds, which is the case here, are required to be disbursed on a cost reimbursement basis, meaning that grantees will be reimbursed for funds already expended. To receive reimbursement for funds expended, grantees must submit a written request for payment, along with any other required documentation. All work must be completed on or before June 30, 202</w:t>
      </w:r>
      <w:r w:rsidR="00F6453A">
        <w:rPr>
          <w:color w:val="000000" w:themeColor="text1"/>
        </w:rPr>
        <w:t>6</w:t>
      </w:r>
      <w:r w:rsidRPr="00DC723C">
        <w:rPr>
          <w:color w:val="000000" w:themeColor="text1"/>
        </w:rPr>
        <w:t>, and grantees are strongly encouraged to submit written requests for payment, and any corresponding supporting documentation, on or before June 30, 202</w:t>
      </w:r>
      <w:r w:rsidR="00F6453A">
        <w:rPr>
          <w:color w:val="000000" w:themeColor="text1"/>
        </w:rPr>
        <w:t>6</w:t>
      </w:r>
      <w:r w:rsidRPr="00DC723C">
        <w:rPr>
          <w:color w:val="000000" w:themeColor="text1"/>
        </w:rPr>
        <w:t xml:space="preserve">, as well. </w:t>
      </w:r>
    </w:p>
    <w:p w14:paraId="68E4B1E5" w14:textId="77777777" w:rsidR="00656257" w:rsidRPr="007C12D9" w:rsidRDefault="00656257" w:rsidP="00F6453A">
      <w:pPr>
        <w:pStyle w:val="NoSpacing"/>
        <w:rPr>
          <w:color w:val="0000FF"/>
          <w:u w:val="single"/>
          <w:bdr w:val="none" w:sz="0" w:space="0" w:color="auto" w:frame="1"/>
        </w:rPr>
      </w:pPr>
      <w:r w:rsidRPr="0007257D">
        <w:rPr>
          <w:b/>
          <w:bCs/>
          <w:bdr w:val="none" w:sz="0" w:space="0" w:color="auto" w:frame="1"/>
        </w:rPr>
        <w:t>Disadvantaged Communities:</w:t>
      </w:r>
      <w:r>
        <w:rPr>
          <w:bdr w:val="none" w:sz="0" w:space="0" w:color="auto" w:frame="1"/>
        </w:rPr>
        <w:t xml:space="preserve"> </w:t>
      </w:r>
      <w:r w:rsidRPr="007C12D9">
        <w:rPr>
          <w:bdr w:val="none" w:sz="0" w:space="0" w:color="auto" w:frame="1"/>
        </w:rPr>
        <w:t>MassDEP is committed to advancing Disadvantaged Communities through its public investments. To that end, preference will be given to projects that provide direct benefit to Disadvantaged Communities. Information on how communities are classified as Disadvantaged Communities and which communities they are can be found at </w:t>
      </w:r>
      <w:hyperlink r:id="rId20" w:anchor="disadvantaged-community-designation" w:tgtFrame="_blank" w:tooltip="https://www.mass.gov/info-details/the-disadvantaged-community-loan-forgiveness-program#disadvantaged-community-designation" w:history="1">
        <w:r w:rsidRPr="007C12D9">
          <w:rPr>
            <w:rStyle w:val="Hyperlink"/>
            <w:rFonts w:cstheme="minorHAnsi"/>
            <w:bdr w:val="none" w:sz="0" w:space="0" w:color="auto" w:frame="1"/>
          </w:rPr>
          <w:t>The Disadvantaged Community Loan Forgiveness Program | Mass.gov</w:t>
        </w:r>
      </w:hyperlink>
    </w:p>
    <w:p w14:paraId="616EF634" w14:textId="58AE2B79" w:rsidR="00647055" w:rsidRPr="00656257" w:rsidRDefault="00AD05EB" w:rsidP="00F6453A">
      <w:pPr>
        <w:pStyle w:val="NoSpacing"/>
        <w:rPr>
          <w:rFonts w:ascii="Calibri" w:hAnsi="Calibri"/>
          <w:i/>
          <w:szCs w:val="24"/>
        </w:rPr>
      </w:pPr>
      <w:r w:rsidRPr="00656257">
        <w:rPr>
          <w:rFonts w:ascii="Calibri" w:hAnsi="Calibri"/>
          <w:b/>
          <w:szCs w:val="24"/>
        </w:rPr>
        <w:t xml:space="preserve">FOR </w:t>
      </w:r>
      <w:r w:rsidR="00647055" w:rsidRPr="00656257">
        <w:rPr>
          <w:rFonts w:ascii="Calibri" w:hAnsi="Calibri"/>
          <w:b/>
          <w:szCs w:val="24"/>
        </w:rPr>
        <w:t>ADDITIONAL INFORMATION</w:t>
      </w:r>
      <w:r w:rsidRPr="00656257">
        <w:rPr>
          <w:rFonts w:ascii="Calibri" w:hAnsi="Calibri"/>
          <w:b/>
          <w:szCs w:val="24"/>
        </w:rPr>
        <w:t xml:space="preserve">:  </w:t>
      </w:r>
      <w:r w:rsidR="00647055" w:rsidRPr="00656257">
        <w:rPr>
          <w:rFonts w:ascii="Calibri" w:hAnsi="Calibri"/>
          <w:szCs w:val="24"/>
        </w:rPr>
        <w:t xml:space="preserve">The RFR and additional information can be found at:  </w:t>
      </w:r>
      <w:hyperlink r:id="rId21" w:history="1">
        <w:r w:rsidR="00647055" w:rsidRPr="00656257">
          <w:rPr>
            <w:rStyle w:val="Hyperlink"/>
            <w:rFonts w:ascii="Calibri" w:hAnsi="Calibri"/>
            <w:szCs w:val="24"/>
          </w:rPr>
          <w:t>https://www.mass.gov/service-details/water-management-act-grant-programs-for-public-water-suppliers</w:t>
        </w:r>
      </w:hyperlink>
    </w:p>
    <w:p w14:paraId="0C2A0B36" w14:textId="77777777" w:rsidR="00C93DD1" w:rsidRPr="00D72DE9" w:rsidRDefault="00C93DD1" w:rsidP="00C93DD1">
      <w:pPr>
        <w:spacing w:after="0"/>
        <w:jc w:val="center"/>
        <w:rPr>
          <w:b/>
          <w:bCs/>
          <w:color w:val="006229"/>
          <w:sz w:val="28"/>
          <w:szCs w:val="24"/>
        </w:rPr>
      </w:pPr>
      <w:r w:rsidRPr="00D72DE9">
        <w:rPr>
          <w:b/>
          <w:bCs/>
          <w:color w:val="006229"/>
          <w:sz w:val="28"/>
          <w:szCs w:val="24"/>
        </w:rPr>
        <w:t>This information is available in alternate format.</w:t>
      </w:r>
    </w:p>
    <w:p w14:paraId="43FCC107" w14:textId="77777777" w:rsidR="00C93DD1" w:rsidRPr="00D72DE9" w:rsidRDefault="00C93DD1" w:rsidP="00C93DD1">
      <w:pPr>
        <w:spacing w:after="0"/>
        <w:jc w:val="center"/>
        <w:rPr>
          <w:b/>
          <w:bCs/>
          <w:color w:val="006229"/>
          <w:sz w:val="28"/>
          <w:szCs w:val="24"/>
        </w:rPr>
      </w:pPr>
      <w:r w:rsidRPr="00D72DE9">
        <w:rPr>
          <w:b/>
          <w:bCs/>
          <w:color w:val="006229"/>
          <w:sz w:val="28"/>
          <w:szCs w:val="24"/>
        </w:rPr>
        <w:t xml:space="preserve">Please contact MassDEP at 617-292-5500 or TTY# </w:t>
      </w:r>
      <w:proofErr w:type="spellStart"/>
      <w:r w:rsidRPr="00D72DE9">
        <w:rPr>
          <w:b/>
          <w:bCs/>
          <w:color w:val="006229"/>
          <w:sz w:val="28"/>
          <w:szCs w:val="24"/>
        </w:rPr>
        <w:t>MassRelay</w:t>
      </w:r>
      <w:proofErr w:type="spellEnd"/>
      <w:r w:rsidRPr="00D72DE9">
        <w:rPr>
          <w:b/>
          <w:bCs/>
          <w:color w:val="006229"/>
          <w:sz w:val="28"/>
          <w:szCs w:val="24"/>
        </w:rPr>
        <w:t xml:space="preserve"> Service 1-800-439-2370</w:t>
      </w:r>
    </w:p>
    <w:p w14:paraId="0837AD32" w14:textId="7842D58E" w:rsidR="007962D0" w:rsidRPr="000B1381" w:rsidRDefault="00C93DD1" w:rsidP="00C93DD1">
      <w:pPr>
        <w:spacing w:after="0"/>
        <w:jc w:val="center"/>
      </w:pPr>
      <w:r w:rsidRPr="00D72DE9">
        <w:rPr>
          <w:b/>
          <w:bCs/>
          <w:color w:val="006229"/>
          <w:sz w:val="28"/>
          <w:szCs w:val="24"/>
        </w:rPr>
        <w:t>MassDEP Website: www.mass.gov/dep</w:t>
      </w:r>
      <w:r w:rsidR="002D069F">
        <w:t xml:space="preserve"> </w:t>
      </w:r>
    </w:p>
    <w:sectPr w:rsidR="007962D0" w:rsidRPr="000B1381" w:rsidSect="002B0F00">
      <w:footerReference w:type="default" r:id="rId22"/>
      <w:headerReference w:type="first" r:id="rId23"/>
      <w:footerReference w:type="first" r:id="rId24"/>
      <w:pgSz w:w="12240" w:h="15840"/>
      <w:pgMar w:top="720" w:right="1080" w:bottom="720" w:left="1080"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B2F0" w14:textId="77777777" w:rsidR="00CD1C2E" w:rsidRDefault="00CD1C2E" w:rsidP="007962D0">
      <w:pPr>
        <w:spacing w:after="0" w:line="240" w:lineRule="auto"/>
      </w:pPr>
      <w:r>
        <w:separator/>
      </w:r>
    </w:p>
  </w:endnote>
  <w:endnote w:type="continuationSeparator" w:id="0">
    <w:p w14:paraId="324ADBE7" w14:textId="77777777" w:rsidR="00CD1C2E" w:rsidRDefault="00CD1C2E" w:rsidP="0079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735809"/>
      <w:docPartObj>
        <w:docPartGallery w:val="Page Numbers (Bottom of Page)"/>
        <w:docPartUnique/>
      </w:docPartObj>
    </w:sdtPr>
    <w:sdtEndPr>
      <w:rPr>
        <w:noProof/>
      </w:rPr>
    </w:sdtEndPr>
    <w:sdtContent>
      <w:p w14:paraId="1C5157B0" w14:textId="7ABF8191" w:rsidR="000F0A64" w:rsidRDefault="000F0A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550299" w14:textId="77777777" w:rsidR="000F0A64" w:rsidRDefault="000F0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20" w:type="dxa"/>
      <w:jc w:val="center"/>
      <w:tblLayout w:type="fixed"/>
      <w:tblLook w:val="0000" w:firstRow="0" w:lastRow="0" w:firstColumn="0" w:lastColumn="0" w:noHBand="0" w:noVBand="0"/>
    </w:tblPr>
    <w:tblGrid>
      <w:gridCol w:w="11520"/>
    </w:tblGrid>
    <w:tr w:rsidR="000008D1" w14:paraId="77F89B62" w14:textId="77777777" w:rsidTr="00161C19">
      <w:trPr>
        <w:trHeight w:val="296"/>
        <w:jc w:val="center"/>
      </w:trPr>
      <w:tc>
        <w:tcPr>
          <w:tcW w:w="11520" w:type="dxa"/>
          <w:vAlign w:val="bottom"/>
        </w:tcPr>
        <w:p w14:paraId="1D2FA44E" w14:textId="77777777" w:rsidR="00F253A2" w:rsidRDefault="00F253A2" w:rsidP="00F253A2">
          <w:pPr>
            <w:pStyle w:val="Footer"/>
          </w:pPr>
        </w:p>
      </w:tc>
    </w:tr>
  </w:tbl>
  <w:p w14:paraId="471ACDAA" w14:textId="77777777" w:rsidR="007962D0" w:rsidRDefault="007962D0" w:rsidP="00905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58C4" w14:textId="77777777" w:rsidR="00CD1C2E" w:rsidRDefault="00CD1C2E" w:rsidP="007962D0">
      <w:pPr>
        <w:spacing w:after="0" w:line="240" w:lineRule="auto"/>
      </w:pPr>
      <w:r>
        <w:separator/>
      </w:r>
    </w:p>
  </w:footnote>
  <w:footnote w:type="continuationSeparator" w:id="0">
    <w:p w14:paraId="479BE86B" w14:textId="77777777" w:rsidR="00CD1C2E" w:rsidRDefault="00CD1C2E" w:rsidP="00796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D163" w14:textId="77777777" w:rsidR="00AF1906" w:rsidRDefault="00AF1906" w:rsidP="00AF1906">
    <w:pPr>
      <w:pStyle w:val="Header"/>
    </w:pPr>
  </w:p>
  <w:p w14:paraId="79F2ED64" w14:textId="77777777" w:rsidR="007962D0" w:rsidRDefault="007962D0" w:rsidP="00AF1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40AB6"/>
    <w:multiLevelType w:val="hybridMultilevel"/>
    <w:tmpl w:val="2170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970A93"/>
    <w:multiLevelType w:val="hybridMultilevel"/>
    <w:tmpl w:val="B064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794137">
    <w:abstractNumId w:val="0"/>
  </w:num>
  <w:num w:numId="2" w16cid:durableId="1809201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D0"/>
    <w:rsid w:val="000008D1"/>
    <w:rsid w:val="00003F41"/>
    <w:rsid w:val="00005B7B"/>
    <w:rsid w:val="00011007"/>
    <w:rsid w:val="0001683F"/>
    <w:rsid w:val="00024954"/>
    <w:rsid w:val="000405B7"/>
    <w:rsid w:val="00062948"/>
    <w:rsid w:val="000A27B6"/>
    <w:rsid w:val="000A5135"/>
    <w:rsid w:val="000B1381"/>
    <w:rsid w:val="000C0F9F"/>
    <w:rsid w:val="000C1F8A"/>
    <w:rsid w:val="000D3989"/>
    <w:rsid w:val="000D3EAE"/>
    <w:rsid w:val="000F0A64"/>
    <w:rsid w:val="000F2A5F"/>
    <w:rsid w:val="00102C18"/>
    <w:rsid w:val="001273BF"/>
    <w:rsid w:val="00134AAF"/>
    <w:rsid w:val="00146F45"/>
    <w:rsid w:val="00156341"/>
    <w:rsid w:val="00156FF2"/>
    <w:rsid w:val="0017265B"/>
    <w:rsid w:val="00184563"/>
    <w:rsid w:val="00191739"/>
    <w:rsid w:val="00194E31"/>
    <w:rsid w:val="001A171B"/>
    <w:rsid w:val="001B78C5"/>
    <w:rsid w:val="001D7C6A"/>
    <w:rsid w:val="001E259C"/>
    <w:rsid w:val="001E6E64"/>
    <w:rsid w:val="00202130"/>
    <w:rsid w:val="00206B09"/>
    <w:rsid w:val="00210266"/>
    <w:rsid w:val="0022552A"/>
    <w:rsid w:val="00225CEF"/>
    <w:rsid w:val="002276FC"/>
    <w:rsid w:val="00251F3A"/>
    <w:rsid w:val="00262655"/>
    <w:rsid w:val="002763C4"/>
    <w:rsid w:val="002817B8"/>
    <w:rsid w:val="00282A1E"/>
    <w:rsid w:val="00284A4D"/>
    <w:rsid w:val="002855AD"/>
    <w:rsid w:val="002864BF"/>
    <w:rsid w:val="002A02FA"/>
    <w:rsid w:val="002A40CD"/>
    <w:rsid w:val="002B043A"/>
    <w:rsid w:val="002B0DA5"/>
    <w:rsid w:val="002B0F00"/>
    <w:rsid w:val="002D069F"/>
    <w:rsid w:val="002E28F2"/>
    <w:rsid w:val="002E6764"/>
    <w:rsid w:val="002F35E2"/>
    <w:rsid w:val="002F6F6E"/>
    <w:rsid w:val="00306664"/>
    <w:rsid w:val="00310847"/>
    <w:rsid w:val="00311693"/>
    <w:rsid w:val="0032604C"/>
    <w:rsid w:val="0033056F"/>
    <w:rsid w:val="00333C73"/>
    <w:rsid w:val="00346FDA"/>
    <w:rsid w:val="0035640C"/>
    <w:rsid w:val="003624A2"/>
    <w:rsid w:val="00377C9D"/>
    <w:rsid w:val="00380863"/>
    <w:rsid w:val="00394470"/>
    <w:rsid w:val="00397A2C"/>
    <w:rsid w:val="003A0756"/>
    <w:rsid w:val="003A15D1"/>
    <w:rsid w:val="003B5249"/>
    <w:rsid w:val="003D338D"/>
    <w:rsid w:val="003E02E4"/>
    <w:rsid w:val="003E280C"/>
    <w:rsid w:val="003E313A"/>
    <w:rsid w:val="0040200F"/>
    <w:rsid w:val="0040272D"/>
    <w:rsid w:val="004118C6"/>
    <w:rsid w:val="004208EE"/>
    <w:rsid w:val="0042112C"/>
    <w:rsid w:val="00441335"/>
    <w:rsid w:val="00453255"/>
    <w:rsid w:val="00460EB8"/>
    <w:rsid w:val="004636D0"/>
    <w:rsid w:val="004663BC"/>
    <w:rsid w:val="00471BEC"/>
    <w:rsid w:val="00475ED7"/>
    <w:rsid w:val="00483DF2"/>
    <w:rsid w:val="00485BCC"/>
    <w:rsid w:val="00485D02"/>
    <w:rsid w:val="00487C35"/>
    <w:rsid w:val="00492137"/>
    <w:rsid w:val="004E1C36"/>
    <w:rsid w:val="00503218"/>
    <w:rsid w:val="00511626"/>
    <w:rsid w:val="005405EF"/>
    <w:rsid w:val="00544D9B"/>
    <w:rsid w:val="005535E3"/>
    <w:rsid w:val="00562243"/>
    <w:rsid w:val="00566CBB"/>
    <w:rsid w:val="005A6CC8"/>
    <w:rsid w:val="005C1120"/>
    <w:rsid w:val="005D4B9D"/>
    <w:rsid w:val="005E3B56"/>
    <w:rsid w:val="005E68F5"/>
    <w:rsid w:val="006274DD"/>
    <w:rsid w:val="00630507"/>
    <w:rsid w:val="00631466"/>
    <w:rsid w:val="00647055"/>
    <w:rsid w:val="00647722"/>
    <w:rsid w:val="006553F8"/>
    <w:rsid w:val="00656160"/>
    <w:rsid w:val="00656257"/>
    <w:rsid w:val="0065768F"/>
    <w:rsid w:val="00691BED"/>
    <w:rsid w:val="006C24E4"/>
    <w:rsid w:val="006D096F"/>
    <w:rsid w:val="006D2789"/>
    <w:rsid w:val="006F056A"/>
    <w:rsid w:val="0070046D"/>
    <w:rsid w:val="00701DE6"/>
    <w:rsid w:val="007260DC"/>
    <w:rsid w:val="00743311"/>
    <w:rsid w:val="007623D7"/>
    <w:rsid w:val="00774EF8"/>
    <w:rsid w:val="007962D0"/>
    <w:rsid w:val="007A136F"/>
    <w:rsid w:val="007A4BAF"/>
    <w:rsid w:val="007B3C58"/>
    <w:rsid w:val="007C5F94"/>
    <w:rsid w:val="007E2E2A"/>
    <w:rsid w:val="007E706F"/>
    <w:rsid w:val="00832564"/>
    <w:rsid w:val="008470A3"/>
    <w:rsid w:val="00874C15"/>
    <w:rsid w:val="008B1ABF"/>
    <w:rsid w:val="008F020E"/>
    <w:rsid w:val="008F7050"/>
    <w:rsid w:val="00905665"/>
    <w:rsid w:val="00905AF1"/>
    <w:rsid w:val="00907DAF"/>
    <w:rsid w:val="00911F41"/>
    <w:rsid w:val="00922074"/>
    <w:rsid w:val="00926153"/>
    <w:rsid w:val="00943330"/>
    <w:rsid w:val="00960D62"/>
    <w:rsid w:val="00961930"/>
    <w:rsid w:val="00964100"/>
    <w:rsid w:val="009B19BC"/>
    <w:rsid w:val="009C3782"/>
    <w:rsid w:val="009D23D1"/>
    <w:rsid w:val="009E2180"/>
    <w:rsid w:val="00A30805"/>
    <w:rsid w:val="00A31EB3"/>
    <w:rsid w:val="00A349C7"/>
    <w:rsid w:val="00A617DA"/>
    <w:rsid w:val="00A71A71"/>
    <w:rsid w:val="00A724F8"/>
    <w:rsid w:val="00A93359"/>
    <w:rsid w:val="00AB1D27"/>
    <w:rsid w:val="00AD018E"/>
    <w:rsid w:val="00AD05EB"/>
    <w:rsid w:val="00AD4CB8"/>
    <w:rsid w:val="00AF1906"/>
    <w:rsid w:val="00AF5B51"/>
    <w:rsid w:val="00B044F5"/>
    <w:rsid w:val="00B54165"/>
    <w:rsid w:val="00B54833"/>
    <w:rsid w:val="00B562F2"/>
    <w:rsid w:val="00B57674"/>
    <w:rsid w:val="00B57BBA"/>
    <w:rsid w:val="00BA794C"/>
    <w:rsid w:val="00BC424B"/>
    <w:rsid w:val="00BD0759"/>
    <w:rsid w:val="00BE5FAD"/>
    <w:rsid w:val="00BF4BF4"/>
    <w:rsid w:val="00BF72C0"/>
    <w:rsid w:val="00C02262"/>
    <w:rsid w:val="00C022A6"/>
    <w:rsid w:val="00C054B5"/>
    <w:rsid w:val="00C22AEE"/>
    <w:rsid w:val="00C3412B"/>
    <w:rsid w:val="00C354A4"/>
    <w:rsid w:val="00C3568C"/>
    <w:rsid w:val="00C4109F"/>
    <w:rsid w:val="00C442A5"/>
    <w:rsid w:val="00C45B45"/>
    <w:rsid w:val="00C52ED5"/>
    <w:rsid w:val="00C70885"/>
    <w:rsid w:val="00C73D00"/>
    <w:rsid w:val="00C82170"/>
    <w:rsid w:val="00C93DD1"/>
    <w:rsid w:val="00CD1C2E"/>
    <w:rsid w:val="00D0642E"/>
    <w:rsid w:val="00D13776"/>
    <w:rsid w:val="00D22FE3"/>
    <w:rsid w:val="00D367FF"/>
    <w:rsid w:val="00D372F8"/>
    <w:rsid w:val="00D50D29"/>
    <w:rsid w:val="00D607BD"/>
    <w:rsid w:val="00D6562C"/>
    <w:rsid w:val="00D70AD7"/>
    <w:rsid w:val="00D71707"/>
    <w:rsid w:val="00D7700A"/>
    <w:rsid w:val="00DC18B5"/>
    <w:rsid w:val="00DC723C"/>
    <w:rsid w:val="00E02378"/>
    <w:rsid w:val="00E077D7"/>
    <w:rsid w:val="00E27439"/>
    <w:rsid w:val="00E31387"/>
    <w:rsid w:val="00E47FD4"/>
    <w:rsid w:val="00E71E3E"/>
    <w:rsid w:val="00E76482"/>
    <w:rsid w:val="00EC4D78"/>
    <w:rsid w:val="00ED2072"/>
    <w:rsid w:val="00EE301F"/>
    <w:rsid w:val="00EE6FE0"/>
    <w:rsid w:val="00F22AFE"/>
    <w:rsid w:val="00F253A2"/>
    <w:rsid w:val="00F27C1A"/>
    <w:rsid w:val="00F330EA"/>
    <w:rsid w:val="00F33DC4"/>
    <w:rsid w:val="00F34A50"/>
    <w:rsid w:val="00F504CF"/>
    <w:rsid w:val="00F55CA3"/>
    <w:rsid w:val="00F6453A"/>
    <w:rsid w:val="00F813A5"/>
    <w:rsid w:val="00F90420"/>
    <w:rsid w:val="00FB4CA0"/>
    <w:rsid w:val="00FE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D5C0C"/>
  <w15:docId w15:val="{9F57B4CC-0813-48C8-A0F8-06DBF85A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47055"/>
    <w:pPr>
      <w:keepNext/>
      <w:suppressAutoHyphens/>
      <w:spacing w:after="0" w:line="240" w:lineRule="auto"/>
      <w:ind w:left="-90" w:firstLine="90"/>
      <w:jc w:val="center"/>
      <w:outlineLvl w:val="0"/>
    </w:pPr>
    <w:rPr>
      <w:rFonts w:ascii="Times New Roman" w:eastAsia="Times New Roman" w:hAnsi="Times New Roman" w:cs="Times New Roman"/>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2D0"/>
  </w:style>
  <w:style w:type="paragraph" w:styleId="Footer">
    <w:name w:val="footer"/>
    <w:basedOn w:val="Normal"/>
    <w:link w:val="FooterChar"/>
    <w:uiPriority w:val="99"/>
    <w:unhideWhenUsed/>
    <w:rsid w:val="00796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D0"/>
  </w:style>
  <w:style w:type="paragraph" w:styleId="BalloonText">
    <w:name w:val="Balloon Text"/>
    <w:basedOn w:val="Normal"/>
    <w:link w:val="BalloonTextChar"/>
    <w:uiPriority w:val="99"/>
    <w:semiHidden/>
    <w:unhideWhenUsed/>
    <w:rsid w:val="00796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2D0"/>
    <w:rPr>
      <w:rFonts w:ascii="Tahoma" w:hAnsi="Tahoma" w:cs="Tahoma"/>
      <w:sz w:val="16"/>
      <w:szCs w:val="16"/>
    </w:rPr>
  </w:style>
  <w:style w:type="character" w:styleId="CommentReference">
    <w:name w:val="annotation reference"/>
    <w:basedOn w:val="DefaultParagraphFont"/>
    <w:uiPriority w:val="99"/>
    <w:semiHidden/>
    <w:unhideWhenUsed/>
    <w:rsid w:val="007962D0"/>
    <w:rPr>
      <w:sz w:val="16"/>
      <w:szCs w:val="16"/>
    </w:rPr>
  </w:style>
  <w:style w:type="paragraph" w:styleId="CommentText">
    <w:name w:val="annotation text"/>
    <w:basedOn w:val="Normal"/>
    <w:link w:val="CommentTextChar"/>
    <w:uiPriority w:val="99"/>
    <w:unhideWhenUsed/>
    <w:rsid w:val="007962D0"/>
    <w:pPr>
      <w:spacing w:line="240" w:lineRule="auto"/>
    </w:pPr>
    <w:rPr>
      <w:sz w:val="20"/>
      <w:szCs w:val="20"/>
    </w:rPr>
  </w:style>
  <w:style w:type="character" w:customStyle="1" w:styleId="CommentTextChar">
    <w:name w:val="Comment Text Char"/>
    <w:basedOn w:val="DefaultParagraphFont"/>
    <w:link w:val="CommentText"/>
    <w:uiPriority w:val="99"/>
    <w:rsid w:val="007962D0"/>
    <w:rPr>
      <w:sz w:val="20"/>
      <w:szCs w:val="20"/>
    </w:rPr>
  </w:style>
  <w:style w:type="character" w:styleId="Hyperlink">
    <w:name w:val="Hyperlink"/>
    <w:basedOn w:val="DefaultParagraphFont"/>
    <w:uiPriority w:val="99"/>
    <w:unhideWhenUsed/>
    <w:rsid w:val="009B19BC"/>
    <w:rPr>
      <w:color w:val="0000FF" w:themeColor="hyperlink"/>
      <w:u w:val="single"/>
    </w:rPr>
  </w:style>
  <w:style w:type="character" w:styleId="Strong">
    <w:name w:val="Strong"/>
    <w:basedOn w:val="DefaultParagraphFont"/>
    <w:uiPriority w:val="22"/>
    <w:qFormat/>
    <w:rsid w:val="009B19BC"/>
    <w:rPr>
      <w:b/>
      <w:bCs/>
    </w:rPr>
  </w:style>
  <w:style w:type="character" w:styleId="FollowedHyperlink">
    <w:name w:val="FollowedHyperlink"/>
    <w:basedOn w:val="DefaultParagraphFont"/>
    <w:uiPriority w:val="99"/>
    <w:semiHidden/>
    <w:unhideWhenUsed/>
    <w:rsid w:val="00691BE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91BED"/>
    <w:rPr>
      <w:b/>
      <w:bCs/>
    </w:rPr>
  </w:style>
  <w:style w:type="character" w:customStyle="1" w:styleId="CommentSubjectChar">
    <w:name w:val="Comment Subject Char"/>
    <w:basedOn w:val="CommentTextChar"/>
    <w:link w:val="CommentSubject"/>
    <w:uiPriority w:val="99"/>
    <w:semiHidden/>
    <w:rsid w:val="00691BED"/>
    <w:rPr>
      <w:b/>
      <w:bCs/>
      <w:sz w:val="20"/>
      <w:szCs w:val="20"/>
    </w:rPr>
  </w:style>
  <w:style w:type="character" w:customStyle="1" w:styleId="UnresolvedMention1">
    <w:name w:val="Unresolved Mention1"/>
    <w:basedOn w:val="DefaultParagraphFont"/>
    <w:uiPriority w:val="99"/>
    <w:semiHidden/>
    <w:unhideWhenUsed/>
    <w:rsid w:val="004118C6"/>
    <w:rPr>
      <w:color w:val="605E5C"/>
      <w:shd w:val="clear" w:color="auto" w:fill="E1DFDD"/>
    </w:rPr>
  </w:style>
  <w:style w:type="character" w:customStyle="1" w:styleId="Heading1Char">
    <w:name w:val="Heading 1 Char"/>
    <w:basedOn w:val="DefaultParagraphFont"/>
    <w:link w:val="Heading1"/>
    <w:rsid w:val="00647055"/>
    <w:rPr>
      <w:rFonts w:ascii="Times New Roman" w:eastAsia="Times New Roman" w:hAnsi="Times New Roman" w:cs="Times New Roman"/>
      <w:b/>
      <w:spacing w:val="-2"/>
      <w:sz w:val="20"/>
      <w:szCs w:val="20"/>
    </w:rPr>
  </w:style>
  <w:style w:type="paragraph" w:styleId="BodyText">
    <w:name w:val="Body Text"/>
    <w:basedOn w:val="Normal"/>
    <w:link w:val="BodyTextChar"/>
    <w:semiHidden/>
    <w:unhideWhenUsed/>
    <w:rsid w:val="00647055"/>
    <w:pPr>
      <w:spacing w:after="0" w:line="240" w:lineRule="auto"/>
    </w:pPr>
    <w:rPr>
      <w:rFonts w:ascii="Times New Roman" w:eastAsia="Times New Roman" w:hAnsi="Times New Roman" w:cs="Times New Roman"/>
      <w:i/>
      <w:iCs/>
      <w:sz w:val="20"/>
      <w:szCs w:val="20"/>
    </w:rPr>
  </w:style>
  <w:style w:type="character" w:customStyle="1" w:styleId="BodyTextChar">
    <w:name w:val="Body Text Char"/>
    <w:basedOn w:val="DefaultParagraphFont"/>
    <w:link w:val="BodyText"/>
    <w:semiHidden/>
    <w:rsid w:val="00647055"/>
    <w:rPr>
      <w:rFonts w:ascii="Times New Roman" w:eastAsia="Times New Roman" w:hAnsi="Times New Roman" w:cs="Times New Roman"/>
      <w:i/>
      <w:iCs/>
      <w:sz w:val="20"/>
      <w:szCs w:val="20"/>
    </w:rPr>
  </w:style>
  <w:style w:type="character" w:customStyle="1" w:styleId="Head2TextChar">
    <w:name w:val="Head 2 Text Char"/>
    <w:link w:val="Head2Text"/>
    <w:locked/>
    <w:rsid w:val="00647055"/>
    <w:rPr>
      <w:rFonts w:ascii="Arial" w:eastAsia="Times New Roman" w:hAnsi="Arial" w:cs="Arial"/>
      <w:lang w:val="x-none" w:eastAsia="x-none"/>
    </w:rPr>
  </w:style>
  <w:style w:type="paragraph" w:customStyle="1" w:styleId="Head2Text">
    <w:name w:val="Head 2 Text"/>
    <w:basedOn w:val="Normal"/>
    <w:link w:val="Head2TextChar"/>
    <w:rsid w:val="00647055"/>
    <w:pPr>
      <w:tabs>
        <w:tab w:val="left" w:pos="900"/>
      </w:tabs>
      <w:spacing w:after="160" w:line="240" w:lineRule="auto"/>
      <w:ind w:left="648"/>
      <w:jc w:val="both"/>
    </w:pPr>
    <w:rPr>
      <w:rFonts w:ascii="Arial" w:eastAsia="Times New Roman" w:hAnsi="Arial" w:cs="Arial"/>
      <w:lang w:val="x-none" w:eastAsia="x-none"/>
    </w:rPr>
  </w:style>
  <w:style w:type="paragraph" w:customStyle="1" w:styleId="BodyA">
    <w:name w:val="Body A"/>
    <w:rsid w:val="00C52ED5"/>
    <w:pPr>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14:textOutline w14:w="12700" w14:cap="flat" w14:cmpd="sng" w14:algn="ctr">
        <w14:noFill/>
        <w14:prstDash w14:val="solid"/>
        <w14:miter w14:lim="400000"/>
      </w14:textOutline>
    </w:rPr>
  </w:style>
  <w:style w:type="character" w:customStyle="1" w:styleId="None">
    <w:name w:val="None"/>
    <w:rsid w:val="00C52ED5"/>
  </w:style>
  <w:style w:type="paragraph" w:styleId="Revision">
    <w:name w:val="Revision"/>
    <w:hidden/>
    <w:uiPriority w:val="99"/>
    <w:semiHidden/>
    <w:rsid w:val="004636D0"/>
    <w:pPr>
      <w:spacing w:after="0" w:line="240" w:lineRule="auto"/>
    </w:pPr>
  </w:style>
  <w:style w:type="paragraph" w:styleId="FootnoteText">
    <w:name w:val="footnote text"/>
    <w:basedOn w:val="Normal"/>
    <w:link w:val="FootnoteTextChar"/>
    <w:uiPriority w:val="99"/>
    <w:semiHidden/>
    <w:unhideWhenUsed/>
    <w:rsid w:val="000D3EAE"/>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0D3EAE"/>
    <w:rPr>
      <w:rFonts w:ascii="Calibri" w:hAnsi="Calibri" w:cs="Calibri"/>
      <w:sz w:val="20"/>
      <w:szCs w:val="20"/>
    </w:rPr>
  </w:style>
  <w:style w:type="character" w:styleId="FootnoteReference">
    <w:name w:val="footnote reference"/>
    <w:basedOn w:val="DefaultParagraphFont"/>
    <w:uiPriority w:val="99"/>
    <w:semiHidden/>
    <w:unhideWhenUsed/>
    <w:rsid w:val="000D3EAE"/>
    <w:rPr>
      <w:vertAlign w:val="superscript"/>
    </w:rPr>
  </w:style>
  <w:style w:type="paragraph" w:styleId="NoSpacing">
    <w:name w:val="No Spacing"/>
    <w:uiPriority w:val="1"/>
    <w:qFormat/>
    <w:rsid w:val="00F6453A"/>
    <w:pPr>
      <w:spacing w:after="240" w:line="262" w:lineRule="auto"/>
    </w:pPr>
    <w:rPr>
      <w:sz w:val="24"/>
    </w:rPr>
  </w:style>
  <w:style w:type="character" w:styleId="UnresolvedMention">
    <w:name w:val="Unresolved Mention"/>
    <w:basedOn w:val="DefaultParagraphFont"/>
    <w:uiPriority w:val="99"/>
    <w:semiHidden/>
    <w:unhideWhenUsed/>
    <w:rsid w:val="00BD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0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s://www.mass.gov/info-details/multi-family-zoning-requirement-for-mbta-communit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ss.gov/service-details/water-management-act-grant-programs-for-public-water-supplier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ass.gov/service-details/water-management-act-grant-programs-for-public-water-suppli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service-details/water-management-act-grant-programs-for-public-water-suppliers" TargetMode="External"/><Relationship Id="rId20" Type="http://schemas.openxmlformats.org/officeDocument/2006/relationships/hyperlink" Target="https://www.mass.gov/info-details/the-disadvantaged-community-loan-forgiveness-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microsoft.com/office/2007/relationships/hdphoto" Target="media/hdphoto2.wdp"/><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jen.durso@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aecde8-d9a1-4049-933e-9e2b7225d702">
      <Terms xmlns="http://schemas.microsoft.com/office/infopath/2007/PartnerControls"/>
    </lcf76f155ced4ddcb4097134ff3c332f>
    <TaxCatchAll xmlns="9aa0aac6-9572-464b-91c6-faa7c94d94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5" ma:contentTypeDescription="Create a new document." ma:contentTypeScope="" ma:versionID="db03ec8eb27dba2d80c5da74b2b674e9">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6d6cd4f97a796e628a205f5f15cbf8fe"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5DEC2-C520-4BF3-9DAF-D4B7A863353D}">
  <ds:schemaRefs>
    <ds:schemaRef ds:uri="http://schemas.openxmlformats.org/officeDocument/2006/bibliography"/>
  </ds:schemaRefs>
</ds:datastoreItem>
</file>

<file path=customXml/itemProps2.xml><?xml version="1.0" encoding="utf-8"?>
<ds:datastoreItem xmlns:ds="http://schemas.openxmlformats.org/officeDocument/2006/customXml" ds:itemID="{143B2FD6-9AA1-4D37-AF28-07462EDB5084}">
  <ds:schemaRefs>
    <ds:schemaRef ds:uri="http://schemas.microsoft.com/office/2006/metadata/properties"/>
    <ds:schemaRef ds:uri="http://schemas.microsoft.com/office/infopath/2007/PartnerControls"/>
    <ds:schemaRef ds:uri="d3aecde8-d9a1-4049-933e-9e2b7225d702"/>
    <ds:schemaRef ds:uri="9aa0aac6-9572-464b-91c6-faa7c94d9472"/>
  </ds:schemaRefs>
</ds:datastoreItem>
</file>

<file path=customXml/itemProps3.xml><?xml version="1.0" encoding="utf-8"?>
<ds:datastoreItem xmlns:ds="http://schemas.openxmlformats.org/officeDocument/2006/customXml" ds:itemID="{743DFEDA-E31E-4D49-9D77-06B25C834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ecde8-d9a1-4049-933e-9e2b7225d702"/>
    <ds:schemaRef ds:uri="9aa0aac6-9572-464b-91c6-faa7c94d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2A4E1-94FD-4268-9435-04C5FA7F6B7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Russian, Rhonda (DEP)</dc:creator>
  <cp:lastModifiedBy>Munster, Bridget (DEP)</cp:lastModifiedBy>
  <cp:revision>2</cp:revision>
  <cp:lastPrinted>2019-04-02T14:16:00Z</cp:lastPrinted>
  <dcterms:created xsi:type="dcterms:W3CDTF">2025-09-03T14:22:00Z</dcterms:created>
  <dcterms:modified xsi:type="dcterms:W3CDTF">2025-09-03T14:22:00Z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0x010100EC4DC73760088B44ABF93A5FB50D0363</vt:lpwstr>
  </property>
  <property fmtid="{D5CDD505-2E9C-101B-9397-08002B2CF9AE}" pid="3" name="MediaServiceImageTags">
    <vt:lpwstr/>
  </property>
</Properties>
</file>