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9B" w:rsidRDefault="0050459B" w:rsidP="0050459B">
      <w:pPr>
        <w:spacing w:after="200" w:line="276" w:lineRule="auto"/>
        <w:jc w:val="center"/>
        <w:rPr>
          <w:rFonts w:ascii="Times New Roman" w:hAnsi="Times New Roman"/>
          <w:b/>
          <w:smallCaps/>
          <w:sz w:val="36"/>
          <w:szCs w:val="24"/>
        </w:rPr>
      </w:pPr>
    </w:p>
    <w:p w:rsidR="006E6136" w:rsidRDefault="000557FD" w:rsidP="006E6136">
      <w:pPr>
        <w:spacing w:after="200" w:line="276" w:lineRule="auto"/>
        <w:jc w:val="center"/>
        <w:rPr>
          <w:rFonts w:ascii="Times New Roman" w:hAnsi="Times New Roman"/>
          <w:b/>
          <w:smallCaps/>
          <w:sz w:val="36"/>
          <w:szCs w:val="24"/>
        </w:rPr>
      </w:pPr>
      <w:r w:rsidRPr="00D56A9F">
        <w:rPr>
          <w:rFonts w:ascii="Times New Roman" w:hAnsi="Times New Roman"/>
          <w:b/>
          <w:smallCaps/>
          <w:noProof/>
          <w:sz w:val="36"/>
          <w:szCs w:val="24"/>
        </w:rPr>
        <mc:AlternateContent>
          <mc:Choice Requires="wps">
            <w:drawing>
              <wp:anchor distT="0" distB="0" distL="114300" distR="114300" simplePos="0" relativeHeight="251694080" behindDoc="1" locked="0" layoutInCell="1" allowOverlap="1" wp14:anchorId="5EA2EB85" wp14:editId="2B3239AA">
                <wp:simplePos x="0" y="0"/>
                <wp:positionH relativeFrom="column">
                  <wp:posOffset>-180975</wp:posOffset>
                </wp:positionH>
                <wp:positionV relativeFrom="paragraph">
                  <wp:posOffset>411480</wp:posOffset>
                </wp:positionV>
                <wp:extent cx="6350635" cy="353060"/>
                <wp:effectExtent l="0" t="0" r="12065" b="27940"/>
                <wp:wrapTight wrapText="bothSides">
                  <wp:wrapPolygon edited="0">
                    <wp:start x="0" y="0"/>
                    <wp:lineTo x="0" y="22144"/>
                    <wp:lineTo x="21576" y="22144"/>
                    <wp:lineTo x="2157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353060"/>
                        </a:xfrm>
                        <a:prstGeom prst="rect">
                          <a:avLst/>
                        </a:prstGeom>
                        <a:solidFill>
                          <a:srgbClr val="FFFFFF"/>
                        </a:solidFill>
                        <a:ln w="9525">
                          <a:solidFill>
                            <a:srgbClr val="0070C0"/>
                          </a:solidFill>
                          <a:miter lim="800000"/>
                          <a:headEnd/>
                          <a:tailEnd/>
                        </a:ln>
                      </wps:spPr>
                      <wps:txbx>
                        <w:txbxContent>
                          <w:p w:rsidR="009742A9" w:rsidRPr="00281AA5" w:rsidRDefault="009742A9" w:rsidP="000557FD">
                            <w:pPr>
                              <w:spacing w:after="200" w:line="276" w:lineRule="auto"/>
                              <w:jc w:val="center"/>
                              <w:rPr>
                                <w:rFonts w:ascii="Franklin Gothic Book" w:hAnsi="Franklin Gothic Book"/>
                                <w:color w:val="0070C0"/>
                                <w:sz w:val="40"/>
                                <w:szCs w:val="24"/>
                              </w:rPr>
                            </w:pPr>
                            <w:r w:rsidRPr="00281AA5">
                              <w:rPr>
                                <w:rFonts w:ascii="Franklin Gothic Book" w:hAnsi="Franklin Gothic Book"/>
                                <w:color w:val="0070C0"/>
                                <w:sz w:val="40"/>
                                <w:szCs w:val="24"/>
                              </w:rPr>
                              <w:t>Commonwealth of Massachusetts</w:t>
                            </w:r>
                          </w:p>
                          <w:p w:rsidR="009742A9" w:rsidRPr="00D56A9F" w:rsidRDefault="009742A9" w:rsidP="006E6136">
                            <w:pPr>
                              <w:spacing w:after="200" w:line="276" w:lineRule="auto"/>
                              <w:rPr>
                                <w:rFonts w:asciiTheme="minorHAnsi" w:hAnsiTheme="minorHAnsi"/>
                                <w:b/>
                                <w:smallCaps/>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32.4pt;width:500.05pt;height:2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" strokecolor="#0070c0">
                <v:textbox>
                  <w:txbxContent>
                    <w:p w:rsidR="009742A9" w:rsidRPr="00281AA5" w:rsidRDefault="009742A9" w:rsidP="000557FD">
                      <w:pPr>
                        <w:spacing w:after="200" w:line="276" w:lineRule="auto"/>
                        <w:jc w:val="center"/>
                        <w:rPr>
                          <w:rFonts w:ascii="Franklin Gothic Book" w:hAnsi="Franklin Gothic Book"/>
                          <w:color w:val="0070C0"/>
                          <w:sz w:val="40"/>
                          <w:szCs w:val="24"/>
                        </w:rPr>
                      </w:pPr>
                      <w:r w:rsidRPr="00281AA5">
                        <w:rPr>
                          <w:rFonts w:ascii="Franklin Gothic Book" w:hAnsi="Franklin Gothic Book"/>
                          <w:color w:val="0070C0"/>
                          <w:sz w:val="40"/>
                          <w:szCs w:val="24"/>
                        </w:rPr>
                        <w:t>Commonwealth of Massachusetts</w:t>
                      </w:r>
                    </w:p>
                    <w:p w:rsidR="009742A9" w:rsidRPr="00D56A9F" w:rsidRDefault="009742A9" w:rsidP="006E6136">
                      <w:pPr>
                        <w:spacing w:after="200" w:line="276" w:lineRule="auto"/>
                        <w:rPr>
                          <w:rFonts w:asciiTheme="minorHAnsi" w:hAnsiTheme="minorHAnsi"/>
                          <w:b/>
                          <w:smallCaps/>
                          <w:sz w:val="40"/>
                          <w:szCs w:val="24"/>
                        </w:rPr>
                      </w:pPr>
                    </w:p>
                  </w:txbxContent>
                </v:textbox>
                <w10:wrap type="tight"/>
              </v:shape>
            </w:pict>
          </mc:Fallback>
        </mc:AlternateContent>
      </w:r>
      <w:r w:rsidRPr="00987125">
        <w:rPr>
          <w:rFonts w:ascii="Antique Olive" w:hAnsi="Antique Olive"/>
          <w:smallCaps/>
          <w:noProof/>
          <w:sz w:val="56"/>
          <w:szCs w:val="24"/>
        </w:rPr>
        <mc:AlternateContent>
          <mc:Choice Requires="wps">
            <w:drawing>
              <wp:anchor distT="0" distB="0" distL="114300" distR="114300" simplePos="0" relativeHeight="251693056" behindDoc="1" locked="0" layoutInCell="1" allowOverlap="1" wp14:anchorId="71B70AB8" wp14:editId="16232DDB">
                <wp:simplePos x="0" y="0"/>
                <wp:positionH relativeFrom="column">
                  <wp:posOffset>-175260</wp:posOffset>
                </wp:positionH>
                <wp:positionV relativeFrom="paragraph">
                  <wp:posOffset>761365</wp:posOffset>
                </wp:positionV>
                <wp:extent cx="6345555" cy="1026795"/>
                <wp:effectExtent l="0" t="0" r="17145" b="20955"/>
                <wp:wrapTight wrapText="bothSides">
                  <wp:wrapPolygon edited="0">
                    <wp:start x="0" y="0"/>
                    <wp:lineTo x="0" y="21640"/>
                    <wp:lineTo x="21594" y="21640"/>
                    <wp:lineTo x="2159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1026795"/>
                        </a:xfrm>
                        <a:prstGeom prst="rect">
                          <a:avLst/>
                        </a:prstGeom>
                        <a:solidFill>
                          <a:srgbClr val="0070C0"/>
                        </a:solidFill>
                        <a:ln w="9525">
                          <a:solidFill>
                            <a:schemeClr val="accent1">
                              <a:lumMod val="75000"/>
                            </a:schemeClr>
                          </a:solidFill>
                          <a:miter lim="800000"/>
                          <a:headEnd/>
                          <a:tailEnd/>
                        </a:ln>
                      </wps:spPr>
                      <wps:txbx>
                        <w:txbxContent>
                          <w:p w:rsidR="009742A9" w:rsidRPr="000557FD" w:rsidRDefault="009742A9"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Special Commission on</w:t>
                            </w:r>
                          </w:p>
                          <w:p w:rsidR="009742A9" w:rsidRPr="000557FD" w:rsidRDefault="009742A9"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Local and Regional Public Health</w:t>
                            </w:r>
                          </w:p>
                          <w:p w:rsidR="009742A9" w:rsidRDefault="009742A9" w:rsidP="006E613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8pt;margin-top:59.95pt;width:499.65pt;height:8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" fillcolor="#0070c0" strokecolor="#365f91 [2404]">
                <v:textbox>
                  <w:txbxContent>
                    <w:p w:rsidR="009742A9" w:rsidRPr="000557FD" w:rsidRDefault="009742A9"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Special Commission on</w:t>
                      </w:r>
                    </w:p>
                    <w:p w:rsidR="009742A9" w:rsidRPr="000557FD" w:rsidRDefault="009742A9" w:rsidP="000557FD">
                      <w:pPr>
                        <w:pStyle w:val="NoSpacing"/>
                        <w:jc w:val="center"/>
                        <w:rPr>
                          <w:rFonts w:ascii="Franklin Gothic Book" w:hAnsi="Franklin Gothic Book"/>
                          <w:smallCaps/>
                          <w:color w:val="FFFFFF" w:themeColor="background1"/>
                          <w:sz w:val="64"/>
                          <w:szCs w:val="64"/>
                        </w:rPr>
                      </w:pPr>
                      <w:r w:rsidRPr="000557FD">
                        <w:rPr>
                          <w:rFonts w:ascii="Franklin Gothic Book" w:hAnsi="Franklin Gothic Book"/>
                          <w:smallCaps/>
                          <w:color w:val="FFFFFF" w:themeColor="background1"/>
                          <w:sz w:val="64"/>
                          <w:szCs w:val="64"/>
                        </w:rPr>
                        <w:t>Local and Regional Public Health</w:t>
                      </w:r>
                    </w:p>
                    <w:p w:rsidR="009742A9" w:rsidRDefault="009742A9" w:rsidP="006E6136">
                      <w:pPr>
                        <w:pStyle w:val="NoSpacing"/>
                      </w:pPr>
                    </w:p>
                  </w:txbxContent>
                </v:textbox>
                <w10:wrap type="tight"/>
              </v:shape>
            </w:pict>
          </mc:Fallback>
        </mc:AlternateContent>
      </w:r>
    </w:p>
    <w:p w:rsidR="006E6136" w:rsidRDefault="006E6136" w:rsidP="006E6136">
      <w:pPr>
        <w:spacing w:after="200" w:line="276" w:lineRule="auto"/>
        <w:jc w:val="center"/>
        <w:rPr>
          <w:rFonts w:ascii="Times New Roman" w:hAnsi="Times New Roman"/>
          <w:b/>
          <w:smallCaps/>
          <w:sz w:val="36"/>
          <w:szCs w:val="24"/>
        </w:rPr>
      </w:pPr>
    </w:p>
    <w:p w:rsidR="006E6136" w:rsidRDefault="00281AA5" w:rsidP="006E6136">
      <w:pPr>
        <w:spacing w:after="200" w:line="276" w:lineRule="auto"/>
        <w:jc w:val="center"/>
        <w:rPr>
          <w:rFonts w:ascii="Antique Olive" w:hAnsi="Antique Olive"/>
          <w:smallCaps/>
          <w:sz w:val="56"/>
          <w:szCs w:val="24"/>
        </w:rPr>
      </w:pPr>
      <w:r w:rsidRPr="00D56A9F">
        <w:rPr>
          <w:rFonts w:ascii="Antique Olive" w:hAnsi="Antique Olive"/>
          <w:smallCaps/>
          <w:noProof/>
          <w:sz w:val="72"/>
          <w:szCs w:val="24"/>
        </w:rPr>
        <mc:AlternateContent>
          <mc:Choice Requires="wps">
            <w:drawing>
              <wp:anchor distT="0" distB="0" distL="114300" distR="114300" simplePos="0" relativeHeight="251689984" behindDoc="1" locked="0" layoutInCell="1" allowOverlap="1" wp14:anchorId="221656E9" wp14:editId="4E10E496">
                <wp:simplePos x="0" y="0"/>
                <wp:positionH relativeFrom="column">
                  <wp:posOffset>1636395</wp:posOffset>
                </wp:positionH>
                <wp:positionV relativeFrom="paragraph">
                  <wp:posOffset>325755</wp:posOffset>
                </wp:positionV>
                <wp:extent cx="2661285" cy="533400"/>
                <wp:effectExtent l="0" t="0" r="24765" b="19050"/>
                <wp:wrapTight wrapText="bothSides">
                  <wp:wrapPolygon edited="0">
                    <wp:start x="0" y="0"/>
                    <wp:lineTo x="0" y="21600"/>
                    <wp:lineTo x="21646" y="21600"/>
                    <wp:lineTo x="21646"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33400"/>
                        </a:xfrm>
                        <a:prstGeom prst="rect">
                          <a:avLst/>
                        </a:prstGeom>
                        <a:solidFill>
                          <a:srgbClr val="0070C0"/>
                        </a:solidFill>
                        <a:ln w="9525">
                          <a:solidFill>
                            <a:srgbClr val="0070C0"/>
                          </a:solidFill>
                          <a:miter lim="800000"/>
                          <a:headEnd/>
                          <a:tailEnd/>
                        </a:ln>
                      </wps:spPr>
                      <wps:txbx>
                        <w:txbxContent>
                          <w:p w:rsidR="009742A9" w:rsidRPr="0020704D" w:rsidRDefault="009742A9" w:rsidP="000557FD">
                            <w:pPr>
                              <w:spacing w:after="200" w:line="276" w:lineRule="auto"/>
                              <w:jc w:val="center"/>
                              <w:rPr>
                                <w:rFonts w:ascii="Franklin Gothic Book" w:hAnsi="Franklin Gothic Book"/>
                                <w:smallCaps/>
                                <w:color w:val="FFFFFF" w:themeColor="background1"/>
                                <w:sz w:val="64"/>
                                <w:szCs w:val="64"/>
                              </w:rPr>
                            </w:pPr>
                            <w:r w:rsidRPr="0020704D">
                              <w:rPr>
                                <w:rFonts w:ascii="Franklin Gothic Book" w:hAnsi="Franklin Gothic Book"/>
                                <w:smallCaps/>
                                <w:color w:val="FFFFFF" w:themeColor="background1"/>
                                <w:sz w:val="64"/>
                                <w:szCs w:val="64"/>
                              </w:rPr>
                              <w:t>Status Report</w:t>
                            </w:r>
                          </w:p>
                          <w:p w:rsidR="009742A9" w:rsidRDefault="009742A9" w:rsidP="006E6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8.85pt;margin-top:25.65pt;width:209.55pt;height: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" fillcolor="#0070c0" strokecolor="#0070c0">
                <v:textbox>
                  <w:txbxContent>
                    <w:p w:rsidR="009742A9" w:rsidRPr="0020704D" w:rsidRDefault="009742A9" w:rsidP="000557FD">
                      <w:pPr>
                        <w:spacing w:after="200" w:line="276" w:lineRule="auto"/>
                        <w:jc w:val="center"/>
                        <w:rPr>
                          <w:rFonts w:ascii="Franklin Gothic Book" w:hAnsi="Franklin Gothic Book"/>
                          <w:smallCaps/>
                          <w:color w:val="FFFFFF" w:themeColor="background1"/>
                          <w:sz w:val="64"/>
                          <w:szCs w:val="64"/>
                        </w:rPr>
                      </w:pPr>
                      <w:r w:rsidRPr="0020704D">
                        <w:rPr>
                          <w:rFonts w:ascii="Franklin Gothic Book" w:hAnsi="Franklin Gothic Book"/>
                          <w:smallCaps/>
                          <w:color w:val="FFFFFF" w:themeColor="background1"/>
                          <w:sz w:val="64"/>
                          <w:szCs w:val="64"/>
                        </w:rPr>
                        <w:t>Status Report</w:t>
                      </w:r>
                    </w:p>
                    <w:p w:rsidR="009742A9" w:rsidRDefault="009742A9" w:rsidP="006E6136"/>
                  </w:txbxContent>
                </v:textbox>
                <w10:wrap type="tight"/>
              </v:shape>
            </w:pict>
          </mc:Fallback>
        </mc:AlternateContent>
      </w:r>
    </w:p>
    <w:p w:rsidR="006E6136" w:rsidRDefault="00281AA5" w:rsidP="006E6136">
      <w:pPr>
        <w:spacing w:after="200" w:line="276" w:lineRule="auto"/>
        <w:jc w:val="center"/>
        <w:rPr>
          <w:rFonts w:ascii="Antique Olive" w:hAnsi="Antique Olive"/>
          <w:smallCaps/>
          <w:sz w:val="56"/>
          <w:szCs w:val="24"/>
        </w:rPr>
      </w:pPr>
      <w:r w:rsidRPr="00D56A9F">
        <w:rPr>
          <w:rFonts w:ascii="Times New Roman" w:hAnsi="Times New Roman"/>
          <w:b/>
          <w:smallCaps/>
          <w:noProof/>
          <w:sz w:val="36"/>
          <w:szCs w:val="24"/>
        </w:rPr>
        <mc:AlternateContent>
          <mc:Choice Requires="wps">
            <w:drawing>
              <wp:anchor distT="0" distB="0" distL="114300" distR="114300" simplePos="0" relativeHeight="251691008" behindDoc="1" locked="0" layoutInCell="1" allowOverlap="1" wp14:anchorId="4927CB13" wp14:editId="16A67989">
                <wp:simplePos x="0" y="0"/>
                <wp:positionH relativeFrom="column">
                  <wp:posOffset>1639570</wp:posOffset>
                </wp:positionH>
                <wp:positionV relativeFrom="paragraph">
                  <wp:posOffset>202565</wp:posOffset>
                </wp:positionV>
                <wp:extent cx="2652395" cy="409575"/>
                <wp:effectExtent l="0" t="0" r="14605" b="28575"/>
                <wp:wrapTight wrapText="bothSides">
                  <wp:wrapPolygon edited="0">
                    <wp:start x="0" y="0"/>
                    <wp:lineTo x="0" y="22102"/>
                    <wp:lineTo x="21564" y="22102"/>
                    <wp:lineTo x="21564"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409575"/>
                        </a:xfrm>
                        <a:prstGeom prst="rect">
                          <a:avLst/>
                        </a:prstGeom>
                        <a:solidFill>
                          <a:srgbClr val="FFFFFF"/>
                        </a:solidFill>
                        <a:ln w="9525">
                          <a:solidFill>
                            <a:srgbClr val="0070C0"/>
                          </a:solidFill>
                          <a:miter lim="800000"/>
                          <a:headEnd/>
                          <a:tailEnd/>
                        </a:ln>
                      </wps:spPr>
                      <wps:txbx>
                        <w:txbxContent>
                          <w:p w:rsidR="009742A9" w:rsidRPr="00281AA5" w:rsidRDefault="009742A9" w:rsidP="000557FD">
                            <w:pPr>
                              <w:spacing w:after="200" w:line="276" w:lineRule="auto"/>
                              <w:jc w:val="center"/>
                              <w:rPr>
                                <w:rFonts w:ascii="Antique Olive" w:hAnsi="Antique Olive"/>
                                <w:color w:val="0070C0"/>
                                <w:sz w:val="40"/>
                                <w:szCs w:val="40"/>
                              </w:rPr>
                            </w:pPr>
                            <w:r w:rsidRPr="00281AA5">
                              <w:rPr>
                                <w:rFonts w:ascii="Antique Olive" w:hAnsi="Antique Olive"/>
                                <w:color w:val="0070C0"/>
                                <w:sz w:val="40"/>
                                <w:szCs w:val="40"/>
                              </w:rPr>
                              <w:t>May 2018</w:t>
                            </w:r>
                          </w:p>
                          <w:p w:rsidR="009742A9" w:rsidRPr="00D56A9F" w:rsidRDefault="009742A9" w:rsidP="006E6136">
                            <w:pPr>
                              <w:spacing w:after="200" w:line="276" w:lineRule="auto"/>
                              <w:jc w:val="right"/>
                              <w:rPr>
                                <w:rFonts w:asciiTheme="minorHAnsi" w:hAnsiTheme="minorHAnsi"/>
                                <w:b/>
                                <w:smallCaps/>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9.1pt;margin-top:15.95pt;width:208.85pt;height:3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" strokecolor="#0070c0">
                <v:textbox>
                  <w:txbxContent>
                    <w:p w:rsidR="009742A9" w:rsidRPr="00281AA5" w:rsidRDefault="009742A9" w:rsidP="000557FD">
                      <w:pPr>
                        <w:spacing w:after="200" w:line="276" w:lineRule="auto"/>
                        <w:jc w:val="center"/>
                        <w:rPr>
                          <w:rFonts w:ascii="Antique Olive" w:hAnsi="Antique Olive"/>
                          <w:color w:val="0070C0"/>
                          <w:sz w:val="40"/>
                          <w:szCs w:val="40"/>
                        </w:rPr>
                      </w:pPr>
                      <w:r w:rsidRPr="00281AA5">
                        <w:rPr>
                          <w:rFonts w:ascii="Antique Olive" w:hAnsi="Antique Olive"/>
                          <w:color w:val="0070C0"/>
                          <w:sz w:val="40"/>
                          <w:szCs w:val="40"/>
                        </w:rPr>
                        <w:t>May 2018</w:t>
                      </w:r>
                    </w:p>
                    <w:p w:rsidR="009742A9" w:rsidRPr="00D56A9F" w:rsidRDefault="009742A9" w:rsidP="006E6136">
                      <w:pPr>
                        <w:spacing w:after="200" w:line="276" w:lineRule="auto"/>
                        <w:jc w:val="right"/>
                        <w:rPr>
                          <w:rFonts w:asciiTheme="minorHAnsi" w:hAnsiTheme="minorHAnsi"/>
                          <w:b/>
                          <w:smallCaps/>
                          <w:sz w:val="40"/>
                          <w:szCs w:val="24"/>
                        </w:rPr>
                      </w:pPr>
                    </w:p>
                  </w:txbxContent>
                </v:textbox>
                <w10:wrap type="tight"/>
              </v:shape>
            </w:pict>
          </mc:Fallback>
        </mc:AlternateContent>
      </w: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line="276" w:lineRule="auto"/>
        <w:jc w:val="center"/>
        <w:rPr>
          <w:rFonts w:ascii="Antique Olive" w:hAnsi="Antique Olive"/>
          <w:smallCaps/>
          <w:sz w:val="56"/>
          <w:szCs w:val="24"/>
        </w:rPr>
      </w:pPr>
    </w:p>
    <w:p w:rsidR="006E6136" w:rsidRDefault="006E6136" w:rsidP="006E6136">
      <w:pPr>
        <w:spacing w:line="276" w:lineRule="auto"/>
        <w:jc w:val="center"/>
        <w:rPr>
          <w:rFonts w:ascii="Antique Olive" w:hAnsi="Antique Olive"/>
          <w:smallCaps/>
          <w:sz w:val="56"/>
          <w:szCs w:val="24"/>
        </w:rPr>
      </w:pPr>
    </w:p>
    <w:p w:rsidR="006E6136" w:rsidRDefault="006E6136" w:rsidP="006E6136">
      <w:pPr>
        <w:spacing w:line="276" w:lineRule="auto"/>
        <w:jc w:val="center"/>
        <w:rPr>
          <w:rFonts w:ascii="Antique Olive" w:hAnsi="Antique Olive"/>
          <w:sz w:val="24"/>
          <w:szCs w:val="24"/>
        </w:rPr>
      </w:pPr>
      <w:r>
        <w:rPr>
          <w:rFonts w:ascii="Antique Olive" w:hAnsi="Antique Olive"/>
          <w:sz w:val="24"/>
          <w:szCs w:val="24"/>
        </w:rPr>
        <w:t>Prepared by</w:t>
      </w:r>
    </w:p>
    <w:p w:rsidR="006E6136" w:rsidRDefault="006E6136" w:rsidP="006E6136">
      <w:pPr>
        <w:spacing w:line="276" w:lineRule="auto"/>
        <w:jc w:val="center"/>
        <w:rPr>
          <w:rFonts w:ascii="Antique Olive" w:hAnsi="Antique Olive"/>
          <w:sz w:val="24"/>
          <w:szCs w:val="24"/>
        </w:rPr>
      </w:pPr>
      <w:r>
        <w:rPr>
          <w:rFonts w:ascii="Antique Olive" w:hAnsi="Antique Olive"/>
          <w:sz w:val="24"/>
          <w:szCs w:val="24"/>
        </w:rPr>
        <w:t xml:space="preserve">Massachusetts Department of Public Health </w:t>
      </w:r>
    </w:p>
    <w:p w:rsidR="006E6136" w:rsidRDefault="004A1855" w:rsidP="006E6136">
      <w:pPr>
        <w:spacing w:line="276" w:lineRule="auto"/>
        <w:jc w:val="center"/>
        <w:rPr>
          <w:rFonts w:ascii="Antique Olive" w:hAnsi="Antique Olive"/>
          <w:sz w:val="24"/>
          <w:szCs w:val="24"/>
        </w:rPr>
      </w:pPr>
      <w:proofErr w:type="gramStart"/>
      <w:r>
        <w:rPr>
          <w:rFonts w:ascii="Antique Olive" w:hAnsi="Antique Olive"/>
          <w:sz w:val="24"/>
          <w:szCs w:val="24"/>
        </w:rPr>
        <w:t>f</w:t>
      </w:r>
      <w:r w:rsidR="006E6136">
        <w:rPr>
          <w:rFonts w:ascii="Antique Olive" w:hAnsi="Antique Olive"/>
          <w:sz w:val="24"/>
          <w:szCs w:val="24"/>
        </w:rPr>
        <w:t>or</w:t>
      </w:r>
      <w:proofErr w:type="gramEnd"/>
      <w:r w:rsidR="006E6136">
        <w:rPr>
          <w:rFonts w:ascii="Antique Olive" w:hAnsi="Antique Olive"/>
          <w:sz w:val="24"/>
          <w:szCs w:val="24"/>
        </w:rPr>
        <w:t xml:space="preserve"> the</w:t>
      </w:r>
    </w:p>
    <w:p w:rsidR="006E6136" w:rsidRPr="006E6136" w:rsidRDefault="006E6136" w:rsidP="006E6136">
      <w:pPr>
        <w:spacing w:line="276" w:lineRule="auto"/>
        <w:jc w:val="center"/>
        <w:rPr>
          <w:rFonts w:ascii="Antique Olive" w:hAnsi="Antique Olive"/>
          <w:sz w:val="24"/>
          <w:szCs w:val="24"/>
        </w:rPr>
      </w:pPr>
      <w:r>
        <w:rPr>
          <w:rFonts w:ascii="Antique Olive" w:hAnsi="Antique Olive"/>
          <w:sz w:val="24"/>
          <w:szCs w:val="24"/>
        </w:rPr>
        <w:t>Special Commission on Local and Regional Public Health</w:t>
      </w: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after="200" w:line="276" w:lineRule="auto"/>
        <w:jc w:val="center"/>
        <w:rPr>
          <w:rFonts w:ascii="Antique Olive" w:hAnsi="Antique Olive"/>
          <w:smallCaps/>
          <w:sz w:val="56"/>
          <w:szCs w:val="24"/>
        </w:rPr>
      </w:pPr>
    </w:p>
    <w:p w:rsidR="006E6136" w:rsidRDefault="006E6136" w:rsidP="006E6136">
      <w:pPr>
        <w:spacing w:after="200" w:line="276" w:lineRule="auto"/>
        <w:rPr>
          <w:rFonts w:ascii="Antique Olive" w:hAnsi="Antique Olive"/>
          <w:b/>
          <w:smallCaps/>
          <w:color w:val="FF0000"/>
          <w:sz w:val="28"/>
          <w:szCs w:val="28"/>
        </w:rPr>
      </w:pPr>
    </w:p>
    <w:p w:rsidR="006E6136" w:rsidRPr="00F57938" w:rsidRDefault="006E6136" w:rsidP="006E6136">
      <w:pPr>
        <w:spacing w:after="200" w:line="276" w:lineRule="auto"/>
        <w:rPr>
          <w:rFonts w:ascii="Antique Olive" w:hAnsi="Antique Olive"/>
          <w:b/>
          <w:smallCaps/>
          <w:color w:val="FF0000"/>
          <w:sz w:val="28"/>
          <w:szCs w:val="28"/>
        </w:rPr>
      </w:pPr>
    </w:p>
    <w:p w:rsidR="006E6136" w:rsidRDefault="006E6136" w:rsidP="006E6136">
      <w:pPr>
        <w:spacing w:after="200" w:line="276" w:lineRule="auto"/>
        <w:jc w:val="center"/>
        <w:rPr>
          <w:rFonts w:asciiTheme="minorHAnsi" w:hAnsiTheme="minorHAnsi"/>
          <w:b/>
          <w:sz w:val="28"/>
          <w:szCs w:val="24"/>
        </w:rPr>
      </w:pPr>
    </w:p>
    <w:p w:rsidR="006E6136" w:rsidRDefault="006E6136" w:rsidP="006E6136">
      <w:pPr>
        <w:spacing w:after="200" w:line="276" w:lineRule="auto"/>
        <w:jc w:val="center"/>
        <w:rPr>
          <w:rFonts w:asciiTheme="minorHAnsi" w:hAnsiTheme="minorHAnsi"/>
          <w:b/>
          <w:sz w:val="28"/>
          <w:szCs w:val="24"/>
        </w:rPr>
      </w:pPr>
    </w:p>
    <w:p w:rsidR="006E6136" w:rsidRDefault="006E6136" w:rsidP="006E6136">
      <w:pPr>
        <w:spacing w:after="200" w:line="276" w:lineRule="auto"/>
        <w:jc w:val="center"/>
        <w:rPr>
          <w:rFonts w:asciiTheme="minorHAnsi" w:hAnsiTheme="minorHAnsi"/>
          <w:b/>
          <w:sz w:val="28"/>
          <w:szCs w:val="24"/>
        </w:rPr>
      </w:pPr>
    </w:p>
    <w:p w:rsidR="006E6136" w:rsidRDefault="006E6136" w:rsidP="006E6136">
      <w:pPr>
        <w:spacing w:after="200" w:line="276" w:lineRule="auto"/>
        <w:jc w:val="center"/>
        <w:rPr>
          <w:rFonts w:asciiTheme="minorHAnsi" w:hAnsiTheme="minorHAnsi"/>
          <w:b/>
          <w:sz w:val="28"/>
          <w:szCs w:val="24"/>
        </w:rPr>
      </w:pPr>
    </w:p>
    <w:p w:rsidR="006E6136" w:rsidRPr="00F57938" w:rsidRDefault="006E6136" w:rsidP="006E6136">
      <w:pPr>
        <w:spacing w:after="200" w:line="276" w:lineRule="auto"/>
        <w:jc w:val="center"/>
        <w:rPr>
          <w:rFonts w:asciiTheme="minorHAnsi" w:hAnsiTheme="minorHAnsi"/>
          <w:b/>
          <w:sz w:val="28"/>
          <w:szCs w:val="24"/>
        </w:rPr>
      </w:pPr>
      <w:r w:rsidRPr="00F57938">
        <w:rPr>
          <w:rFonts w:asciiTheme="minorHAnsi" w:hAnsiTheme="minorHAnsi"/>
          <w:b/>
          <w:sz w:val="28"/>
          <w:szCs w:val="24"/>
        </w:rPr>
        <w:t>Page intentionally left blank</w:t>
      </w:r>
    </w:p>
    <w:p w:rsidR="0050459B" w:rsidRPr="0050459B" w:rsidRDefault="0050459B" w:rsidP="0050459B">
      <w:pPr>
        <w:spacing w:after="200" w:line="276" w:lineRule="auto"/>
        <w:jc w:val="center"/>
        <w:rPr>
          <w:rFonts w:asciiTheme="majorHAnsi" w:hAnsiTheme="majorHAnsi"/>
          <w:b/>
          <w:smallCaps/>
          <w:sz w:val="28"/>
          <w:szCs w:val="24"/>
        </w:rPr>
      </w:pPr>
      <w:r w:rsidRPr="0050459B">
        <w:rPr>
          <w:rFonts w:asciiTheme="majorHAnsi" w:hAnsiTheme="majorHAnsi"/>
          <w:b/>
          <w:smallCaps/>
          <w:sz w:val="28"/>
          <w:szCs w:val="24"/>
        </w:rPr>
        <w:br w:type="page"/>
      </w:r>
    </w:p>
    <w:sdt>
      <w:sdtPr>
        <w:rPr>
          <w:rFonts w:ascii="Calibri" w:eastAsiaTheme="minorHAnsi" w:hAnsi="Calibri" w:cs="Times New Roman"/>
          <w:b w:val="0"/>
          <w:bCs w:val="0"/>
          <w:color w:val="auto"/>
          <w:sz w:val="22"/>
          <w:szCs w:val="22"/>
          <w:lang w:eastAsia="en-US"/>
        </w:rPr>
        <w:id w:val="-1953614669"/>
        <w:docPartObj>
          <w:docPartGallery w:val="Table of Contents"/>
          <w:docPartUnique/>
        </w:docPartObj>
      </w:sdtPr>
      <w:sdtEndPr>
        <w:rPr>
          <w:noProof/>
        </w:rPr>
      </w:sdtEndPr>
      <w:sdtContent>
        <w:p w:rsidR="00734D36" w:rsidRDefault="00734D36">
          <w:pPr>
            <w:pStyle w:val="TOCHeading"/>
          </w:pPr>
        </w:p>
        <w:p w:rsidR="00734D36" w:rsidRDefault="00734D36">
          <w:pPr>
            <w:pStyle w:val="TOCHeading"/>
          </w:pPr>
          <w:r>
            <w:t>Table of Contents</w:t>
          </w:r>
        </w:p>
        <w:p w:rsidR="00734D36" w:rsidRDefault="00734D36" w:rsidP="00161C9B">
          <w:pPr>
            <w:pStyle w:val="TOC1"/>
          </w:pPr>
        </w:p>
        <w:p w:rsidR="00BD3C7C" w:rsidRDefault="00734D36">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514334029" w:history="1">
            <w:r w:rsidR="00BD3C7C" w:rsidRPr="002B4553">
              <w:rPr>
                <w:rStyle w:val="Hyperlink"/>
              </w:rPr>
              <w:t>Commission Members (As of May 4, 2018)</w:t>
            </w:r>
            <w:r w:rsidR="00BD3C7C">
              <w:rPr>
                <w:webHidden/>
              </w:rPr>
              <w:tab/>
            </w:r>
            <w:r w:rsidR="00BD3C7C">
              <w:rPr>
                <w:webHidden/>
              </w:rPr>
              <w:fldChar w:fldCharType="begin"/>
            </w:r>
            <w:r w:rsidR="00BD3C7C">
              <w:rPr>
                <w:webHidden/>
              </w:rPr>
              <w:instrText xml:space="preserve"> PAGEREF _Toc514334029 \h </w:instrText>
            </w:r>
            <w:r w:rsidR="00BD3C7C">
              <w:rPr>
                <w:webHidden/>
              </w:rPr>
            </w:r>
            <w:r w:rsidR="00BD3C7C">
              <w:rPr>
                <w:webHidden/>
              </w:rPr>
              <w:fldChar w:fldCharType="separate"/>
            </w:r>
            <w:r w:rsidR="001F11B2">
              <w:rPr>
                <w:webHidden/>
              </w:rPr>
              <w:t>4</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0" w:history="1">
            <w:r w:rsidR="00BD3C7C" w:rsidRPr="002B4553">
              <w:rPr>
                <w:rStyle w:val="Hyperlink"/>
                <w:shd w:val="clear" w:color="auto" w:fill="FFFFFF"/>
              </w:rPr>
              <w:t>Introduction</w:t>
            </w:r>
            <w:r w:rsidR="00BD3C7C">
              <w:rPr>
                <w:webHidden/>
              </w:rPr>
              <w:tab/>
            </w:r>
            <w:r w:rsidR="00BD3C7C">
              <w:rPr>
                <w:webHidden/>
              </w:rPr>
              <w:fldChar w:fldCharType="begin"/>
            </w:r>
            <w:r w:rsidR="00BD3C7C">
              <w:rPr>
                <w:webHidden/>
              </w:rPr>
              <w:instrText xml:space="preserve"> PAGEREF _Toc514334030 \h </w:instrText>
            </w:r>
            <w:r w:rsidR="00BD3C7C">
              <w:rPr>
                <w:webHidden/>
              </w:rPr>
            </w:r>
            <w:r w:rsidR="00BD3C7C">
              <w:rPr>
                <w:webHidden/>
              </w:rPr>
              <w:fldChar w:fldCharType="separate"/>
            </w:r>
            <w:r>
              <w:rPr>
                <w:webHidden/>
              </w:rPr>
              <w:t>5</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1" w:history="1">
            <w:r w:rsidR="00BD3C7C" w:rsidRPr="002B4553">
              <w:rPr>
                <w:rStyle w:val="Hyperlink"/>
                <w:shd w:val="clear" w:color="auto" w:fill="FFFFFF"/>
              </w:rPr>
              <w:t>National Perspective on Public Health</w:t>
            </w:r>
            <w:r w:rsidR="00BD3C7C">
              <w:rPr>
                <w:webHidden/>
              </w:rPr>
              <w:tab/>
            </w:r>
            <w:r w:rsidR="00BD3C7C">
              <w:rPr>
                <w:webHidden/>
              </w:rPr>
              <w:fldChar w:fldCharType="begin"/>
            </w:r>
            <w:r w:rsidR="00BD3C7C">
              <w:rPr>
                <w:webHidden/>
              </w:rPr>
              <w:instrText xml:space="preserve"> PAGEREF _Toc514334031 \h </w:instrText>
            </w:r>
            <w:r w:rsidR="00BD3C7C">
              <w:rPr>
                <w:webHidden/>
              </w:rPr>
            </w:r>
            <w:r w:rsidR="00BD3C7C">
              <w:rPr>
                <w:webHidden/>
              </w:rPr>
              <w:fldChar w:fldCharType="separate"/>
            </w:r>
            <w:r>
              <w:rPr>
                <w:webHidden/>
              </w:rPr>
              <w:t>6</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2" w:history="1">
            <w:r w:rsidR="00BD3C7C" w:rsidRPr="002B4553">
              <w:rPr>
                <w:rStyle w:val="Hyperlink"/>
              </w:rPr>
              <w:t>Massachusetts Perspective on Local Public Health</w:t>
            </w:r>
            <w:r w:rsidR="00BD3C7C">
              <w:rPr>
                <w:webHidden/>
              </w:rPr>
              <w:tab/>
            </w:r>
            <w:r w:rsidR="00BD3C7C">
              <w:rPr>
                <w:webHidden/>
              </w:rPr>
              <w:fldChar w:fldCharType="begin"/>
            </w:r>
            <w:r w:rsidR="00BD3C7C">
              <w:rPr>
                <w:webHidden/>
              </w:rPr>
              <w:instrText xml:space="preserve"> PAGEREF _Toc514334032 \h </w:instrText>
            </w:r>
            <w:r w:rsidR="00BD3C7C">
              <w:rPr>
                <w:webHidden/>
              </w:rPr>
            </w:r>
            <w:r w:rsidR="00BD3C7C">
              <w:rPr>
                <w:webHidden/>
              </w:rPr>
              <w:fldChar w:fldCharType="separate"/>
            </w:r>
            <w:r>
              <w:rPr>
                <w:webHidden/>
              </w:rPr>
              <w:t>9</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3" w:history="1">
            <w:r w:rsidR="00BD3C7C" w:rsidRPr="002B4553">
              <w:rPr>
                <w:rStyle w:val="Hyperlink"/>
              </w:rPr>
              <w:t>Special Commission on Local and Regional Public Health</w:t>
            </w:r>
            <w:r w:rsidR="00BD3C7C">
              <w:rPr>
                <w:webHidden/>
              </w:rPr>
              <w:tab/>
            </w:r>
            <w:r w:rsidR="00BD3C7C">
              <w:rPr>
                <w:webHidden/>
              </w:rPr>
              <w:fldChar w:fldCharType="begin"/>
            </w:r>
            <w:r w:rsidR="00BD3C7C">
              <w:rPr>
                <w:webHidden/>
              </w:rPr>
              <w:instrText xml:space="preserve"> PAGEREF _Toc514334033 \h </w:instrText>
            </w:r>
            <w:r w:rsidR="00BD3C7C">
              <w:rPr>
                <w:webHidden/>
              </w:rPr>
            </w:r>
            <w:r w:rsidR="00BD3C7C">
              <w:rPr>
                <w:webHidden/>
              </w:rPr>
              <w:fldChar w:fldCharType="separate"/>
            </w:r>
            <w:r>
              <w:rPr>
                <w:webHidden/>
              </w:rPr>
              <w:t>11</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4" w:history="1">
            <w:r w:rsidR="00BD3C7C" w:rsidRPr="002B4553">
              <w:rPr>
                <w:rStyle w:val="Hyperlink"/>
                <w:rFonts w:eastAsia="Times New Roman"/>
              </w:rPr>
              <w:t>Progress on Commission Charge</w:t>
            </w:r>
            <w:r w:rsidR="00BD3C7C">
              <w:rPr>
                <w:webHidden/>
              </w:rPr>
              <w:tab/>
            </w:r>
            <w:r w:rsidR="00BD3C7C">
              <w:rPr>
                <w:webHidden/>
              </w:rPr>
              <w:fldChar w:fldCharType="begin"/>
            </w:r>
            <w:r w:rsidR="00BD3C7C">
              <w:rPr>
                <w:webHidden/>
              </w:rPr>
              <w:instrText xml:space="preserve"> PAGEREF _Toc514334034 \h </w:instrText>
            </w:r>
            <w:r w:rsidR="00BD3C7C">
              <w:rPr>
                <w:webHidden/>
              </w:rPr>
            </w:r>
            <w:r w:rsidR="00BD3C7C">
              <w:rPr>
                <w:webHidden/>
              </w:rPr>
              <w:fldChar w:fldCharType="separate"/>
            </w:r>
            <w:r>
              <w:rPr>
                <w:webHidden/>
              </w:rPr>
              <w:t>13</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5" w:history="1">
            <w:r w:rsidR="00BD3C7C" w:rsidRPr="002B4553">
              <w:rPr>
                <w:rStyle w:val="Hyperlink"/>
              </w:rPr>
              <w:t>Plans for Stakeholder Engagement and Public Input</w:t>
            </w:r>
            <w:r w:rsidR="00BD3C7C">
              <w:rPr>
                <w:webHidden/>
              </w:rPr>
              <w:tab/>
            </w:r>
            <w:r w:rsidR="00BD3C7C">
              <w:rPr>
                <w:webHidden/>
              </w:rPr>
              <w:fldChar w:fldCharType="begin"/>
            </w:r>
            <w:r w:rsidR="00BD3C7C">
              <w:rPr>
                <w:webHidden/>
              </w:rPr>
              <w:instrText xml:space="preserve"> PAGEREF _Toc514334035 \h </w:instrText>
            </w:r>
            <w:r w:rsidR="00BD3C7C">
              <w:rPr>
                <w:webHidden/>
              </w:rPr>
            </w:r>
            <w:r w:rsidR="00BD3C7C">
              <w:rPr>
                <w:webHidden/>
              </w:rPr>
              <w:fldChar w:fldCharType="separate"/>
            </w:r>
            <w:r>
              <w:rPr>
                <w:webHidden/>
              </w:rPr>
              <w:t>26</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6" w:history="1">
            <w:r w:rsidR="00BD3C7C" w:rsidRPr="002B4553">
              <w:rPr>
                <w:rStyle w:val="Hyperlink"/>
              </w:rPr>
              <w:t>Commission Final Report</w:t>
            </w:r>
            <w:r w:rsidR="00BD3C7C">
              <w:rPr>
                <w:webHidden/>
              </w:rPr>
              <w:tab/>
            </w:r>
            <w:r w:rsidR="00BD3C7C">
              <w:rPr>
                <w:webHidden/>
              </w:rPr>
              <w:fldChar w:fldCharType="begin"/>
            </w:r>
            <w:r w:rsidR="00BD3C7C">
              <w:rPr>
                <w:webHidden/>
              </w:rPr>
              <w:instrText xml:space="preserve"> PAGEREF _Toc514334036 \h </w:instrText>
            </w:r>
            <w:r w:rsidR="00BD3C7C">
              <w:rPr>
                <w:webHidden/>
              </w:rPr>
            </w:r>
            <w:r w:rsidR="00BD3C7C">
              <w:rPr>
                <w:webHidden/>
              </w:rPr>
              <w:fldChar w:fldCharType="separate"/>
            </w:r>
            <w:r>
              <w:rPr>
                <w:webHidden/>
              </w:rPr>
              <w:t>26</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7" w:history="1">
            <w:r w:rsidR="00BD3C7C" w:rsidRPr="002B4553">
              <w:rPr>
                <w:rStyle w:val="Hyperlink"/>
              </w:rPr>
              <w:t>References Cited</w:t>
            </w:r>
            <w:r w:rsidR="00BD3C7C">
              <w:rPr>
                <w:webHidden/>
              </w:rPr>
              <w:tab/>
            </w:r>
            <w:r w:rsidR="00BD3C7C">
              <w:rPr>
                <w:webHidden/>
              </w:rPr>
              <w:fldChar w:fldCharType="begin"/>
            </w:r>
            <w:r w:rsidR="00BD3C7C">
              <w:rPr>
                <w:webHidden/>
              </w:rPr>
              <w:instrText xml:space="preserve"> PAGEREF _Toc514334037 \h </w:instrText>
            </w:r>
            <w:r w:rsidR="00BD3C7C">
              <w:rPr>
                <w:webHidden/>
              </w:rPr>
            </w:r>
            <w:r w:rsidR="00BD3C7C">
              <w:rPr>
                <w:webHidden/>
              </w:rPr>
              <w:fldChar w:fldCharType="separate"/>
            </w:r>
            <w:r>
              <w:rPr>
                <w:webHidden/>
              </w:rPr>
              <w:t>28</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8" w:history="1">
            <w:r w:rsidR="00BD3C7C" w:rsidRPr="002B4553">
              <w:rPr>
                <w:rStyle w:val="Hyperlink"/>
              </w:rPr>
              <w:t>Appendices</w:t>
            </w:r>
            <w:r w:rsidR="00BD3C7C">
              <w:rPr>
                <w:webHidden/>
              </w:rPr>
              <w:tab/>
            </w:r>
            <w:r w:rsidR="00BD3C7C">
              <w:rPr>
                <w:webHidden/>
              </w:rPr>
              <w:fldChar w:fldCharType="begin"/>
            </w:r>
            <w:r w:rsidR="00BD3C7C">
              <w:rPr>
                <w:webHidden/>
              </w:rPr>
              <w:instrText xml:space="preserve"> PAGEREF _Toc514334038 \h </w:instrText>
            </w:r>
            <w:r w:rsidR="00BD3C7C">
              <w:rPr>
                <w:webHidden/>
              </w:rPr>
            </w:r>
            <w:r w:rsidR="00BD3C7C">
              <w:rPr>
                <w:webHidden/>
              </w:rPr>
              <w:fldChar w:fldCharType="separate"/>
            </w:r>
            <w:r>
              <w:rPr>
                <w:webHidden/>
              </w:rPr>
              <w:t>30</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39" w:history="1">
            <w:r w:rsidR="00BD3C7C" w:rsidRPr="002B4553">
              <w:rPr>
                <w:rStyle w:val="Hyperlink"/>
                <w:rFonts w:eastAsia="Times New Roman"/>
              </w:rPr>
              <w:t>Appendix A</w:t>
            </w:r>
            <w:r w:rsidR="00BD3C7C">
              <w:rPr>
                <w:webHidden/>
              </w:rPr>
              <w:tab/>
            </w:r>
            <w:r w:rsidR="00BD3C7C">
              <w:rPr>
                <w:webHidden/>
              </w:rPr>
              <w:fldChar w:fldCharType="begin"/>
            </w:r>
            <w:r w:rsidR="00BD3C7C">
              <w:rPr>
                <w:webHidden/>
              </w:rPr>
              <w:instrText xml:space="preserve"> PAGEREF _Toc514334039 \h </w:instrText>
            </w:r>
            <w:r w:rsidR="00BD3C7C">
              <w:rPr>
                <w:webHidden/>
              </w:rPr>
            </w:r>
            <w:r w:rsidR="00BD3C7C">
              <w:rPr>
                <w:webHidden/>
              </w:rPr>
              <w:fldChar w:fldCharType="separate"/>
            </w:r>
            <w:r>
              <w:rPr>
                <w:webHidden/>
              </w:rPr>
              <w:t>32</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0" w:history="1">
            <w:r w:rsidR="00BD3C7C" w:rsidRPr="002B4553">
              <w:rPr>
                <w:rStyle w:val="Hyperlink"/>
              </w:rPr>
              <w:t>Appendix B</w:t>
            </w:r>
            <w:r w:rsidR="00BD3C7C">
              <w:rPr>
                <w:webHidden/>
              </w:rPr>
              <w:tab/>
            </w:r>
            <w:r w:rsidR="00BD3C7C">
              <w:rPr>
                <w:webHidden/>
              </w:rPr>
              <w:fldChar w:fldCharType="begin"/>
            </w:r>
            <w:r w:rsidR="00BD3C7C">
              <w:rPr>
                <w:webHidden/>
              </w:rPr>
              <w:instrText xml:space="preserve"> PAGEREF _Toc514334040 \h </w:instrText>
            </w:r>
            <w:r w:rsidR="00BD3C7C">
              <w:rPr>
                <w:webHidden/>
              </w:rPr>
            </w:r>
            <w:r w:rsidR="00BD3C7C">
              <w:rPr>
                <w:webHidden/>
              </w:rPr>
              <w:fldChar w:fldCharType="separate"/>
            </w:r>
            <w:r>
              <w:rPr>
                <w:webHidden/>
              </w:rPr>
              <w:t>34</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1" w:history="1">
            <w:r w:rsidR="00BD3C7C" w:rsidRPr="002B4553">
              <w:rPr>
                <w:rStyle w:val="Hyperlink"/>
              </w:rPr>
              <w:t>Appendix C</w:t>
            </w:r>
            <w:r w:rsidR="00BD3C7C">
              <w:rPr>
                <w:webHidden/>
              </w:rPr>
              <w:tab/>
            </w:r>
            <w:r w:rsidR="00BD3C7C">
              <w:rPr>
                <w:webHidden/>
              </w:rPr>
              <w:fldChar w:fldCharType="begin"/>
            </w:r>
            <w:r w:rsidR="00BD3C7C">
              <w:rPr>
                <w:webHidden/>
              </w:rPr>
              <w:instrText xml:space="preserve"> PAGEREF _Toc514334041 \h </w:instrText>
            </w:r>
            <w:r w:rsidR="00BD3C7C">
              <w:rPr>
                <w:webHidden/>
              </w:rPr>
            </w:r>
            <w:r w:rsidR="00BD3C7C">
              <w:rPr>
                <w:webHidden/>
              </w:rPr>
              <w:fldChar w:fldCharType="separate"/>
            </w:r>
            <w:r>
              <w:rPr>
                <w:webHidden/>
              </w:rPr>
              <w:t>36</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2" w:history="1">
            <w:r w:rsidR="00BD3C7C" w:rsidRPr="002B4553">
              <w:rPr>
                <w:rStyle w:val="Hyperlink"/>
              </w:rPr>
              <w:t>Appendix D</w:t>
            </w:r>
            <w:r w:rsidR="00BD3C7C">
              <w:rPr>
                <w:webHidden/>
              </w:rPr>
              <w:tab/>
            </w:r>
            <w:r w:rsidR="00BD3C7C">
              <w:rPr>
                <w:webHidden/>
              </w:rPr>
              <w:fldChar w:fldCharType="begin"/>
            </w:r>
            <w:r w:rsidR="00BD3C7C">
              <w:rPr>
                <w:webHidden/>
              </w:rPr>
              <w:instrText xml:space="preserve"> PAGEREF _Toc514334042 \h </w:instrText>
            </w:r>
            <w:r w:rsidR="00BD3C7C">
              <w:rPr>
                <w:webHidden/>
              </w:rPr>
            </w:r>
            <w:r w:rsidR="00BD3C7C">
              <w:rPr>
                <w:webHidden/>
              </w:rPr>
              <w:fldChar w:fldCharType="separate"/>
            </w:r>
            <w:r>
              <w:rPr>
                <w:webHidden/>
              </w:rPr>
              <w:t>40</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3" w:history="1">
            <w:r w:rsidR="00BD3C7C" w:rsidRPr="002B4553">
              <w:rPr>
                <w:rStyle w:val="Hyperlink"/>
              </w:rPr>
              <w:t>Appendix E</w:t>
            </w:r>
            <w:r w:rsidR="00BD3C7C">
              <w:rPr>
                <w:webHidden/>
              </w:rPr>
              <w:tab/>
            </w:r>
            <w:r w:rsidR="00BD3C7C">
              <w:rPr>
                <w:webHidden/>
              </w:rPr>
              <w:fldChar w:fldCharType="begin"/>
            </w:r>
            <w:r w:rsidR="00BD3C7C">
              <w:rPr>
                <w:webHidden/>
              </w:rPr>
              <w:instrText xml:space="preserve"> PAGEREF _Toc514334043 \h </w:instrText>
            </w:r>
            <w:r w:rsidR="00BD3C7C">
              <w:rPr>
                <w:webHidden/>
              </w:rPr>
            </w:r>
            <w:r w:rsidR="00BD3C7C">
              <w:rPr>
                <w:webHidden/>
              </w:rPr>
              <w:fldChar w:fldCharType="separate"/>
            </w:r>
            <w:r>
              <w:rPr>
                <w:webHidden/>
              </w:rPr>
              <w:t>42</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4" w:history="1">
            <w:r w:rsidR="00BD3C7C" w:rsidRPr="002B4553">
              <w:rPr>
                <w:rStyle w:val="Hyperlink"/>
              </w:rPr>
              <w:t>Appendix F</w:t>
            </w:r>
            <w:r w:rsidR="00BD3C7C">
              <w:rPr>
                <w:webHidden/>
              </w:rPr>
              <w:tab/>
            </w:r>
            <w:r w:rsidR="00BD3C7C">
              <w:rPr>
                <w:webHidden/>
              </w:rPr>
              <w:fldChar w:fldCharType="begin"/>
            </w:r>
            <w:r w:rsidR="00BD3C7C">
              <w:rPr>
                <w:webHidden/>
              </w:rPr>
              <w:instrText xml:space="preserve"> PAGEREF _Toc514334044 \h </w:instrText>
            </w:r>
            <w:r w:rsidR="00BD3C7C">
              <w:rPr>
                <w:webHidden/>
              </w:rPr>
            </w:r>
            <w:r w:rsidR="00BD3C7C">
              <w:rPr>
                <w:webHidden/>
              </w:rPr>
              <w:fldChar w:fldCharType="separate"/>
            </w:r>
            <w:r>
              <w:rPr>
                <w:webHidden/>
              </w:rPr>
              <w:t>44</w:t>
            </w:r>
            <w:r w:rsidR="00BD3C7C">
              <w:rPr>
                <w:webHidden/>
              </w:rPr>
              <w:fldChar w:fldCharType="end"/>
            </w:r>
          </w:hyperlink>
        </w:p>
        <w:p w:rsidR="00BD3C7C" w:rsidRDefault="001F11B2">
          <w:pPr>
            <w:pStyle w:val="TOC1"/>
            <w:rPr>
              <w:rFonts w:asciiTheme="minorHAnsi" w:eastAsiaTheme="minorEastAsia" w:hAnsiTheme="minorHAnsi" w:cstheme="minorBidi"/>
            </w:rPr>
          </w:pPr>
          <w:hyperlink w:anchor="_Toc514334045" w:history="1">
            <w:r w:rsidR="00BD3C7C" w:rsidRPr="002B4553">
              <w:rPr>
                <w:rStyle w:val="Hyperlink"/>
              </w:rPr>
              <w:t>Appendix G</w:t>
            </w:r>
            <w:r w:rsidR="00BD3C7C">
              <w:rPr>
                <w:webHidden/>
              </w:rPr>
              <w:tab/>
            </w:r>
            <w:r w:rsidR="00BD3C7C">
              <w:rPr>
                <w:webHidden/>
              </w:rPr>
              <w:fldChar w:fldCharType="begin"/>
            </w:r>
            <w:r w:rsidR="00BD3C7C">
              <w:rPr>
                <w:webHidden/>
              </w:rPr>
              <w:instrText xml:space="preserve"> PAGEREF _Toc514334045 \h </w:instrText>
            </w:r>
            <w:r w:rsidR="00BD3C7C">
              <w:rPr>
                <w:webHidden/>
              </w:rPr>
            </w:r>
            <w:r w:rsidR="00BD3C7C">
              <w:rPr>
                <w:webHidden/>
              </w:rPr>
              <w:fldChar w:fldCharType="separate"/>
            </w:r>
            <w:r>
              <w:rPr>
                <w:webHidden/>
              </w:rPr>
              <w:t>47</w:t>
            </w:r>
            <w:r w:rsidR="00BD3C7C">
              <w:rPr>
                <w:webHidden/>
              </w:rPr>
              <w:fldChar w:fldCharType="end"/>
            </w:r>
          </w:hyperlink>
        </w:p>
        <w:p w:rsidR="00734D36" w:rsidRDefault="00734D36">
          <w:r>
            <w:rPr>
              <w:b/>
              <w:bCs/>
              <w:noProof/>
            </w:rPr>
            <w:fldChar w:fldCharType="end"/>
          </w:r>
        </w:p>
      </w:sdtContent>
    </w:sdt>
    <w:p w:rsidR="00E81376" w:rsidRDefault="00E81376">
      <w:pPr>
        <w:spacing w:after="200" w:line="276" w:lineRule="auto"/>
        <w:rPr>
          <w:rFonts w:ascii="Times New Roman" w:eastAsia="Times New Roman" w:hAnsi="Times New Roman"/>
          <w:b/>
          <w:smallCaps/>
          <w:spacing w:val="5"/>
          <w:kern w:val="28"/>
          <w:sz w:val="28"/>
          <w:szCs w:val="24"/>
        </w:rPr>
      </w:pPr>
      <w:r>
        <w:rPr>
          <w:rFonts w:ascii="Times New Roman" w:hAnsi="Times New Roman"/>
          <w:b/>
          <w:smallCaps/>
          <w:sz w:val="28"/>
          <w:szCs w:val="24"/>
        </w:rPr>
        <w:br w:type="page"/>
      </w:r>
    </w:p>
    <w:p w:rsidR="000A7532" w:rsidRPr="00297BFF" w:rsidRDefault="000A7532" w:rsidP="000A7532">
      <w:pPr>
        <w:pStyle w:val="Title"/>
        <w:spacing w:after="0"/>
        <w:jc w:val="center"/>
        <w:rPr>
          <w:rFonts w:ascii="Garamond" w:hAnsi="Garamond" w:cstheme="minorHAnsi"/>
          <w:b/>
          <w:smallCaps/>
          <w:color w:val="auto"/>
          <w:sz w:val="32"/>
          <w:szCs w:val="36"/>
        </w:rPr>
      </w:pPr>
      <w:r w:rsidRPr="00297BFF">
        <w:rPr>
          <w:rFonts w:ascii="Garamond" w:hAnsi="Garamond" w:cstheme="minorHAnsi"/>
          <w:b/>
          <w:smallCaps/>
          <w:color w:val="auto"/>
          <w:sz w:val="32"/>
          <w:szCs w:val="36"/>
        </w:rPr>
        <w:lastRenderedPageBreak/>
        <w:t>Special Commission on Local and Regional Public Health</w:t>
      </w:r>
    </w:p>
    <w:p w:rsidR="000A7532" w:rsidRPr="00297BFF" w:rsidRDefault="000A7532" w:rsidP="000A7532">
      <w:pPr>
        <w:jc w:val="center"/>
        <w:rPr>
          <w:i/>
        </w:rPr>
      </w:pPr>
    </w:p>
    <w:p w:rsidR="000A7532" w:rsidRPr="00297BFF" w:rsidRDefault="00734D36" w:rsidP="00734D36">
      <w:pPr>
        <w:pStyle w:val="Heading1"/>
      </w:pPr>
      <w:bookmarkStart w:id="0" w:name="_Toc514334029"/>
      <w:r>
        <w:t xml:space="preserve">Commission </w:t>
      </w:r>
      <w:r w:rsidR="000A7532">
        <w:t xml:space="preserve">Members (As of </w:t>
      </w:r>
      <w:r w:rsidR="00D57E23" w:rsidRPr="000C2DBE">
        <w:t xml:space="preserve">May </w:t>
      </w:r>
      <w:r w:rsidR="002E25D5" w:rsidRPr="000C2DBE">
        <w:t>4</w:t>
      </w:r>
      <w:r w:rsidR="000A7532" w:rsidRPr="000C2DBE">
        <w:t>, 201</w:t>
      </w:r>
      <w:r w:rsidR="002E25D5" w:rsidRPr="000C2DBE">
        <w:t>8</w:t>
      </w:r>
      <w:r w:rsidR="000A7532" w:rsidRPr="00297BFF">
        <w:t>)</w:t>
      </w:r>
      <w:bookmarkEnd w:id="0"/>
    </w:p>
    <w:p w:rsidR="000A7532" w:rsidRPr="00297BFF" w:rsidRDefault="000A7532" w:rsidP="000A7532">
      <w:pPr>
        <w:jc w:val="center"/>
        <w:rPr>
          <w:i/>
        </w:rPr>
      </w:pPr>
    </w:p>
    <w:p w:rsidR="000A7532" w:rsidRPr="00297BFF" w:rsidRDefault="000A7532" w:rsidP="000A7532">
      <w:pPr>
        <w:tabs>
          <w:tab w:val="left" w:leader="hyphen" w:pos="6480"/>
        </w:tabs>
        <w:rPr>
          <w:b/>
          <w:smallCaps/>
          <w:sz w:val="24"/>
        </w:rPr>
      </w:pPr>
      <w:r w:rsidRPr="00297BFF">
        <w:rPr>
          <w:b/>
          <w:smallCaps/>
          <w:sz w:val="24"/>
        </w:rPr>
        <w:t>Executive Branch Members</w:t>
      </w:r>
    </w:p>
    <w:p w:rsidR="000A7532" w:rsidRPr="00297BFF" w:rsidRDefault="000A7532" w:rsidP="000A7532">
      <w:pPr>
        <w:tabs>
          <w:tab w:val="left" w:leader="hyphen" w:pos="6480"/>
        </w:tabs>
        <w:rPr>
          <w:b/>
          <w:smallCaps/>
          <w:sz w:val="24"/>
        </w:rPr>
      </w:pPr>
    </w:p>
    <w:p w:rsidR="000A7532" w:rsidRPr="00297BFF" w:rsidRDefault="000A7532" w:rsidP="000A7532">
      <w:pPr>
        <w:tabs>
          <w:tab w:val="left" w:leader="hyphen" w:pos="6480"/>
        </w:tabs>
      </w:pPr>
      <w:r w:rsidRPr="00297BFF">
        <w:t>Department of Public Health</w:t>
      </w:r>
      <w:r w:rsidRPr="00297BFF">
        <w:tab/>
        <w:t>Commissioner Monica Bharel</w:t>
      </w:r>
    </w:p>
    <w:p w:rsidR="000A7532" w:rsidRPr="00297BFF" w:rsidRDefault="000A7532" w:rsidP="000A7532">
      <w:pPr>
        <w:tabs>
          <w:tab w:val="left" w:leader="hyphen" w:pos="6480"/>
        </w:tabs>
      </w:pPr>
      <w:r w:rsidRPr="00297BFF">
        <w:t>Executive Office of Administration and Finance</w:t>
      </w:r>
      <w:r w:rsidRPr="00297BFF">
        <w:tab/>
      </w:r>
      <w:r w:rsidR="002E25D5" w:rsidRPr="000C2DBE">
        <w:t>Sean Cronin</w:t>
      </w:r>
    </w:p>
    <w:p w:rsidR="000A7532" w:rsidRPr="00297BFF" w:rsidRDefault="000A7532" w:rsidP="000A7532">
      <w:pPr>
        <w:tabs>
          <w:tab w:val="left" w:leader="hyphen" w:pos="6480"/>
        </w:tabs>
      </w:pPr>
      <w:r w:rsidRPr="00297BFF">
        <w:t>Department of Environmental Protection</w:t>
      </w:r>
      <w:r w:rsidRPr="00297BFF">
        <w:tab/>
        <w:t>C. Mark Smith</w:t>
      </w:r>
    </w:p>
    <w:p w:rsidR="000A7532" w:rsidRPr="00297BFF" w:rsidRDefault="000A7532" w:rsidP="000A7532">
      <w:pPr>
        <w:tabs>
          <w:tab w:val="left" w:leader="hyphen" w:pos="6480"/>
        </w:tabs>
      </w:pPr>
      <w:r w:rsidRPr="00297BFF">
        <w:t>Department of Agricultural Resources</w:t>
      </w:r>
      <w:r w:rsidRPr="00297BFF">
        <w:tab/>
      </w:r>
      <w:r>
        <w:t>Lorraine O’Connor</w:t>
      </w:r>
    </w:p>
    <w:p w:rsidR="000A7532" w:rsidRPr="00297BFF" w:rsidRDefault="000A7532" w:rsidP="000A7532">
      <w:pPr>
        <w:tabs>
          <w:tab w:val="left" w:leader="hyphen" w:pos="6480"/>
        </w:tabs>
        <w:rPr>
          <w:b/>
        </w:rPr>
      </w:pPr>
    </w:p>
    <w:p w:rsidR="000A7532" w:rsidRPr="00297BFF" w:rsidRDefault="000A7532" w:rsidP="000A7532">
      <w:pPr>
        <w:tabs>
          <w:tab w:val="left" w:leader="hyphen" w:pos="6480"/>
        </w:tabs>
        <w:rPr>
          <w:b/>
          <w:smallCaps/>
          <w:sz w:val="24"/>
        </w:rPr>
      </w:pPr>
      <w:r w:rsidRPr="00297BFF">
        <w:rPr>
          <w:b/>
          <w:smallCaps/>
          <w:sz w:val="24"/>
        </w:rPr>
        <w:t>Appointments by Governor</w:t>
      </w:r>
    </w:p>
    <w:p w:rsidR="000A7532" w:rsidRPr="00297BFF" w:rsidRDefault="000A7532" w:rsidP="000A7532">
      <w:pPr>
        <w:tabs>
          <w:tab w:val="left" w:leader="hyphen" w:pos="6480"/>
        </w:tabs>
      </w:pPr>
    </w:p>
    <w:p w:rsidR="000A7532" w:rsidRPr="00297BFF" w:rsidRDefault="000A7532" w:rsidP="000A7532">
      <w:pPr>
        <w:tabs>
          <w:tab w:val="left" w:leader="hyphen" w:pos="6480"/>
        </w:tabs>
      </w:pPr>
      <w:r w:rsidRPr="00297BFF">
        <w:t>Research/Academic Institution</w:t>
      </w:r>
      <w:r w:rsidRPr="00297BFF">
        <w:tab/>
      </w:r>
      <w:proofErr w:type="spellStart"/>
      <w:r w:rsidRPr="00297BFF">
        <w:t>Justeen</w:t>
      </w:r>
      <w:proofErr w:type="spellEnd"/>
      <w:r w:rsidRPr="00297BFF">
        <w:t xml:space="preserve"> Hyde</w:t>
      </w:r>
    </w:p>
    <w:p w:rsidR="000A7532" w:rsidRPr="00297BFF" w:rsidRDefault="000A7532" w:rsidP="000A7532">
      <w:pPr>
        <w:tabs>
          <w:tab w:val="left" w:leader="hyphen" w:pos="6480"/>
        </w:tabs>
      </w:pPr>
      <w:r w:rsidRPr="00297BFF">
        <w:t>Community Health Center</w:t>
      </w:r>
      <w:r w:rsidRPr="00297BFF">
        <w:tab/>
        <w:t>Maria Pelletier</w:t>
      </w:r>
    </w:p>
    <w:p w:rsidR="000A7532" w:rsidRPr="00297BFF" w:rsidRDefault="000A7532" w:rsidP="000A7532">
      <w:pPr>
        <w:tabs>
          <w:tab w:val="left" w:leader="hyphen" w:pos="6480"/>
        </w:tabs>
      </w:pPr>
      <w:r w:rsidRPr="00297BFF">
        <w:t>Hospital System</w:t>
      </w:r>
      <w:r w:rsidRPr="00297BFF">
        <w:tab/>
        <w:t>David McCready</w:t>
      </w:r>
    </w:p>
    <w:p w:rsidR="000A7532" w:rsidRPr="00297BFF" w:rsidRDefault="000A7532" w:rsidP="000A7532">
      <w:pPr>
        <w:tabs>
          <w:tab w:val="left" w:leader="hyphen" w:pos="6480"/>
        </w:tabs>
      </w:pPr>
      <w:r w:rsidRPr="00297BFF">
        <w:t xml:space="preserve">Workforce Development </w:t>
      </w:r>
      <w:r w:rsidRPr="00297BFF">
        <w:tab/>
        <w:t>Charles Kaniecki</w:t>
      </w:r>
    </w:p>
    <w:p w:rsidR="000A7532" w:rsidRPr="00297BFF" w:rsidRDefault="000A7532" w:rsidP="000A7532">
      <w:pPr>
        <w:tabs>
          <w:tab w:val="left" w:leader="hyphen" w:pos="6480"/>
        </w:tabs>
      </w:pPr>
      <w:r w:rsidRPr="00297BFF">
        <w:t>Municipality &gt;50,000</w:t>
      </w:r>
      <w:r w:rsidRPr="00297BFF">
        <w:tab/>
        <w:t>Sharon Cameron</w:t>
      </w:r>
    </w:p>
    <w:p w:rsidR="000A7532" w:rsidRPr="00297BFF" w:rsidRDefault="000A7532" w:rsidP="000A7532">
      <w:pPr>
        <w:tabs>
          <w:tab w:val="left" w:leader="hyphen" w:pos="6480"/>
        </w:tabs>
      </w:pPr>
      <w:r w:rsidRPr="00297BFF">
        <w:t>Municipality 5,000-50,000</w:t>
      </w:r>
      <w:r w:rsidRPr="00297BFF">
        <w:tab/>
        <w:t>Pending</w:t>
      </w:r>
    </w:p>
    <w:p w:rsidR="000A7532" w:rsidRPr="00297BFF" w:rsidRDefault="000A7532" w:rsidP="000A7532">
      <w:pPr>
        <w:tabs>
          <w:tab w:val="left" w:leader="hyphen" w:pos="6480"/>
        </w:tabs>
      </w:pPr>
      <w:r w:rsidRPr="00297BFF">
        <w:t>Public Health District (at least one town &lt;5,000)</w:t>
      </w:r>
      <w:r w:rsidRPr="00297BFF">
        <w:tab/>
        <w:t>Phoebe Walker</w:t>
      </w:r>
    </w:p>
    <w:p w:rsidR="000A7532" w:rsidRPr="00297BFF" w:rsidRDefault="000A7532" w:rsidP="000A7532">
      <w:pPr>
        <w:tabs>
          <w:tab w:val="left" w:leader="hyphen" w:pos="6480"/>
        </w:tabs>
      </w:pPr>
      <w:r w:rsidRPr="00297BFF">
        <w:t xml:space="preserve">At Large </w:t>
      </w:r>
      <w:r w:rsidRPr="00297BFF">
        <w:tab/>
        <w:t>Carmela Mancini</w:t>
      </w:r>
    </w:p>
    <w:p w:rsidR="000A7532" w:rsidRPr="00297BFF" w:rsidRDefault="000A7532" w:rsidP="000A7532">
      <w:pPr>
        <w:tabs>
          <w:tab w:val="left" w:leader="hyphen" w:pos="6480"/>
        </w:tabs>
        <w:rPr>
          <w:b/>
        </w:rPr>
      </w:pPr>
    </w:p>
    <w:p w:rsidR="000A7532" w:rsidRPr="00297BFF" w:rsidRDefault="000A7532" w:rsidP="000A7532">
      <w:pPr>
        <w:tabs>
          <w:tab w:val="left" w:leader="hyphen" w:pos="6480"/>
        </w:tabs>
        <w:rPr>
          <w:b/>
          <w:smallCaps/>
          <w:sz w:val="24"/>
        </w:rPr>
      </w:pPr>
      <w:r w:rsidRPr="00297BFF">
        <w:rPr>
          <w:b/>
          <w:smallCaps/>
          <w:sz w:val="24"/>
        </w:rPr>
        <w:t>Appointments by Legislative Leadership</w:t>
      </w:r>
    </w:p>
    <w:p w:rsidR="000A7532" w:rsidRPr="00297BFF" w:rsidRDefault="000A7532" w:rsidP="000A7532">
      <w:pPr>
        <w:tabs>
          <w:tab w:val="left" w:leader="hyphen" w:pos="6480"/>
        </w:tabs>
      </w:pPr>
    </w:p>
    <w:p w:rsidR="000A7532" w:rsidRPr="00297BFF" w:rsidRDefault="000A7532" w:rsidP="000A7532">
      <w:pPr>
        <w:tabs>
          <w:tab w:val="left" w:leader="hyphen" w:pos="6480"/>
        </w:tabs>
      </w:pPr>
      <w:r w:rsidRPr="00297BFF">
        <w:t>Senate President</w:t>
      </w:r>
      <w:r w:rsidRPr="00297BFF">
        <w:tab/>
        <w:t>Senator Jason M. Lewis</w:t>
      </w:r>
    </w:p>
    <w:p w:rsidR="000A7532" w:rsidRPr="00297BFF" w:rsidRDefault="000A7532" w:rsidP="000A7532">
      <w:pPr>
        <w:tabs>
          <w:tab w:val="left" w:leader="hyphen" w:pos="6480"/>
        </w:tabs>
      </w:pPr>
      <w:r w:rsidRPr="00297BFF">
        <w:t>Senate Minority Leader</w:t>
      </w:r>
      <w:r w:rsidRPr="00297BFF">
        <w:tab/>
        <w:t>Senator Richard J. Ross</w:t>
      </w:r>
    </w:p>
    <w:p w:rsidR="000A7532" w:rsidRPr="00297BFF" w:rsidRDefault="000A7532" w:rsidP="000A7532">
      <w:pPr>
        <w:tabs>
          <w:tab w:val="left" w:leader="hyphen" w:pos="6480"/>
        </w:tabs>
      </w:pPr>
      <w:r w:rsidRPr="00297BFF">
        <w:t>Speaker of the House</w:t>
      </w:r>
      <w:r w:rsidRPr="00297BFF">
        <w:tab/>
        <w:t>Representative Steven Ultrino</w:t>
      </w:r>
    </w:p>
    <w:p w:rsidR="000A7532" w:rsidRPr="00297BFF" w:rsidRDefault="000A7532" w:rsidP="000A7532">
      <w:pPr>
        <w:tabs>
          <w:tab w:val="left" w:leader="hyphen" w:pos="6480"/>
        </w:tabs>
      </w:pPr>
      <w:r w:rsidRPr="00297BFF">
        <w:t>House Minority Leader</w:t>
      </w:r>
      <w:r w:rsidRPr="00297BFF">
        <w:tab/>
        <w:t>Representative Hannah Kane</w:t>
      </w:r>
    </w:p>
    <w:p w:rsidR="000A7532" w:rsidRPr="00297BFF" w:rsidRDefault="000A7532" w:rsidP="000A7532">
      <w:pPr>
        <w:tabs>
          <w:tab w:val="left" w:leader="hyphen" w:pos="6480"/>
        </w:tabs>
        <w:rPr>
          <w:b/>
        </w:rPr>
      </w:pPr>
    </w:p>
    <w:p w:rsidR="000A7532" w:rsidRPr="00297BFF" w:rsidRDefault="000A7532" w:rsidP="000A7532">
      <w:pPr>
        <w:tabs>
          <w:tab w:val="left" w:leader="hyphen" w:pos="6480"/>
        </w:tabs>
        <w:rPr>
          <w:b/>
          <w:smallCaps/>
          <w:sz w:val="24"/>
        </w:rPr>
      </w:pPr>
      <w:r w:rsidRPr="00297BFF">
        <w:rPr>
          <w:b/>
          <w:smallCaps/>
          <w:sz w:val="24"/>
        </w:rPr>
        <w:t>Named Organizations</w:t>
      </w:r>
    </w:p>
    <w:p w:rsidR="000A7532" w:rsidRPr="00297BFF" w:rsidRDefault="000A7532" w:rsidP="000A7532">
      <w:pPr>
        <w:tabs>
          <w:tab w:val="left" w:leader="hyphen" w:pos="6480"/>
        </w:tabs>
      </w:pPr>
    </w:p>
    <w:p w:rsidR="000A7532" w:rsidRPr="00297BFF" w:rsidRDefault="000A7532" w:rsidP="000A7532">
      <w:pPr>
        <w:tabs>
          <w:tab w:val="left" w:leader="hyphen" w:pos="6480"/>
        </w:tabs>
      </w:pPr>
      <w:r w:rsidRPr="00297BFF">
        <w:t>Massachusetts Municipal Association</w:t>
      </w:r>
      <w:r w:rsidRPr="00297BFF">
        <w:tab/>
        <w:t>Kevin Mizikar</w:t>
      </w:r>
    </w:p>
    <w:p w:rsidR="000A7532" w:rsidRPr="00297BFF" w:rsidRDefault="000A7532" w:rsidP="000A7532">
      <w:pPr>
        <w:tabs>
          <w:tab w:val="left" w:leader="hyphen" w:pos="6480"/>
        </w:tabs>
      </w:pPr>
      <w:r w:rsidRPr="00297BFF">
        <w:t>Massachusetts Taxpayers Foundation</w:t>
      </w:r>
      <w:r w:rsidRPr="00297BFF">
        <w:tab/>
        <w:t xml:space="preserve">Eileen </w:t>
      </w:r>
      <w:proofErr w:type="spellStart"/>
      <w:r w:rsidRPr="00297BFF">
        <w:t>McAnneny</w:t>
      </w:r>
      <w:proofErr w:type="spellEnd"/>
    </w:p>
    <w:p w:rsidR="000A7532" w:rsidRPr="00297BFF" w:rsidRDefault="000A7532" w:rsidP="000A7532">
      <w:pPr>
        <w:tabs>
          <w:tab w:val="left" w:leader="hyphen" w:pos="6480"/>
        </w:tabs>
      </w:pPr>
      <w:r w:rsidRPr="00297BFF">
        <w:t>Massachusetts Public Health Association</w:t>
      </w:r>
      <w:r w:rsidRPr="00297BFF">
        <w:tab/>
        <w:t>Bernard Sullivan</w:t>
      </w:r>
    </w:p>
    <w:p w:rsidR="000A7532" w:rsidRPr="00297BFF" w:rsidRDefault="000A7532" w:rsidP="000A7532">
      <w:pPr>
        <w:tabs>
          <w:tab w:val="left" w:leader="hyphen" w:pos="6480"/>
        </w:tabs>
      </w:pPr>
      <w:r w:rsidRPr="00297BFF">
        <w:t>Massachusetts Health Officers Association</w:t>
      </w:r>
      <w:r w:rsidRPr="00297BFF">
        <w:tab/>
        <w:t>Sam Wong</w:t>
      </w:r>
    </w:p>
    <w:p w:rsidR="000A7532" w:rsidRPr="00297BFF" w:rsidRDefault="000A7532" w:rsidP="000A7532">
      <w:pPr>
        <w:tabs>
          <w:tab w:val="left" w:leader="hyphen" w:pos="6480"/>
        </w:tabs>
      </w:pPr>
      <w:r w:rsidRPr="00297BFF">
        <w:t>Massachusetts Association of Health Boards</w:t>
      </w:r>
      <w:r w:rsidRPr="00297BFF">
        <w:tab/>
        <w:t>Cheryl Sbarra</w:t>
      </w:r>
    </w:p>
    <w:p w:rsidR="000A7532" w:rsidRPr="00297BFF" w:rsidRDefault="000A7532" w:rsidP="000A7532">
      <w:pPr>
        <w:tabs>
          <w:tab w:val="left" w:leader="hyphen" w:pos="6480"/>
        </w:tabs>
      </w:pPr>
      <w:r w:rsidRPr="00297BFF">
        <w:t>Massachusetts Environmental Health Association</w:t>
      </w:r>
      <w:r w:rsidRPr="00297BFF">
        <w:tab/>
        <w:t>Steve Ward</w:t>
      </w:r>
    </w:p>
    <w:p w:rsidR="000A7532" w:rsidRPr="00297BFF" w:rsidRDefault="000A7532" w:rsidP="000A7532">
      <w:pPr>
        <w:tabs>
          <w:tab w:val="left" w:leader="hyphen" w:pos="6480"/>
        </w:tabs>
      </w:pPr>
      <w:r w:rsidRPr="00297BFF">
        <w:t>Massachusetts Association of Public Health Nurses</w:t>
      </w:r>
      <w:r w:rsidRPr="00297BFF">
        <w:tab/>
        <w:t>Terri Khoury</w:t>
      </w:r>
    </w:p>
    <w:p w:rsidR="000A7532" w:rsidRPr="00297BFF" w:rsidRDefault="000A7532" w:rsidP="000A7532">
      <w:pPr>
        <w:tabs>
          <w:tab w:val="left" w:leader="hyphen" w:pos="6480"/>
        </w:tabs>
      </w:pPr>
      <w:r w:rsidRPr="00297BFF">
        <w:t>Western Massachusetts Public Health Association</w:t>
      </w:r>
      <w:r w:rsidRPr="00297BFF">
        <w:tab/>
        <w:t xml:space="preserve">Laura </w:t>
      </w:r>
      <w:proofErr w:type="spellStart"/>
      <w:r w:rsidRPr="00297BFF">
        <w:t>Kittross</w:t>
      </w:r>
      <w:proofErr w:type="spellEnd"/>
    </w:p>
    <w:p w:rsidR="000A7532" w:rsidRPr="00297BFF" w:rsidRDefault="000A7532" w:rsidP="000A7532">
      <w:pPr>
        <w:tabs>
          <w:tab w:val="left" w:leader="hyphen" w:pos="6480"/>
        </w:tabs>
      </w:pPr>
      <w:r w:rsidRPr="00297BFF">
        <w:t>Massachusetts Public Health Regionalization Working Group</w:t>
      </w:r>
      <w:r w:rsidRPr="00297BFF">
        <w:tab/>
        <w:t>Harold Cox</w:t>
      </w:r>
    </w:p>
    <w:p w:rsidR="000A7532" w:rsidRDefault="000A7532">
      <w:pPr>
        <w:spacing w:after="200" w:line="276" w:lineRule="auto"/>
        <w:rPr>
          <w:rFonts w:ascii="Times New Roman" w:eastAsia="Times New Roman" w:hAnsi="Times New Roman"/>
          <w:b/>
          <w:smallCaps/>
          <w:spacing w:val="5"/>
          <w:kern w:val="28"/>
          <w:sz w:val="28"/>
          <w:szCs w:val="24"/>
        </w:rPr>
      </w:pPr>
      <w:r>
        <w:rPr>
          <w:rFonts w:ascii="Times New Roman" w:hAnsi="Times New Roman"/>
          <w:b/>
          <w:smallCaps/>
          <w:sz w:val="28"/>
          <w:szCs w:val="24"/>
        </w:rPr>
        <w:br w:type="page"/>
      </w:r>
    </w:p>
    <w:p w:rsidR="00FC38AA" w:rsidRPr="00297BFF" w:rsidRDefault="00FC38AA" w:rsidP="00FC38AA">
      <w:pPr>
        <w:pStyle w:val="Title"/>
        <w:spacing w:after="0"/>
        <w:jc w:val="center"/>
        <w:rPr>
          <w:rFonts w:ascii="Times New Roman" w:hAnsi="Times New Roman"/>
          <w:b/>
          <w:smallCaps/>
          <w:color w:val="auto"/>
          <w:sz w:val="28"/>
          <w:szCs w:val="24"/>
        </w:rPr>
      </w:pPr>
      <w:r w:rsidRPr="00297BFF">
        <w:rPr>
          <w:rFonts w:ascii="Times New Roman" w:hAnsi="Times New Roman"/>
          <w:b/>
          <w:smallCaps/>
          <w:color w:val="auto"/>
          <w:sz w:val="28"/>
          <w:szCs w:val="24"/>
        </w:rPr>
        <w:lastRenderedPageBreak/>
        <w:t>Special Commission on Local and Regional Public Health</w:t>
      </w:r>
    </w:p>
    <w:p w:rsidR="00FC38AA" w:rsidRPr="00297BFF" w:rsidRDefault="00FC38AA" w:rsidP="00FC38AA">
      <w:pPr>
        <w:rPr>
          <w:rFonts w:asciiTheme="minorHAnsi" w:hAnsiTheme="minorHAnsi" w:cs="Helvetica"/>
          <w:sz w:val="24"/>
          <w:szCs w:val="24"/>
          <w:shd w:val="clear" w:color="auto" w:fill="FFFFFF"/>
        </w:rPr>
      </w:pPr>
    </w:p>
    <w:p w:rsidR="00FC38AA" w:rsidRPr="00D57E23" w:rsidRDefault="00FC38AA" w:rsidP="00FC38AA">
      <w:pPr>
        <w:jc w:val="center"/>
        <w:rPr>
          <w:rFonts w:asciiTheme="minorHAnsi" w:hAnsiTheme="minorHAnsi" w:cs="Helvetica"/>
          <w:b/>
          <w:color w:val="365F91" w:themeColor="accent1" w:themeShade="BF"/>
          <w:sz w:val="40"/>
          <w:szCs w:val="24"/>
          <w:shd w:val="clear" w:color="auto" w:fill="FFFFFF"/>
        </w:rPr>
      </w:pPr>
      <w:r w:rsidRPr="00D57E23">
        <w:rPr>
          <w:rFonts w:asciiTheme="minorHAnsi" w:hAnsiTheme="minorHAnsi" w:cs="Helvetica"/>
          <w:b/>
          <w:color w:val="365F91" w:themeColor="accent1" w:themeShade="BF"/>
          <w:sz w:val="40"/>
          <w:szCs w:val="24"/>
          <w:shd w:val="clear" w:color="auto" w:fill="FFFFFF"/>
        </w:rPr>
        <w:t>Status Report</w:t>
      </w:r>
    </w:p>
    <w:p w:rsidR="002D4A53" w:rsidRDefault="0008532F" w:rsidP="002D4A53">
      <w:pPr>
        <w:jc w:val="center"/>
        <w:rPr>
          <w:rFonts w:asciiTheme="minorHAnsi" w:hAnsiTheme="minorHAnsi" w:cs="Helvetica"/>
          <w:sz w:val="24"/>
          <w:szCs w:val="24"/>
          <w:shd w:val="clear" w:color="auto" w:fill="FFFFFF"/>
        </w:rPr>
      </w:pPr>
      <w:r w:rsidRPr="0008532F">
        <w:rPr>
          <w:rFonts w:asciiTheme="minorHAnsi" w:hAnsiTheme="minorHAnsi" w:cs="Helvetica"/>
          <w:sz w:val="24"/>
          <w:szCs w:val="24"/>
          <w:shd w:val="clear" w:color="auto" w:fill="FFFFFF"/>
        </w:rPr>
        <w:t xml:space="preserve">Reviewed and </w:t>
      </w:r>
      <w:r w:rsidR="00020AB6" w:rsidRPr="0008532F">
        <w:rPr>
          <w:rFonts w:asciiTheme="minorHAnsi" w:hAnsiTheme="minorHAnsi" w:cs="Helvetica"/>
          <w:sz w:val="24"/>
          <w:szCs w:val="24"/>
          <w:shd w:val="clear" w:color="auto" w:fill="FFFFFF"/>
        </w:rPr>
        <w:t>Approved</w:t>
      </w:r>
      <w:r>
        <w:rPr>
          <w:rFonts w:asciiTheme="minorHAnsi" w:hAnsiTheme="minorHAnsi" w:cs="Helvetica"/>
          <w:sz w:val="24"/>
          <w:szCs w:val="24"/>
          <w:shd w:val="clear" w:color="auto" w:fill="FFFFFF"/>
        </w:rPr>
        <w:t xml:space="preserve"> on </w:t>
      </w:r>
      <w:r w:rsidR="00D57E23">
        <w:rPr>
          <w:rFonts w:asciiTheme="minorHAnsi" w:hAnsiTheme="minorHAnsi" w:cs="Helvetica"/>
          <w:sz w:val="24"/>
          <w:szCs w:val="24"/>
          <w:shd w:val="clear" w:color="auto" w:fill="FFFFFF"/>
        </w:rPr>
        <w:t xml:space="preserve">May </w:t>
      </w:r>
      <w:r w:rsidR="002E25D5">
        <w:rPr>
          <w:rFonts w:asciiTheme="minorHAnsi" w:hAnsiTheme="minorHAnsi" w:cs="Helvetica"/>
          <w:sz w:val="24"/>
          <w:szCs w:val="24"/>
          <w:shd w:val="clear" w:color="auto" w:fill="FFFFFF"/>
        </w:rPr>
        <w:t>4</w:t>
      </w:r>
      <w:r w:rsidR="001D2606" w:rsidRPr="001D2606">
        <w:rPr>
          <w:rFonts w:asciiTheme="minorHAnsi" w:hAnsiTheme="minorHAnsi" w:cs="Helvetica"/>
          <w:sz w:val="24"/>
          <w:szCs w:val="24"/>
          <w:shd w:val="clear" w:color="auto" w:fill="FFFFFF"/>
        </w:rPr>
        <w:t>, 2018</w:t>
      </w:r>
    </w:p>
    <w:p w:rsidR="00A06A0A" w:rsidRDefault="00A06A0A" w:rsidP="002D4A53">
      <w:pPr>
        <w:jc w:val="center"/>
        <w:rPr>
          <w:rFonts w:asciiTheme="minorHAnsi" w:hAnsiTheme="minorHAnsi" w:cs="Helvetica"/>
          <w:sz w:val="24"/>
          <w:szCs w:val="24"/>
          <w:shd w:val="clear" w:color="auto" w:fill="FFFFFF"/>
        </w:rPr>
      </w:pPr>
      <w:r w:rsidRPr="00A06A0A">
        <w:rPr>
          <w:rFonts w:asciiTheme="minorHAnsi" w:hAnsiTheme="minorHAnsi"/>
          <w:noProof/>
          <w:shd w:val="clear" w:color="auto" w:fill="FFFFFF"/>
        </w:rPr>
        <mc:AlternateContent>
          <mc:Choice Requires="wps">
            <w:drawing>
              <wp:anchor distT="0" distB="0" distL="91440" distR="91440" simplePos="0" relativeHeight="251685888" behindDoc="1" locked="0" layoutInCell="1" allowOverlap="1" wp14:anchorId="16EFAAA6" wp14:editId="03724F31">
                <wp:simplePos x="0" y="0"/>
                <wp:positionH relativeFrom="margin">
                  <wp:posOffset>-6985</wp:posOffset>
                </wp:positionH>
                <wp:positionV relativeFrom="line">
                  <wp:posOffset>198755</wp:posOffset>
                </wp:positionV>
                <wp:extent cx="5943600" cy="1292860"/>
                <wp:effectExtent l="0" t="0" r="0" b="2540"/>
                <wp:wrapTight wrapText="bothSides">
                  <wp:wrapPolygon edited="0">
                    <wp:start x="0" y="0"/>
                    <wp:lineTo x="0" y="21324"/>
                    <wp:lineTo x="21531" y="21324"/>
                    <wp:lineTo x="21531"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5943600" cy="1292860"/>
                        </a:xfrm>
                        <a:prstGeom prst="rect">
                          <a:avLst/>
                        </a:prstGeom>
                        <a:noFill/>
                        <a:ln w="6350">
                          <a:noFill/>
                        </a:ln>
                        <a:effectLst/>
                      </wps:spPr>
                      <wps:txbx>
                        <w:txbxContent>
                          <w:p w:rsidR="009742A9" w:rsidRPr="00733829" w:rsidRDefault="009742A9">
                            <w:pPr>
                              <w:pStyle w:val="Quote"/>
                              <w:pBdr>
                                <w:top w:val="single" w:sz="48" w:space="8" w:color="4F81BD" w:themeColor="accent1"/>
                                <w:bottom w:val="single" w:sz="48" w:space="8" w:color="4F81BD" w:themeColor="accent1"/>
                              </w:pBdr>
                              <w:spacing w:line="300" w:lineRule="auto"/>
                              <w:jc w:val="center"/>
                              <w:rPr>
                                <w:rFonts w:eastAsiaTheme="minorHAnsi"/>
                                <w:b/>
                                <w:color w:val="1F497D" w:themeColor="text2"/>
                                <w:sz w:val="24"/>
                              </w:rPr>
                            </w:pPr>
                            <w:r w:rsidRPr="00733829">
                              <w:rPr>
                                <w:b/>
                                <w:color w:val="1F497D" w:themeColor="text2"/>
                                <w:sz w:val="28"/>
                                <w:shd w:val="clear" w:color="auto" w:fill="FFFFFF"/>
                              </w:rPr>
                              <w:t>“</w:t>
                            </w:r>
                            <w:r>
                              <w:rPr>
                                <w:b/>
                                <w:color w:val="1F497D" w:themeColor="text2"/>
                                <w:sz w:val="28"/>
                                <w:shd w:val="clear" w:color="auto" w:fill="FFFFFF"/>
                              </w:rPr>
                              <w:t>…</w:t>
                            </w:r>
                            <w:r w:rsidRPr="00733829">
                              <w:rPr>
                                <w:b/>
                                <w:color w:val="1F497D" w:themeColor="text2"/>
                                <w:sz w:val="28"/>
                                <w:shd w:val="clear" w:color="auto" w:fill="FFFFFF"/>
                              </w:rPr>
                              <w:t>assess the effectiveness and efficiency of municipal and region</w:t>
                            </w:r>
                            <w:r>
                              <w:rPr>
                                <w:b/>
                                <w:color w:val="1F497D" w:themeColor="text2"/>
                                <w:sz w:val="28"/>
                                <w:shd w:val="clear" w:color="auto" w:fill="FFFFFF"/>
                              </w:rPr>
                              <w:t xml:space="preserve">al public health systems and … </w:t>
                            </w:r>
                            <w:r w:rsidRPr="00733829">
                              <w:rPr>
                                <w:b/>
                                <w:color w:val="1F497D" w:themeColor="text2"/>
                                <w:sz w:val="28"/>
                                <w:shd w:val="clear" w:color="auto" w:fill="FFFFFF"/>
                              </w:rPr>
                              <w:t>make recommendations regarding how to strengthen the delivery of public health services and preventive measures</w:t>
                            </w:r>
                            <w:r>
                              <w:rPr>
                                <w:b/>
                                <w:color w:val="1F497D" w:themeColor="text2"/>
                                <w:sz w:val="28"/>
                                <w:shd w:val="clear" w:color="auto" w:fill="FFFFFF"/>
                              </w:rPr>
                              <w:t>.</w:t>
                            </w:r>
                            <w:r w:rsidRPr="00733829">
                              <w:rPr>
                                <w:b/>
                                <w:color w:val="1F497D" w:themeColor="text2"/>
                                <w:sz w:val="28"/>
                                <w:shd w:val="clear" w:color="auto" w:fill="FFFFF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55pt;margin-top:15.65pt;width:468pt;height:101.8pt;z-index:-25163059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" filled="f" stroked="f" strokeweight=".5pt">
                <v:textbox inset="0,0,0,0">
                  <w:txbxContent>
                    <w:p w:rsidR="009742A9" w:rsidRPr="00733829" w:rsidRDefault="009742A9">
                      <w:pPr>
                        <w:pStyle w:val="Quote"/>
                        <w:pBdr>
                          <w:top w:val="single" w:sz="48" w:space="8" w:color="4F81BD" w:themeColor="accent1"/>
                          <w:bottom w:val="single" w:sz="48" w:space="8" w:color="4F81BD" w:themeColor="accent1"/>
                        </w:pBdr>
                        <w:spacing w:line="300" w:lineRule="auto"/>
                        <w:jc w:val="center"/>
                        <w:rPr>
                          <w:rFonts w:eastAsiaTheme="minorHAnsi"/>
                          <w:b/>
                          <w:color w:val="1F497D" w:themeColor="text2"/>
                          <w:sz w:val="24"/>
                        </w:rPr>
                      </w:pPr>
                      <w:r w:rsidRPr="00733829">
                        <w:rPr>
                          <w:b/>
                          <w:color w:val="1F497D" w:themeColor="text2"/>
                          <w:sz w:val="28"/>
                          <w:shd w:val="clear" w:color="auto" w:fill="FFFFFF"/>
                        </w:rPr>
                        <w:t>“</w:t>
                      </w:r>
                      <w:r>
                        <w:rPr>
                          <w:b/>
                          <w:color w:val="1F497D" w:themeColor="text2"/>
                          <w:sz w:val="28"/>
                          <w:shd w:val="clear" w:color="auto" w:fill="FFFFFF"/>
                        </w:rPr>
                        <w:t>…</w:t>
                      </w:r>
                      <w:r w:rsidRPr="00733829">
                        <w:rPr>
                          <w:b/>
                          <w:color w:val="1F497D" w:themeColor="text2"/>
                          <w:sz w:val="28"/>
                          <w:shd w:val="clear" w:color="auto" w:fill="FFFFFF"/>
                        </w:rPr>
                        <w:t>assess the effectiveness and efficiency of municipal and region</w:t>
                      </w:r>
                      <w:r>
                        <w:rPr>
                          <w:b/>
                          <w:color w:val="1F497D" w:themeColor="text2"/>
                          <w:sz w:val="28"/>
                          <w:shd w:val="clear" w:color="auto" w:fill="FFFFFF"/>
                        </w:rPr>
                        <w:t xml:space="preserve">al public health systems and … </w:t>
                      </w:r>
                      <w:r w:rsidRPr="00733829">
                        <w:rPr>
                          <w:b/>
                          <w:color w:val="1F497D" w:themeColor="text2"/>
                          <w:sz w:val="28"/>
                          <w:shd w:val="clear" w:color="auto" w:fill="FFFFFF"/>
                        </w:rPr>
                        <w:t>make recommendations regarding how to strengthen the delivery of public health services and preventive measures</w:t>
                      </w:r>
                      <w:r>
                        <w:rPr>
                          <w:b/>
                          <w:color w:val="1F497D" w:themeColor="text2"/>
                          <w:sz w:val="28"/>
                          <w:shd w:val="clear" w:color="auto" w:fill="FFFFFF"/>
                        </w:rPr>
                        <w:t>.</w:t>
                      </w:r>
                      <w:r w:rsidRPr="00733829">
                        <w:rPr>
                          <w:b/>
                          <w:color w:val="1F497D" w:themeColor="text2"/>
                          <w:sz w:val="28"/>
                          <w:shd w:val="clear" w:color="auto" w:fill="FFFFFF"/>
                        </w:rPr>
                        <w:t>”</w:t>
                      </w:r>
                    </w:p>
                  </w:txbxContent>
                </v:textbox>
                <w10:wrap type="tight" anchorx="margin" anchory="line"/>
              </v:shape>
            </w:pict>
          </mc:Fallback>
        </mc:AlternateContent>
      </w:r>
    </w:p>
    <w:p w:rsidR="00A06A0A" w:rsidRPr="001D2606" w:rsidRDefault="00A06A0A" w:rsidP="002D4A53">
      <w:pPr>
        <w:jc w:val="center"/>
        <w:rPr>
          <w:rFonts w:asciiTheme="minorHAnsi" w:hAnsiTheme="minorHAnsi" w:cs="Helvetica"/>
          <w:sz w:val="24"/>
          <w:szCs w:val="24"/>
          <w:shd w:val="clear" w:color="auto" w:fill="FFFFFF"/>
        </w:rPr>
      </w:pPr>
    </w:p>
    <w:p w:rsidR="00E81376" w:rsidRPr="00E81376" w:rsidRDefault="00E81376" w:rsidP="00734D36">
      <w:pPr>
        <w:pStyle w:val="Heading1"/>
        <w:rPr>
          <w:shd w:val="clear" w:color="auto" w:fill="FFFFFF"/>
        </w:rPr>
      </w:pPr>
      <w:bookmarkStart w:id="1" w:name="_Toc514334030"/>
      <w:r w:rsidRPr="00E81376">
        <w:rPr>
          <w:shd w:val="clear" w:color="auto" w:fill="FFFFFF"/>
        </w:rPr>
        <w:t>Introduction</w:t>
      </w:r>
      <w:bookmarkEnd w:id="1"/>
    </w:p>
    <w:p w:rsidR="00E81376" w:rsidRDefault="00E81376" w:rsidP="002020C1">
      <w:pPr>
        <w:spacing w:line="276" w:lineRule="auto"/>
        <w:rPr>
          <w:rFonts w:asciiTheme="minorHAnsi" w:hAnsiTheme="minorHAnsi"/>
          <w:shd w:val="clear" w:color="auto" w:fill="FFFFFF"/>
        </w:rPr>
      </w:pPr>
    </w:p>
    <w:p w:rsidR="00FF1D9D" w:rsidRPr="00FA5C99" w:rsidRDefault="00C526E1" w:rsidP="00FF1D9D">
      <w:pPr>
        <w:spacing w:line="276" w:lineRule="auto"/>
        <w:rPr>
          <w:rFonts w:asciiTheme="minorHAnsi" w:hAnsiTheme="minorHAnsi"/>
          <w:sz w:val="24"/>
          <w:shd w:val="clear" w:color="auto" w:fill="FFFFFF"/>
        </w:rPr>
      </w:pPr>
      <w:r w:rsidRPr="00FA5C99">
        <w:rPr>
          <w:rFonts w:asciiTheme="minorHAnsi" w:hAnsiTheme="minorHAnsi"/>
          <w:sz w:val="24"/>
          <w:shd w:val="clear" w:color="auto" w:fill="FFFFFF"/>
        </w:rPr>
        <w:t xml:space="preserve">The Special Commission on Local and Regional Public Health </w:t>
      </w:r>
      <w:r w:rsidR="00E81376" w:rsidRPr="00FA5C99">
        <w:rPr>
          <w:rFonts w:asciiTheme="minorHAnsi" w:hAnsiTheme="minorHAnsi"/>
          <w:sz w:val="24"/>
          <w:shd w:val="clear" w:color="auto" w:fill="FFFFFF"/>
        </w:rPr>
        <w:t xml:space="preserve">(“the Commission”) </w:t>
      </w:r>
      <w:r w:rsidRPr="00FA5C99">
        <w:rPr>
          <w:rFonts w:asciiTheme="minorHAnsi" w:hAnsiTheme="minorHAnsi"/>
          <w:sz w:val="24"/>
          <w:shd w:val="clear" w:color="auto" w:fill="FFFFFF"/>
        </w:rPr>
        <w:t>was established in August 2016 (</w:t>
      </w:r>
      <w:hyperlink r:id="rId9" w:history="1">
        <w:r w:rsidRPr="00FA5C99">
          <w:rPr>
            <w:rStyle w:val="Hyperlink"/>
            <w:rFonts w:asciiTheme="minorHAnsi" w:hAnsiTheme="minorHAnsi"/>
            <w:color w:val="auto"/>
            <w:sz w:val="24"/>
            <w:shd w:val="clear" w:color="auto" w:fill="FFFFFF"/>
          </w:rPr>
          <w:t>Chapter 3 of the Resolves of 2016</w:t>
        </w:r>
      </w:hyperlink>
      <w:r w:rsidRPr="00FA5C99">
        <w:rPr>
          <w:rFonts w:asciiTheme="minorHAnsi" w:hAnsiTheme="minorHAnsi"/>
          <w:sz w:val="24"/>
        </w:rPr>
        <w:t>) t</w:t>
      </w:r>
      <w:r w:rsidRPr="00FA5C99">
        <w:rPr>
          <w:rFonts w:asciiTheme="minorHAnsi" w:hAnsiTheme="minorHAnsi"/>
          <w:sz w:val="24"/>
          <w:shd w:val="clear" w:color="auto" w:fill="FFFFFF"/>
        </w:rPr>
        <w:t>o “assess the effectiveness and efficiency of municipal and regional public health systems and to make recommendations regarding how to strengthen the delivery of public health services and preventive measures</w:t>
      </w:r>
      <w:proofErr w:type="gramStart"/>
      <w:r w:rsidRPr="00FA5C99">
        <w:rPr>
          <w:rFonts w:asciiTheme="minorHAnsi" w:hAnsiTheme="minorHAnsi"/>
          <w:sz w:val="24"/>
          <w:shd w:val="clear" w:color="auto" w:fill="FFFFFF"/>
        </w:rPr>
        <w:t>”.</w:t>
      </w:r>
      <w:proofErr w:type="gramEnd"/>
      <w:r w:rsidRPr="00FA5C99">
        <w:rPr>
          <w:rFonts w:asciiTheme="minorHAnsi" w:hAnsiTheme="minorHAnsi"/>
          <w:sz w:val="24"/>
          <w:shd w:val="clear" w:color="auto" w:fill="FFFFFF"/>
        </w:rPr>
        <w:t xml:space="preserve"> </w:t>
      </w:r>
      <w:r w:rsidR="00E81376" w:rsidRPr="00FA5C99">
        <w:rPr>
          <w:rFonts w:asciiTheme="minorHAnsi" w:hAnsiTheme="minorHAnsi"/>
          <w:sz w:val="24"/>
          <w:shd w:val="clear" w:color="auto" w:fill="FFFFFF"/>
        </w:rPr>
        <w:t>The 25-member Commission provides an opportunity to engage</w:t>
      </w:r>
      <w:r w:rsidR="00204878" w:rsidRPr="00FA5C99">
        <w:rPr>
          <w:rFonts w:asciiTheme="minorHAnsi" w:hAnsiTheme="minorHAnsi"/>
          <w:sz w:val="24"/>
          <w:shd w:val="clear" w:color="auto" w:fill="FFFFFF"/>
        </w:rPr>
        <w:t xml:space="preserve"> leadership from Massachusetts executive branch agencies, the Massachusetts legislature, trade associations, the health care system, and local public health authorities to address longstanding concerns about inefficiencies and inequities in the delivery of local public health services in Massachusetts.</w:t>
      </w:r>
      <w:r w:rsidR="00E54B2B">
        <w:rPr>
          <w:rFonts w:asciiTheme="minorHAnsi" w:hAnsiTheme="minorHAnsi"/>
          <w:sz w:val="24"/>
          <w:shd w:val="clear" w:color="auto" w:fill="FFFFFF"/>
        </w:rPr>
        <w:t xml:space="preserve"> </w:t>
      </w:r>
      <w:r w:rsidR="00FF1D9D" w:rsidRPr="00FA5C99">
        <w:rPr>
          <w:rFonts w:asciiTheme="minorHAnsi" w:hAnsiTheme="minorHAnsi"/>
          <w:sz w:val="24"/>
          <w:shd w:val="clear" w:color="auto" w:fill="FFFFFF"/>
        </w:rPr>
        <w:t>The Commission is chaired by the Commissioner of the Massachusetts Department of Public Health (DPH) and supported by DPH Office of Local and Regional Health and other DPH bureaus and offices that work with local public health authorities in Massachusetts.</w:t>
      </w:r>
    </w:p>
    <w:p w:rsidR="00FF1D9D" w:rsidRPr="00FA5C99" w:rsidRDefault="00FF1D9D" w:rsidP="002020C1">
      <w:pPr>
        <w:spacing w:line="276" w:lineRule="auto"/>
        <w:rPr>
          <w:rFonts w:asciiTheme="minorHAnsi" w:hAnsiTheme="minorHAnsi"/>
          <w:sz w:val="24"/>
          <w:shd w:val="clear" w:color="auto" w:fill="FFFFFF"/>
        </w:rPr>
      </w:pPr>
    </w:p>
    <w:p w:rsidR="00204878" w:rsidRPr="00FA5C99" w:rsidRDefault="00C526E1" w:rsidP="002020C1">
      <w:pPr>
        <w:spacing w:line="276" w:lineRule="auto"/>
        <w:rPr>
          <w:rFonts w:asciiTheme="minorHAnsi" w:hAnsiTheme="minorHAnsi"/>
          <w:sz w:val="24"/>
          <w:shd w:val="clear" w:color="auto" w:fill="FFFFFF"/>
        </w:rPr>
      </w:pPr>
      <w:r w:rsidRPr="00FA5C99">
        <w:rPr>
          <w:rFonts w:asciiTheme="minorHAnsi" w:hAnsiTheme="minorHAnsi"/>
          <w:sz w:val="24"/>
          <w:shd w:val="clear" w:color="auto" w:fill="FFFFFF"/>
        </w:rPr>
        <w:t>Since it was convened in June 2017, the Commission and its subcommittees have been exploring each of the seven elements of its charge as outlin</w:t>
      </w:r>
      <w:r w:rsidR="00E81376" w:rsidRPr="00FA5C99">
        <w:rPr>
          <w:rFonts w:asciiTheme="minorHAnsi" w:hAnsiTheme="minorHAnsi"/>
          <w:sz w:val="24"/>
          <w:shd w:val="clear" w:color="auto" w:fill="FFFFFF"/>
        </w:rPr>
        <w:t xml:space="preserve">ed in the legislation (Appendix A). This report summarizes the work and deliberations of the Commission through April 2018. </w:t>
      </w:r>
      <w:r w:rsidR="00815E5D" w:rsidRPr="00FA5C99">
        <w:rPr>
          <w:rFonts w:asciiTheme="minorHAnsi" w:hAnsiTheme="minorHAnsi"/>
          <w:sz w:val="24"/>
          <w:shd w:val="clear" w:color="auto" w:fill="FFFFFF"/>
        </w:rPr>
        <w:t>It</w:t>
      </w:r>
      <w:r w:rsidR="00204878" w:rsidRPr="00FA5C99">
        <w:rPr>
          <w:rFonts w:asciiTheme="minorHAnsi" w:hAnsiTheme="minorHAnsi"/>
          <w:sz w:val="24"/>
          <w:shd w:val="clear" w:color="auto" w:fill="FFFFFF"/>
        </w:rPr>
        <w:t xml:space="preserve"> is intended </w:t>
      </w:r>
      <w:r w:rsidR="00815E5D" w:rsidRPr="00FA5C99">
        <w:rPr>
          <w:rFonts w:asciiTheme="minorHAnsi" w:hAnsiTheme="minorHAnsi"/>
          <w:sz w:val="24"/>
          <w:shd w:val="clear" w:color="auto" w:fill="FFFFFF"/>
        </w:rPr>
        <w:t xml:space="preserve">to provide a foundation for input </w:t>
      </w:r>
      <w:r w:rsidR="00204878" w:rsidRPr="00FA5C99">
        <w:rPr>
          <w:rFonts w:asciiTheme="minorHAnsi" w:hAnsiTheme="minorHAnsi"/>
          <w:sz w:val="24"/>
          <w:shd w:val="clear" w:color="auto" w:fill="FFFFFF"/>
        </w:rPr>
        <w:t xml:space="preserve">from the wide range of customers and stakeholders that share an interest in </w:t>
      </w:r>
      <w:r w:rsidR="00800098" w:rsidRPr="00FA5C99">
        <w:rPr>
          <w:rFonts w:asciiTheme="minorHAnsi" w:hAnsiTheme="minorHAnsi"/>
          <w:sz w:val="24"/>
          <w:shd w:val="clear" w:color="auto" w:fill="FFFFFF"/>
        </w:rPr>
        <w:t xml:space="preserve">achieving </w:t>
      </w:r>
      <w:r w:rsidR="00204878" w:rsidRPr="00FA5C99">
        <w:rPr>
          <w:rFonts w:asciiTheme="minorHAnsi" w:hAnsiTheme="minorHAnsi"/>
          <w:sz w:val="24"/>
          <w:shd w:val="clear" w:color="auto" w:fill="FFFFFF"/>
        </w:rPr>
        <w:t xml:space="preserve">a more robust, high-performing </w:t>
      </w:r>
      <w:r w:rsidR="00800098" w:rsidRPr="00FA5C99">
        <w:rPr>
          <w:rFonts w:asciiTheme="minorHAnsi" w:hAnsiTheme="minorHAnsi"/>
          <w:sz w:val="24"/>
          <w:shd w:val="clear" w:color="auto" w:fill="FFFFFF"/>
        </w:rPr>
        <w:t xml:space="preserve">Massachusetts </w:t>
      </w:r>
      <w:r w:rsidR="00204878" w:rsidRPr="00FA5C99">
        <w:rPr>
          <w:rFonts w:asciiTheme="minorHAnsi" w:hAnsiTheme="minorHAnsi"/>
          <w:sz w:val="24"/>
          <w:shd w:val="clear" w:color="auto" w:fill="FFFFFF"/>
        </w:rPr>
        <w:t>local public health system</w:t>
      </w:r>
      <w:r w:rsidR="00800098" w:rsidRPr="00FA5C99">
        <w:rPr>
          <w:rFonts w:asciiTheme="minorHAnsi" w:hAnsiTheme="minorHAnsi"/>
          <w:sz w:val="24"/>
          <w:shd w:val="clear" w:color="auto" w:fill="FFFFFF"/>
        </w:rPr>
        <w:t xml:space="preserve"> – one that builds upon the strengths and history of the system and the experience, expertise, and commitment of the local public health workforce</w:t>
      </w:r>
      <w:r w:rsidR="00204878" w:rsidRPr="00FA5C99">
        <w:rPr>
          <w:rFonts w:asciiTheme="minorHAnsi" w:hAnsiTheme="minorHAnsi"/>
          <w:sz w:val="24"/>
          <w:shd w:val="clear" w:color="auto" w:fill="FFFFFF"/>
        </w:rPr>
        <w:t xml:space="preserve">. </w:t>
      </w:r>
      <w:r w:rsidR="00815E5D" w:rsidRPr="00FA5C99">
        <w:rPr>
          <w:rFonts w:asciiTheme="minorHAnsi" w:hAnsiTheme="minorHAnsi"/>
          <w:sz w:val="24"/>
          <w:shd w:val="clear" w:color="auto" w:fill="FFFFFF"/>
        </w:rPr>
        <w:t xml:space="preserve">The report </w:t>
      </w:r>
      <w:r w:rsidR="00800098" w:rsidRPr="00FA5C99">
        <w:rPr>
          <w:rFonts w:asciiTheme="minorHAnsi" w:hAnsiTheme="minorHAnsi"/>
          <w:sz w:val="24"/>
          <w:shd w:val="clear" w:color="auto" w:fill="FFFFFF"/>
        </w:rPr>
        <w:t>convey</w:t>
      </w:r>
      <w:r w:rsidR="00815E5D" w:rsidRPr="00FA5C99">
        <w:rPr>
          <w:rFonts w:asciiTheme="minorHAnsi" w:hAnsiTheme="minorHAnsi"/>
          <w:sz w:val="24"/>
          <w:shd w:val="clear" w:color="auto" w:fill="FFFFFF"/>
        </w:rPr>
        <w:t>s</w:t>
      </w:r>
      <w:r w:rsidR="00800098" w:rsidRPr="00FA5C99">
        <w:rPr>
          <w:rFonts w:asciiTheme="minorHAnsi" w:hAnsiTheme="minorHAnsi"/>
          <w:sz w:val="24"/>
          <w:shd w:val="clear" w:color="auto" w:fill="FFFFFF"/>
        </w:rPr>
        <w:t xml:space="preserve"> to the </w:t>
      </w:r>
      <w:r w:rsidR="00204878" w:rsidRPr="00FA5C99">
        <w:rPr>
          <w:rFonts w:asciiTheme="minorHAnsi" w:hAnsiTheme="minorHAnsi"/>
          <w:sz w:val="24"/>
          <w:shd w:val="clear" w:color="auto" w:fill="FFFFFF"/>
        </w:rPr>
        <w:t>customers and stakeholders that the work of the Commission is a “work-in-progress”</w:t>
      </w:r>
      <w:r w:rsidR="00B10F5C" w:rsidRPr="00FA5C99">
        <w:rPr>
          <w:rFonts w:asciiTheme="minorHAnsi" w:hAnsiTheme="minorHAnsi"/>
          <w:sz w:val="24"/>
          <w:shd w:val="clear" w:color="auto" w:fill="FFFFFF"/>
        </w:rPr>
        <w:t xml:space="preserve"> </w:t>
      </w:r>
      <w:r w:rsidR="00800098" w:rsidRPr="00FA5C99">
        <w:rPr>
          <w:rFonts w:asciiTheme="minorHAnsi" w:hAnsiTheme="minorHAnsi"/>
          <w:sz w:val="24"/>
          <w:shd w:val="clear" w:color="auto" w:fill="FFFFFF"/>
        </w:rPr>
        <w:t xml:space="preserve">that </w:t>
      </w:r>
      <w:r w:rsidR="00B10F5C" w:rsidRPr="00FA5C99">
        <w:rPr>
          <w:rFonts w:asciiTheme="minorHAnsi" w:hAnsiTheme="minorHAnsi"/>
          <w:sz w:val="24"/>
          <w:shd w:val="clear" w:color="auto" w:fill="FFFFFF"/>
        </w:rPr>
        <w:t xml:space="preserve">will benefit </w:t>
      </w:r>
      <w:r w:rsidR="00815E5D" w:rsidRPr="00FA5C99">
        <w:rPr>
          <w:rFonts w:asciiTheme="minorHAnsi" w:hAnsiTheme="minorHAnsi"/>
          <w:sz w:val="24"/>
          <w:shd w:val="clear" w:color="auto" w:fill="FFFFFF"/>
        </w:rPr>
        <w:t>now</w:t>
      </w:r>
      <w:r w:rsidR="000E258D">
        <w:rPr>
          <w:rFonts w:asciiTheme="minorHAnsi" w:hAnsiTheme="minorHAnsi"/>
          <w:sz w:val="24"/>
          <w:shd w:val="clear" w:color="auto" w:fill="FFFFFF"/>
        </w:rPr>
        <w:t xml:space="preserve"> </w:t>
      </w:r>
      <w:r w:rsidR="000E258D" w:rsidRPr="00FA5C99">
        <w:rPr>
          <w:rFonts w:asciiTheme="minorHAnsi" w:hAnsiTheme="minorHAnsi"/>
          <w:sz w:val="24"/>
          <w:shd w:val="clear" w:color="auto" w:fill="FFFFFF"/>
        </w:rPr>
        <w:t>from feedback, comments, and suggestions</w:t>
      </w:r>
      <w:r w:rsidR="00815E5D" w:rsidRPr="00FA5C99">
        <w:rPr>
          <w:rFonts w:asciiTheme="minorHAnsi" w:hAnsiTheme="minorHAnsi"/>
          <w:sz w:val="24"/>
          <w:shd w:val="clear" w:color="auto" w:fill="FFFFFF"/>
        </w:rPr>
        <w:t xml:space="preserve">, after several months of study and discussion, </w:t>
      </w:r>
      <w:r w:rsidR="00B10F5C" w:rsidRPr="00FA5C99">
        <w:rPr>
          <w:rFonts w:asciiTheme="minorHAnsi" w:hAnsiTheme="minorHAnsi"/>
          <w:sz w:val="24"/>
          <w:shd w:val="clear" w:color="auto" w:fill="FFFFFF"/>
        </w:rPr>
        <w:t>as it moves towards draft recommendations later this year.</w:t>
      </w:r>
    </w:p>
    <w:p w:rsidR="00FF1D9D" w:rsidRPr="00FA5C99" w:rsidRDefault="00FF1D9D" w:rsidP="002020C1">
      <w:pPr>
        <w:spacing w:line="276" w:lineRule="auto"/>
        <w:rPr>
          <w:rFonts w:asciiTheme="minorHAnsi" w:hAnsiTheme="minorHAnsi"/>
          <w:sz w:val="24"/>
          <w:shd w:val="clear" w:color="auto" w:fill="FFFFFF"/>
        </w:rPr>
      </w:pPr>
    </w:p>
    <w:p w:rsidR="00E81376" w:rsidRPr="00FA5C99" w:rsidRDefault="003C6BE4" w:rsidP="002020C1">
      <w:pPr>
        <w:spacing w:line="276" w:lineRule="auto"/>
        <w:rPr>
          <w:rFonts w:asciiTheme="minorHAnsi" w:hAnsiTheme="minorHAnsi"/>
          <w:sz w:val="24"/>
          <w:shd w:val="clear" w:color="auto" w:fill="FFFFFF"/>
        </w:rPr>
      </w:pPr>
      <w:r w:rsidRPr="00FA5C99">
        <w:rPr>
          <w:rFonts w:asciiTheme="minorHAnsi" w:hAnsiTheme="minorHAnsi"/>
          <w:sz w:val="24"/>
          <w:shd w:val="clear" w:color="auto" w:fill="FFFFFF"/>
        </w:rPr>
        <w:lastRenderedPageBreak/>
        <w:t xml:space="preserve">The Commission status </w:t>
      </w:r>
      <w:r w:rsidR="00800098" w:rsidRPr="00FA5C99">
        <w:rPr>
          <w:rFonts w:asciiTheme="minorHAnsi" w:hAnsiTheme="minorHAnsi"/>
          <w:sz w:val="24"/>
          <w:shd w:val="clear" w:color="auto" w:fill="FFFFFF"/>
        </w:rPr>
        <w:t xml:space="preserve">report </w:t>
      </w:r>
      <w:r w:rsidRPr="00FA5C99">
        <w:rPr>
          <w:rFonts w:asciiTheme="minorHAnsi" w:hAnsiTheme="minorHAnsi"/>
          <w:sz w:val="24"/>
          <w:shd w:val="clear" w:color="auto" w:fill="FFFFFF"/>
        </w:rPr>
        <w:t xml:space="preserve">summarizes </w:t>
      </w:r>
      <w:r w:rsidR="00800098" w:rsidRPr="00FA5C99">
        <w:rPr>
          <w:rFonts w:asciiTheme="minorHAnsi" w:hAnsiTheme="minorHAnsi"/>
          <w:sz w:val="24"/>
          <w:shd w:val="clear" w:color="auto" w:fill="FFFFFF"/>
        </w:rPr>
        <w:t>the work of the Commission to date. A</w:t>
      </w:r>
      <w:r w:rsidR="00204878" w:rsidRPr="00FA5C99">
        <w:rPr>
          <w:rFonts w:asciiTheme="minorHAnsi" w:hAnsiTheme="minorHAnsi"/>
          <w:sz w:val="24"/>
          <w:shd w:val="clear" w:color="auto" w:fill="FFFFFF"/>
        </w:rPr>
        <w:t xml:space="preserve">dditional </w:t>
      </w:r>
      <w:r w:rsidRPr="00FA5C99">
        <w:rPr>
          <w:rFonts w:asciiTheme="minorHAnsi" w:hAnsiTheme="minorHAnsi"/>
          <w:sz w:val="24"/>
          <w:shd w:val="clear" w:color="auto" w:fill="FFFFFF"/>
        </w:rPr>
        <w:t xml:space="preserve">information </w:t>
      </w:r>
      <w:r w:rsidR="00800098" w:rsidRPr="00FA5C99">
        <w:rPr>
          <w:rFonts w:asciiTheme="minorHAnsi" w:hAnsiTheme="minorHAnsi"/>
          <w:sz w:val="24"/>
          <w:shd w:val="clear" w:color="auto" w:fill="FFFFFF"/>
        </w:rPr>
        <w:t xml:space="preserve">about the deliberations of the Commission </w:t>
      </w:r>
      <w:r w:rsidRPr="00FA5C99">
        <w:rPr>
          <w:rFonts w:asciiTheme="minorHAnsi" w:hAnsiTheme="minorHAnsi"/>
          <w:sz w:val="24"/>
          <w:shd w:val="clear" w:color="auto" w:fill="FFFFFF"/>
        </w:rPr>
        <w:t xml:space="preserve">is </w:t>
      </w:r>
      <w:r w:rsidR="00800098" w:rsidRPr="00FA5C99">
        <w:rPr>
          <w:rFonts w:asciiTheme="minorHAnsi" w:hAnsiTheme="minorHAnsi"/>
          <w:sz w:val="24"/>
          <w:shd w:val="clear" w:color="auto" w:fill="FFFFFF"/>
        </w:rPr>
        <w:t xml:space="preserve">available in </w:t>
      </w:r>
      <w:r w:rsidR="00B10F5C" w:rsidRPr="00FA5C99">
        <w:rPr>
          <w:rFonts w:asciiTheme="minorHAnsi" w:hAnsiTheme="minorHAnsi"/>
          <w:sz w:val="24"/>
          <w:shd w:val="clear" w:color="auto" w:fill="FFFFFF"/>
        </w:rPr>
        <w:t xml:space="preserve">a </w:t>
      </w:r>
      <w:r w:rsidR="00E81376" w:rsidRPr="00FA5C99">
        <w:rPr>
          <w:rFonts w:asciiTheme="minorHAnsi" w:hAnsiTheme="minorHAnsi"/>
          <w:sz w:val="24"/>
          <w:shd w:val="clear" w:color="auto" w:fill="FFFFFF"/>
        </w:rPr>
        <w:t>compilation of agendas and approved minutes of the Commission and its subcommittee</w:t>
      </w:r>
      <w:r w:rsidR="00204878" w:rsidRPr="00FA5C99">
        <w:rPr>
          <w:rFonts w:asciiTheme="minorHAnsi" w:hAnsiTheme="minorHAnsi"/>
          <w:sz w:val="24"/>
          <w:shd w:val="clear" w:color="auto" w:fill="FFFFFF"/>
        </w:rPr>
        <w:t>s</w:t>
      </w:r>
      <w:r w:rsidR="00800098" w:rsidRPr="00FA5C99">
        <w:rPr>
          <w:rFonts w:asciiTheme="minorHAnsi" w:hAnsiTheme="minorHAnsi"/>
          <w:sz w:val="24"/>
          <w:shd w:val="clear" w:color="auto" w:fill="FFFFFF"/>
        </w:rPr>
        <w:t xml:space="preserve"> </w:t>
      </w:r>
      <w:r w:rsidRPr="00FA5C99">
        <w:rPr>
          <w:rFonts w:asciiTheme="minorHAnsi" w:hAnsiTheme="minorHAnsi"/>
          <w:sz w:val="24"/>
          <w:shd w:val="clear" w:color="auto" w:fill="FFFFFF"/>
        </w:rPr>
        <w:t xml:space="preserve">at </w:t>
      </w:r>
      <w:hyperlink r:id="rId10" w:history="1">
        <w:r w:rsidR="00DC06BE">
          <w:rPr>
            <w:rStyle w:val="Hyperlink"/>
            <w:rFonts w:asciiTheme="minorHAnsi" w:hAnsiTheme="minorHAnsi"/>
            <w:sz w:val="24"/>
            <w:shd w:val="clear" w:color="auto" w:fill="FFFFFF"/>
          </w:rPr>
          <w:t>Massachusetts Dept of Public Health Office of Local and Regional Health</w:t>
        </w:r>
      </w:hyperlink>
      <w:r w:rsidR="00E81376" w:rsidRPr="00FA5C99">
        <w:rPr>
          <w:rFonts w:asciiTheme="minorHAnsi" w:hAnsiTheme="minorHAnsi"/>
          <w:sz w:val="24"/>
          <w:shd w:val="clear" w:color="auto" w:fill="FFFFFF"/>
        </w:rPr>
        <w:t xml:space="preserve">. </w:t>
      </w:r>
    </w:p>
    <w:p w:rsidR="003C6BE4" w:rsidRDefault="001D2606" w:rsidP="00A14D58">
      <w:pPr>
        <w:pStyle w:val="Heading1"/>
        <w:rPr>
          <w:shd w:val="clear" w:color="auto" w:fill="FFFFFF"/>
        </w:rPr>
      </w:pPr>
      <w:bookmarkStart w:id="2" w:name="_Toc514334031"/>
      <w:r w:rsidRPr="00A06A0A">
        <w:rPr>
          <w:shd w:val="clear" w:color="auto" w:fill="FFFFFF"/>
        </w:rPr>
        <w:t>National Perspective on Public Health</w:t>
      </w:r>
      <w:bookmarkEnd w:id="2"/>
    </w:p>
    <w:p w:rsidR="00A14D58" w:rsidRPr="00A14D58" w:rsidRDefault="00A14D58" w:rsidP="00A14D58">
      <w:pPr>
        <w:pStyle w:val="Heading1"/>
      </w:pPr>
    </w:p>
    <w:p w:rsidR="001D2606" w:rsidRPr="00FA5C99" w:rsidRDefault="001D2606" w:rsidP="002020C1">
      <w:pPr>
        <w:pStyle w:val="ListParagraph"/>
        <w:spacing w:line="276" w:lineRule="auto"/>
        <w:ind w:left="0"/>
        <w:rPr>
          <w:rFonts w:asciiTheme="minorHAnsi" w:hAnsiTheme="minorHAnsi" w:cs="Helvetica"/>
          <w:b/>
          <w:sz w:val="24"/>
        </w:rPr>
      </w:pPr>
      <w:proofErr w:type="gramStart"/>
      <w:r w:rsidRPr="00FA5C99">
        <w:rPr>
          <w:rFonts w:asciiTheme="minorHAnsi" w:hAnsiTheme="minorHAnsi" w:cs="Helvetica"/>
          <w:b/>
          <w:sz w:val="24"/>
        </w:rPr>
        <w:t xml:space="preserve">History of </w:t>
      </w:r>
      <w:r w:rsidR="00E81376" w:rsidRPr="00FA5C99">
        <w:rPr>
          <w:rFonts w:asciiTheme="minorHAnsi" w:hAnsiTheme="minorHAnsi" w:cs="Helvetica"/>
          <w:b/>
          <w:sz w:val="24"/>
        </w:rPr>
        <w:t>Public Health in the U.S. and Massachusetts</w:t>
      </w:r>
      <w:r w:rsidR="003C6BE4" w:rsidRPr="00FA5C99">
        <w:rPr>
          <w:rFonts w:asciiTheme="minorHAnsi" w:hAnsiTheme="minorHAnsi" w:cs="Helvetica"/>
          <w:b/>
          <w:sz w:val="24"/>
        </w:rPr>
        <w:t>.</w:t>
      </w:r>
      <w:proofErr w:type="gramEnd"/>
      <w:r w:rsidR="003C6BE4" w:rsidRPr="00FA5C99">
        <w:rPr>
          <w:rFonts w:asciiTheme="minorHAnsi" w:hAnsiTheme="minorHAnsi" w:cs="Helvetica"/>
          <w:b/>
          <w:sz w:val="24"/>
        </w:rPr>
        <w:t xml:space="preserve"> </w:t>
      </w:r>
      <w:r w:rsidRPr="00FA5C99">
        <w:rPr>
          <w:rFonts w:asciiTheme="minorHAnsi" w:hAnsiTheme="minorHAnsi" w:cs="Helvetica"/>
          <w:sz w:val="24"/>
        </w:rPr>
        <w:t>Public health has evolved tremendously through history</w:t>
      </w:r>
      <w:r w:rsidR="00E5320D">
        <w:rPr>
          <w:rFonts w:asciiTheme="minorHAnsi" w:hAnsiTheme="minorHAnsi" w:cs="Helvetica"/>
          <w:sz w:val="24"/>
        </w:rPr>
        <w:t xml:space="preserve">. </w:t>
      </w:r>
      <w:r w:rsidRPr="00FA5C99">
        <w:rPr>
          <w:rFonts w:asciiTheme="minorHAnsi" w:hAnsiTheme="minorHAnsi" w:cs="Helvetica"/>
          <w:sz w:val="24"/>
        </w:rPr>
        <w:t xml:space="preserve">The </w:t>
      </w:r>
      <w:r w:rsidR="003C6BE4" w:rsidRPr="00FA5C99">
        <w:rPr>
          <w:rFonts w:asciiTheme="minorHAnsi" w:hAnsiTheme="minorHAnsi" w:cs="Helvetica"/>
          <w:sz w:val="24"/>
        </w:rPr>
        <w:t xml:space="preserve">following </w:t>
      </w:r>
      <w:r w:rsidRPr="00FA5C99">
        <w:rPr>
          <w:rFonts w:asciiTheme="minorHAnsi" w:hAnsiTheme="minorHAnsi" w:cs="Helvetica"/>
          <w:sz w:val="24"/>
        </w:rPr>
        <w:t xml:space="preserve">chart illustrates that progression </w:t>
      </w:r>
      <w:r w:rsidR="00E730B7">
        <w:rPr>
          <w:rFonts w:asciiTheme="minorHAnsi" w:hAnsiTheme="minorHAnsi" w:cs="Helvetica"/>
          <w:sz w:val="24"/>
        </w:rPr>
        <w:t xml:space="preserve">of public health </w:t>
      </w:r>
      <w:r w:rsidRPr="00FA5C99">
        <w:rPr>
          <w:rFonts w:asciiTheme="minorHAnsi" w:hAnsiTheme="minorHAnsi" w:cs="Helvetica"/>
          <w:sz w:val="24"/>
        </w:rPr>
        <w:t>over the course of America's history</w:t>
      </w:r>
      <w:r w:rsidR="00341E3E">
        <w:rPr>
          <w:rFonts w:asciiTheme="minorHAnsi" w:hAnsiTheme="minorHAnsi" w:cs="Helvetica"/>
          <w:sz w:val="24"/>
          <w:vertAlign w:val="superscript"/>
        </w:rPr>
        <w:t>1</w:t>
      </w:r>
      <w:proofErr w:type="gramStart"/>
      <w:r w:rsidR="000B6EDD">
        <w:rPr>
          <w:rFonts w:asciiTheme="minorHAnsi" w:hAnsiTheme="minorHAnsi" w:cs="Helvetica"/>
          <w:sz w:val="24"/>
          <w:vertAlign w:val="superscript"/>
        </w:rPr>
        <w:t>,2</w:t>
      </w:r>
      <w:proofErr w:type="gramEnd"/>
      <w:r w:rsidRPr="00FA5C99">
        <w:rPr>
          <w:rFonts w:asciiTheme="minorHAnsi" w:hAnsiTheme="minorHAnsi" w:cs="Helvetica"/>
          <w:sz w:val="24"/>
        </w:rPr>
        <w:t>:</w:t>
      </w:r>
    </w:p>
    <w:p w:rsidR="001D2606" w:rsidRPr="002020C1" w:rsidRDefault="00966AED" w:rsidP="002020C1">
      <w:pPr>
        <w:pStyle w:val="ListParagraph"/>
        <w:spacing w:line="276" w:lineRule="auto"/>
        <w:ind w:left="0"/>
        <w:rPr>
          <w:rFonts w:asciiTheme="minorHAnsi" w:hAnsiTheme="minorHAnsi"/>
        </w:rPr>
      </w:pPr>
      <w:r>
        <w:rPr>
          <w:noProof/>
        </w:rPr>
        <mc:AlternateContent>
          <mc:Choice Requires="wps">
            <w:drawing>
              <wp:anchor distT="0" distB="0" distL="114300" distR="114300" simplePos="0" relativeHeight="251698176" behindDoc="0" locked="0" layoutInCell="1" allowOverlap="1" wp14:anchorId="41DB3315" wp14:editId="11437BFB">
                <wp:simplePos x="0" y="0"/>
                <wp:positionH relativeFrom="column">
                  <wp:posOffset>876300</wp:posOffset>
                </wp:positionH>
                <wp:positionV relativeFrom="paragraph">
                  <wp:posOffset>2865120</wp:posOffset>
                </wp:positionV>
                <wp:extent cx="3867785"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3867785" cy="635"/>
                        </a:xfrm>
                        <a:prstGeom prst="rect">
                          <a:avLst/>
                        </a:prstGeom>
                        <a:solidFill>
                          <a:prstClr val="white"/>
                        </a:solidFill>
                        <a:ln>
                          <a:noFill/>
                        </a:ln>
                        <a:effectLst/>
                      </wps:spPr>
                      <wps:txbx>
                        <w:txbxContent>
                          <w:p w:rsidR="009742A9" w:rsidRPr="00E94B65" w:rsidRDefault="009742A9" w:rsidP="00966AED">
                            <w:pPr>
                              <w:rPr>
                                <w:rFonts w:asciiTheme="minorHAnsi" w:eastAsia="Times New Roman" w:hAnsiTheme="minorHAnsi"/>
                                <w:sz w:val="16"/>
                                <w:szCs w:val="16"/>
                                <w:vertAlign w:val="superscript"/>
                              </w:rPr>
                            </w:pPr>
                            <w:r w:rsidRPr="00966AED">
                              <w:rPr>
                                <w:rFonts w:asciiTheme="minorHAnsi" w:hAnsiTheme="minorHAnsi"/>
                                <w:b/>
                                <w:sz w:val="16"/>
                                <w:szCs w:val="16"/>
                                <w:shd w:val="clear" w:color="auto" w:fill="FFFFFF"/>
                              </w:rPr>
                              <w:t xml:space="preserve">Source: </w:t>
                            </w:r>
                            <w:r w:rsidRPr="00966AED">
                              <w:rPr>
                                <w:rFonts w:asciiTheme="minorHAnsi" w:eastAsia="Times New Roman" w:hAnsiTheme="minorHAnsi"/>
                                <w:sz w:val="16"/>
                                <w:szCs w:val="16"/>
                              </w:rPr>
                              <w:t>Karen B. </w:t>
                            </w:r>
                            <w:proofErr w:type="spellStart"/>
                            <w:r w:rsidRPr="00966AED">
                              <w:rPr>
                                <w:rFonts w:asciiTheme="minorHAnsi" w:eastAsia="Times New Roman" w:hAnsiTheme="minorHAnsi"/>
                                <w:sz w:val="16"/>
                                <w:szCs w:val="16"/>
                              </w:rPr>
                              <w:t>DeSalvo</w:t>
                            </w:r>
                            <w:proofErr w:type="spellEnd"/>
                            <w:r w:rsidRPr="00966AED">
                              <w:rPr>
                                <w:rFonts w:asciiTheme="minorHAnsi" w:eastAsia="Times New Roman" w:hAnsiTheme="minorHAnsi"/>
                                <w:sz w:val="16"/>
                                <w:szCs w:val="16"/>
                              </w:rPr>
                              <w:t>, Patrick W. O’Carroll, Denise Koo, John M.</w:t>
                            </w:r>
                            <w:r>
                              <w:rPr>
                                <w:rFonts w:asciiTheme="minorHAnsi" w:eastAsia="Times New Roman" w:hAnsiTheme="minorHAnsi"/>
                                <w:sz w:val="16"/>
                                <w:szCs w:val="16"/>
                              </w:rPr>
                              <w:t xml:space="preserve"> </w:t>
                            </w:r>
                            <w:proofErr w:type="spellStart"/>
                            <w:r w:rsidRPr="00966AED">
                              <w:rPr>
                                <w:rFonts w:asciiTheme="minorHAnsi" w:eastAsia="Times New Roman" w:hAnsiTheme="minorHAnsi"/>
                                <w:sz w:val="16"/>
                                <w:szCs w:val="16"/>
                              </w:rPr>
                              <w:t>Auerbach</w:t>
                            </w:r>
                            <w:proofErr w:type="spellEnd"/>
                            <w:r w:rsidRPr="00966AED">
                              <w:rPr>
                                <w:rFonts w:asciiTheme="minorHAnsi" w:eastAsia="Times New Roman" w:hAnsiTheme="minorHAnsi"/>
                                <w:sz w:val="16"/>
                                <w:szCs w:val="16"/>
                              </w:rPr>
                              <w:t>, Judith A. Monroe, </w:t>
                            </w:r>
                            <w:r w:rsidRPr="00966AED">
                              <w:rPr>
                                <w:rFonts w:asciiTheme="minorHAnsi" w:eastAsia="Times New Roman" w:hAnsiTheme="minorHAnsi" w:cs="Arial"/>
                                <w:sz w:val="16"/>
                                <w:szCs w:val="16"/>
                              </w:rPr>
                              <w:t>“Public Health 3.0: Time for an Upgrade”, </w:t>
                            </w:r>
                            <w:r w:rsidRPr="00966AED">
                              <w:rPr>
                                <w:rFonts w:asciiTheme="minorHAnsi" w:eastAsia="Times New Roman" w:hAnsiTheme="minorHAnsi" w:cs="Arial"/>
                                <w:i/>
                                <w:iCs/>
                                <w:sz w:val="16"/>
                                <w:szCs w:val="16"/>
                              </w:rPr>
                              <w:t>American Journal of Public Health</w:t>
                            </w:r>
                            <w:r w:rsidRPr="00966AED">
                              <w:rPr>
                                <w:rFonts w:asciiTheme="minorHAnsi" w:eastAsia="Times New Roman" w:hAnsiTheme="minorHAnsi" w:cs="Arial"/>
                                <w:sz w:val="16"/>
                                <w:szCs w:val="16"/>
                              </w:rPr>
                              <w:t> 106, no. 4 (April 1, 2016): pp. 621-622.</w:t>
                            </w:r>
                            <w:r w:rsidRPr="00966AED">
                              <w:rPr>
                                <w:rFonts w:asciiTheme="minorHAnsi" w:eastAsia="Times New Roman" w:hAnsiTheme="minorHAnsi"/>
                                <w:sz w:val="16"/>
                                <w:szCs w:val="16"/>
                              </w:rPr>
                              <w:t xml:space="preserve"> </w:t>
                            </w:r>
                            <w:r w:rsidRPr="00966AED">
                              <w:rPr>
                                <w:rFonts w:asciiTheme="minorHAnsi" w:eastAsia="Times New Roman" w:hAnsiTheme="minorHAnsi" w:cs="Arial"/>
                                <w:sz w:val="16"/>
                                <w:szCs w:val="16"/>
                              </w:rPr>
                              <w:t>DOI: 10.2105/AJPH.2016.303063</w:t>
                            </w:r>
                            <w:r>
                              <w:rPr>
                                <w:rFonts w:asciiTheme="minorHAnsi" w:eastAsia="Times New Roman" w:hAnsiTheme="minorHAnsi" w:cs="Arial"/>
                                <w:sz w:val="16"/>
                                <w:szCs w:val="16"/>
                                <w:vertAlign w:val="superscript"/>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4" o:spid="_x0000_s1031" type="#_x0000_t202" style="position:absolute;margin-left:69pt;margin-top:225.6pt;width:304.55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" stroked="f">
                <v:textbox style="mso-fit-shape-to-text:t" inset="0,0,0,0">
                  <w:txbxContent>
                    <w:p w:rsidR="009742A9" w:rsidRPr="00E94B65" w:rsidRDefault="009742A9" w:rsidP="00966AED">
                      <w:pPr>
                        <w:rPr>
                          <w:rFonts w:asciiTheme="minorHAnsi" w:eastAsia="Times New Roman" w:hAnsiTheme="minorHAnsi"/>
                          <w:sz w:val="16"/>
                          <w:szCs w:val="16"/>
                          <w:vertAlign w:val="superscript"/>
                        </w:rPr>
                      </w:pPr>
                      <w:r w:rsidRPr="00966AED">
                        <w:rPr>
                          <w:rFonts w:asciiTheme="minorHAnsi" w:hAnsiTheme="minorHAnsi"/>
                          <w:b/>
                          <w:sz w:val="16"/>
                          <w:szCs w:val="16"/>
                          <w:shd w:val="clear" w:color="auto" w:fill="FFFFFF"/>
                        </w:rPr>
                        <w:t xml:space="preserve">Source: </w:t>
                      </w:r>
                      <w:r w:rsidRPr="00966AED">
                        <w:rPr>
                          <w:rFonts w:asciiTheme="minorHAnsi" w:eastAsia="Times New Roman" w:hAnsiTheme="minorHAnsi"/>
                          <w:sz w:val="16"/>
                          <w:szCs w:val="16"/>
                        </w:rPr>
                        <w:t>Karen B. DeSalvo, Patrick W. O’Carroll, Denise Koo, John M.</w:t>
                      </w:r>
                      <w:r>
                        <w:rPr>
                          <w:rFonts w:asciiTheme="minorHAnsi" w:eastAsia="Times New Roman" w:hAnsiTheme="minorHAnsi"/>
                          <w:sz w:val="16"/>
                          <w:szCs w:val="16"/>
                        </w:rPr>
                        <w:t xml:space="preserve"> </w:t>
                      </w:r>
                      <w:r w:rsidRPr="00966AED">
                        <w:rPr>
                          <w:rFonts w:asciiTheme="minorHAnsi" w:eastAsia="Times New Roman" w:hAnsiTheme="minorHAnsi"/>
                          <w:sz w:val="16"/>
                          <w:szCs w:val="16"/>
                        </w:rPr>
                        <w:t>Auerbach, Judith A. Monroe, </w:t>
                      </w:r>
                      <w:r w:rsidRPr="00966AED">
                        <w:rPr>
                          <w:rFonts w:asciiTheme="minorHAnsi" w:eastAsia="Times New Roman" w:hAnsiTheme="minorHAnsi" w:cs="Arial"/>
                          <w:sz w:val="16"/>
                          <w:szCs w:val="16"/>
                        </w:rPr>
                        <w:t>“Public Health 3.0: Time for an Upgrade”, </w:t>
                      </w:r>
                      <w:r w:rsidRPr="00966AED">
                        <w:rPr>
                          <w:rFonts w:asciiTheme="minorHAnsi" w:eastAsia="Times New Roman" w:hAnsiTheme="minorHAnsi" w:cs="Arial"/>
                          <w:i/>
                          <w:iCs/>
                          <w:sz w:val="16"/>
                          <w:szCs w:val="16"/>
                        </w:rPr>
                        <w:t>American Journal of Public Health</w:t>
                      </w:r>
                      <w:r w:rsidRPr="00966AED">
                        <w:rPr>
                          <w:rFonts w:asciiTheme="minorHAnsi" w:eastAsia="Times New Roman" w:hAnsiTheme="minorHAnsi" w:cs="Arial"/>
                          <w:sz w:val="16"/>
                          <w:szCs w:val="16"/>
                        </w:rPr>
                        <w:t> 106, no. 4 (April 1, 2016): pp. 621-622.</w:t>
                      </w:r>
                      <w:r w:rsidRPr="00966AED">
                        <w:rPr>
                          <w:rFonts w:asciiTheme="minorHAnsi" w:eastAsia="Times New Roman" w:hAnsiTheme="minorHAnsi"/>
                          <w:sz w:val="16"/>
                          <w:szCs w:val="16"/>
                        </w:rPr>
                        <w:t xml:space="preserve"> </w:t>
                      </w:r>
                      <w:r w:rsidRPr="00966AED">
                        <w:rPr>
                          <w:rFonts w:asciiTheme="minorHAnsi" w:eastAsia="Times New Roman" w:hAnsiTheme="minorHAnsi" w:cs="Arial"/>
                          <w:sz w:val="16"/>
                          <w:szCs w:val="16"/>
                        </w:rPr>
                        <w:t>DOI: 10.2105/AJPH.2016.303063</w:t>
                      </w:r>
                      <w:r>
                        <w:rPr>
                          <w:rFonts w:asciiTheme="minorHAnsi" w:eastAsia="Times New Roman" w:hAnsiTheme="minorHAnsi" w:cs="Arial"/>
                          <w:sz w:val="16"/>
                          <w:szCs w:val="16"/>
                          <w:vertAlign w:val="superscript"/>
                        </w:rPr>
                        <w:t>2</w:t>
                      </w:r>
                    </w:p>
                  </w:txbxContent>
                </v:textbox>
                <w10:wrap type="tight"/>
              </v:shape>
            </w:pict>
          </mc:Fallback>
        </mc:AlternateContent>
      </w:r>
      <w:r w:rsidR="000E258D" w:rsidRPr="002020C1">
        <w:rPr>
          <w:rFonts w:asciiTheme="minorHAnsi" w:hAnsiTheme="minorHAnsi"/>
          <w:noProof/>
        </w:rPr>
        <w:drawing>
          <wp:anchor distT="0" distB="0" distL="114300" distR="114300" simplePos="0" relativeHeight="251686912" behindDoc="1" locked="0" layoutInCell="1" allowOverlap="1" wp14:anchorId="07BF46D0" wp14:editId="500C5727">
            <wp:simplePos x="0" y="0"/>
            <wp:positionH relativeFrom="column">
              <wp:posOffset>876300</wp:posOffset>
            </wp:positionH>
            <wp:positionV relativeFrom="paragraph">
              <wp:posOffset>83185</wp:posOffset>
            </wp:positionV>
            <wp:extent cx="3867785" cy="2724785"/>
            <wp:effectExtent l="0" t="0" r="0" b="0"/>
            <wp:wrapTight wrapText="bothSides">
              <wp:wrapPolygon edited="0">
                <wp:start x="0" y="0"/>
                <wp:lineTo x="0" y="21444"/>
                <wp:lineTo x="21490" y="21444"/>
                <wp:lineTo x="21490" y="0"/>
                <wp:lineTo x="0" y="0"/>
              </wp:wrapPolygon>
            </wp:wrapTight>
            <wp:docPr id="1050155697" name="picture" descr="The figure contains 3 text boxes, situated in a row. The text of the first box says, “Tremendous growth of knowledge and tools for both medicine and public health” and “Uneven access to care and public health.” The text of the second box says, “Systematic development of public health governmental agency capacity across the United States” and “Focus limited to traditional public health agency programs.” The text of the third box says “Engage multiple sectors and community partners to generate collective impact” and “Improve social determinants of health.” Each box has an arrow on top of it. The first box’s arrow says “Public Health 1.0” and stretches across the top of the 3 boxes. The second box’s arrow says “Public Health 2.0” and begins above the second box and stretches across it and the third box. The third box’s arrow says “Public Health 3.0” and sits only above the third box. One long arrow stretches across the bottom of the 3 boxes and serves as a timeline, over which the following events are listed, from left to right: late 1800s, 1988 IOM The Future of Public Health report, recession, Affordable Care Act, and 2012 IOM For the Public’s Health reports." title="Public-Healt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867785" cy="2724785"/>
                    </a:xfrm>
                    <a:prstGeom prst="rect">
                      <a:avLst/>
                    </a:prstGeom>
                  </pic:spPr>
                </pic:pic>
              </a:graphicData>
            </a:graphic>
            <wp14:sizeRelH relativeFrom="margin">
              <wp14:pctWidth>0</wp14:pctWidth>
            </wp14:sizeRelH>
            <wp14:sizeRelV relativeFrom="margin">
              <wp14:pctHeight>0</wp14:pctHeight>
            </wp14:sizeRelV>
          </wp:anchor>
        </w:drawing>
      </w:r>
    </w:p>
    <w:p w:rsidR="001D2606" w:rsidRPr="002020C1" w:rsidRDefault="001D2606" w:rsidP="002020C1">
      <w:pPr>
        <w:pStyle w:val="ListParagraph"/>
        <w:spacing w:line="276" w:lineRule="auto"/>
        <w:ind w:left="0"/>
        <w:rPr>
          <w:rFonts w:asciiTheme="minorHAnsi" w:hAnsiTheme="minorHAnsi" w:cs="Helvetica"/>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0E258D" w:rsidRDefault="000E258D" w:rsidP="002020C1">
      <w:pPr>
        <w:pStyle w:val="ListParagraph"/>
        <w:spacing w:line="276" w:lineRule="auto"/>
        <w:ind w:left="0"/>
        <w:rPr>
          <w:rFonts w:asciiTheme="minorHAnsi" w:hAnsiTheme="minorHAnsi" w:cs="Helvetica"/>
          <w:sz w:val="24"/>
        </w:rPr>
      </w:pPr>
    </w:p>
    <w:p w:rsidR="00E94B65" w:rsidRDefault="00E94B65" w:rsidP="002020C1">
      <w:pPr>
        <w:pStyle w:val="ListParagraph"/>
        <w:spacing w:line="276" w:lineRule="auto"/>
        <w:ind w:left="0"/>
        <w:rPr>
          <w:rFonts w:asciiTheme="minorHAnsi" w:hAnsiTheme="minorHAnsi" w:cs="Helvetica"/>
          <w:sz w:val="24"/>
        </w:rPr>
      </w:pPr>
    </w:p>
    <w:p w:rsidR="00E94B65" w:rsidRDefault="00E94B65" w:rsidP="002020C1">
      <w:pPr>
        <w:pStyle w:val="ListParagraph"/>
        <w:spacing w:line="276" w:lineRule="auto"/>
        <w:ind w:left="0"/>
        <w:rPr>
          <w:rFonts w:asciiTheme="minorHAnsi" w:hAnsiTheme="minorHAnsi" w:cs="Helvetica"/>
          <w:sz w:val="24"/>
        </w:rPr>
      </w:pPr>
    </w:p>
    <w:p w:rsidR="001D2606" w:rsidRPr="00FA5C99" w:rsidRDefault="001D2606" w:rsidP="002020C1">
      <w:pPr>
        <w:pStyle w:val="ListParagraph"/>
        <w:spacing w:line="276" w:lineRule="auto"/>
        <w:ind w:left="0"/>
        <w:rPr>
          <w:rFonts w:asciiTheme="minorHAnsi" w:hAnsiTheme="minorHAnsi" w:cs="Helvetica"/>
          <w:sz w:val="24"/>
        </w:rPr>
      </w:pPr>
      <w:r w:rsidRPr="00FA5C99">
        <w:rPr>
          <w:rFonts w:asciiTheme="minorHAnsi" w:hAnsiTheme="minorHAnsi" w:cs="Helvetica"/>
          <w:sz w:val="24"/>
        </w:rPr>
        <w:t>Earliest public health measures were directed toward isolation of the ill and quarantine of travelers in response to epidemics of smallpox and other co</w:t>
      </w:r>
      <w:r w:rsidR="00335013" w:rsidRPr="00FA5C99">
        <w:rPr>
          <w:rFonts w:asciiTheme="minorHAnsi" w:hAnsiTheme="minorHAnsi" w:cs="Helvetica"/>
          <w:sz w:val="24"/>
        </w:rPr>
        <w:t>mmunicable disease</w:t>
      </w:r>
      <w:r w:rsidR="000E258D">
        <w:rPr>
          <w:rFonts w:asciiTheme="minorHAnsi" w:hAnsiTheme="minorHAnsi" w:cs="Helvetica"/>
          <w:sz w:val="24"/>
        </w:rPr>
        <w:t>s</w:t>
      </w:r>
      <w:r w:rsidR="00335013" w:rsidRPr="00FA5C99">
        <w:rPr>
          <w:rFonts w:asciiTheme="minorHAnsi" w:hAnsiTheme="minorHAnsi" w:cs="Helvetica"/>
          <w:sz w:val="24"/>
        </w:rPr>
        <w:t>. In the mid-</w:t>
      </w:r>
      <w:r w:rsidRPr="00FA5C99">
        <w:rPr>
          <w:rFonts w:asciiTheme="minorHAnsi" w:hAnsiTheme="minorHAnsi" w:cs="Helvetica"/>
          <w:sz w:val="24"/>
        </w:rPr>
        <w:t>1800s</w:t>
      </w:r>
      <w:r w:rsidR="004D1219">
        <w:rPr>
          <w:rFonts w:asciiTheme="minorHAnsi" w:hAnsiTheme="minorHAnsi" w:cs="Helvetica"/>
          <w:sz w:val="24"/>
        </w:rPr>
        <w:t>,</w:t>
      </w:r>
      <w:r w:rsidRPr="00FA5C99">
        <w:rPr>
          <w:rFonts w:asciiTheme="minorHAnsi" w:hAnsiTheme="minorHAnsi" w:cs="Helvetica"/>
          <w:sz w:val="24"/>
        </w:rPr>
        <w:t xml:space="preserve"> focus on public health expanded to include sanitation in response to increased industrialization and urbanization in European and American cities</w:t>
      </w:r>
      <w:r w:rsidR="00E5320D">
        <w:rPr>
          <w:rFonts w:asciiTheme="minorHAnsi" w:hAnsiTheme="minorHAnsi" w:cs="Helvetica"/>
          <w:sz w:val="24"/>
        </w:rPr>
        <w:t xml:space="preserve">. </w:t>
      </w:r>
      <w:r w:rsidRPr="00FA5C99">
        <w:rPr>
          <w:rFonts w:asciiTheme="minorHAnsi" w:hAnsiTheme="minorHAnsi" w:cs="Helvetica"/>
          <w:sz w:val="24"/>
        </w:rPr>
        <w:t>Enhancements in availability of clean water, waste management, and other measures to improve living conditions contributed to lower rates of infectious disease.</w:t>
      </w:r>
    </w:p>
    <w:p w:rsidR="001D2606" w:rsidRPr="00FA5C99" w:rsidRDefault="001D2606" w:rsidP="002020C1">
      <w:pPr>
        <w:pStyle w:val="ListParagraph"/>
        <w:spacing w:line="276" w:lineRule="auto"/>
        <w:ind w:left="0"/>
        <w:rPr>
          <w:rFonts w:asciiTheme="minorHAnsi" w:hAnsiTheme="minorHAnsi" w:cs="Helvetica"/>
          <w:sz w:val="24"/>
        </w:rPr>
      </w:pPr>
    </w:p>
    <w:p w:rsidR="001D2606" w:rsidRPr="00FA5C99" w:rsidRDefault="001D2606" w:rsidP="002020C1">
      <w:pPr>
        <w:pStyle w:val="ListParagraph"/>
        <w:spacing w:line="276" w:lineRule="auto"/>
        <w:ind w:left="0"/>
        <w:rPr>
          <w:rFonts w:asciiTheme="minorHAnsi" w:hAnsiTheme="minorHAnsi" w:cs="Helvetica"/>
          <w:sz w:val="24"/>
        </w:rPr>
      </w:pPr>
      <w:r w:rsidRPr="00FA5C99">
        <w:rPr>
          <w:rFonts w:asciiTheme="minorHAnsi" w:hAnsiTheme="minorHAnsi" w:cs="Helvetica"/>
          <w:sz w:val="24"/>
        </w:rPr>
        <w:t>Massachusetts was a leader in the establishment of government</w:t>
      </w:r>
      <w:r w:rsidR="003C6BE4" w:rsidRPr="00FA5C99">
        <w:rPr>
          <w:rFonts w:asciiTheme="minorHAnsi" w:hAnsiTheme="minorHAnsi" w:cs="Helvetica"/>
          <w:sz w:val="24"/>
        </w:rPr>
        <w:t>al</w:t>
      </w:r>
      <w:r w:rsidRPr="00FA5C99">
        <w:rPr>
          <w:rFonts w:asciiTheme="minorHAnsi" w:hAnsiTheme="minorHAnsi" w:cs="Helvetica"/>
          <w:sz w:val="24"/>
        </w:rPr>
        <w:t xml:space="preserve"> public health infrastructure</w:t>
      </w:r>
      <w:r w:rsidR="00E5320D">
        <w:rPr>
          <w:rFonts w:asciiTheme="minorHAnsi" w:hAnsiTheme="minorHAnsi" w:cs="Helvetica"/>
          <w:sz w:val="24"/>
        </w:rPr>
        <w:t xml:space="preserve">. </w:t>
      </w:r>
      <w:r w:rsidRPr="00FA5C99">
        <w:rPr>
          <w:rFonts w:asciiTheme="minorHAnsi" w:hAnsiTheme="minorHAnsi" w:cs="Helvetica"/>
          <w:sz w:val="24"/>
        </w:rPr>
        <w:t>During the 19</w:t>
      </w:r>
      <w:r w:rsidRPr="00FA5C99">
        <w:rPr>
          <w:rFonts w:asciiTheme="minorHAnsi" w:hAnsiTheme="minorHAnsi" w:cs="Helvetica"/>
          <w:sz w:val="24"/>
          <w:vertAlign w:val="superscript"/>
        </w:rPr>
        <w:t>th</w:t>
      </w:r>
      <w:r w:rsidRPr="00FA5C99">
        <w:rPr>
          <w:rFonts w:asciiTheme="minorHAnsi" w:hAnsiTheme="minorHAnsi" w:cs="Helvetica"/>
          <w:sz w:val="24"/>
        </w:rPr>
        <w:t xml:space="preserve"> century</w:t>
      </w:r>
      <w:r w:rsidR="00BB692C" w:rsidRPr="00FA5C99">
        <w:rPr>
          <w:rFonts w:asciiTheme="minorHAnsi" w:hAnsiTheme="minorHAnsi" w:cs="Helvetica"/>
          <w:sz w:val="24"/>
        </w:rPr>
        <w:t>,</w:t>
      </w:r>
      <w:r w:rsidRPr="00FA5C99">
        <w:rPr>
          <w:rFonts w:asciiTheme="minorHAnsi" w:hAnsiTheme="minorHAnsi" w:cs="Helvetica"/>
          <w:sz w:val="24"/>
        </w:rPr>
        <w:t xml:space="preserve"> Lemuel Shattuck led efforts in the state to establish a sanitation commission and the State Board of Health</w:t>
      </w:r>
      <w:r w:rsidR="00E5320D">
        <w:rPr>
          <w:rFonts w:asciiTheme="minorHAnsi" w:hAnsiTheme="minorHAnsi" w:cs="Helvetica"/>
          <w:sz w:val="24"/>
        </w:rPr>
        <w:t xml:space="preserve">. </w:t>
      </w:r>
      <w:r w:rsidRPr="00FA5C99">
        <w:rPr>
          <w:rFonts w:asciiTheme="minorHAnsi" w:hAnsiTheme="minorHAnsi" w:cs="Helvetica"/>
          <w:sz w:val="24"/>
        </w:rPr>
        <w:t>By 1900</w:t>
      </w:r>
      <w:r w:rsidR="003C6BE4" w:rsidRPr="00FA5C99">
        <w:rPr>
          <w:rFonts w:asciiTheme="minorHAnsi" w:hAnsiTheme="minorHAnsi" w:cs="Helvetica"/>
          <w:sz w:val="24"/>
        </w:rPr>
        <w:t xml:space="preserve">, forty </w:t>
      </w:r>
      <w:r w:rsidRPr="00FA5C99">
        <w:rPr>
          <w:rFonts w:asciiTheme="minorHAnsi" w:hAnsiTheme="minorHAnsi" w:cs="Helvetica"/>
          <w:sz w:val="24"/>
        </w:rPr>
        <w:t xml:space="preserve">of </w:t>
      </w:r>
      <w:r w:rsidR="003C6BE4" w:rsidRPr="00FA5C99">
        <w:rPr>
          <w:rFonts w:asciiTheme="minorHAnsi" w:hAnsiTheme="minorHAnsi" w:cs="Helvetica"/>
          <w:sz w:val="24"/>
        </w:rPr>
        <w:t xml:space="preserve">forty-five </w:t>
      </w:r>
      <w:r w:rsidRPr="00FA5C99">
        <w:rPr>
          <w:rFonts w:asciiTheme="minorHAnsi" w:hAnsiTheme="minorHAnsi" w:cs="Helvetica"/>
          <w:sz w:val="24"/>
        </w:rPr>
        <w:t xml:space="preserve">states had </w:t>
      </w:r>
      <w:r w:rsidR="003C6BE4" w:rsidRPr="00FA5C99">
        <w:rPr>
          <w:rFonts w:asciiTheme="minorHAnsi" w:hAnsiTheme="minorHAnsi" w:cs="Helvetica"/>
          <w:sz w:val="24"/>
        </w:rPr>
        <w:t xml:space="preserve">established </w:t>
      </w:r>
      <w:r w:rsidRPr="00FA5C99">
        <w:rPr>
          <w:rFonts w:asciiTheme="minorHAnsi" w:hAnsiTheme="minorHAnsi" w:cs="Helvetica"/>
          <w:sz w:val="24"/>
        </w:rPr>
        <w:lastRenderedPageBreak/>
        <w:t xml:space="preserve">state health departments that were responsible for regulation of sanitation and other public health measures and surveying of living conditions and collection of morbidity and mortality data. </w:t>
      </w:r>
    </w:p>
    <w:p w:rsidR="00335013" w:rsidRPr="00FA5C99" w:rsidRDefault="00335013" w:rsidP="002020C1">
      <w:pPr>
        <w:pStyle w:val="ListParagraph"/>
        <w:spacing w:line="276" w:lineRule="auto"/>
        <w:ind w:left="0"/>
        <w:rPr>
          <w:rFonts w:asciiTheme="minorHAnsi" w:hAnsiTheme="minorHAnsi" w:cs="Helvetica"/>
          <w:sz w:val="24"/>
        </w:rPr>
      </w:pPr>
    </w:p>
    <w:p w:rsidR="001D2606" w:rsidRPr="00FA5C99" w:rsidRDefault="001D2606" w:rsidP="002020C1">
      <w:pPr>
        <w:pStyle w:val="ListParagraph"/>
        <w:spacing w:line="276" w:lineRule="auto"/>
        <w:ind w:left="0"/>
        <w:rPr>
          <w:rFonts w:asciiTheme="minorHAnsi" w:hAnsiTheme="minorHAnsi" w:cs="Helvetica"/>
          <w:sz w:val="24"/>
        </w:rPr>
      </w:pPr>
      <w:r w:rsidRPr="00FA5C99">
        <w:rPr>
          <w:rFonts w:asciiTheme="minorHAnsi" w:hAnsiTheme="minorHAnsi" w:cs="Helvetica"/>
          <w:sz w:val="24"/>
        </w:rPr>
        <w:t>Continued expansion of public health programs in the twentieth century such as vaccination, motor vehicle safety, maternal and child health programs, and recognition of tobacco use as a health hazard contributed to an increase in the average lifespan of 25-30 years over the course of the century.</w:t>
      </w:r>
      <w:r w:rsidR="000E258D">
        <w:rPr>
          <w:rFonts w:asciiTheme="minorHAnsi" w:hAnsiTheme="minorHAnsi" w:cs="Helvetica"/>
          <w:sz w:val="24"/>
        </w:rPr>
        <w:t xml:space="preserve"> </w:t>
      </w:r>
      <w:r w:rsidRPr="00FA5C99">
        <w:rPr>
          <w:rFonts w:asciiTheme="minorHAnsi" w:hAnsiTheme="minorHAnsi" w:cs="Helvetica"/>
          <w:sz w:val="24"/>
        </w:rPr>
        <w:t xml:space="preserve">Further expansion of public health has continued over the past twenty years to include focus on addressing the social determinants of health -- </w:t>
      </w:r>
      <w:r w:rsidRPr="00FA5C99">
        <w:rPr>
          <w:rFonts w:asciiTheme="minorHAnsi" w:hAnsiTheme="minorHAnsi"/>
          <w:sz w:val="24"/>
        </w:rPr>
        <w:t>the conditions in which people are born, live, work, and</w:t>
      </w:r>
      <w:r w:rsidR="006E6136">
        <w:rPr>
          <w:rFonts w:asciiTheme="minorHAnsi" w:hAnsiTheme="minorHAnsi"/>
          <w:sz w:val="24"/>
        </w:rPr>
        <w:t xml:space="preserve"> age that affect their health. </w:t>
      </w:r>
      <w:r w:rsidRPr="00FA5C99">
        <w:rPr>
          <w:rFonts w:asciiTheme="minorHAnsi" w:hAnsiTheme="minorHAnsi"/>
          <w:sz w:val="24"/>
        </w:rPr>
        <w:t>These include socioeconomic status, access to health care, housing condition</w:t>
      </w:r>
      <w:r w:rsidR="00BB692C" w:rsidRPr="00FA5C99">
        <w:rPr>
          <w:rFonts w:asciiTheme="minorHAnsi" w:hAnsiTheme="minorHAnsi"/>
          <w:sz w:val="24"/>
        </w:rPr>
        <w:t>s</w:t>
      </w:r>
      <w:r w:rsidRPr="00FA5C99">
        <w:rPr>
          <w:rFonts w:asciiTheme="minorHAnsi" w:hAnsiTheme="minorHAnsi"/>
          <w:sz w:val="24"/>
        </w:rPr>
        <w:t>, educational access and attainment, and food security</w:t>
      </w:r>
      <w:r w:rsidR="00E94B65">
        <w:rPr>
          <w:rFonts w:asciiTheme="minorHAnsi" w:hAnsiTheme="minorHAnsi"/>
          <w:sz w:val="24"/>
          <w:vertAlign w:val="superscript"/>
        </w:rPr>
        <w:t>3</w:t>
      </w:r>
      <w:r w:rsidRPr="00FA5C99">
        <w:rPr>
          <w:rFonts w:asciiTheme="minorHAnsi" w:hAnsiTheme="minorHAnsi"/>
          <w:sz w:val="24"/>
        </w:rPr>
        <w:t>.</w:t>
      </w:r>
    </w:p>
    <w:p w:rsidR="001D2606" w:rsidRPr="00FA5C99" w:rsidRDefault="001D2606" w:rsidP="002020C1">
      <w:pPr>
        <w:pStyle w:val="ListParagraph"/>
        <w:spacing w:line="276" w:lineRule="auto"/>
        <w:ind w:left="0"/>
        <w:rPr>
          <w:rFonts w:asciiTheme="minorHAnsi" w:hAnsiTheme="minorHAnsi" w:cs="Helvetica"/>
          <w:sz w:val="24"/>
        </w:rPr>
      </w:pPr>
    </w:p>
    <w:p w:rsidR="001D2606" w:rsidRPr="00FA5C99" w:rsidRDefault="001D2606" w:rsidP="002020C1">
      <w:p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The work of the Special Commission is informed by recent and ongoing national efforts to chart a course for the improvement of local public health services.</w:t>
      </w:r>
      <w:r w:rsidR="00BB692C" w:rsidRPr="00FA5C99">
        <w:rPr>
          <w:rFonts w:asciiTheme="minorHAnsi" w:hAnsiTheme="minorHAnsi" w:cs="Helvetica"/>
          <w:sz w:val="24"/>
          <w:shd w:val="clear" w:color="auto" w:fill="FFFFFF"/>
        </w:rPr>
        <w:t xml:space="preserve"> These national efforts are summarized below.</w:t>
      </w:r>
    </w:p>
    <w:p w:rsidR="00B10F5C" w:rsidRPr="00FA5C99" w:rsidRDefault="00B10F5C" w:rsidP="002020C1">
      <w:pPr>
        <w:spacing w:line="276" w:lineRule="auto"/>
        <w:textAlignment w:val="baseline"/>
        <w:rPr>
          <w:rFonts w:asciiTheme="minorHAnsi" w:hAnsiTheme="minorHAnsi"/>
          <w:b/>
          <w:sz w:val="24"/>
        </w:rPr>
      </w:pPr>
    </w:p>
    <w:p w:rsidR="001D2606" w:rsidRPr="00FA5C99" w:rsidRDefault="001D2606" w:rsidP="002020C1">
      <w:pPr>
        <w:spacing w:line="276" w:lineRule="auto"/>
        <w:textAlignment w:val="baseline"/>
        <w:rPr>
          <w:rFonts w:asciiTheme="minorHAnsi" w:hAnsiTheme="minorHAnsi"/>
          <w:b/>
          <w:sz w:val="24"/>
        </w:rPr>
      </w:pPr>
      <w:proofErr w:type="gramStart"/>
      <w:r w:rsidRPr="00FA5C99">
        <w:rPr>
          <w:rFonts w:asciiTheme="minorHAnsi" w:hAnsiTheme="minorHAnsi"/>
          <w:b/>
          <w:sz w:val="24"/>
        </w:rPr>
        <w:t>Institute of Medicine Report 2012</w:t>
      </w:r>
      <w:r w:rsidR="003C6BE4" w:rsidRPr="00FA5C99">
        <w:rPr>
          <w:rFonts w:asciiTheme="minorHAnsi" w:hAnsiTheme="minorHAnsi"/>
          <w:b/>
          <w:sz w:val="24"/>
        </w:rPr>
        <w:t>.</w:t>
      </w:r>
      <w:proofErr w:type="gramEnd"/>
      <w:r w:rsidR="003C6BE4" w:rsidRPr="00FA5C99">
        <w:rPr>
          <w:rFonts w:asciiTheme="minorHAnsi" w:hAnsiTheme="minorHAnsi"/>
          <w:b/>
          <w:sz w:val="24"/>
        </w:rPr>
        <w:t xml:space="preserve"> </w:t>
      </w:r>
      <w:r w:rsidRPr="00FA5C99">
        <w:rPr>
          <w:rFonts w:asciiTheme="minorHAnsi" w:hAnsiTheme="minorHAnsi"/>
          <w:sz w:val="24"/>
        </w:rPr>
        <w:t>In a 2012</w:t>
      </w:r>
      <w:r w:rsidR="00E5320D">
        <w:rPr>
          <w:rFonts w:asciiTheme="minorHAnsi" w:hAnsiTheme="minorHAnsi"/>
          <w:sz w:val="24"/>
        </w:rPr>
        <w:t xml:space="preserve"> </w:t>
      </w:r>
      <w:r w:rsidRPr="00FA5C99">
        <w:rPr>
          <w:rFonts w:asciiTheme="minorHAnsi" w:hAnsiTheme="minorHAnsi"/>
          <w:sz w:val="24"/>
        </w:rPr>
        <w:t>report</w:t>
      </w:r>
      <w:r w:rsidR="00E94B65">
        <w:rPr>
          <w:rFonts w:asciiTheme="minorHAnsi" w:hAnsiTheme="minorHAnsi"/>
          <w:sz w:val="24"/>
          <w:vertAlign w:val="superscript"/>
        </w:rPr>
        <w:t>4</w:t>
      </w:r>
      <w:r w:rsidRPr="00FA5C99">
        <w:rPr>
          <w:rFonts w:asciiTheme="minorHAnsi" w:hAnsiTheme="minorHAnsi"/>
          <w:sz w:val="24"/>
        </w:rPr>
        <w:t xml:space="preserve">, </w:t>
      </w:r>
      <w:r w:rsidRPr="00FA5C99">
        <w:rPr>
          <w:rFonts w:asciiTheme="minorHAnsi" w:hAnsiTheme="minorHAnsi"/>
          <w:i/>
          <w:sz w:val="24"/>
        </w:rPr>
        <w:t>For the Public’s Health:</w:t>
      </w:r>
      <w:r w:rsidR="006E6136">
        <w:rPr>
          <w:rFonts w:asciiTheme="minorHAnsi" w:hAnsiTheme="minorHAnsi"/>
          <w:i/>
          <w:sz w:val="24"/>
        </w:rPr>
        <w:t xml:space="preserve"> Investing in a Healthier Futur</w:t>
      </w:r>
      <w:r w:rsidR="00D44587">
        <w:rPr>
          <w:rFonts w:asciiTheme="minorHAnsi" w:hAnsiTheme="minorHAnsi"/>
          <w:i/>
          <w:sz w:val="24"/>
        </w:rPr>
        <w:t>e</w:t>
      </w:r>
      <w:r w:rsidRPr="00FA5C99">
        <w:rPr>
          <w:rFonts w:asciiTheme="minorHAnsi" w:hAnsiTheme="minorHAnsi"/>
          <w:sz w:val="24"/>
        </w:rPr>
        <w:t xml:space="preserve">, the Institute of Medicine </w:t>
      </w:r>
      <w:r w:rsidR="003C6BE4" w:rsidRPr="00FA5C99">
        <w:rPr>
          <w:rFonts w:asciiTheme="minorHAnsi" w:hAnsiTheme="minorHAnsi"/>
          <w:sz w:val="24"/>
        </w:rPr>
        <w:t xml:space="preserve">(IOM) </w:t>
      </w:r>
      <w:r w:rsidRPr="00FA5C99">
        <w:rPr>
          <w:rFonts w:asciiTheme="minorHAnsi" w:hAnsiTheme="minorHAnsi"/>
          <w:sz w:val="24"/>
        </w:rPr>
        <w:t>assessed both the sources and adequacy of current governmental public health funding and identified approaches to building a sustainable and sufficient public health presence going forward, while recognizing the importance of the other stakeholders</w:t>
      </w:r>
      <w:r w:rsidR="00E5320D">
        <w:rPr>
          <w:rFonts w:asciiTheme="minorHAnsi" w:hAnsiTheme="minorHAnsi"/>
          <w:sz w:val="24"/>
        </w:rPr>
        <w:t xml:space="preserve"> </w:t>
      </w:r>
      <w:r w:rsidRPr="00FA5C99">
        <w:rPr>
          <w:rFonts w:asciiTheme="minorHAnsi" w:hAnsiTheme="minorHAnsi"/>
          <w:sz w:val="24"/>
        </w:rPr>
        <w:t>in the health system.</w:t>
      </w:r>
    </w:p>
    <w:p w:rsidR="001D2606" w:rsidRPr="00FA5C99" w:rsidRDefault="001D2606" w:rsidP="002020C1">
      <w:pPr>
        <w:spacing w:line="276" w:lineRule="auto"/>
        <w:rPr>
          <w:rFonts w:asciiTheme="minorHAnsi" w:hAnsiTheme="minorHAnsi" w:cs="Helvetica"/>
          <w:sz w:val="24"/>
          <w:shd w:val="clear" w:color="auto" w:fill="FFFFFF"/>
        </w:rPr>
      </w:pPr>
    </w:p>
    <w:p w:rsidR="001D2606" w:rsidRPr="00FA5C99" w:rsidRDefault="001D2606" w:rsidP="002020C1">
      <w:p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 xml:space="preserve">A series of recommendations called for changing how the nation invests in health funding to support population-based </w:t>
      </w:r>
      <w:r w:rsidR="00BB692C" w:rsidRPr="00FA5C99">
        <w:rPr>
          <w:rFonts w:asciiTheme="minorHAnsi" w:hAnsiTheme="minorHAnsi" w:cs="Helvetica"/>
          <w:sz w:val="24"/>
          <w:shd w:val="clear" w:color="auto" w:fill="FFFFFF"/>
        </w:rPr>
        <w:t>approaches to sustaining health</w:t>
      </w:r>
      <w:r w:rsidR="00E5320D">
        <w:rPr>
          <w:rFonts w:asciiTheme="minorHAnsi" w:hAnsiTheme="minorHAnsi" w:cs="Helvetica"/>
          <w:sz w:val="24"/>
          <w:shd w:val="clear" w:color="auto" w:fill="FFFFFF"/>
        </w:rPr>
        <w:t xml:space="preserve">. </w:t>
      </w:r>
      <w:r w:rsidR="00C15A17">
        <w:rPr>
          <w:rFonts w:asciiTheme="minorHAnsi" w:hAnsiTheme="minorHAnsi" w:cs="Helvetica"/>
          <w:sz w:val="24"/>
          <w:shd w:val="clear" w:color="auto" w:fill="FFFFFF"/>
        </w:rPr>
        <w:t>The report underscored</w:t>
      </w:r>
      <w:r w:rsidR="00152912">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 xml:space="preserve">that </w:t>
      </w:r>
      <w:r w:rsidR="00BB692C" w:rsidRPr="00FA5C99">
        <w:rPr>
          <w:rFonts w:asciiTheme="minorHAnsi" w:hAnsiTheme="minorHAnsi" w:cs="Helvetica"/>
          <w:sz w:val="24"/>
          <w:shd w:val="clear" w:color="auto" w:fill="FFFFFF"/>
        </w:rPr>
        <w:t xml:space="preserve">1) </w:t>
      </w:r>
      <w:r w:rsidRPr="00FA5C99">
        <w:rPr>
          <w:rFonts w:asciiTheme="minorHAnsi" w:hAnsiTheme="minorHAnsi" w:cs="Helvetica"/>
          <w:sz w:val="24"/>
          <w:shd w:val="clear" w:color="auto" w:fill="FFFFFF"/>
        </w:rPr>
        <w:t xml:space="preserve">state and local health departments are qualified when they have the resources to implement population-based </w:t>
      </w:r>
      <w:r w:rsidR="00BB692C" w:rsidRPr="00FA5C99">
        <w:rPr>
          <w:rFonts w:asciiTheme="minorHAnsi" w:hAnsiTheme="minorHAnsi" w:cs="Helvetica"/>
          <w:sz w:val="24"/>
          <w:shd w:val="clear" w:color="auto" w:fill="FFFFFF"/>
        </w:rPr>
        <w:t>prevention approaches, and 2)</w:t>
      </w:r>
      <w:r w:rsidR="00C15A17">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the state and local public health infrastructure across the nation is not sufficiently fun</w:t>
      </w:r>
      <w:r w:rsidR="006E6136">
        <w:rPr>
          <w:rFonts w:asciiTheme="minorHAnsi" w:hAnsiTheme="minorHAnsi" w:cs="Helvetica"/>
          <w:sz w:val="24"/>
          <w:shd w:val="clear" w:color="auto" w:fill="FFFFFF"/>
        </w:rPr>
        <w:t xml:space="preserve">ded to carry out this mission. </w:t>
      </w:r>
      <w:r w:rsidRPr="00FA5C99">
        <w:rPr>
          <w:rFonts w:asciiTheme="minorHAnsi" w:hAnsiTheme="minorHAnsi" w:cs="Helvetica"/>
          <w:sz w:val="24"/>
          <w:shd w:val="clear" w:color="auto" w:fill="FFFFFF"/>
        </w:rPr>
        <w:t>The report developed the concept of a minimum package of public health services, which includes foundational capabilities and an array of basic programs no health department can be without including:</w:t>
      </w:r>
    </w:p>
    <w:p w:rsidR="001D2606" w:rsidRPr="00FA5C99" w:rsidRDefault="001D2606" w:rsidP="000A0AB7">
      <w:pPr>
        <w:pStyle w:val="ListParagraph"/>
        <w:numPr>
          <w:ilvl w:val="0"/>
          <w:numId w:val="5"/>
        </w:numPr>
        <w:spacing w:line="276" w:lineRule="auto"/>
        <w:ind w:left="1080"/>
        <w:rPr>
          <w:rFonts w:asciiTheme="minorHAnsi" w:hAnsiTheme="minorHAnsi" w:cs="Helvetica"/>
          <w:sz w:val="24"/>
          <w:shd w:val="clear" w:color="auto" w:fill="FFFFFF"/>
        </w:rPr>
      </w:pPr>
      <w:r w:rsidRPr="00FA5C99">
        <w:rPr>
          <w:rFonts w:asciiTheme="minorHAnsi" w:hAnsiTheme="minorHAnsi" w:cs="Helvetica"/>
          <w:sz w:val="24"/>
          <w:shd w:val="clear" w:color="auto" w:fill="FFFFFF"/>
        </w:rPr>
        <w:t>information systems and resources, includin</w:t>
      </w:r>
      <w:r w:rsidR="00BB692C" w:rsidRPr="00FA5C99">
        <w:rPr>
          <w:rFonts w:asciiTheme="minorHAnsi" w:hAnsiTheme="minorHAnsi" w:cs="Helvetica"/>
          <w:sz w:val="24"/>
          <w:shd w:val="clear" w:color="auto" w:fill="FFFFFF"/>
        </w:rPr>
        <w:t>g surveillance and epidemiology;</w:t>
      </w:r>
    </w:p>
    <w:p w:rsidR="001D2606" w:rsidRPr="00FA5C99" w:rsidRDefault="001D2606" w:rsidP="002020C1">
      <w:pPr>
        <w:spacing w:line="276" w:lineRule="auto"/>
        <w:ind w:left="720"/>
        <w:rPr>
          <w:rFonts w:asciiTheme="minorHAnsi" w:hAnsiTheme="minorHAnsi" w:cs="Helvetica"/>
          <w:sz w:val="24"/>
          <w:shd w:val="clear" w:color="auto" w:fill="FFFFFF"/>
        </w:rPr>
      </w:pPr>
      <w:proofErr w:type="gramStart"/>
      <w:r w:rsidRPr="00FA5C99">
        <w:rPr>
          <w:rFonts w:asciiTheme="minorHAnsi" w:hAnsiTheme="minorHAnsi" w:cs="Helvetica"/>
          <w:sz w:val="24"/>
          <w:shd w:val="clear" w:color="auto" w:fill="FFFFFF"/>
        </w:rPr>
        <w:t>•</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health</w:t>
      </w:r>
      <w:proofErr w:type="gramEnd"/>
      <w:r w:rsidRPr="00FA5C99">
        <w:rPr>
          <w:rFonts w:asciiTheme="minorHAnsi" w:hAnsiTheme="minorHAnsi" w:cs="Helvetica"/>
          <w:sz w:val="24"/>
          <w:shd w:val="clear" w:color="auto" w:fill="FFFFFF"/>
        </w:rPr>
        <w:t xml:space="preserve"> planning (including communi</w:t>
      </w:r>
      <w:r w:rsidR="00BB692C" w:rsidRPr="00FA5C99">
        <w:rPr>
          <w:rFonts w:asciiTheme="minorHAnsi" w:hAnsiTheme="minorHAnsi" w:cs="Helvetica"/>
          <w:sz w:val="24"/>
          <w:shd w:val="clear" w:color="auto" w:fill="FFFFFF"/>
        </w:rPr>
        <w:t>ty health improvement planning);</w:t>
      </w:r>
    </w:p>
    <w:p w:rsidR="001D2606" w:rsidRPr="00FA5C99" w:rsidRDefault="001D2606" w:rsidP="002020C1">
      <w:pPr>
        <w:spacing w:line="276" w:lineRule="auto"/>
        <w:ind w:left="720"/>
        <w:rPr>
          <w:rFonts w:asciiTheme="minorHAnsi" w:hAnsiTheme="minorHAnsi" w:cs="Helvetica"/>
          <w:sz w:val="24"/>
          <w:shd w:val="clear" w:color="auto" w:fill="FFFFFF"/>
        </w:rPr>
      </w:pPr>
      <w:proofErr w:type="gramStart"/>
      <w:r w:rsidRPr="00FA5C99">
        <w:rPr>
          <w:rFonts w:asciiTheme="minorHAnsi" w:hAnsiTheme="minorHAnsi" w:cs="Helvetica"/>
          <w:sz w:val="24"/>
          <w:shd w:val="clear" w:color="auto" w:fill="FFFFFF"/>
        </w:rPr>
        <w:t>•</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partnership</w:t>
      </w:r>
      <w:proofErr w:type="gramEnd"/>
      <w:r w:rsidRPr="00FA5C99">
        <w:rPr>
          <w:rFonts w:asciiTheme="minorHAnsi" w:hAnsiTheme="minorHAnsi" w:cs="Helvetica"/>
          <w:sz w:val="24"/>
          <w:shd w:val="clear" w:color="auto" w:fill="FFFFFF"/>
        </w:rPr>
        <w:t xml:space="preserve"> develop</w:t>
      </w:r>
      <w:r w:rsidR="00BB692C" w:rsidRPr="00FA5C99">
        <w:rPr>
          <w:rFonts w:asciiTheme="minorHAnsi" w:hAnsiTheme="minorHAnsi" w:cs="Helvetica"/>
          <w:sz w:val="24"/>
          <w:shd w:val="clear" w:color="auto" w:fill="FFFFFF"/>
        </w:rPr>
        <w:t>ment and community mobilization;</w:t>
      </w:r>
    </w:p>
    <w:p w:rsidR="001D2606" w:rsidRPr="00FA5C99" w:rsidRDefault="001D2606" w:rsidP="002020C1">
      <w:pPr>
        <w:spacing w:line="276" w:lineRule="auto"/>
        <w:ind w:left="720"/>
        <w:rPr>
          <w:rFonts w:asciiTheme="minorHAnsi" w:hAnsiTheme="minorHAnsi" w:cs="Helvetica"/>
          <w:sz w:val="24"/>
          <w:shd w:val="clear" w:color="auto" w:fill="FFFFFF"/>
        </w:rPr>
      </w:pPr>
      <w:proofErr w:type="gramStart"/>
      <w:r w:rsidRPr="00FA5C99">
        <w:rPr>
          <w:rFonts w:asciiTheme="minorHAnsi" w:hAnsiTheme="minorHAnsi" w:cs="Helvetica"/>
          <w:sz w:val="24"/>
          <w:shd w:val="clear" w:color="auto" w:fill="FFFFFF"/>
        </w:rPr>
        <w:t>•</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policy</w:t>
      </w:r>
      <w:proofErr w:type="gramEnd"/>
      <w:r w:rsidRPr="00FA5C99">
        <w:rPr>
          <w:rFonts w:asciiTheme="minorHAnsi" w:hAnsiTheme="minorHAnsi" w:cs="Helvetica"/>
          <w:sz w:val="24"/>
          <w:shd w:val="clear" w:color="auto" w:fill="FFFFFF"/>
        </w:rPr>
        <w:t xml:space="preserve"> development,</w:t>
      </w:r>
      <w:r w:rsidR="00BB692C" w:rsidRPr="00FA5C99">
        <w:rPr>
          <w:rFonts w:asciiTheme="minorHAnsi" w:hAnsiTheme="minorHAnsi" w:cs="Helvetica"/>
          <w:sz w:val="24"/>
          <w:shd w:val="clear" w:color="auto" w:fill="FFFFFF"/>
        </w:rPr>
        <w:t xml:space="preserve"> analysis, and decision support;</w:t>
      </w:r>
    </w:p>
    <w:p w:rsidR="001D2606" w:rsidRPr="00FA5C99" w:rsidRDefault="001D2606" w:rsidP="002020C1">
      <w:pPr>
        <w:spacing w:line="276" w:lineRule="auto"/>
        <w:ind w:left="720"/>
        <w:rPr>
          <w:rFonts w:asciiTheme="minorHAnsi" w:hAnsiTheme="minorHAnsi" w:cs="Helvetica"/>
          <w:sz w:val="24"/>
          <w:shd w:val="clear" w:color="auto" w:fill="FFFFFF"/>
        </w:rPr>
      </w:pPr>
      <w:proofErr w:type="gramStart"/>
      <w:r w:rsidRPr="00FA5C99">
        <w:rPr>
          <w:rFonts w:asciiTheme="minorHAnsi" w:hAnsiTheme="minorHAnsi" w:cs="Helvetica"/>
          <w:sz w:val="24"/>
          <w:shd w:val="clear" w:color="auto" w:fill="FFFFFF"/>
        </w:rPr>
        <w:t>•</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communication</w:t>
      </w:r>
      <w:proofErr w:type="gramEnd"/>
      <w:r w:rsidRPr="00FA5C99">
        <w:rPr>
          <w:rFonts w:asciiTheme="minorHAnsi" w:hAnsiTheme="minorHAnsi" w:cs="Helvetica"/>
          <w:sz w:val="24"/>
          <w:shd w:val="clear" w:color="auto" w:fill="FFFFFF"/>
        </w:rPr>
        <w:t xml:space="preserve"> (including health li</w:t>
      </w:r>
      <w:r w:rsidR="00BB692C" w:rsidRPr="00FA5C99">
        <w:rPr>
          <w:rFonts w:asciiTheme="minorHAnsi" w:hAnsiTheme="minorHAnsi" w:cs="Helvetica"/>
          <w:sz w:val="24"/>
          <w:shd w:val="clear" w:color="auto" w:fill="FFFFFF"/>
        </w:rPr>
        <w:t>teracy and cultural competence);</w:t>
      </w:r>
      <w:r w:rsidRPr="00FA5C99">
        <w:rPr>
          <w:rFonts w:asciiTheme="minorHAnsi" w:hAnsiTheme="minorHAnsi" w:cs="Helvetica"/>
          <w:sz w:val="24"/>
          <w:shd w:val="clear" w:color="auto" w:fill="FFFFFF"/>
        </w:rPr>
        <w:t xml:space="preserve"> and</w:t>
      </w:r>
    </w:p>
    <w:p w:rsidR="001D2606" w:rsidRPr="00FA5C99" w:rsidRDefault="001D2606" w:rsidP="002020C1">
      <w:pPr>
        <w:spacing w:line="276" w:lineRule="auto"/>
        <w:ind w:left="720"/>
        <w:rPr>
          <w:rFonts w:asciiTheme="minorHAnsi" w:hAnsiTheme="minorHAnsi" w:cs="Helvetica"/>
          <w:sz w:val="24"/>
          <w:shd w:val="clear" w:color="auto" w:fill="FFFFFF"/>
        </w:rPr>
      </w:pPr>
      <w:proofErr w:type="gramStart"/>
      <w:r w:rsidRPr="00FA5C99">
        <w:rPr>
          <w:rFonts w:asciiTheme="minorHAnsi" w:hAnsiTheme="minorHAnsi" w:cs="Helvetica"/>
          <w:sz w:val="24"/>
          <w:shd w:val="clear" w:color="auto" w:fill="FFFFFF"/>
        </w:rPr>
        <w:t>•</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public</w:t>
      </w:r>
      <w:proofErr w:type="gramEnd"/>
      <w:r w:rsidRPr="00FA5C99">
        <w:rPr>
          <w:rFonts w:asciiTheme="minorHAnsi" w:hAnsiTheme="minorHAnsi" w:cs="Helvetica"/>
          <w:sz w:val="24"/>
          <w:shd w:val="clear" w:color="auto" w:fill="FFFFFF"/>
        </w:rPr>
        <w:t xml:space="preserve"> health research, evaluation, and quality improvement.</w:t>
      </w:r>
    </w:p>
    <w:p w:rsidR="003C6BE4" w:rsidRPr="00FA5C99" w:rsidRDefault="003C6BE4" w:rsidP="002020C1">
      <w:pPr>
        <w:spacing w:line="276" w:lineRule="auto"/>
        <w:ind w:left="720"/>
        <w:rPr>
          <w:rFonts w:asciiTheme="minorHAnsi" w:hAnsiTheme="minorHAnsi" w:cs="Helvetica"/>
          <w:sz w:val="24"/>
          <w:shd w:val="clear" w:color="auto" w:fill="FFFFFF"/>
        </w:rPr>
      </w:pPr>
    </w:p>
    <w:p w:rsidR="001D2606" w:rsidRPr="00FA5C99" w:rsidRDefault="001D2606" w:rsidP="002020C1">
      <w:pPr>
        <w:spacing w:line="276" w:lineRule="auto"/>
        <w:rPr>
          <w:rFonts w:asciiTheme="minorHAnsi" w:hAnsiTheme="minorHAnsi" w:cs="Helvetica"/>
          <w:b/>
          <w:sz w:val="24"/>
          <w:shd w:val="clear" w:color="auto" w:fill="FFFFFF"/>
        </w:rPr>
      </w:pPr>
      <w:proofErr w:type="gramStart"/>
      <w:r w:rsidRPr="00FA5C99">
        <w:rPr>
          <w:rFonts w:asciiTheme="minorHAnsi" w:hAnsiTheme="minorHAnsi" w:cs="Helvetica"/>
          <w:b/>
          <w:sz w:val="24"/>
          <w:shd w:val="clear" w:color="auto" w:fill="FFFFFF"/>
        </w:rPr>
        <w:lastRenderedPageBreak/>
        <w:t>Foundational Public Health Services 2013</w:t>
      </w:r>
      <w:r w:rsidR="003C6BE4" w:rsidRPr="00FA5C99">
        <w:rPr>
          <w:rFonts w:asciiTheme="minorHAnsi" w:hAnsiTheme="minorHAnsi" w:cs="Helvetica"/>
          <w:b/>
          <w:sz w:val="24"/>
          <w:shd w:val="clear" w:color="auto" w:fill="FFFFFF"/>
        </w:rPr>
        <w:t>.</w:t>
      </w:r>
      <w:proofErr w:type="gramEnd"/>
      <w:r w:rsidR="003C6BE4" w:rsidRPr="00FA5C99">
        <w:rPr>
          <w:rFonts w:asciiTheme="minorHAnsi" w:hAnsiTheme="minorHAnsi" w:cs="Helvetica"/>
          <w:b/>
          <w:sz w:val="24"/>
          <w:shd w:val="clear" w:color="auto" w:fill="FFFFFF"/>
        </w:rPr>
        <w:t xml:space="preserve"> </w:t>
      </w:r>
      <w:r w:rsidRPr="00FA5C99">
        <w:rPr>
          <w:rFonts w:asciiTheme="minorHAnsi" w:hAnsiTheme="minorHAnsi" w:cs="Helvetica"/>
          <w:sz w:val="24"/>
          <w:shd w:val="clear" w:color="auto" w:fill="FFFFFF"/>
        </w:rPr>
        <w:t>In 2013</w:t>
      </w:r>
      <w:r w:rsidR="003C6BE4" w:rsidRPr="00FA5C99">
        <w:rPr>
          <w:rFonts w:asciiTheme="minorHAnsi" w:hAnsiTheme="minorHAnsi" w:cs="Helvetica"/>
          <w:sz w:val="24"/>
          <w:shd w:val="clear" w:color="auto" w:fill="FFFFFF"/>
        </w:rPr>
        <w:t>,</w:t>
      </w:r>
      <w:r w:rsidRPr="00FA5C99">
        <w:rPr>
          <w:rFonts w:asciiTheme="minorHAnsi" w:hAnsiTheme="minorHAnsi" w:cs="Helvetica"/>
          <w:sz w:val="24"/>
          <w:shd w:val="clear" w:color="auto" w:fill="FFFFFF"/>
        </w:rPr>
        <w:t xml:space="preserve"> the Robert Wood Johnson Foundation funded the Public Health Leadership Forum to develop a set of Foundational Public Health Services</w:t>
      </w:r>
      <w:r w:rsidR="003C6BE4" w:rsidRPr="00FA5C99">
        <w:rPr>
          <w:rFonts w:asciiTheme="minorHAnsi" w:hAnsiTheme="minorHAnsi" w:cs="Helvetica"/>
          <w:sz w:val="24"/>
          <w:shd w:val="clear" w:color="auto" w:fill="FFFFFF"/>
        </w:rPr>
        <w:t xml:space="preserve"> (FPHS)</w:t>
      </w:r>
      <w:r w:rsidRPr="00FA5C99">
        <w:rPr>
          <w:rFonts w:asciiTheme="minorHAnsi" w:hAnsiTheme="minorHAnsi" w:cs="Helvetica"/>
          <w:sz w:val="24"/>
          <w:shd w:val="clear" w:color="auto" w:fill="FFFFFF"/>
        </w:rPr>
        <w:t xml:space="preserve"> -- the minimum package of public health services called for in the IOM report</w:t>
      </w:r>
      <w:r w:rsidR="00152912">
        <w:rPr>
          <w:rFonts w:asciiTheme="minorHAnsi" w:hAnsiTheme="minorHAnsi" w:cs="Helvetica"/>
          <w:sz w:val="24"/>
          <w:shd w:val="clear" w:color="auto" w:fill="FFFFFF"/>
        </w:rPr>
        <w:t xml:space="preserve"> as described above</w:t>
      </w:r>
      <w:r w:rsidR="006E6136">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 xml:space="preserve">FPHS is a conceptual framework outlining the capabilities and areas (i.e., programs) that no health department should be without and for which costs can be estimated. The framework also leaves space for additional important programs and activities that are specific to the needs of the community served by the health department. </w:t>
      </w:r>
    </w:p>
    <w:p w:rsidR="001D2606" w:rsidRPr="00FA5C99" w:rsidRDefault="001D2606" w:rsidP="002020C1">
      <w:pPr>
        <w:spacing w:line="276" w:lineRule="auto"/>
        <w:rPr>
          <w:rFonts w:asciiTheme="minorHAnsi" w:hAnsiTheme="minorHAnsi" w:cs="Helvetica"/>
          <w:sz w:val="24"/>
          <w:shd w:val="clear" w:color="auto" w:fill="FFFFFF"/>
        </w:rPr>
      </w:pPr>
    </w:p>
    <w:p w:rsidR="001D2606" w:rsidRPr="00FA5C99" w:rsidRDefault="001D2606" w:rsidP="000A0AB7">
      <w:pPr>
        <w:pStyle w:val="ListParagraph"/>
        <w:numPr>
          <w:ilvl w:val="0"/>
          <w:numId w:val="5"/>
        </w:num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Foundational capabilities are cross-cutting skills and capacities needed to support the foundational areas</w:t>
      </w:r>
      <w:r w:rsidR="00BB692C" w:rsidRPr="00FA5C99">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and other p</w:t>
      </w:r>
      <w:r w:rsidR="00BB692C" w:rsidRPr="00FA5C99">
        <w:rPr>
          <w:rFonts w:asciiTheme="minorHAnsi" w:hAnsiTheme="minorHAnsi" w:cs="Helvetica"/>
          <w:sz w:val="24"/>
          <w:shd w:val="clear" w:color="auto" w:fill="FFFFFF"/>
        </w:rPr>
        <w:t xml:space="preserve">rograms and activities. They are </w:t>
      </w:r>
      <w:proofErr w:type="gramStart"/>
      <w:r w:rsidRPr="00FA5C99">
        <w:rPr>
          <w:rFonts w:asciiTheme="minorHAnsi" w:hAnsiTheme="minorHAnsi" w:cs="Helvetica"/>
          <w:sz w:val="24"/>
          <w:shd w:val="clear" w:color="auto" w:fill="FFFFFF"/>
        </w:rPr>
        <w:t>key</w:t>
      </w:r>
      <w:proofErr w:type="gramEnd"/>
      <w:r w:rsidRPr="00FA5C99">
        <w:rPr>
          <w:rFonts w:asciiTheme="minorHAnsi" w:hAnsiTheme="minorHAnsi" w:cs="Helvetica"/>
          <w:sz w:val="24"/>
          <w:shd w:val="clear" w:color="auto" w:fill="FFFFFF"/>
        </w:rPr>
        <w:t xml:space="preserve"> to protecting the community’s health and achieving equitable health outcomes.</w:t>
      </w:r>
    </w:p>
    <w:p w:rsidR="001D2606" w:rsidRPr="00FA5C99" w:rsidRDefault="001D2606" w:rsidP="000A0AB7">
      <w:pPr>
        <w:pStyle w:val="ListParagraph"/>
        <w:numPr>
          <w:ilvl w:val="0"/>
          <w:numId w:val="5"/>
        </w:num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 xml:space="preserve">Foundational areas are those substantive areas of expertise or program-specific activities in all governmental public health departments </w:t>
      </w:r>
      <w:r w:rsidR="00BB692C" w:rsidRPr="00FA5C99">
        <w:rPr>
          <w:rFonts w:asciiTheme="minorHAnsi" w:hAnsiTheme="minorHAnsi" w:cs="Helvetica"/>
          <w:sz w:val="24"/>
          <w:shd w:val="clear" w:color="auto" w:fill="FFFFFF"/>
        </w:rPr>
        <w:t xml:space="preserve">that are </w:t>
      </w:r>
      <w:r w:rsidRPr="00FA5C99">
        <w:rPr>
          <w:rFonts w:asciiTheme="minorHAnsi" w:hAnsiTheme="minorHAnsi" w:cs="Helvetica"/>
          <w:sz w:val="24"/>
          <w:shd w:val="clear" w:color="auto" w:fill="FFFFFF"/>
        </w:rPr>
        <w:t>also essential to protect the community’s health.</w:t>
      </w:r>
    </w:p>
    <w:p w:rsidR="001D2606" w:rsidRPr="00FA5C99" w:rsidRDefault="001D2606" w:rsidP="000A0AB7">
      <w:pPr>
        <w:pStyle w:val="ListParagraph"/>
        <w:numPr>
          <w:ilvl w:val="0"/>
          <w:numId w:val="5"/>
        </w:num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Programs and activities specific to a health department or a community’s needs are those determined to be of additional critical significance to a specific community’s health and are supported by the foundational capabilities and areas</w:t>
      </w:r>
      <w:r w:rsidR="00E94B65">
        <w:rPr>
          <w:rFonts w:asciiTheme="minorHAnsi" w:hAnsiTheme="minorHAnsi" w:cs="Helvetica"/>
          <w:sz w:val="24"/>
          <w:shd w:val="clear" w:color="auto" w:fill="FFFFFF"/>
          <w:vertAlign w:val="superscript"/>
        </w:rPr>
        <w:t>5</w:t>
      </w:r>
      <w:r w:rsidRPr="00FA5C99">
        <w:rPr>
          <w:rFonts w:asciiTheme="minorHAnsi" w:hAnsiTheme="minorHAnsi" w:cs="Helvetica"/>
          <w:sz w:val="24"/>
          <w:shd w:val="clear" w:color="auto" w:fill="FFFFFF"/>
        </w:rPr>
        <w:t>.</w:t>
      </w:r>
      <w:r w:rsidRPr="00FA5C99">
        <w:rPr>
          <w:rFonts w:asciiTheme="minorHAnsi" w:hAnsiTheme="minorHAnsi" w:cs="Helvetica"/>
          <w:sz w:val="24"/>
          <w:shd w:val="clear" w:color="auto" w:fill="FFFFFF"/>
        </w:rPr>
        <w:cr/>
      </w:r>
    </w:p>
    <w:p w:rsidR="001D2606" w:rsidRPr="002020C1" w:rsidRDefault="00966AED" w:rsidP="002020C1">
      <w:pPr>
        <w:spacing w:line="276" w:lineRule="auto"/>
        <w:rPr>
          <w:rFonts w:asciiTheme="minorHAnsi" w:hAnsiTheme="minorHAnsi" w:cs="Helvetica"/>
          <w:shd w:val="clear" w:color="auto" w:fill="FFFFFF"/>
        </w:rPr>
      </w:pPr>
      <w:r>
        <w:rPr>
          <w:noProof/>
        </w:rPr>
        <mc:AlternateContent>
          <mc:Choice Requires="wps">
            <w:drawing>
              <wp:anchor distT="0" distB="0" distL="114300" distR="114300" simplePos="0" relativeHeight="251696128" behindDoc="0" locked="0" layoutInCell="1" allowOverlap="1" wp14:anchorId="338EF7B6" wp14:editId="0EC1D2B8">
                <wp:simplePos x="0" y="0"/>
                <wp:positionH relativeFrom="column">
                  <wp:posOffset>1104900</wp:posOffset>
                </wp:positionH>
                <wp:positionV relativeFrom="paragraph">
                  <wp:posOffset>2585720</wp:posOffset>
                </wp:positionV>
                <wp:extent cx="3328035" cy="635"/>
                <wp:effectExtent l="0" t="0" r="0" b="0"/>
                <wp:wrapTight wrapText="bothSides">
                  <wp:wrapPolygon edited="0">
                    <wp:start x="0" y="0"/>
                    <wp:lineTo x="0" y="21600"/>
                    <wp:lineTo x="21600" y="21600"/>
                    <wp:lineTo x="21600" y="0"/>
                  </wp:wrapPolygon>
                </wp:wrapTight>
                <wp:docPr id="13" name="Text Box 13"/>
                <wp:cNvGraphicFramePr/>
                <a:graphic xmlns:a="http://schemas.openxmlformats.org/drawingml/2006/main">
                  <a:graphicData uri="http://schemas.microsoft.com/office/word/2010/wordprocessingShape">
                    <wps:wsp>
                      <wps:cNvSpPr txBox="1"/>
                      <wps:spPr>
                        <a:xfrm>
                          <a:off x="0" y="0"/>
                          <a:ext cx="3328035" cy="635"/>
                        </a:xfrm>
                        <a:prstGeom prst="rect">
                          <a:avLst/>
                        </a:prstGeom>
                        <a:solidFill>
                          <a:prstClr val="white"/>
                        </a:solidFill>
                        <a:ln>
                          <a:noFill/>
                        </a:ln>
                        <a:effectLst/>
                      </wps:spPr>
                      <wps:txbx>
                        <w:txbxContent>
                          <w:p w:rsidR="009742A9" w:rsidRPr="00610EC3" w:rsidRDefault="009742A9" w:rsidP="00966AED">
                            <w:pPr>
                              <w:pStyle w:val="Caption"/>
                              <w:rPr>
                                <w:rFonts w:cs="Helvetica"/>
                                <w:b w:val="0"/>
                                <w:noProof/>
                                <w:color w:val="auto"/>
                                <w:sz w:val="16"/>
                                <w:shd w:val="clear" w:color="auto" w:fill="FFFFFF"/>
                                <w:vertAlign w:val="superscript"/>
                              </w:rPr>
                            </w:pPr>
                            <w:r w:rsidRPr="00610EC3">
                              <w:rPr>
                                <w:b w:val="0"/>
                                <w:color w:val="auto"/>
                                <w:sz w:val="16"/>
                              </w:rPr>
                              <w:t xml:space="preserve">Source: </w:t>
                            </w:r>
                            <w:r w:rsidRPr="00610EC3">
                              <w:rPr>
                                <w:b w:val="0"/>
                                <w:color w:val="auto"/>
                                <w:sz w:val="16"/>
                                <w:szCs w:val="24"/>
                              </w:rPr>
                              <w:t xml:space="preserve">RESOLVE – </w:t>
                            </w:r>
                            <w:r w:rsidRPr="00610EC3">
                              <w:rPr>
                                <w:b w:val="0"/>
                                <w:i/>
                                <w:color w:val="auto"/>
                                <w:sz w:val="16"/>
                                <w:szCs w:val="24"/>
                              </w:rPr>
                              <w:t>Public Health Leadership Forum, Defining and Constituting Foundational “Capabilities” and “Areas” Version 1 (V-1)</w:t>
                            </w:r>
                            <w:r w:rsidRPr="00610EC3">
                              <w:rPr>
                                <w:b w:val="0"/>
                                <w:color w:val="auto"/>
                                <w:sz w:val="16"/>
                                <w:szCs w:val="24"/>
                              </w:rPr>
                              <w:t>. March 2014</w:t>
                            </w:r>
                            <w:r w:rsidRPr="00610EC3">
                              <w:rPr>
                                <w:b w:val="0"/>
                                <w:color w:val="auto"/>
                                <w:sz w:val="16"/>
                              </w:rPr>
                              <w:t xml:space="preserve"> </w:t>
                            </w:r>
                            <w:r w:rsidRPr="00610EC3">
                              <w:rPr>
                                <w:b w:val="0"/>
                                <w:color w:val="auto"/>
                                <w:sz w:val="16"/>
                                <w:vertAlign w:val="superscript"/>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3" o:spid="_x0000_s1032" type="#_x0000_t202" style="position:absolute;margin-left:87pt;margin-top:203.6pt;width:262.05pt;height:.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" stroked="f">
                <v:textbox style="mso-fit-shape-to-text:t" inset="0,0,0,0">
                  <w:txbxContent>
                    <w:p w:rsidR="009742A9" w:rsidRPr="00610EC3" w:rsidRDefault="009742A9" w:rsidP="00966AED">
                      <w:pPr>
                        <w:pStyle w:val="Caption"/>
                        <w:rPr>
                          <w:rFonts w:cs="Helvetica"/>
                          <w:b w:val="0"/>
                          <w:noProof/>
                          <w:color w:val="auto"/>
                          <w:sz w:val="16"/>
                          <w:shd w:val="clear" w:color="auto" w:fill="FFFFFF"/>
                          <w:vertAlign w:val="superscript"/>
                        </w:rPr>
                      </w:pPr>
                      <w:r w:rsidRPr="00610EC3">
                        <w:rPr>
                          <w:b w:val="0"/>
                          <w:color w:val="auto"/>
                          <w:sz w:val="16"/>
                        </w:rPr>
                        <w:t xml:space="preserve">Source: </w:t>
                      </w:r>
                      <w:r w:rsidRPr="00610EC3">
                        <w:rPr>
                          <w:b w:val="0"/>
                          <w:color w:val="auto"/>
                          <w:sz w:val="16"/>
                          <w:szCs w:val="24"/>
                        </w:rPr>
                        <w:t xml:space="preserve">RESOLVE – </w:t>
                      </w:r>
                      <w:r w:rsidRPr="00610EC3">
                        <w:rPr>
                          <w:b w:val="0"/>
                          <w:i/>
                          <w:color w:val="auto"/>
                          <w:sz w:val="16"/>
                          <w:szCs w:val="24"/>
                        </w:rPr>
                        <w:t>Public Health Leadership Forum, Defining and Constituting Foundational “Capabilities” and “Areas” Version 1 (V-1)</w:t>
                      </w:r>
                      <w:r w:rsidRPr="00610EC3">
                        <w:rPr>
                          <w:b w:val="0"/>
                          <w:color w:val="auto"/>
                          <w:sz w:val="16"/>
                          <w:szCs w:val="24"/>
                        </w:rPr>
                        <w:t>. March 2014</w:t>
                      </w:r>
                      <w:r w:rsidRPr="00610EC3">
                        <w:rPr>
                          <w:b w:val="0"/>
                          <w:color w:val="auto"/>
                          <w:sz w:val="16"/>
                        </w:rPr>
                        <w:t xml:space="preserve"> </w:t>
                      </w:r>
                      <w:r w:rsidRPr="00610EC3">
                        <w:rPr>
                          <w:b w:val="0"/>
                          <w:color w:val="auto"/>
                          <w:sz w:val="16"/>
                          <w:vertAlign w:val="superscript"/>
                        </w:rPr>
                        <w:t>5</w:t>
                      </w:r>
                    </w:p>
                  </w:txbxContent>
                </v:textbox>
                <w10:wrap type="tight"/>
              </v:shape>
            </w:pict>
          </mc:Fallback>
        </mc:AlternateContent>
      </w:r>
      <w:r w:rsidR="001D2606" w:rsidRPr="002020C1">
        <w:rPr>
          <w:rFonts w:asciiTheme="minorHAnsi" w:hAnsiTheme="minorHAnsi" w:cs="Helvetica"/>
          <w:noProof/>
          <w:shd w:val="clear" w:color="auto" w:fill="FFFFFF"/>
        </w:rPr>
        <w:drawing>
          <wp:anchor distT="0" distB="0" distL="114300" distR="114300" simplePos="0" relativeHeight="251687936" behindDoc="1" locked="0" layoutInCell="1" allowOverlap="1" wp14:anchorId="047858DA" wp14:editId="17F542F8">
            <wp:simplePos x="0" y="0"/>
            <wp:positionH relativeFrom="column">
              <wp:posOffset>1104900</wp:posOffset>
            </wp:positionH>
            <wp:positionV relativeFrom="paragraph">
              <wp:posOffset>32385</wp:posOffset>
            </wp:positionV>
            <wp:extent cx="3328035" cy="2496185"/>
            <wp:effectExtent l="0" t="0" r="5715" b="0"/>
            <wp:wrapTight wrapText="bothSides">
              <wp:wrapPolygon edited="0">
                <wp:start x="0" y="0"/>
                <wp:lineTo x="0" y="21430"/>
                <wp:lineTo x="21513" y="21430"/>
                <wp:lineTo x="21513" y="0"/>
                <wp:lineTo x="0" y="0"/>
              </wp:wrapPolygon>
            </wp:wrapTight>
            <wp:docPr id="1" name="Picture 1" descr="The figure contains the title “Other Services Particular to A Community” above a table with 3 rows. The first row says, “Programs/Activities Specific to an HD and/or Community Needs”  on the first line and “Most of an HD’s work is ‘Above the Line”. A box with a dotted line separates the remainder of the table from the first row. To the fart left of the table, there is a label for the bottom two rows which says “Foundational Public Health Services”. Underneath the dotted line of the box between the first and second rows, 5 columns of the table have a heading that says “Foundation Areas”. The text of the five columns under the foundational areas says (from left to right) communicable disease control, chronic disease and injury prevention, environmental public health, maternal, child, and family health, and access to and linkage with clinical care. The third row in the table is separated from the second row bt a loid line. The third row below of the five colums of the second row has one colum that lists the following “Foundational Capabilities”: on the first line, Assessment (Surveillance, Epidemiology, and Laboratory Capacity); on the second line, All Hazards Prepardness/Response; on the third line, Policy Development/Support; on the fourth line, Communications; on the fifth line, Community Partnership/Development; and on the last line, Organizatuonal Competences (Leadership/Governance; Health Equity, Accountability/Performance Management, QI; IT; HR; Financial Management; Legal). " title="Other Services Particular to a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8035" cy="2496185"/>
                    </a:xfrm>
                    <a:prstGeom prst="rect">
                      <a:avLst/>
                    </a:prstGeom>
                  </pic:spPr>
                </pic:pic>
              </a:graphicData>
            </a:graphic>
            <wp14:sizeRelH relativeFrom="margin">
              <wp14:pctWidth>0</wp14:pctWidth>
            </wp14:sizeRelH>
            <wp14:sizeRelV relativeFrom="margin">
              <wp14:pctHeight>0</wp14:pctHeight>
            </wp14:sizeRelV>
          </wp:anchor>
        </w:drawing>
      </w:r>
    </w:p>
    <w:p w:rsidR="001D2606" w:rsidRDefault="001D2606"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Default="000E258D" w:rsidP="002020C1">
      <w:pPr>
        <w:spacing w:line="276" w:lineRule="auto"/>
        <w:rPr>
          <w:rFonts w:asciiTheme="minorHAnsi" w:hAnsiTheme="minorHAnsi" w:cs="Helvetica"/>
          <w:shd w:val="clear" w:color="auto" w:fill="FFFFFF"/>
        </w:rPr>
      </w:pPr>
    </w:p>
    <w:p w:rsidR="000E258D" w:rsidRPr="002020C1" w:rsidRDefault="000E258D" w:rsidP="002020C1">
      <w:pPr>
        <w:spacing w:line="276" w:lineRule="auto"/>
        <w:rPr>
          <w:rFonts w:asciiTheme="minorHAnsi" w:hAnsiTheme="minorHAnsi" w:cs="Helvetica"/>
          <w:shd w:val="clear" w:color="auto" w:fill="FFFFFF"/>
        </w:rPr>
      </w:pPr>
    </w:p>
    <w:p w:rsidR="00966AED" w:rsidRDefault="00966AED" w:rsidP="002020C1">
      <w:pPr>
        <w:spacing w:line="276" w:lineRule="auto"/>
        <w:rPr>
          <w:rFonts w:asciiTheme="minorHAnsi" w:hAnsiTheme="minorHAnsi" w:cs="Helvetica"/>
          <w:b/>
          <w:sz w:val="24"/>
          <w:shd w:val="clear" w:color="auto" w:fill="FFFFFF"/>
        </w:rPr>
      </w:pPr>
    </w:p>
    <w:p w:rsidR="00610EC3" w:rsidRDefault="00610EC3" w:rsidP="002020C1">
      <w:pPr>
        <w:spacing w:line="276" w:lineRule="auto"/>
        <w:rPr>
          <w:rFonts w:asciiTheme="minorHAnsi" w:hAnsiTheme="minorHAnsi" w:cs="Helvetica"/>
          <w:b/>
          <w:sz w:val="24"/>
          <w:shd w:val="clear" w:color="auto" w:fill="FFFFFF"/>
        </w:rPr>
      </w:pPr>
    </w:p>
    <w:p w:rsidR="001D2606" w:rsidRPr="00FA5C99" w:rsidRDefault="001D2606" w:rsidP="002020C1">
      <w:pPr>
        <w:spacing w:line="276" w:lineRule="auto"/>
        <w:rPr>
          <w:rFonts w:asciiTheme="minorHAnsi" w:hAnsiTheme="minorHAnsi" w:cs="Helvetica"/>
          <w:sz w:val="24"/>
          <w:shd w:val="clear" w:color="auto" w:fill="FFFFFF"/>
        </w:rPr>
      </w:pPr>
      <w:proofErr w:type="gramStart"/>
      <w:r w:rsidRPr="00FA5C99">
        <w:rPr>
          <w:rFonts w:asciiTheme="minorHAnsi" w:hAnsiTheme="minorHAnsi" w:cs="Helvetica"/>
          <w:b/>
          <w:sz w:val="24"/>
          <w:shd w:val="clear" w:color="auto" w:fill="FFFFFF"/>
        </w:rPr>
        <w:t>Public Health Accreditation 2011</w:t>
      </w:r>
      <w:r w:rsidR="003C6BE4" w:rsidRPr="00FA5C99">
        <w:rPr>
          <w:rFonts w:asciiTheme="minorHAnsi" w:hAnsiTheme="minorHAnsi" w:cs="Helvetica"/>
          <w:b/>
          <w:sz w:val="24"/>
          <w:shd w:val="clear" w:color="auto" w:fill="FFFFFF"/>
        </w:rPr>
        <w:t>.</w:t>
      </w:r>
      <w:proofErr w:type="gramEnd"/>
      <w:r w:rsidR="003C6BE4" w:rsidRPr="00FA5C99">
        <w:rPr>
          <w:rFonts w:asciiTheme="minorHAnsi" w:hAnsiTheme="minorHAnsi" w:cs="Helvetica"/>
          <w:b/>
          <w:sz w:val="24"/>
          <w:shd w:val="clear" w:color="auto" w:fill="FFFFFF"/>
        </w:rPr>
        <w:t xml:space="preserve"> </w:t>
      </w:r>
      <w:r w:rsidRPr="00FA5C99">
        <w:rPr>
          <w:rFonts w:asciiTheme="minorHAnsi" w:hAnsiTheme="minorHAnsi" w:cs="Helvetica"/>
          <w:sz w:val="24"/>
          <w:shd w:val="clear" w:color="auto" w:fill="FFFFFF"/>
        </w:rPr>
        <w:t>A parallel process for improvement of state and local public health infrastructure is public health accreditation</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 xml:space="preserve">The Public Health Accreditation Board (PHAB) developed a series of nationally recognized, </w:t>
      </w:r>
      <w:proofErr w:type="gramStart"/>
      <w:r w:rsidRPr="00FA5C99">
        <w:rPr>
          <w:rFonts w:asciiTheme="minorHAnsi" w:hAnsiTheme="minorHAnsi" w:cs="Helvetica"/>
          <w:sz w:val="24"/>
          <w:shd w:val="clear" w:color="auto" w:fill="FFFFFF"/>
        </w:rPr>
        <w:t>practice-focused</w:t>
      </w:r>
      <w:proofErr w:type="gramEnd"/>
      <w:r w:rsidRPr="00FA5C99">
        <w:rPr>
          <w:rFonts w:asciiTheme="minorHAnsi" w:hAnsiTheme="minorHAnsi" w:cs="Helvetica"/>
          <w:sz w:val="24"/>
          <w:shd w:val="clear" w:color="auto" w:fill="FFFFFF"/>
        </w:rPr>
        <w:t xml:space="preserve"> and evidenced-based Standards and Measures organized in twelve Domains, the first ten of which mirror the Ten Essential Public Health Services developed by the </w:t>
      </w:r>
      <w:r w:rsidR="00BB692C" w:rsidRPr="00FA5C99">
        <w:rPr>
          <w:rFonts w:asciiTheme="minorHAnsi" w:hAnsiTheme="minorHAnsi" w:cs="Helvetica"/>
          <w:sz w:val="24"/>
          <w:shd w:val="clear" w:color="auto" w:fill="FFFFFF"/>
        </w:rPr>
        <w:t>U.S. Centers for Disease Control</w:t>
      </w:r>
      <w:r w:rsidRPr="00FA5C99">
        <w:rPr>
          <w:rFonts w:asciiTheme="minorHAnsi" w:hAnsiTheme="minorHAnsi" w:cs="Helvetica"/>
          <w:sz w:val="24"/>
          <w:shd w:val="clear" w:color="auto" w:fill="FFFFFF"/>
        </w:rPr>
        <w:t xml:space="preserve"> </w:t>
      </w:r>
      <w:r w:rsidR="00BB692C" w:rsidRPr="00FA5C99">
        <w:rPr>
          <w:rFonts w:asciiTheme="minorHAnsi" w:hAnsiTheme="minorHAnsi" w:cs="Helvetica"/>
          <w:sz w:val="24"/>
          <w:shd w:val="clear" w:color="auto" w:fill="FFFFFF"/>
        </w:rPr>
        <w:t xml:space="preserve">nearly </w:t>
      </w:r>
      <w:r w:rsidR="00152912">
        <w:rPr>
          <w:rFonts w:asciiTheme="minorHAnsi" w:hAnsiTheme="minorHAnsi" w:cs="Helvetica"/>
          <w:sz w:val="24"/>
          <w:shd w:val="clear" w:color="auto" w:fill="FFFFFF"/>
        </w:rPr>
        <w:lastRenderedPageBreak/>
        <w:t>twenty-five</w:t>
      </w:r>
      <w:r w:rsidR="00BB692C" w:rsidRPr="00FA5C99">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years ago</w:t>
      </w:r>
      <w:r w:rsidR="00E5320D">
        <w:rPr>
          <w:rFonts w:asciiTheme="minorHAnsi" w:hAnsiTheme="minorHAnsi" w:cs="Helvetica"/>
          <w:sz w:val="24"/>
          <w:shd w:val="clear" w:color="auto" w:fill="FFFFFF"/>
        </w:rPr>
        <w:t xml:space="preserve">. </w:t>
      </w:r>
      <w:r w:rsidRPr="00FA5C99">
        <w:rPr>
          <w:rFonts w:asciiTheme="minorHAnsi" w:hAnsiTheme="minorHAnsi" w:cs="Helvetica"/>
          <w:sz w:val="24"/>
          <w:shd w:val="clear" w:color="auto" w:fill="FFFFFF"/>
        </w:rPr>
        <w:t xml:space="preserve">The goal of the voluntary national accreditation program is to improve and protect the health of the public by advancing </w:t>
      </w:r>
      <w:r w:rsidR="00BB692C" w:rsidRPr="00FA5C99">
        <w:rPr>
          <w:rFonts w:asciiTheme="minorHAnsi" w:hAnsiTheme="minorHAnsi" w:cs="Helvetica"/>
          <w:sz w:val="24"/>
          <w:shd w:val="clear" w:color="auto" w:fill="FFFFFF"/>
        </w:rPr>
        <w:t>the quality and performance of t</w:t>
      </w:r>
      <w:r w:rsidRPr="00FA5C99">
        <w:rPr>
          <w:rFonts w:asciiTheme="minorHAnsi" w:hAnsiTheme="minorHAnsi" w:cs="Helvetica"/>
          <w:sz w:val="24"/>
          <w:shd w:val="clear" w:color="auto" w:fill="FFFFFF"/>
        </w:rPr>
        <w:t>ribal, state, local, and territorial public health departments.</w:t>
      </w:r>
    </w:p>
    <w:p w:rsidR="001D2606" w:rsidRPr="00FA5C99" w:rsidRDefault="001D2606" w:rsidP="002020C1">
      <w:pPr>
        <w:spacing w:line="276" w:lineRule="auto"/>
        <w:rPr>
          <w:rFonts w:asciiTheme="minorHAnsi" w:hAnsiTheme="minorHAnsi" w:cs="Helvetica"/>
          <w:sz w:val="24"/>
          <w:shd w:val="clear" w:color="auto" w:fill="FFFFFF"/>
        </w:rPr>
      </w:pPr>
    </w:p>
    <w:p w:rsidR="00AC73EF" w:rsidRPr="00FA5C99" w:rsidRDefault="001D2606" w:rsidP="00AC73EF">
      <w:p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 xml:space="preserve">PHAB Standards and Measures </w:t>
      </w:r>
      <w:proofErr w:type="gramStart"/>
      <w:r w:rsidRPr="00FA5C99">
        <w:rPr>
          <w:rFonts w:asciiTheme="minorHAnsi" w:hAnsiTheme="minorHAnsi" w:cs="Helvetica"/>
          <w:sz w:val="24"/>
          <w:shd w:val="clear" w:color="auto" w:fill="FFFFFF"/>
        </w:rPr>
        <w:t>includes</w:t>
      </w:r>
      <w:proofErr w:type="gramEnd"/>
      <w:r w:rsidRPr="00FA5C99">
        <w:rPr>
          <w:rFonts w:asciiTheme="minorHAnsi" w:hAnsiTheme="minorHAnsi" w:cs="Helvetica"/>
          <w:sz w:val="24"/>
          <w:shd w:val="clear" w:color="auto" w:fill="FFFFFF"/>
        </w:rPr>
        <w:t xml:space="preserve"> reference to all of the foundational areas and capabili</w:t>
      </w:r>
      <w:r w:rsidR="006E6136">
        <w:rPr>
          <w:rFonts w:asciiTheme="minorHAnsi" w:hAnsiTheme="minorHAnsi" w:cs="Helvetica"/>
          <w:sz w:val="24"/>
          <w:shd w:val="clear" w:color="auto" w:fill="FFFFFF"/>
        </w:rPr>
        <w:t xml:space="preserve">ties outlined in FPHS. </w:t>
      </w:r>
      <w:r w:rsidRPr="00FA5C99">
        <w:rPr>
          <w:rFonts w:asciiTheme="minorHAnsi" w:hAnsiTheme="minorHAnsi" w:cs="Helvetica"/>
          <w:sz w:val="24"/>
          <w:shd w:val="clear" w:color="auto" w:fill="FFFFFF"/>
        </w:rPr>
        <w:t>Accreditation is a tool to improve the performance and quality of individual state, local, and tribal public health departments</w:t>
      </w:r>
      <w:r w:rsidR="00E94B65">
        <w:rPr>
          <w:rFonts w:asciiTheme="minorHAnsi" w:hAnsiTheme="minorHAnsi" w:cs="Helvetica"/>
          <w:sz w:val="24"/>
          <w:shd w:val="clear" w:color="auto" w:fill="FFFFFF"/>
          <w:vertAlign w:val="superscript"/>
        </w:rPr>
        <w:t>6</w:t>
      </w:r>
      <w:r w:rsidR="00E5320D">
        <w:rPr>
          <w:rFonts w:asciiTheme="minorHAnsi" w:hAnsiTheme="minorHAnsi" w:cs="Helvetica"/>
          <w:sz w:val="24"/>
          <w:shd w:val="clear" w:color="auto" w:fill="FFFFFF"/>
        </w:rPr>
        <w:t xml:space="preserve">. </w:t>
      </w:r>
      <w:r w:rsidR="00AC73EF">
        <w:rPr>
          <w:rFonts w:asciiTheme="minorHAnsi" w:hAnsiTheme="minorHAnsi" w:cs="Helvetica"/>
          <w:sz w:val="24"/>
          <w:shd w:val="clear" w:color="auto" w:fill="FFFFFF"/>
        </w:rPr>
        <w:t>Applicants for accreditation are required to submit a Community Health Assessment (CHA), Community Health Improvement Plan (CHIP), and a Strategic Plan to PHAB upon submitting their application fo</w:t>
      </w:r>
      <w:r w:rsidR="00546057">
        <w:rPr>
          <w:rFonts w:asciiTheme="minorHAnsi" w:hAnsiTheme="minorHAnsi" w:cs="Helvetica"/>
          <w:sz w:val="24"/>
          <w:shd w:val="clear" w:color="auto" w:fill="FFFFFF"/>
        </w:rPr>
        <w:t xml:space="preserve">r public health accreditation. </w:t>
      </w:r>
      <w:r w:rsidR="00AC73EF">
        <w:rPr>
          <w:rFonts w:asciiTheme="minorHAnsi" w:hAnsiTheme="minorHAnsi" w:cs="Helvetica"/>
          <w:sz w:val="24"/>
          <w:shd w:val="clear" w:color="auto" w:fill="FFFFFF"/>
        </w:rPr>
        <w:t xml:space="preserve">Upon approval from PHAB, they then have one year to compile documentation of conformity of all measures across the twelve domains.  </w:t>
      </w:r>
    </w:p>
    <w:p w:rsidR="001D2606" w:rsidRPr="00FA5C99" w:rsidRDefault="001D2606" w:rsidP="002020C1">
      <w:pPr>
        <w:spacing w:line="276" w:lineRule="auto"/>
        <w:rPr>
          <w:rFonts w:asciiTheme="minorHAnsi" w:hAnsiTheme="minorHAnsi" w:cs="Helvetica"/>
          <w:sz w:val="24"/>
          <w:shd w:val="clear" w:color="auto" w:fill="FFFFFF"/>
        </w:rPr>
      </w:pPr>
    </w:p>
    <w:p w:rsidR="001D2606" w:rsidRPr="002020C1" w:rsidRDefault="001D2606" w:rsidP="00734D36">
      <w:pPr>
        <w:pStyle w:val="Heading1"/>
      </w:pPr>
      <w:bookmarkStart w:id="3" w:name="_Toc514334032"/>
      <w:r w:rsidRPr="002020C1">
        <w:t>Massachusetts Perspective on Local Public Health</w:t>
      </w:r>
      <w:bookmarkEnd w:id="3"/>
    </w:p>
    <w:p w:rsidR="001D2606" w:rsidRPr="002020C1" w:rsidRDefault="001D2606" w:rsidP="002020C1">
      <w:pPr>
        <w:spacing w:line="276" w:lineRule="auto"/>
        <w:rPr>
          <w:rFonts w:asciiTheme="minorHAnsi" w:hAnsiTheme="minorHAnsi"/>
        </w:rPr>
      </w:pPr>
    </w:p>
    <w:p w:rsidR="00815E5D" w:rsidRPr="00FA5C99" w:rsidRDefault="001D2606" w:rsidP="002020C1">
      <w:pPr>
        <w:spacing w:line="276" w:lineRule="auto"/>
        <w:rPr>
          <w:rFonts w:eastAsia="Arial Unicode MS" w:cs="Arial Unicode MS"/>
          <w:sz w:val="24"/>
          <w:szCs w:val="16"/>
        </w:rPr>
      </w:pPr>
      <w:r w:rsidRPr="00FA5C99">
        <w:rPr>
          <w:rFonts w:asciiTheme="minorHAnsi" w:hAnsiTheme="minorHAnsi"/>
          <w:sz w:val="24"/>
        </w:rPr>
        <w:t xml:space="preserve">Massachusetts has a decentralized governance structure as defined by the </w:t>
      </w:r>
      <w:r w:rsidR="00546057">
        <w:rPr>
          <w:rFonts w:asciiTheme="minorHAnsi" w:hAnsiTheme="minorHAnsi"/>
          <w:sz w:val="24"/>
        </w:rPr>
        <w:t>Association of State and</w:t>
      </w:r>
      <w:r w:rsidR="00341E3E">
        <w:rPr>
          <w:rFonts w:asciiTheme="minorHAnsi" w:hAnsiTheme="minorHAnsi"/>
          <w:sz w:val="24"/>
        </w:rPr>
        <w:t xml:space="preserve"> Territorial Health Officials</w:t>
      </w:r>
      <w:r w:rsidR="00E94B65">
        <w:rPr>
          <w:rFonts w:asciiTheme="minorHAnsi" w:hAnsiTheme="minorHAnsi"/>
          <w:sz w:val="24"/>
          <w:vertAlign w:val="superscript"/>
        </w:rPr>
        <w:t>7</w:t>
      </w:r>
      <w:r w:rsidRPr="00FA5C99">
        <w:rPr>
          <w:rFonts w:asciiTheme="minorHAnsi" w:hAnsiTheme="minorHAnsi"/>
          <w:sz w:val="24"/>
        </w:rPr>
        <w:t>. The 351 cities and towns are independently organized for the delivery of local public health services and operate autonomously from the Massachusetts Department of Public Health</w:t>
      </w:r>
      <w:r w:rsidR="00E5320D">
        <w:rPr>
          <w:rFonts w:asciiTheme="minorHAnsi" w:hAnsiTheme="minorHAnsi"/>
          <w:sz w:val="24"/>
        </w:rPr>
        <w:t xml:space="preserve">. </w:t>
      </w:r>
      <w:r w:rsidR="00815E5D" w:rsidRPr="00FA5C99">
        <w:rPr>
          <w:rFonts w:eastAsia="Arial Unicode MS" w:cs="Arial Unicode MS"/>
          <w:sz w:val="24"/>
          <w:szCs w:val="16"/>
        </w:rPr>
        <w:t xml:space="preserve">Municipalities range in population size from several hundred to more than </w:t>
      </w:r>
      <w:r w:rsidR="004A7F28" w:rsidRPr="00FA5C99">
        <w:rPr>
          <w:rFonts w:eastAsia="Arial Unicode MS" w:cs="Arial Unicode MS"/>
          <w:sz w:val="24"/>
          <w:szCs w:val="16"/>
        </w:rPr>
        <w:t>6</w:t>
      </w:r>
      <w:r w:rsidR="00815E5D" w:rsidRPr="00FA5C99">
        <w:rPr>
          <w:rFonts w:eastAsia="Arial Unicode MS" w:cs="Arial Unicode MS"/>
          <w:sz w:val="24"/>
          <w:szCs w:val="16"/>
        </w:rPr>
        <w:t>00,000 persons</w:t>
      </w:r>
      <w:r w:rsidR="00E5320D">
        <w:rPr>
          <w:rFonts w:eastAsia="Arial Unicode MS" w:cs="Arial Unicode MS"/>
          <w:sz w:val="24"/>
          <w:szCs w:val="16"/>
        </w:rPr>
        <w:t xml:space="preserve">. </w:t>
      </w:r>
      <w:r w:rsidR="00815E5D" w:rsidRPr="00FA5C99">
        <w:rPr>
          <w:rFonts w:eastAsia="Arial Unicode MS" w:cs="Arial Unicode MS"/>
          <w:sz w:val="24"/>
          <w:szCs w:val="16"/>
        </w:rPr>
        <w:t xml:space="preserve">Regardless of population size, all municipalities are expected to provide </w:t>
      </w:r>
      <w:r w:rsidR="00264CF0">
        <w:rPr>
          <w:rFonts w:eastAsia="Arial Unicode MS" w:cs="Arial Unicode MS"/>
          <w:sz w:val="24"/>
          <w:szCs w:val="16"/>
        </w:rPr>
        <w:t xml:space="preserve">both </w:t>
      </w:r>
      <w:r w:rsidR="00815E5D" w:rsidRPr="00FA5C99">
        <w:rPr>
          <w:rFonts w:eastAsia="Arial Unicode MS" w:cs="Arial Unicode MS"/>
          <w:sz w:val="24"/>
          <w:szCs w:val="16"/>
        </w:rPr>
        <w:t>state</w:t>
      </w:r>
      <w:r w:rsidR="00264CF0">
        <w:rPr>
          <w:rFonts w:eastAsia="Arial Unicode MS" w:cs="Arial Unicode MS"/>
          <w:sz w:val="24"/>
          <w:szCs w:val="16"/>
        </w:rPr>
        <w:t>- and locally-</w:t>
      </w:r>
      <w:r w:rsidR="00815E5D" w:rsidRPr="00FA5C99">
        <w:rPr>
          <w:rFonts w:eastAsia="Arial Unicode MS" w:cs="Arial Unicode MS"/>
          <w:sz w:val="24"/>
          <w:szCs w:val="16"/>
        </w:rPr>
        <w:t xml:space="preserve"> mandated public health services.</w:t>
      </w:r>
      <w:r w:rsidR="002B45B5" w:rsidRPr="00FA5C99">
        <w:rPr>
          <w:rFonts w:eastAsia="Arial Unicode MS" w:cs="Arial Unicode MS"/>
          <w:sz w:val="24"/>
          <w:szCs w:val="16"/>
        </w:rPr>
        <w:t xml:space="preserve"> </w:t>
      </w:r>
    </w:p>
    <w:p w:rsidR="002B45B5" w:rsidRPr="00FA5C99" w:rsidRDefault="002B45B5" w:rsidP="002020C1">
      <w:pPr>
        <w:spacing w:line="276" w:lineRule="auto"/>
        <w:rPr>
          <w:rFonts w:eastAsia="Arial Unicode MS" w:cs="Arial Unicode MS"/>
          <w:sz w:val="24"/>
          <w:szCs w:val="16"/>
        </w:rPr>
      </w:pPr>
    </w:p>
    <w:p w:rsidR="001D2606" w:rsidRPr="00FA5C99" w:rsidRDefault="001D2606" w:rsidP="002020C1">
      <w:pPr>
        <w:spacing w:line="276" w:lineRule="auto"/>
        <w:rPr>
          <w:rFonts w:eastAsia="Arial Unicode MS" w:cs="Arial Unicode MS"/>
          <w:sz w:val="24"/>
          <w:szCs w:val="16"/>
        </w:rPr>
      </w:pPr>
      <w:r w:rsidRPr="00FA5C99">
        <w:rPr>
          <w:rFonts w:asciiTheme="minorHAnsi" w:hAnsiTheme="minorHAnsi"/>
          <w:sz w:val="24"/>
        </w:rPr>
        <w:t>Massachusetts local boards of health are charged with a complex set of responsibilities including enforcement of state sanitary, environmental, housing, and health codes</w:t>
      </w:r>
      <w:r w:rsidR="00E5320D">
        <w:rPr>
          <w:rFonts w:asciiTheme="minorHAnsi" w:hAnsiTheme="minorHAnsi"/>
          <w:sz w:val="24"/>
        </w:rPr>
        <w:t xml:space="preserve">. </w:t>
      </w:r>
      <w:r w:rsidR="002B45B5" w:rsidRPr="00FA5C99">
        <w:rPr>
          <w:rFonts w:eastAsia="Arial Unicode MS" w:cs="Arial Unicode MS"/>
          <w:sz w:val="24"/>
          <w:szCs w:val="16"/>
        </w:rPr>
        <w:t xml:space="preserve">These local public health duties and responsibilities are </w:t>
      </w:r>
      <w:r w:rsidR="00264CF0">
        <w:rPr>
          <w:rFonts w:eastAsia="Arial Unicode MS" w:cs="Arial Unicode MS"/>
          <w:sz w:val="24"/>
          <w:szCs w:val="16"/>
        </w:rPr>
        <w:t xml:space="preserve">required by state laws and regulations and are </w:t>
      </w:r>
      <w:r w:rsidR="002B45B5" w:rsidRPr="00FA5C99">
        <w:rPr>
          <w:rFonts w:eastAsia="Arial Unicode MS" w:cs="Arial Unicode MS"/>
          <w:sz w:val="24"/>
          <w:szCs w:val="16"/>
        </w:rPr>
        <w:t xml:space="preserve">outlined in the </w:t>
      </w:r>
      <w:r w:rsidR="002B45B5" w:rsidRPr="00FA5C99">
        <w:rPr>
          <w:rFonts w:eastAsia="Arial Unicode MS" w:cs="Arial Unicode MS"/>
          <w:b/>
          <w:i/>
          <w:sz w:val="24"/>
          <w:szCs w:val="16"/>
        </w:rPr>
        <w:t>Manual of Laws and Regulations Relating to Boards of Health</w:t>
      </w:r>
      <w:r w:rsidR="00E94B65" w:rsidRPr="00E94B65">
        <w:rPr>
          <w:rFonts w:eastAsia="Arial Unicode MS" w:cs="Arial Unicode MS"/>
          <w:sz w:val="24"/>
          <w:szCs w:val="16"/>
          <w:vertAlign w:val="superscript"/>
        </w:rPr>
        <w:t>8</w:t>
      </w:r>
      <w:r w:rsidR="00E5320D">
        <w:rPr>
          <w:rFonts w:eastAsia="Arial Unicode MS" w:cs="Arial Unicode MS"/>
          <w:b/>
          <w:i/>
          <w:sz w:val="24"/>
          <w:szCs w:val="16"/>
        </w:rPr>
        <w:t xml:space="preserve">. </w:t>
      </w:r>
      <w:r w:rsidRPr="00FA5C99">
        <w:rPr>
          <w:rFonts w:asciiTheme="minorHAnsi" w:hAnsiTheme="minorHAnsi"/>
          <w:sz w:val="24"/>
        </w:rPr>
        <w:t>Massachusetts does not provide dedicated state funding to support local public health core operations.</w:t>
      </w:r>
    </w:p>
    <w:p w:rsidR="00A06A0A" w:rsidRPr="00FA5C99" w:rsidRDefault="00A06A0A" w:rsidP="002020C1">
      <w:pPr>
        <w:spacing w:line="276" w:lineRule="auto"/>
        <w:rPr>
          <w:rFonts w:asciiTheme="minorHAnsi" w:hAnsiTheme="minorHAnsi"/>
          <w:sz w:val="24"/>
        </w:rPr>
      </w:pPr>
    </w:p>
    <w:p w:rsidR="001D2606" w:rsidRPr="00FA5C99" w:rsidRDefault="00815E5D" w:rsidP="002020C1">
      <w:pPr>
        <w:spacing w:line="276" w:lineRule="auto"/>
        <w:rPr>
          <w:rFonts w:asciiTheme="minorHAnsi" w:hAnsiTheme="minorHAnsi"/>
          <w:sz w:val="24"/>
        </w:rPr>
      </w:pPr>
      <w:r w:rsidRPr="00FA5C99">
        <w:rPr>
          <w:rFonts w:eastAsia="Arial Unicode MS" w:cs="Arial Unicode MS"/>
          <w:sz w:val="24"/>
          <w:szCs w:val="16"/>
        </w:rPr>
        <w:t xml:space="preserve">Massachusetts is one of the few states </w:t>
      </w:r>
      <w:r w:rsidR="00264CF0">
        <w:rPr>
          <w:rFonts w:eastAsia="Arial Unicode MS" w:cs="Arial Unicode MS"/>
          <w:sz w:val="24"/>
          <w:szCs w:val="16"/>
        </w:rPr>
        <w:t>without</w:t>
      </w:r>
      <w:r w:rsidRPr="00FA5C99">
        <w:rPr>
          <w:rFonts w:eastAsia="Arial Unicode MS" w:cs="Arial Unicode MS"/>
          <w:sz w:val="24"/>
          <w:szCs w:val="16"/>
        </w:rPr>
        <w:t xml:space="preserve"> a county or other regional public health system</w:t>
      </w:r>
      <w:r w:rsidR="00E5320D">
        <w:rPr>
          <w:rFonts w:eastAsia="Arial Unicode MS" w:cs="Arial Unicode MS"/>
          <w:sz w:val="24"/>
          <w:szCs w:val="16"/>
        </w:rPr>
        <w:t xml:space="preserve">. </w:t>
      </w:r>
      <w:r w:rsidRPr="00FA5C99">
        <w:rPr>
          <w:rFonts w:eastAsia="Arial Unicode MS" w:cs="Arial Unicode MS"/>
          <w:sz w:val="24"/>
          <w:szCs w:val="16"/>
        </w:rPr>
        <w:t>By home rule charter, each of the state’s 351 cities and towns are responsible for the provision of essential public health, public safety</w:t>
      </w:r>
      <w:r w:rsidR="002B45B5" w:rsidRPr="00FA5C99">
        <w:rPr>
          <w:rFonts w:eastAsia="Arial Unicode MS" w:cs="Arial Unicode MS"/>
          <w:sz w:val="24"/>
          <w:szCs w:val="16"/>
        </w:rPr>
        <w:t>,</w:t>
      </w:r>
      <w:r w:rsidRPr="00FA5C99">
        <w:rPr>
          <w:rFonts w:eastAsia="Arial Unicode MS" w:cs="Arial Unicode MS"/>
          <w:sz w:val="24"/>
          <w:szCs w:val="16"/>
        </w:rPr>
        <w:t xml:space="preserve"> and other governmental services. </w:t>
      </w:r>
      <w:r w:rsidR="001D2606" w:rsidRPr="00FA5C99">
        <w:rPr>
          <w:rFonts w:asciiTheme="minorHAnsi" w:hAnsiTheme="minorHAnsi"/>
          <w:sz w:val="24"/>
        </w:rPr>
        <w:t xml:space="preserve">The decentralized system and dependence on local funding for public health services </w:t>
      </w:r>
      <w:r w:rsidR="00264CF0">
        <w:rPr>
          <w:rFonts w:asciiTheme="minorHAnsi" w:hAnsiTheme="minorHAnsi"/>
          <w:sz w:val="24"/>
        </w:rPr>
        <w:t>results in significant</w:t>
      </w:r>
      <w:r w:rsidR="001D2606" w:rsidRPr="00FA5C99">
        <w:rPr>
          <w:rFonts w:asciiTheme="minorHAnsi" w:hAnsiTheme="minorHAnsi"/>
          <w:sz w:val="24"/>
        </w:rPr>
        <w:t xml:space="preserve"> disparities in the availability of public health services across the Commonwealth</w:t>
      </w:r>
      <w:r w:rsidR="00E5320D">
        <w:rPr>
          <w:rFonts w:asciiTheme="minorHAnsi" w:hAnsiTheme="minorHAnsi"/>
          <w:sz w:val="24"/>
        </w:rPr>
        <w:t xml:space="preserve">. </w:t>
      </w:r>
      <w:r w:rsidR="001D2606" w:rsidRPr="00FA5C99">
        <w:rPr>
          <w:rFonts w:asciiTheme="minorHAnsi" w:hAnsiTheme="minorHAnsi"/>
          <w:sz w:val="24"/>
        </w:rPr>
        <w:t xml:space="preserve">Inconsistency across communities </w:t>
      </w:r>
      <w:r w:rsidR="003C6BE4" w:rsidRPr="00FA5C99">
        <w:rPr>
          <w:rFonts w:asciiTheme="minorHAnsi" w:hAnsiTheme="minorHAnsi"/>
          <w:sz w:val="24"/>
        </w:rPr>
        <w:t xml:space="preserve">has </w:t>
      </w:r>
      <w:r w:rsidR="001D2606" w:rsidRPr="00FA5C99">
        <w:rPr>
          <w:rFonts w:asciiTheme="minorHAnsi" w:hAnsiTheme="minorHAnsi"/>
          <w:sz w:val="24"/>
        </w:rPr>
        <w:t xml:space="preserve">led to small towns struggling to meet their local health mandates, variability in </w:t>
      </w:r>
      <w:r w:rsidR="00F25F97">
        <w:rPr>
          <w:rFonts w:asciiTheme="minorHAnsi" w:hAnsiTheme="minorHAnsi"/>
          <w:sz w:val="24"/>
        </w:rPr>
        <w:t xml:space="preserve">the qualifications and credentials of </w:t>
      </w:r>
      <w:r w:rsidR="001D2606" w:rsidRPr="00FA5C99">
        <w:rPr>
          <w:rFonts w:asciiTheme="minorHAnsi" w:hAnsiTheme="minorHAnsi"/>
          <w:sz w:val="24"/>
        </w:rPr>
        <w:t>Board of Health member</w:t>
      </w:r>
      <w:r w:rsidR="00F25F97">
        <w:rPr>
          <w:rFonts w:asciiTheme="minorHAnsi" w:hAnsiTheme="minorHAnsi"/>
          <w:sz w:val="24"/>
        </w:rPr>
        <w:t>s and staff</w:t>
      </w:r>
      <w:r w:rsidR="001D2606" w:rsidRPr="00FA5C99">
        <w:rPr>
          <w:rFonts w:asciiTheme="minorHAnsi" w:hAnsiTheme="minorHAnsi"/>
          <w:sz w:val="24"/>
        </w:rPr>
        <w:t xml:space="preserve">, and limited ability to meet standards of national public health accreditation. Efforts to assist </w:t>
      </w:r>
      <w:r w:rsidR="00F25F97">
        <w:rPr>
          <w:rFonts w:asciiTheme="minorHAnsi" w:hAnsiTheme="minorHAnsi"/>
          <w:sz w:val="24"/>
        </w:rPr>
        <w:t xml:space="preserve">Massachusetts </w:t>
      </w:r>
      <w:r w:rsidR="001D2606" w:rsidRPr="00FA5C99">
        <w:rPr>
          <w:rFonts w:asciiTheme="minorHAnsi" w:hAnsiTheme="minorHAnsi"/>
          <w:sz w:val="24"/>
        </w:rPr>
        <w:t xml:space="preserve">local health departments in </w:t>
      </w:r>
      <w:r w:rsidR="000164B7">
        <w:rPr>
          <w:rFonts w:asciiTheme="minorHAnsi" w:hAnsiTheme="minorHAnsi"/>
          <w:sz w:val="24"/>
        </w:rPr>
        <w:t>their res</w:t>
      </w:r>
      <w:r w:rsidR="00F25F97">
        <w:rPr>
          <w:rFonts w:asciiTheme="minorHAnsi" w:hAnsiTheme="minorHAnsi"/>
          <w:sz w:val="24"/>
        </w:rPr>
        <w:t>ponse</w:t>
      </w:r>
      <w:r w:rsidR="001D2606" w:rsidRPr="00FA5C99">
        <w:rPr>
          <w:rFonts w:asciiTheme="minorHAnsi" w:hAnsiTheme="minorHAnsi"/>
          <w:sz w:val="24"/>
        </w:rPr>
        <w:t xml:space="preserve"> to these challenges have relied on categorical </w:t>
      </w:r>
      <w:r w:rsidR="003C6BE4" w:rsidRPr="00FA5C99">
        <w:rPr>
          <w:rFonts w:asciiTheme="minorHAnsi" w:hAnsiTheme="minorHAnsi"/>
          <w:sz w:val="24"/>
        </w:rPr>
        <w:t xml:space="preserve">program </w:t>
      </w:r>
      <w:r w:rsidR="001D2606" w:rsidRPr="00FA5C99">
        <w:rPr>
          <w:rFonts w:asciiTheme="minorHAnsi" w:hAnsiTheme="minorHAnsi"/>
          <w:sz w:val="24"/>
        </w:rPr>
        <w:t>support from</w:t>
      </w:r>
      <w:r w:rsidR="003C6BE4" w:rsidRPr="00FA5C99">
        <w:rPr>
          <w:rFonts w:asciiTheme="minorHAnsi" w:hAnsiTheme="minorHAnsi"/>
          <w:sz w:val="24"/>
        </w:rPr>
        <w:t xml:space="preserve"> DPH </w:t>
      </w:r>
      <w:r w:rsidR="001D2606" w:rsidRPr="00FA5C99">
        <w:rPr>
          <w:rFonts w:asciiTheme="minorHAnsi" w:hAnsiTheme="minorHAnsi"/>
          <w:sz w:val="24"/>
        </w:rPr>
        <w:t>and from efforts by</w:t>
      </w:r>
      <w:r w:rsidR="003C6BE4" w:rsidRPr="00FA5C99">
        <w:rPr>
          <w:rFonts w:asciiTheme="minorHAnsi" w:hAnsiTheme="minorHAnsi"/>
          <w:sz w:val="24"/>
        </w:rPr>
        <w:t xml:space="preserve"> DPH </w:t>
      </w:r>
      <w:r w:rsidR="001D2606" w:rsidRPr="00FA5C99">
        <w:rPr>
          <w:rFonts w:asciiTheme="minorHAnsi" w:hAnsiTheme="minorHAnsi"/>
          <w:sz w:val="24"/>
        </w:rPr>
        <w:t xml:space="preserve">and other local health </w:t>
      </w:r>
      <w:r w:rsidR="001D2606" w:rsidRPr="00FA5C99">
        <w:rPr>
          <w:rFonts w:asciiTheme="minorHAnsi" w:hAnsiTheme="minorHAnsi"/>
          <w:sz w:val="24"/>
        </w:rPr>
        <w:lastRenderedPageBreak/>
        <w:t>stakeholders to encourage regional approaches to sharing services across local health jurisdictions.</w:t>
      </w:r>
    </w:p>
    <w:p w:rsidR="00A06A0A" w:rsidRPr="00FA5C99" w:rsidRDefault="00A06A0A" w:rsidP="002020C1">
      <w:pPr>
        <w:spacing w:line="276" w:lineRule="auto"/>
        <w:rPr>
          <w:rFonts w:asciiTheme="minorHAnsi" w:hAnsiTheme="minorHAnsi"/>
          <w:sz w:val="24"/>
        </w:rPr>
      </w:pPr>
    </w:p>
    <w:p w:rsidR="001D2606" w:rsidRDefault="001D2606" w:rsidP="002020C1">
      <w:pPr>
        <w:spacing w:line="276" w:lineRule="auto"/>
        <w:rPr>
          <w:rFonts w:asciiTheme="minorHAnsi" w:hAnsiTheme="minorHAnsi"/>
          <w:sz w:val="24"/>
        </w:rPr>
      </w:pPr>
      <w:proofErr w:type="gramStart"/>
      <w:r w:rsidRPr="00FA5C99">
        <w:rPr>
          <w:rFonts w:asciiTheme="minorHAnsi" w:hAnsiTheme="minorHAnsi"/>
          <w:b/>
          <w:sz w:val="24"/>
        </w:rPr>
        <w:t xml:space="preserve">Categorical </w:t>
      </w:r>
      <w:r w:rsidR="003C6BE4" w:rsidRPr="00FA5C99">
        <w:rPr>
          <w:rFonts w:asciiTheme="minorHAnsi" w:hAnsiTheme="minorHAnsi"/>
          <w:b/>
          <w:sz w:val="24"/>
        </w:rPr>
        <w:t xml:space="preserve">Program </w:t>
      </w:r>
      <w:r w:rsidRPr="00FA5C99">
        <w:rPr>
          <w:rFonts w:asciiTheme="minorHAnsi" w:hAnsiTheme="minorHAnsi"/>
          <w:b/>
          <w:sz w:val="24"/>
        </w:rPr>
        <w:t>Approach</w:t>
      </w:r>
      <w:r w:rsidR="00A06A0A" w:rsidRPr="00FA5C99">
        <w:rPr>
          <w:rFonts w:asciiTheme="minorHAnsi" w:hAnsiTheme="minorHAnsi"/>
          <w:b/>
          <w:sz w:val="24"/>
        </w:rPr>
        <w:t>.</w:t>
      </w:r>
      <w:proofErr w:type="gramEnd"/>
      <w:r w:rsidR="00A06A0A" w:rsidRPr="00FA5C99">
        <w:rPr>
          <w:rFonts w:asciiTheme="minorHAnsi" w:hAnsiTheme="minorHAnsi"/>
          <w:b/>
          <w:sz w:val="24"/>
        </w:rPr>
        <w:t xml:space="preserve"> </w:t>
      </w:r>
      <w:r w:rsidRPr="00FA5C99">
        <w:rPr>
          <w:rFonts w:asciiTheme="minorHAnsi" w:hAnsiTheme="minorHAnsi"/>
          <w:sz w:val="24"/>
        </w:rPr>
        <w:t>Since the 1990s</w:t>
      </w:r>
      <w:r w:rsidR="003C6BE4" w:rsidRPr="00FA5C99">
        <w:rPr>
          <w:rFonts w:asciiTheme="minorHAnsi" w:hAnsiTheme="minorHAnsi"/>
          <w:sz w:val="24"/>
        </w:rPr>
        <w:t xml:space="preserve">, DPH </w:t>
      </w:r>
      <w:r w:rsidRPr="00FA5C99">
        <w:rPr>
          <w:rFonts w:asciiTheme="minorHAnsi" w:hAnsiTheme="minorHAnsi"/>
          <w:sz w:val="24"/>
        </w:rPr>
        <w:t xml:space="preserve">has supported local and regional health efforts by channeling </w:t>
      </w:r>
      <w:r w:rsidR="00F17CA4">
        <w:rPr>
          <w:rFonts w:asciiTheme="minorHAnsi" w:hAnsiTheme="minorHAnsi"/>
          <w:sz w:val="24"/>
        </w:rPr>
        <w:t xml:space="preserve">categorical </w:t>
      </w:r>
      <w:r w:rsidRPr="00FA5C99">
        <w:rPr>
          <w:rFonts w:asciiTheme="minorHAnsi" w:hAnsiTheme="minorHAnsi"/>
          <w:sz w:val="24"/>
        </w:rPr>
        <w:t xml:space="preserve">funding for specific public health services to local health through regional </w:t>
      </w:r>
      <w:proofErr w:type="spellStart"/>
      <w:r w:rsidRPr="00FA5C99">
        <w:rPr>
          <w:rFonts w:asciiTheme="minorHAnsi" w:hAnsiTheme="minorHAnsi"/>
          <w:sz w:val="24"/>
        </w:rPr>
        <w:t>collaboratives</w:t>
      </w:r>
      <w:proofErr w:type="spellEnd"/>
      <w:r w:rsidRPr="00FA5C99">
        <w:rPr>
          <w:rFonts w:asciiTheme="minorHAnsi" w:hAnsiTheme="minorHAnsi"/>
          <w:sz w:val="24"/>
        </w:rPr>
        <w:t xml:space="preserve"> or directly to local health depa</w:t>
      </w:r>
      <w:r w:rsidR="000164B7">
        <w:rPr>
          <w:rFonts w:asciiTheme="minorHAnsi" w:hAnsiTheme="minorHAnsi"/>
          <w:sz w:val="24"/>
        </w:rPr>
        <w:t xml:space="preserve">rtments. </w:t>
      </w:r>
      <w:r w:rsidRPr="00FA5C99">
        <w:rPr>
          <w:rFonts w:asciiTheme="minorHAnsi" w:hAnsiTheme="minorHAnsi"/>
          <w:sz w:val="24"/>
        </w:rPr>
        <w:t>Several examples include:</w:t>
      </w:r>
    </w:p>
    <w:p w:rsidR="005000BF" w:rsidRPr="00FA5C99" w:rsidRDefault="005000BF" w:rsidP="002020C1">
      <w:pPr>
        <w:spacing w:line="276" w:lineRule="auto"/>
        <w:rPr>
          <w:rFonts w:asciiTheme="minorHAnsi" w:hAnsiTheme="minorHAnsi"/>
          <w:sz w:val="24"/>
        </w:rPr>
      </w:pPr>
    </w:p>
    <w:p w:rsidR="001D2606" w:rsidRPr="00FA5C99" w:rsidRDefault="001D2606" w:rsidP="000A0AB7">
      <w:pPr>
        <w:pStyle w:val="ListParagraph"/>
        <w:numPr>
          <w:ilvl w:val="0"/>
          <w:numId w:val="2"/>
        </w:numPr>
        <w:spacing w:line="276" w:lineRule="auto"/>
        <w:contextualSpacing/>
        <w:rPr>
          <w:rFonts w:asciiTheme="minorHAnsi" w:hAnsiTheme="minorHAnsi"/>
          <w:sz w:val="24"/>
        </w:rPr>
      </w:pPr>
      <w:r w:rsidRPr="00FA5C99">
        <w:rPr>
          <w:rFonts w:asciiTheme="minorHAnsi" w:hAnsiTheme="minorHAnsi"/>
          <w:sz w:val="24"/>
        </w:rPr>
        <w:t xml:space="preserve">Tobacco </w:t>
      </w:r>
      <w:r w:rsidR="00BA5E0E">
        <w:rPr>
          <w:rFonts w:asciiTheme="minorHAnsi" w:hAnsiTheme="minorHAnsi"/>
          <w:sz w:val="24"/>
        </w:rPr>
        <w:t>C</w:t>
      </w:r>
      <w:r w:rsidRPr="00FA5C99">
        <w:rPr>
          <w:rFonts w:asciiTheme="minorHAnsi" w:hAnsiTheme="minorHAnsi"/>
          <w:sz w:val="24"/>
        </w:rPr>
        <w:t>ontrol:</w:t>
      </w:r>
      <w:r w:rsidR="00E5320D">
        <w:rPr>
          <w:rFonts w:asciiTheme="minorHAnsi" w:hAnsiTheme="minorHAnsi"/>
          <w:sz w:val="24"/>
        </w:rPr>
        <w:t xml:space="preserve"> </w:t>
      </w:r>
      <w:r w:rsidRPr="00FA5C99">
        <w:rPr>
          <w:rFonts w:asciiTheme="minorHAnsi" w:hAnsiTheme="minorHAnsi"/>
          <w:sz w:val="24"/>
        </w:rPr>
        <w:t>For over 20 years</w:t>
      </w:r>
      <w:r w:rsidR="00F25F97">
        <w:rPr>
          <w:rFonts w:asciiTheme="minorHAnsi" w:hAnsiTheme="minorHAnsi"/>
          <w:sz w:val="24"/>
        </w:rPr>
        <w:t>,</w:t>
      </w:r>
      <w:r w:rsidR="003C6BE4" w:rsidRPr="00FA5C99">
        <w:rPr>
          <w:rFonts w:asciiTheme="minorHAnsi" w:hAnsiTheme="minorHAnsi"/>
          <w:sz w:val="24"/>
        </w:rPr>
        <w:t xml:space="preserve"> DPH</w:t>
      </w:r>
      <w:r w:rsidR="00F25F97">
        <w:rPr>
          <w:rFonts w:asciiTheme="minorHAnsi" w:hAnsiTheme="minorHAnsi"/>
          <w:sz w:val="24"/>
        </w:rPr>
        <w:t xml:space="preserve">’s </w:t>
      </w:r>
      <w:r w:rsidRPr="00FA5C99">
        <w:rPr>
          <w:rFonts w:asciiTheme="minorHAnsi" w:hAnsiTheme="minorHAnsi"/>
          <w:sz w:val="24"/>
        </w:rPr>
        <w:t xml:space="preserve">Tobacco </w:t>
      </w:r>
      <w:r w:rsidR="003F1D59" w:rsidRPr="00FA5C99">
        <w:rPr>
          <w:rFonts w:asciiTheme="minorHAnsi" w:hAnsiTheme="minorHAnsi"/>
          <w:sz w:val="24"/>
        </w:rPr>
        <w:t xml:space="preserve">Cessation and Prevention </w:t>
      </w:r>
      <w:r w:rsidRPr="00FA5C99">
        <w:rPr>
          <w:rFonts w:asciiTheme="minorHAnsi" w:hAnsiTheme="minorHAnsi"/>
          <w:sz w:val="24"/>
        </w:rPr>
        <w:t xml:space="preserve">Program </w:t>
      </w:r>
      <w:proofErr w:type="gramStart"/>
      <w:r w:rsidRPr="00FA5C99">
        <w:rPr>
          <w:rFonts w:asciiTheme="minorHAnsi" w:hAnsiTheme="minorHAnsi"/>
          <w:sz w:val="24"/>
        </w:rPr>
        <w:t>has</w:t>
      </w:r>
      <w:proofErr w:type="gramEnd"/>
      <w:r w:rsidRPr="00FA5C99">
        <w:rPr>
          <w:rFonts w:asciiTheme="minorHAnsi" w:hAnsiTheme="minorHAnsi"/>
          <w:sz w:val="24"/>
        </w:rPr>
        <w:t xml:space="preserve"> funded local health departments’ enforcement of underage sales, advertising, and publi</w:t>
      </w:r>
      <w:r w:rsidR="004A7F28" w:rsidRPr="00FA5C99">
        <w:rPr>
          <w:rFonts w:asciiTheme="minorHAnsi" w:hAnsiTheme="minorHAnsi"/>
          <w:sz w:val="24"/>
        </w:rPr>
        <w:t>c smoking laws and regulations.</w:t>
      </w:r>
      <w:r w:rsidRPr="00FA5C99">
        <w:rPr>
          <w:rFonts w:asciiTheme="minorHAnsi" w:hAnsiTheme="minorHAnsi"/>
          <w:sz w:val="24"/>
        </w:rPr>
        <w:t xml:space="preserve"> Additional support is provided to regional education and awareness projects.</w:t>
      </w:r>
    </w:p>
    <w:p w:rsidR="001D2606" w:rsidRPr="00FA5C99" w:rsidRDefault="001D2606" w:rsidP="000A0AB7">
      <w:pPr>
        <w:pStyle w:val="ListParagraph"/>
        <w:numPr>
          <w:ilvl w:val="0"/>
          <w:numId w:val="2"/>
        </w:numPr>
        <w:spacing w:line="276" w:lineRule="auto"/>
        <w:contextualSpacing/>
        <w:rPr>
          <w:rFonts w:asciiTheme="minorHAnsi" w:hAnsiTheme="minorHAnsi"/>
          <w:sz w:val="24"/>
        </w:rPr>
      </w:pPr>
      <w:r w:rsidRPr="00FA5C99">
        <w:rPr>
          <w:rFonts w:asciiTheme="minorHAnsi" w:hAnsiTheme="minorHAnsi"/>
          <w:sz w:val="24"/>
        </w:rPr>
        <w:t>Emergency Preparedness:</w:t>
      </w:r>
      <w:r w:rsidR="00E5320D">
        <w:rPr>
          <w:rFonts w:asciiTheme="minorHAnsi" w:hAnsiTheme="minorHAnsi"/>
          <w:sz w:val="24"/>
        </w:rPr>
        <w:t xml:space="preserve"> </w:t>
      </w:r>
      <w:r w:rsidRPr="00FA5C99">
        <w:rPr>
          <w:rFonts w:asciiTheme="minorHAnsi" w:hAnsiTheme="minorHAnsi"/>
          <w:sz w:val="24"/>
        </w:rPr>
        <w:t>With funding from CDC National Public Health Preparedness grants,</w:t>
      </w:r>
      <w:r w:rsidR="003C6BE4" w:rsidRPr="00FA5C99">
        <w:rPr>
          <w:rFonts w:asciiTheme="minorHAnsi" w:hAnsiTheme="minorHAnsi"/>
          <w:sz w:val="24"/>
        </w:rPr>
        <w:t xml:space="preserve"> DPH </w:t>
      </w:r>
      <w:r w:rsidRPr="00FA5C99">
        <w:rPr>
          <w:rFonts w:asciiTheme="minorHAnsi" w:hAnsiTheme="minorHAnsi"/>
          <w:sz w:val="24"/>
        </w:rPr>
        <w:t>created an</w:t>
      </w:r>
      <w:r w:rsidR="00D5445A">
        <w:rPr>
          <w:rFonts w:asciiTheme="minorHAnsi" w:hAnsiTheme="minorHAnsi"/>
          <w:sz w:val="24"/>
        </w:rPr>
        <w:t>d maintains a statewide network</w:t>
      </w:r>
      <w:r w:rsidRPr="00FA5C99">
        <w:rPr>
          <w:rFonts w:asciiTheme="minorHAnsi" w:hAnsiTheme="minorHAnsi"/>
          <w:sz w:val="24"/>
        </w:rPr>
        <w:t xml:space="preserve"> of regional emergency preparedness coalition</w:t>
      </w:r>
      <w:r w:rsidR="005000BF">
        <w:rPr>
          <w:rFonts w:asciiTheme="minorHAnsi" w:hAnsiTheme="minorHAnsi"/>
          <w:sz w:val="24"/>
        </w:rPr>
        <w:t>s</w:t>
      </w:r>
      <w:r w:rsidRPr="00FA5C99">
        <w:rPr>
          <w:rFonts w:asciiTheme="minorHAnsi" w:hAnsiTheme="minorHAnsi"/>
          <w:sz w:val="24"/>
        </w:rPr>
        <w:t xml:space="preserve"> that assist local health departments in planning, training, communications, and other aspects of preparing to respond to all hazard emergencies.</w:t>
      </w:r>
    </w:p>
    <w:p w:rsidR="001D2606" w:rsidRPr="00FA5C99" w:rsidRDefault="003C6BE4" w:rsidP="000A0AB7">
      <w:pPr>
        <w:pStyle w:val="ListParagraph"/>
        <w:numPr>
          <w:ilvl w:val="0"/>
          <w:numId w:val="2"/>
        </w:numPr>
        <w:spacing w:line="276" w:lineRule="auto"/>
        <w:contextualSpacing/>
        <w:rPr>
          <w:rFonts w:asciiTheme="minorHAnsi" w:hAnsiTheme="minorHAnsi"/>
          <w:sz w:val="24"/>
        </w:rPr>
      </w:pPr>
      <w:r w:rsidRPr="00FA5C99">
        <w:rPr>
          <w:rFonts w:asciiTheme="minorHAnsi" w:hAnsiTheme="minorHAnsi"/>
          <w:sz w:val="24"/>
        </w:rPr>
        <w:t>Healthy Eating/Active Living</w:t>
      </w:r>
      <w:r w:rsidR="001D2606" w:rsidRPr="00FA5C99">
        <w:rPr>
          <w:rFonts w:asciiTheme="minorHAnsi" w:hAnsiTheme="minorHAnsi"/>
          <w:sz w:val="24"/>
        </w:rPr>
        <w:t>:</w:t>
      </w:r>
      <w:r w:rsidR="00E5320D">
        <w:rPr>
          <w:rFonts w:asciiTheme="minorHAnsi" w:hAnsiTheme="minorHAnsi"/>
          <w:sz w:val="24"/>
        </w:rPr>
        <w:t xml:space="preserve"> </w:t>
      </w:r>
      <w:r w:rsidR="001D2606" w:rsidRPr="00FA5C99">
        <w:rPr>
          <w:rFonts w:asciiTheme="minorHAnsi" w:hAnsiTheme="minorHAnsi"/>
          <w:sz w:val="24"/>
        </w:rPr>
        <w:t>Through the Mass in Motion program</w:t>
      </w:r>
      <w:r w:rsidR="00F25F97">
        <w:rPr>
          <w:rFonts w:asciiTheme="minorHAnsi" w:hAnsiTheme="minorHAnsi"/>
          <w:sz w:val="24"/>
        </w:rPr>
        <w:t>,</w:t>
      </w:r>
      <w:r w:rsidRPr="00FA5C99">
        <w:rPr>
          <w:rFonts w:asciiTheme="minorHAnsi" w:hAnsiTheme="minorHAnsi"/>
          <w:sz w:val="24"/>
        </w:rPr>
        <w:t xml:space="preserve"> DPH </w:t>
      </w:r>
      <w:r w:rsidR="001D2606" w:rsidRPr="00FA5C99">
        <w:rPr>
          <w:rFonts w:asciiTheme="minorHAnsi" w:hAnsiTheme="minorHAnsi"/>
          <w:sz w:val="24"/>
        </w:rPr>
        <w:t>supports local health departments and their municipal partners to enhance recreational opportunities and infrastructure in their communities.</w:t>
      </w:r>
    </w:p>
    <w:p w:rsidR="001D2606" w:rsidRPr="00FA5C99" w:rsidRDefault="001D2606" w:rsidP="000A0AB7">
      <w:pPr>
        <w:pStyle w:val="ListParagraph"/>
        <w:numPr>
          <w:ilvl w:val="0"/>
          <w:numId w:val="2"/>
        </w:numPr>
        <w:spacing w:line="276" w:lineRule="auto"/>
        <w:contextualSpacing/>
        <w:rPr>
          <w:rFonts w:asciiTheme="minorHAnsi" w:hAnsiTheme="minorHAnsi"/>
          <w:sz w:val="24"/>
        </w:rPr>
      </w:pPr>
      <w:r w:rsidRPr="00FA5C99">
        <w:rPr>
          <w:rFonts w:asciiTheme="minorHAnsi" w:hAnsiTheme="minorHAnsi"/>
          <w:sz w:val="24"/>
        </w:rPr>
        <w:t xml:space="preserve">Substance </w:t>
      </w:r>
      <w:r w:rsidR="003C6BE4" w:rsidRPr="00FA5C99">
        <w:rPr>
          <w:rFonts w:asciiTheme="minorHAnsi" w:hAnsiTheme="minorHAnsi"/>
          <w:sz w:val="24"/>
        </w:rPr>
        <w:t>Addiction</w:t>
      </w:r>
      <w:r w:rsidRPr="00FA5C99">
        <w:rPr>
          <w:rFonts w:asciiTheme="minorHAnsi" w:hAnsiTheme="minorHAnsi"/>
          <w:sz w:val="24"/>
        </w:rPr>
        <w:t>:</w:t>
      </w:r>
      <w:r w:rsidR="00E5320D">
        <w:rPr>
          <w:rFonts w:asciiTheme="minorHAnsi" w:hAnsiTheme="minorHAnsi"/>
          <w:sz w:val="24"/>
        </w:rPr>
        <w:t xml:space="preserve"> </w:t>
      </w:r>
      <w:r w:rsidRPr="00FA5C99">
        <w:rPr>
          <w:rFonts w:asciiTheme="minorHAnsi" w:hAnsiTheme="minorHAnsi"/>
          <w:sz w:val="24"/>
        </w:rPr>
        <w:t>With state and federal funding</w:t>
      </w:r>
      <w:r w:rsidR="00F25F97">
        <w:rPr>
          <w:rFonts w:asciiTheme="minorHAnsi" w:hAnsiTheme="minorHAnsi"/>
          <w:sz w:val="24"/>
        </w:rPr>
        <w:t>,</w:t>
      </w:r>
      <w:r w:rsidR="003C6BE4" w:rsidRPr="00FA5C99">
        <w:rPr>
          <w:rFonts w:asciiTheme="minorHAnsi" w:hAnsiTheme="minorHAnsi"/>
          <w:sz w:val="24"/>
        </w:rPr>
        <w:t xml:space="preserve"> DPH </w:t>
      </w:r>
      <w:r w:rsidRPr="00FA5C99">
        <w:rPr>
          <w:rFonts w:asciiTheme="minorHAnsi" w:hAnsiTheme="minorHAnsi"/>
          <w:sz w:val="24"/>
        </w:rPr>
        <w:t xml:space="preserve">offers </w:t>
      </w:r>
      <w:r w:rsidR="00F25F97">
        <w:rPr>
          <w:rFonts w:asciiTheme="minorHAnsi" w:hAnsiTheme="minorHAnsi"/>
          <w:sz w:val="24"/>
        </w:rPr>
        <w:t xml:space="preserve">grant opportunities to </w:t>
      </w:r>
      <w:r w:rsidRPr="00FA5C99">
        <w:rPr>
          <w:rFonts w:asciiTheme="minorHAnsi" w:hAnsiTheme="minorHAnsi"/>
          <w:sz w:val="24"/>
        </w:rPr>
        <w:t xml:space="preserve">local health departments and their community partners to combat the opioid epidemic and engage youth in substance </w:t>
      </w:r>
      <w:r w:rsidR="003C6BE4" w:rsidRPr="00FA5C99">
        <w:rPr>
          <w:rFonts w:asciiTheme="minorHAnsi" w:hAnsiTheme="minorHAnsi"/>
          <w:sz w:val="24"/>
        </w:rPr>
        <w:t xml:space="preserve">addiction </w:t>
      </w:r>
      <w:r w:rsidRPr="00FA5C99">
        <w:rPr>
          <w:rFonts w:asciiTheme="minorHAnsi" w:hAnsiTheme="minorHAnsi"/>
          <w:sz w:val="24"/>
        </w:rPr>
        <w:t>prevention efforts.</w:t>
      </w:r>
    </w:p>
    <w:p w:rsidR="00A06A0A" w:rsidRPr="00FA5C99" w:rsidRDefault="00A06A0A" w:rsidP="00A06A0A">
      <w:pPr>
        <w:pStyle w:val="ListParagraph"/>
        <w:spacing w:line="276" w:lineRule="auto"/>
        <w:contextualSpacing/>
        <w:rPr>
          <w:rFonts w:asciiTheme="minorHAnsi" w:hAnsiTheme="minorHAnsi"/>
          <w:sz w:val="24"/>
        </w:rPr>
      </w:pPr>
    </w:p>
    <w:p w:rsidR="001D2606" w:rsidRDefault="001D2606" w:rsidP="002020C1">
      <w:pPr>
        <w:spacing w:line="276" w:lineRule="auto"/>
        <w:rPr>
          <w:rFonts w:asciiTheme="minorHAnsi" w:hAnsiTheme="minorHAnsi"/>
          <w:sz w:val="24"/>
        </w:rPr>
      </w:pPr>
      <w:proofErr w:type="gramStart"/>
      <w:r w:rsidRPr="00FA5C99">
        <w:rPr>
          <w:rFonts w:asciiTheme="minorHAnsi" w:hAnsiTheme="minorHAnsi"/>
          <w:b/>
          <w:sz w:val="24"/>
        </w:rPr>
        <w:t>Support for Shared Services Arrangements</w:t>
      </w:r>
      <w:r w:rsidR="00A06A0A" w:rsidRPr="00FA5C99">
        <w:rPr>
          <w:rFonts w:asciiTheme="minorHAnsi" w:hAnsiTheme="minorHAnsi"/>
          <w:b/>
          <w:sz w:val="24"/>
        </w:rPr>
        <w:t>.</w:t>
      </w:r>
      <w:proofErr w:type="gramEnd"/>
      <w:r w:rsidR="00733829" w:rsidRPr="00FA5C99">
        <w:rPr>
          <w:rFonts w:asciiTheme="minorHAnsi" w:hAnsiTheme="minorHAnsi"/>
          <w:b/>
          <w:sz w:val="24"/>
        </w:rPr>
        <w:t xml:space="preserve"> </w:t>
      </w:r>
      <w:r w:rsidRPr="00FA5C99">
        <w:rPr>
          <w:rFonts w:asciiTheme="minorHAnsi" w:hAnsiTheme="minorHAnsi"/>
          <w:sz w:val="24"/>
        </w:rPr>
        <w:t>Since the early 2000s</w:t>
      </w:r>
      <w:r w:rsidR="002E72DB" w:rsidRPr="00FA5C99">
        <w:rPr>
          <w:rFonts w:asciiTheme="minorHAnsi" w:hAnsiTheme="minorHAnsi"/>
          <w:sz w:val="24"/>
        </w:rPr>
        <w:t xml:space="preserve">, </w:t>
      </w:r>
      <w:r w:rsidRPr="00FA5C99">
        <w:rPr>
          <w:rFonts w:asciiTheme="minorHAnsi" w:hAnsiTheme="minorHAnsi"/>
          <w:sz w:val="24"/>
        </w:rPr>
        <w:t>DPH, local health stakeholders, academic partners, and the Massachusetts Legislature have supported efforts in Massachusetts to address the challenges of the local public health system through support for shared services arrangements designed to contribute to improvements in local public health capacity</w:t>
      </w:r>
      <w:r w:rsidR="00E5320D">
        <w:rPr>
          <w:rFonts w:asciiTheme="minorHAnsi" w:hAnsiTheme="minorHAnsi"/>
          <w:sz w:val="24"/>
        </w:rPr>
        <w:t xml:space="preserve">. </w:t>
      </w:r>
    </w:p>
    <w:p w:rsidR="005000BF" w:rsidRPr="00FA5C99" w:rsidRDefault="005000BF" w:rsidP="002020C1">
      <w:pPr>
        <w:spacing w:line="276" w:lineRule="auto"/>
        <w:rPr>
          <w:rFonts w:asciiTheme="minorHAnsi" w:hAnsiTheme="minorHAnsi"/>
          <w:b/>
          <w:sz w:val="24"/>
        </w:rPr>
      </w:pPr>
    </w:p>
    <w:p w:rsidR="001D2606" w:rsidRPr="00FA5C99" w:rsidRDefault="00152912" w:rsidP="000A0AB7">
      <w:pPr>
        <w:pStyle w:val="ListParagraph"/>
        <w:numPr>
          <w:ilvl w:val="0"/>
          <w:numId w:val="4"/>
        </w:numPr>
        <w:spacing w:line="276" w:lineRule="auto"/>
        <w:contextualSpacing/>
        <w:rPr>
          <w:rFonts w:asciiTheme="minorHAnsi" w:hAnsiTheme="minorHAnsi"/>
          <w:sz w:val="24"/>
        </w:rPr>
      </w:pPr>
      <w:r>
        <w:rPr>
          <w:rFonts w:asciiTheme="minorHAnsi" w:hAnsiTheme="minorHAnsi"/>
          <w:sz w:val="24"/>
        </w:rPr>
        <w:t xml:space="preserve">Massachusetts Public Health </w:t>
      </w:r>
      <w:r w:rsidR="001D2606" w:rsidRPr="00FA5C99">
        <w:rPr>
          <w:rFonts w:asciiTheme="minorHAnsi" w:hAnsiTheme="minorHAnsi"/>
          <w:sz w:val="24"/>
        </w:rPr>
        <w:t>Regionalization Work</w:t>
      </w:r>
      <w:r w:rsidR="005000BF">
        <w:rPr>
          <w:rFonts w:asciiTheme="minorHAnsi" w:hAnsiTheme="minorHAnsi"/>
          <w:sz w:val="24"/>
        </w:rPr>
        <w:t>ing</w:t>
      </w:r>
      <w:r w:rsidR="001D2606" w:rsidRPr="00FA5C99">
        <w:rPr>
          <w:rFonts w:asciiTheme="minorHAnsi" w:hAnsiTheme="minorHAnsi"/>
          <w:sz w:val="24"/>
        </w:rPr>
        <w:t xml:space="preserve"> Group:</w:t>
      </w:r>
      <w:r w:rsidR="00E5320D">
        <w:rPr>
          <w:rFonts w:asciiTheme="minorHAnsi" w:hAnsiTheme="minorHAnsi"/>
          <w:sz w:val="24"/>
        </w:rPr>
        <w:t xml:space="preserve"> </w:t>
      </w:r>
      <w:r w:rsidR="001D2606" w:rsidRPr="00FA5C99">
        <w:rPr>
          <w:rFonts w:asciiTheme="minorHAnsi" w:hAnsiTheme="minorHAnsi"/>
          <w:sz w:val="24"/>
        </w:rPr>
        <w:t>Based at Boston University</w:t>
      </w:r>
      <w:r w:rsidR="002E72DB" w:rsidRPr="00FA5C99">
        <w:rPr>
          <w:rFonts w:asciiTheme="minorHAnsi" w:hAnsiTheme="minorHAnsi"/>
          <w:sz w:val="24"/>
        </w:rPr>
        <w:t xml:space="preserve"> School of Public Health</w:t>
      </w:r>
      <w:r w:rsidR="001D2606" w:rsidRPr="00FA5C99">
        <w:rPr>
          <w:rFonts w:asciiTheme="minorHAnsi" w:hAnsiTheme="minorHAnsi"/>
          <w:sz w:val="24"/>
        </w:rPr>
        <w:t>, the Regionalization Working Group was formed in the early 2000s to strengthen the Massachusetts public health system by creating a sustainable, regional system for equitable delivery of local public health services across the Commonwealth</w:t>
      </w:r>
      <w:r w:rsidR="00E5320D">
        <w:rPr>
          <w:rFonts w:asciiTheme="minorHAnsi" w:hAnsiTheme="minorHAnsi"/>
          <w:sz w:val="24"/>
        </w:rPr>
        <w:t xml:space="preserve">. </w:t>
      </w:r>
      <w:r w:rsidR="001D2606" w:rsidRPr="00FA5C99">
        <w:rPr>
          <w:rFonts w:asciiTheme="minorHAnsi" w:hAnsiTheme="minorHAnsi"/>
          <w:sz w:val="24"/>
        </w:rPr>
        <w:t>The group created a Regionalization Tool</w:t>
      </w:r>
      <w:r w:rsidR="005000BF">
        <w:rPr>
          <w:rFonts w:asciiTheme="minorHAnsi" w:hAnsiTheme="minorHAnsi"/>
          <w:sz w:val="24"/>
        </w:rPr>
        <w:t>k</w:t>
      </w:r>
      <w:r w:rsidR="001D2606" w:rsidRPr="00FA5C99">
        <w:rPr>
          <w:rFonts w:asciiTheme="minorHAnsi" w:hAnsiTheme="minorHAnsi"/>
          <w:sz w:val="24"/>
        </w:rPr>
        <w:t xml:space="preserve">it to assist communities interested in regional local health collaboration, </w:t>
      </w:r>
      <w:r w:rsidR="005000BF">
        <w:rPr>
          <w:rFonts w:asciiTheme="minorHAnsi" w:hAnsiTheme="minorHAnsi"/>
          <w:sz w:val="24"/>
        </w:rPr>
        <w:t xml:space="preserve">created </w:t>
      </w:r>
      <w:r w:rsidR="001D2606" w:rsidRPr="00FA5C99">
        <w:rPr>
          <w:rFonts w:asciiTheme="minorHAnsi" w:hAnsiTheme="minorHAnsi"/>
          <w:sz w:val="24"/>
        </w:rPr>
        <w:t xml:space="preserve">a workforce credentials committee that developed recommendations for the local public health workforce with particular attention to staff employed in public health districts, and advocated for legislation to create the Special Commission on Local and Regional </w:t>
      </w:r>
      <w:r w:rsidR="005000BF">
        <w:rPr>
          <w:rFonts w:asciiTheme="minorHAnsi" w:hAnsiTheme="minorHAnsi"/>
          <w:sz w:val="24"/>
        </w:rPr>
        <w:t xml:space="preserve">Public </w:t>
      </w:r>
      <w:r w:rsidR="001D2606" w:rsidRPr="00FA5C99">
        <w:rPr>
          <w:rFonts w:asciiTheme="minorHAnsi" w:hAnsiTheme="minorHAnsi"/>
          <w:sz w:val="24"/>
        </w:rPr>
        <w:t>Health</w:t>
      </w:r>
      <w:r w:rsidR="00E94B65">
        <w:rPr>
          <w:rFonts w:asciiTheme="minorHAnsi" w:hAnsiTheme="minorHAnsi"/>
          <w:sz w:val="24"/>
          <w:vertAlign w:val="superscript"/>
        </w:rPr>
        <w:t>9</w:t>
      </w:r>
      <w:r w:rsidR="00E5320D">
        <w:rPr>
          <w:rFonts w:asciiTheme="minorHAnsi" w:hAnsiTheme="minorHAnsi"/>
          <w:sz w:val="24"/>
        </w:rPr>
        <w:t xml:space="preserve">. </w:t>
      </w:r>
    </w:p>
    <w:p w:rsidR="001D2606" w:rsidRPr="00FA5C99" w:rsidRDefault="001D2606" w:rsidP="000A0AB7">
      <w:pPr>
        <w:pStyle w:val="ListParagraph"/>
        <w:numPr>
          <w:ilvl w:val="0"/>
          <w:numId w:val="4"/>
        </w:numPr>
        <w:spacing w:line="276" w:lineRule="auto"/>
        <w:contextualSpacing/>
        <w:rPr>
          <w:rFonts w:asciiTheme="minorHAnsi" w:hAnsiTheme="minorHAnsi"/>
          <w:sz w:val="24"/>
        </w:rPr>
      </w:pPr>
      <w:r w:rsidRPr="00FA5C99">
        <w:rPr>
          <w:rFonts w:asciiTheme="minorHAnsi" w:hAnsiTheme="minorHAnsi"/>
          <w:sz w:val="24"/>
        </w:rPr>
        <w:lastRenderedPageBreak/>
        <w:t xml:space="preserve">Amendments to </w:t>
      </w:r>
      <w:r w:rsidR="00E81376" w:rsidRPr="00FA5C99">
        <w:rPr>
          <w:rFonts w:asciiTheme="minorHAnsi" w:hAnsiTheme="minorHAnsi"/>
          <w:sz w:val="24"/>
        </w:rPr>
        <w:t xml:space="preserve">Massachusetts </w:t>
      </w:r>
      <w:r w:rsidRPr="00FA5C99">
        <w:rPr>
          <w:rFonts w:asciiTheme="minorHAnsi" w:hAnsiTheme="minorHAnsi"/>
          <w:sz w:val="24"/>
        </w:rPr>
        <w:t>General Laws:</w:t>
      </w:r>
      <w:r w:rsidR="00E5320D">
        <w:rPr>
          <w:rFonts w:asciiTheme="minorHAnsi" w:hAnsiTheme="minorHAnsi"/>
          <w:sz w:val="24"/>
        </w:rPr>
        <w:t xml:space="preserve"> </w:t>
      </w:r>
      <w:r w:rsidRPr="00FA5C99">
        <w:rPr>
          <w:rFonts w:asciiTheme="minorHAnsi" w:hAnsiTheme="minorHAnsi"/>
          <w:sz w:val="24"/>
        </w:rPr>
        <w:t>In 2008-2009, in response to recommendations from the Regionalization Advisory Commission</w:t>
      </w:r>
      <w:r w:rsidR="00E54B2B">
        <w:rPr>
          <w:rFonts w:asciiTheme="minorHAnsi" w:hAnsiTheme="minorHAnsi"/>
          <w:sz w:val="24"/>
        </w:rPr>
        <w:t xml:space="preserve"> (</w:t>
      </w:r>
      <w:r w:rsidR="006E6136">
        <w:rPr>
          <w:rFonts w:asciiTheme="minorHAnsi" w:hAnsiTheme="minorHAnsi"/>
          <w:sz w:val="24"/>
        </w:rPr>
        <w:t>see page</w:t>
      </w:r>
      <w:r w:rsidR="005750E7">
        <w:rPr>
          <w:rFonts w:asciiTheme="minorHAnsi" w:hAnsiTheme="minorHAnsi"/>
          <w:sz w:val="24"/>
        </w:rPr>
        <w:t xml:space="preserve"> 23</w:t>
      </w:r>
      <w:r w:rsidR="006E6136">
        <w:rPr>
          <w:rFonts w:asciiTheme="minorHAnsi" w:hAnsiTheme="minorHAnsi"/>
          <w:sz w:val="24"/>
        </w:rPr>
        <w:t xml:space="preserve">), the </w:t>
      </w:r>
      <w:r w:rsidR="00CB472D">
        <w:rPr>
          <w:rFonts w:asciiTheme="minorHAnsi" w:hAnsiTheme="minorHAnsi"/>
          <w:sz w:val="24"/>
        </w:rPr>
        <w:t>L</w:t>
      </w:r>
      <w:r w:rsidR="00CB472D" w:rsidRPr="00FA5C99">
        <w:rPr>
          <w:rFonts w:asciiTheme="minorHAnsi" w:hAnsiTheme="minorHAnsi"/>
          <w:sz w:val="24"/>
        </w:rPr>
        <w:t xml:space="preserve">egislature </w:t>
      </w:r>
      <w:r w:rsidRPr="00FA5C99">
        <w:rPr>
          <w:rFonts w:asciiTheme="minorHAnsi" w:hAnsiTheme="minorHAnsi"/>
          <w:sz w:val="24"/>
        </w:rPr>
        <w:t xml:space="preserve">amended </w:t>
      </w:r>
      <w:r w:rsidR="00CB472D">
        <w:rPr>
          <w:rFonts w:asciiTheme="minorHAnsi" w:hAnsiTheme="minorHAnsi"/>
          <w:sz w:val="24"/>
        </w:rPr>
        <w:t>M.G.L.</w:t>
      </w:r>
      <w:r w:rsidRPr="00FA5C99">
        <w:rPr>
          <w:rFonts w:asciiTheme="minorHAnsi" w:hAnsiTheme="minorHAnsi"/>
          <w:sz w:val="24"/>
        </w:rPr>
        <w:t xml:space="preserve"> Chapter 27C to streamline the legal process for creating Regional Health Districts.</w:t>
      </w:r>
    </w:p>
    <w:p w:rsidR="001D2606" w:rsidRPr="00FA5C99" w:rsidRDefault="001D2606" w:rsidP="000A0AB7">
      <w:pPr>
        <w:pStyle w:val="ListParagraph"/>
        <w:numPr>
          <w:ilvl w:val="0"/>
          <w:numId w:val="3"/>
        </w:numPr>
        <w:spacing w:line="276" w:lineRule="auto"/>
        <w:contextualSpacing/>
        <w:rPr>
          <w:rFonts w:asciiTheme="minorHAnsi" w:hAnsiTheme="minorHAnsi"/>
          <w:sz w:val="24"/>
        </w:rPr>
      </w:pPr>
      <w:r w:rsidRPr="00FA5C99">
        <w:rPr>
          <w:rFonts w:asciiTheme="minorHAnsi" w:hAnsiTheme="minorHAnsi"/>
          <w:sz w:val="24"/>
        </w:rPr>
        <w:t>Public Health District Incentive Grants (PHDIG):</w:t>
      </w:r>
      <w:r w:rsidR="00E5320D">
        <w:rPr>
          <w:rFonts w:asciiTheme="minorHAnsi" w:hAnsiTheme="minorHAnsi"/>
          <w:sz w:val="24"/>
        </w:rPr>
        <w:t xml:space="preserve"> </w:t>
      </w:r>
      <w:r w:rsidRPr="00FA5C99">
        <w:rPr>
          <w:rFonts w:asciiTheme="minorHAnsi" w:hAnsiTheme="minorHAnsi"/>
          <w:sz w:val="24"/>
        </w:rPr>
        <w:t xml:space="preserve">With funding from the U.S. Centers for Disease Control and Prevention through the National Public Health Performance Improvement Initiative, DPH supported planning grants for eleven </w:t>
      </w:r>
      <w:r w:rsidR="00CB472D" w:rsidRPr="00FA5C99">
        <w:rPr>
          <w:rFonts w:asciiTheme="minorHAnsi" w:hAnsiTheme="minorHAnsi"/>
          <w:sz w:val="24"/>
        </w:rPr>
        <w:t xml:space="preserve">public health districts </w:t>
      </w:r>
      <w:r w:rsidRPr="00FA5C99">
        <w:rPr>
          <w:rFonts w:asciiTheme="minorHAnsi" w:hAnsiTheme="minorHAnsi"/>
          <w:sz w:val="24"/>
        </w:rPr>
        <w:t>and implementation grants for five public health districts. The five districts in the Public Health District Incentive Grant (PHDIG) program encompassed 58 communities and a total population of approximately 808,000.</w:t>
      </w:r>
    </w:p>
    <w:p w:rsidR="001D2606" w:rsidRPr="00FA5C99" w:rsidRDefault="001D2606" w:rsidP="000A0AB7">
      <w:pPr>
        <w:pStyle w:val="ListParagraph"/>
        <w:numPr>
          <w:ilvl w:val="0"/>
          <w:numId w:val="3"/>
        </w:numPr>
        <w:spacing w:line="276" w:lineRule="auto"/>
        <w:contextualSpacing/>
        <w:rPr>
          <w:rFonts w:asciiTheme="minorHAnsi" w:hAnsiTheme="minorHAnsi"/>
          <w:sz w:val="24"/>
        </w:rPr>
      </w:pPr>
      <w:r w:rsidRPr="00FA5C99">
        <w:rPr>
          <w:rFonts w:asciiTheme="minorHAnsi" w:hAnsiTheme="minorHAnsi"/>
          <w:sz w:val="24"/>
        </w:rPr>
        <w:t xml:space="preserve">Office of Local and Regional Health: DPH established the Office of Local and Regional Health in October 2013. The office includes staff with assignments that support local public health </w:t>
      </w:r>
      <w:r w:rsidR="00B460F2" w:rsidRPr="00FA5C99">
        <w:rPr>
          <w:rFonts w:asciiTheme="minorHAnsi" w:hAnsiTheme="minorHAnsi"/>
          <w:sz w:val="24"/>
        </w:rPr>
        <w:t>capacity</w:t>
      </w:r>
      <w:r w:rsidR="00B460F2">
        <w:rPr>
          <w:rFonts w:asciiTheme="minorHAnsi" w:hAnsiTheme="minorHAnsi"/>
          <w:sz w:val="24"/>
        </w:rPr>
        <w:t>-</w:t>
      </w:r>
      <w:r w:rsidRPr="00FA5C99">
        <w:rPr>
          <w:rFonts w:asciiTheme="minorHAnsi" w:hAnsiTheme="minorHAnsi"/>
          <w:sz w:val="24"/>
        </w:rPr>
        <w:t xml:space="preserve">building including cross-jurisdictional sharing and workforce development. </w:t>
      </w:r>
      <w:r w:rsidR="00CB7D64">
        <w:rPr>
          <w:rFonts w:asciiTheme="minorHAnsi" w:hAnsiTheme="minorHAnsi"/>
          <w:sz w:val="24"/>
        </w:rPr>
        <w:t>OLRH leads an intra-agency local public health working group that promotes collaboration and communication among all DPH program staff that work with local public health.</w:t>
      </w:r>
    </w:p>
    <w:p w:rsidR="001D2606" w:rsidRPr="002020C1" w:rsidRDefault="001D2606" w:rsidP="002020C1">
      <w:pPr>
        <w:spacing w:line="276" w:lineRule="auto"/>
        <w:rPr>
          <w:rFonts w:asciiTheme="minorHAnsi" w:hAnsiTheme="minorHAnsi"/>
        </w:rPr>
      </w:pPr>
      <w:r w:rsidRPr="002020C1">
        <w:rPr>
          <w:rFonts w:asciiTheme="minorHAnsi" w:hAnsiTheme="minorHAnsi"/>
        </w:rPr>
        <w:t xml:space="preserve"> </w:t>
      </w:r>
    </w:p>
    <w:p w:rsidR="001D2606" w:rsidRDefault="001D2606" w:rsidP="00734D36">
      <w:pPr>
        <w:pStyle w:val="Heading1"/>
      </w:pPr>
      <w:bookmarkStart w:id="4" w:name="_Toc514334033"/>
      <w:r w:rsidRPr="003E7276">
        <w:t xml:space="preserve">Special Commission on Local and Regional </w:t>
      </w:r>
      <w:r w:rsidR="005000BF">
        <w:t xml:space="preserve">Public </w:t>
      </w:r>
      <w:r w:rsidRPr="003E7276">
        <w:t>Health</w:t>
      </w:r>
      <w:bookmarkEnd w:id="4"/>
    </w:p>
    <w:p w:rsidR="003E7276" w:rsidRPr="003E7276" w:rsidRDefault="003E7276" w:rsidP="002020C1">
      <w:pPr>
        <w:spacing w:line="276" w:lineRule="auto"/>
        <w:rPr>
          <w:rFonts w:asciiTheme="minorHAnsi" w:hAnsiTheme="minorHAnsi"/>
          <w:b/>
        </w:rPr>
      </w:pPr>
    </w:p>
    <w:p w:rsidR="001D2606" w:rsidRPr="00FA5C99" w:rsidRDefault="001D2606" w:rsidP="002020C1">
      <w:pPr>
        <w:spacing w:line="276" w:lineRule="auto"/>
        <w:rPr>
          <w:rFonts w:asciiTheme="minorHAnsi" w:hAnsiTheme="minorHAnsi"/>
          <w:sz w:val="24"/>
        </w:rPr>
      </w:pPr>
      <w:r w:rsidRPr="00FA5C99">
        <w:rPr>
          <w:rFonts w:asciiTheme="minorHAnsi" w:hAnsiTheme="minorHAnsi"/>
          <w:sz w:val="24"/>
        </w:rPr>
        <w:t>Chapter 3 of the Resolves of 2016 was signed by Governor Baker in August 2016</w:t>
      </w:r>
      <w:r w:rsidR="00152912">
        <w:rPr>
          <w:rFonts w:asciiTheme="minorHAnsi" w:hAnsiTheme="minorHAnsi"/>
          <w:sz w:val="24"/>
        </w:rPr>
        <w:t xml:space="preserve"> (Appendix A)</w:t>
      </w:r>
      <w:r w:rsidR="00E5320D">
        <w:rPr>
          <w:rFonts w:asciiTheme="minorHAnsi" w:hAnsiTheme="minorHAnsi"/>
          <w:sz w:val="24"/>
        </w:rPr>
        <w:t xml:space="preserve">. </w:t>
      </w:r>
      <w:r w:rsidRPr="00FA5C99">
        <w:rPr>
          <w:rFonts w:asciiTheme="minorHAnsi" w:hAnsiTheme="minorHAnsi"/>
          <w:sz w:val="24"/>
        </w:rPr>
        <w:t>The legislation created a 25‐member commission to “assess the effectiveness and efficiency of municipal and regional public health systems and to make recommendations regarding how to strengthen the delivery of public health services and preventive measures</w:t>
      </w:r>
      <w:r w:rsidR="00651457">
        <w:rPr>
          <w:rFonts w:asciiTheme="minorHAnsi" w:hAnsiTheme="minorHAnsi"/>
          <w:sz w:val="24"/>
        </w:rPr>
        <w:t>.</w:t>
      </w:r>
      <w:r w:rsidR="00362A2E" w:rsidRPr="00FA5C99">
        <w:rPr>
          <w:rFonts w:asciiTheme="minorHAnsi" w:hAnsiTheme="minorHAnsi"/>
          <w:sz w:val="24"/>
        </w:rPr>
        <w:t xml:space="preserve">” Members of the Commission are listed at the beginning of this report. </w:t>
      </w:r>
    </w:p>
    <w:p w:rsidR="001D2606" w:rsidRPr="00FA5C99" w:rsidRDefault="001D2606" w:rsidP="002020C1">
      <w:pPr>
        <w:spacing w:line="276" w:lineRule="auto"/>
        <w:rPr>
          <w:rFonts w:asciiTheme="minorHAnsi" w:hAnsiTheme="minorHAnsi" w:cs="Helvetica"/>
          <w:sz w:val="24"/>
          <w:shd w:val="clear" w:color="auto" w:fill="FFFFFF"/>
        </w:rPr>
      </w:pPr>
    </w:p>
    <w:p w:rsidR="00C748E8" w:rsidRPr="00FA5C99" w:rsidRDefault="00C748E8" w:rsidP="002020C1">
      <w:pPr>
        <w:spacing w:line="276" w:lineRule="auto"/>
        <w:rPr>
          <w:rFonts w:asciiTheme="minorHAnsi" w:hAnsiTheme="minorHAnsi" w:cs="Helvetica"/>
          <w:sz w:val="24"/>
          <w:shd w:val="clear" w:color="auto" w:fill="FFFFFF"/>
        </w:rPr>
      </w:pPr>
      <w:proofErr w:type="gramStart"/>
      <w:r w:rsidRPr="00FA5C99">
        <w:rPr>
          <w:rFonts w:asciiTheme="minorHAnsi" w:hAnsiTheme="minorHAnsi" w:cs="Helvetica"/>
          <w:b/>
          <w:sz w:val="24"/>
          <w:shd w:val="clear" w:color="auto" w:fill="FFFFFF"/>
        </w:rPr>
        <w:t>Key Questions.</w:t>
      </w:r>
      <w:proofErr w:type="gramEnd"/>
      <w:r w:rsidRPr="00FA5C99">
        <w:rPr>
          <w:rFonts w:asciiTheme="minorHAnsi" w:hAnsiTheme="minorHAnsi" w:cs="Helvetica"/>
          <w:b/>
          <w:sz w:val="24"/>
          <w:shd w:val="clear" w:color="auto" w:fill="FFFFFF"/>
        </w:rPr>
        <w:t xml:space="preserve"> </w:t>
      </w:r>
      <w:r w:rsidRPr="00FA5C99">
        <w:rPr>
          <w:rFonts w:asciiTheme="minorHAnsi" w:hAnsiTheme="minorHAnsi" w:cs="Helvetica"/>
          <w:sz w:val="24"/>
          <w:shd w:val="clear" w:color="auto" w:fill="FFFFFF"/>
        </w:rPr>
        <w:t>The Commission charge is summarized in the following key questions:</w:t>
      </w:r>
    </w:p>
    <w:p w:rsidR="00C748E8" w:rsidRPr="00FA5C99" w:rsidRDefault="00C748E8" w:rsidP="002020C1">
      <w:pPr>
        <w:spacing w:line="276" w:lineRule="auto"/>
        <w:rPr>
          <w:rFonts w:asciiTheme="minorHAnsi" w:hAnsiTheme="minorHAnsi" w:cs="Helvetica"/>
          <w:b/>
          <w:sz w:val="24"/>
          <w:shd w:val="clear" w:color="auto" w:fill="FFFFFF"/>
        </w:rPr>
      </w:pPr>
    </w:p>
    <w:p w:rsidR="00C748E8" w:rsidRPr="00FA5C99" w:rsidRDefault="00C748E8"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 xml:space="preserve">What is the minimum set of public health services that all Massachusetts residents should expect </w:t>
      </w:r>
      <w:r w:rsidR="006A5FC7" w:rsidRPr="00FA5C99">
        <w:rPr>
          <w:rFonts w:asciiTheme="minorHAnsi" w:hAnsiTheme="minorHAnsi"/>
          <w:sz w:val="24"/>
          <w:shd w:val="clear" w:color="auto" w:fill="FFFFFF"/>
        </w:rPr>
        <w:t xml:space="preserve">to receive </w:t>
      </w:r>
      <w:r w:rsidRPr="00FA5C99">
        <w:rPr>
          <w:rFonts w:asciiTheme="minorHAnsi" w:hAnsiTheme="minorHAnsi"/>
          <w:sz w:val="24"/>
          <w:shd w:val="clear" w:color="auto" w:fill="FFFFFF"/>
        </w:rPr>
        <w:t xml:space="preserve">from </w:t>
      </w:r>
      <w:r w:rsidR="006A5FC7" w:rsidRPr="00FA5C99">
        <w:rPr>
          <w:rFonts w:asciiTheme="minorHAnsi" w:hAnsiTheme="minorHAnsi"/>
          <w:sz w:val="24"/>
          <w:shd w:val="clear" w:color="auto" w:fill="FFFFFF"/>
        </w:rPr>
        <w:t>their local public health authority and the local public health system</w:t>
      </w:r>
      <w:r w:rsidRPr="00FA5C99">
        <w:rPr>
          <w:rFonts w:asciiTheme="minorHAnsi" w:hAnsiTheme="minorHAnsi"/>
          <w:sz w:val="24"/>
          <w:shd w:val="clear" w:color="auto" w:fill="FFFFFF"/>
        </w:rPr>
        <w:t>?</w:t>
      </w:r>
    </w:p>
    <w:p w:rsidR="00C748E8" w:rsidRPr="00FA5C99" w:rsidRDefault="00C748E8"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 xml:space="preserve">What is </w:t>
      </w:r>
      <w:r w:rsidR="00F229AD">
        <w:rPr>
          <w:rFonts w:asciiTheme="minorHAnsi" w:hAnsiTheme="minorHAnsi"/>
          <w:sz w:val="24"/>
          <w:shd w:val="clear" w:color="auto" w:fill="FFFFFF"/>
        </w:rPr>
        <w:t xml:space="preserve">the </w:t>
      </w:r>
      <w:r w:rsidRPr="00FA5C99">
        <w:rPr>
          <w:rFonts w:asciiTheme="minorHAnsi" w:hAnsiTheme="minorHAnsi"/>
          <w:sz w:val="24"/>
          <w:shd w:val="clear" w:color="auto" w:fill="FFFFFF"/>
        </w:rPr>
        <w:t>most effective and efficient way to design the local public health system to ensure that all Massachusetts residents have access to the minimum set of public health services?</w:t>
      </w:r>
    </w:p>
    <w:p w:rsidR="00C748E8" w:rsidRPr="00FA5C99" w:rsidRDefault="00C748E8"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What professional disciplines, competencies, and credentials are needed to ensure the delivery of the minimum set of public health services?</w:t>
      </w:r>
    </w:p>
    <w:p w:rsidR="00C748E8" w:rsidRPr="00FA5C99" w:rsidRDefault="00C748E8"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What data needs to be collected by local public health departments and reported to DPH to measure local public health system performance?</w:t>
      </w:r>
    </w:p>
    <w:p w:rsidR="00C748E8" w:rsidRPr="00FA5C99" w:rsidRDefault="00C748E8"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lastRenderedPageBreak/>
        <w:t xml:space="preserve">What are the </w:t>
      </w:r>
      <w:r w:rsidR="0046244A" w:rsidRPr="00FA5C99">
        <w:rPr>
          <w:rFonts w:asciiTheme="minorHAnsi" w:hAnsiTheme="minorHAnsi"/>
          <w:sz w:val="24"/>
          <w:shd w:val="clear" w:color="auto" w:fill="FFFFFF"/>
        </w:rPr>
        <w:t xml:space="preserve">resource </w:t>
      </w:r>
      <w:r w:rsidRPr="00FA5C99">
        <w:rPr>
          <w:rFonts w:asciiTheme="minorHAnsi" w:hAnsiTheme="minorHAnsi"/>
          <w:sz w:val="24"/>
          <w:shd w:val="clear" w:color="auto" w:fill="FFFFFF"/>
        </w:rPr>
        <w:t>requirements to meet the minimum set of local public health services?</w:t>
      </w:r>
    </w:p>
    <w:p w:rsidR="00C748E8" w:rsidRPr="00FA5C99" w:rsidRDefault="00C748E8" w:rsidP="002020C1">
      <w:pPr>
        <w:spacing w:line="276" w:lineRule="auto"/>
        <w:rPr>
          <w:rFonts w:asciiTheme="minorHAnsi" w:hAnsiTheme="minorHAnsi" w:cs="Helvetica"/>
          <w:sz w:val="24"/>
          <w:shd w:val="clear" w:color="auto" w:fill="FFFFFF"/>
        </w:rPr>
      </w:pPr>
    </w:p>
    <w:p w:rsidR="000A7532" w:rsidRPr="00FA5C99" w:rsidRDefault="000A7532" w:rsidP="002020C1">
      <w:pPr>
        <w:spacing w:line="276" w:lineRule="auto"/>
        <w:rPr>
          <w:rFonts w:asciiTheme="minorHAnsi" w:hAnsiTheme="minorHAnsi" w:cs="Helvetica"/>
          <w:sz w:val="24"/>
          <w:shd w:val="clear" w:color="auto" w:fill="FFFFFF"/>
        </w:rPr>
      </w:pPr>
      <w:r w:rsidRPr="00FA5C99">
        <w:rPr>
          <w:rFonts w:asciiTheme="minorHAnsi" w:hAnsiTheme="minorHAnsi" w:cs="Helvetica"/>
          <w:sz w:val="24"/>
          <w:shd w:val="clear" w:color="auto" w:fill="FFFFFF"/>
        </w:rPr>
        <w:t>The following additional questions have emerged in Commission</w:t>
      </w:r>
      <w:r w:rsidR="00362A2E" w:rsidRPr="00FA5C99">
        <w:rPr>
          <w:rFonts w:asciiTheme="minorHAnsi" w:hAnsiTheme="minorHAnsi" w:cs="Helvetica"/>
          <w:sz w:val="24"/>
          <w:shd w:val="clear" w:color="auto" w:fill="FFFFFF"/>
        </w:rPr>
        <w:t xml:space="preserve"> deliberations</w:t>
      </w:r>
      <w:r w:rsidRPr="00FA5C99">
        <w:rPr>
          <w:rFonts w:asciiTheme="minorHAnsi" w:hAnsiTheme="minorHAnsi" w:cs="Helvetica"/>
          <w:sz w:val="24"/>
          <w:shd w:val="clear" w:color="auto" w:fill="FFFFFF"/>
        </w:rPr>
        <w:t>:</w:t>
      </w:r>
    </w:p>
    <w:p w:rsidR="000A7532" w:rsidRPr="00FA5C99" w:rsidRDefault="000A7532" w:rsidP="002020C1">
      <w:pPr>
        <w:spacing w:line="276" w:lineRule="auto"/>
        <w:rPr>
          <w:rFonts w:asciiTheme="minorHAnsi" w:hAnsiTheme="minorHAnsi" w:cs="Helvetica"/>
          <w:sz w:val="24"/>
          <w:shd w:val="clear" w:color="auto" w:fill="FFFFFF"/>
        </w:rPr>
      </w:pPr>
    </w:p>
    <w:p w:rsidR="000A7532" w:rsidRPr="00FA5C99" w:rsidRDefault="000A7532"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What is public health? Why is it important?</w:t>
      </w:r>
    </w:p>
    <w:p w:rsidR="000A7532" w:rsidRPr="00FA5C99" w:rsidRDefault="000A7532"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Why is it important to build a more efficient and equitable local public health system in Massachusetts?</w:t>
      </w:r>
    </w:p>
    <w:p w:rsidR="00362A2E" w:rsidRPr="00FA5C99" w:rsidRDefault="00362A2E" w:rsidP="000A0AB7">
      <w:pPr>
        <w:numPr>
          <w:ilvl w:val="0"/>
          <w:numId w:val="1"/>
        </w:numPr>
        <w:spacing w:line="276" w:lineRule="auto"/>
        <w:ind w:left="1080" w:right="720"/>
        <w:rPr>
          <w:rFonts w:asciiTheme="minorHAnsi" w:hAnsiTheme="minorHAnsi"/>
          <w:sz w:val="24"/>
          <w:shd w:val="clear" w:color="auto" w:fill="FFFFFF"/>
        </w:rPr>
      </w:pPr>
      <w:r w:rsidRPr="00FA5C99">
        <w:rPr>
          <w:rFonts w:asciiTheme="minorHAnsi" w:hAnsiTheme="minorHAnsi"/>
          <w:sz w:val="24"/>
          <w:shd w:val="clear" w:color="auto" w:fill="FFFFFF"/>
        </w:rPr>
        <w:t>How do we make a case for local public health system improvements?</w:t>
      </w:r>
    </w:p>
    <w:p w:rsidR="000A7532" w:rsidRPr="00FA5C99" w:rsidRDefault="000A7532" w:rsidP="002020C1">
      <w:pPr>
        <w:spacing w:line="276" w:lineRule="auto"/>
        <w:rPr>
          <w:rFonts w:asciiTheme="minorHAnsi" w:hAnsiTheme="minorHAnsi" w:cs="Helvetica"/>
          <w:sz w:val="24"/>
          <w:shd w:val="clear" w:color="auto" w:fill="FFFFFF"/>
        </w:rPr>
      </w:pPr>
    </w:p>
    <w:p w:rsidR="00C526E1" w:rsidRPr="00FA5C99" w:rsidRDefault="00362A2E" w:rsidP="002020C1">
      <w:pPr>
        <w:spacing w:line="276" w:lineRule="auto"/>
        <w:rPr>
          <w:rFonts w:asciiTheme="minorHAnsi" w:eastAsia="Times New Roman" w:hAnsiTheme="minorHAnsi" w:cs="Calibri"/>
          <w:spacing w:val="5"/>
          <w:kern w:val="28"/>
          <w:sz w:val="24"/>
        </w:rPr>
      </w:pPr>
      <w:proofErr w:type="gramStart"/>
      <w:r w:rsidRPr="00FA5C99">
        <w:rPr>
          <w:rFonts w:asciiTheme="minorHAnsi" w:eastAsia="Times New Roman" w:hAnsiTheme="minorHAnsi" w:cs="Calibri"/>
          <w:b/>
          <w:spacing w:val="5"/>
          <w:kern w:val="28"/>
          <w:sz w:val="24"/>
        </w:rPr>
        <w:t>Commission</w:t>
      </w:r>
      <w:r w:rsidR="00D75A28">
        <w:rPr>
          <w:rFonts w:asciiTheme="minorHAnsi" w:eastAsia="Times New Roman" w:hAnsiTheme="minorHAnsi" w:cs="Calibri"/>
          <w:b/>
          <w:spacing w:val="5"/>
          <w:kern w:val="28"/>
          <w:sz w:val="24"/>
        </w:rPr>
        <w:t xml:space="preserve"> </w:t>
      </w:r>
      <w:r w:rsidR="00C526E1" w:rsidRPr="00FA5C99">
        <w:rPr>
          <w:rFonts w:asciiTheme="minorHAnsi" w:eastAsia="Times New Roman" w:hAnsiTheme="minorHAnsi" w:cs="Calibri"/>
          <w:b/>
          <w:spacing w:val="5"/>
          <w:kern w:val="28"/>
          <w:sz w:val="24"/>
        </w:rPr>
        <w:t>Meetings.</w:t>
      </w:r>
      <w:proofErr w:type="gramEnd"/>
      <w:r w:rsidR="00C526E1" w:rsidRPr="00FA5C99">
        <w:rPr>
          <w:rFonts w:asciiTheme="minorHAnsi" w:eastAsia="Times New Roman" w:hAnsiTheme="minorHAnsi" w:cs="Calibri"/>
          <w:b/>
          <w:spacing w:val="5"/>
          <w:kern w:val="28"/>
          <w:sz w:val="24"/>
        </w:rPr>
        <w:t xml:space="preserve"> </w:t>
      </w:r>
      <w:r w:rsidR="00B10F5C" w:rsidRPr="00FA5C99">
        <w:rPr>
          <w:rFonts w:asciiTheme="minorHAnsi" w:eastAsia="Times New Roman" w:hAnsiTheme="minorHAnsi" w:cs="Calibri"/>
          <w:spacing w:val="5"/>
          <w:kern w:val="28"/>
          <w:sz w:val="24"/>
        </w:rPr>
        <w:t xml:space="preserve">The Commission has held </w:t>
      </w:r>
      <w:r w:rsidR="00CB5BFA" w:rsidRPr="000C2DBE">
        <w:rPr>
          <w:rFonts w:asciiTheme="minorHAnsi" w:eastAsia="Times New Roman" w:hAnsiTheme="minorHAnsi" w:cs="Calibri"/>
          <w:spacing w:val="5"/>
          <w:kern w:val="28"/>
          <w:sz w:val="24"/>
        </w:rPr>
        <w:t>seven</w:t>
      </w:r>
      <w:r w:rsidR="000A7532" w:rsidRPr="00FA5C99">
        <w:rPr>
          <w:rFonts w:asciiTheme="minorHAnsi" w:eastAsia="Times New Roman" w:hAnsiTheme="minorHAnsi" w:cs="Calibri"/>
          <w:spacing w:val="5"/>
          <w:kern w:val="28"/>
          <w:sz w:val="24"/>
        </w:rPr>
        <w:t xml:space="preserve"> meetings since June 2017</w:t>
      </w:r>
      <w:r w:rsidR="00F229AD">
        <w:rPr>
          <w:rFonts w:asciiTheme="minorHAnsi" w:eastAsia="Times New Roman" w:hAnsiTheme="minorHAnsi" w:cs="Calibri"/>
          <w:spacing w:val="5"/>
          <w:kern w:val="28"/>
          <w:sz w:val="24"/>
        </w:rPr>
        <w:t>. Following are the dates and the focus of the meeting</w:t>
      </w:r>
      <w:r w:rsidR="000A7532" w:rsidRPr="00FA5C99">
        <w:rPr>
          <w:rFonts w:asciiTheme="minorHAnsi" w:eastAsia="Times New Roman" w:hAnsiTheme="minorHAnsi" w:cs="Calibri"/>
          <w:spacing w:val="5"/>
          <w:kern w:val="28"/>
          <w:sz w:val="24"/>
        </w:rPr>
        <w:t>:</w:t>
      </w:r>
      <w:r w:rsidR="00C526E1" w:rsidRPr="00FA5C99">
        <w:rPr>
          <w:rFonts w:asciiTheme="minorHAnsi" w:eastAsia="Times New Roman" w:hAnsiTheme="minorHAnsi" w:cs="Calibri"/>
          <w:spacing w:val="5"/>
          <w:kern w:val="28"/>
          <w:sz w:val="24"/>
        </w:rPr>
        <w:t xml:space="preserve"> </w:t>
      </w:r>
    </w:p>
    <w:p w:rsidR="00C526E1" w:rsidRPr="00FA5C99" w:rsidRDefault="00C526E1" w:rsidP="002020C1">
      <w:pPr>
        <w:spacing w:line="276" w:lineRule="auto"/>
        <w:rPr>
          <w:rFonts w:asciiTheme="minorHAnsi" w:eastAsia="Times New Roman" w:hAnsiTheme="minorHAnsi" w:cs="Calibri"/>
          <w:spacing w:val="5"/>
          <w:kern w:val="28"/>
          <w:sz w:val="24"/>
        </w:rPr>
      </w:pPr>
    </w:p>
    <w:p w:rsidR="00362A2E" w:rsidRPr="003E62B4" w:rsidRDefault="000A7532" w:rsidP="003E62B4">
      <w:pPr>
        <w:pStyle w:val="ListParagraph"/>
        <w:numPr>
          <w:ilvl w:val="0"/>
          <w:numId w:val="50"/>
        </w:numPr>
        <w:spacing w:line="276" w:lineRule="auto"/>
        <w:ind w:right="720"/>
        <w:contextualSpacing/>
        <w:rPr>
          <w:rFonts w:asciiTheme="minorHAnsi" w:eastAsia="Times New Roman" w:hAnsiTheme="minorHAnsi" w:cs="Calibri"/>
          <w:spacing w:val="5"/>
          <w:kern w:val="28"/>
          <w:sz w:val="24"/>
        </w:rPr>
      </w:pPr>
      <w:r w:rsidRPr="003E62B4">
        <w:rPr>
          <w:rFonts w:asciiTheme="minorHAnsi" w:eastAsia="Times New Roman" w:hAnsiTheme="minorHAnsi" w:cs="Calibri"/>
          <w:b/>
          <w:spacing w:val="5"/>
          <w:kern w:val="28"/>
          <w:sz w:val="24"/>
        </w:rPr>
        <w:t>June 2017</w:t>
      </w:r>
      <w:r w:rsidRPr="003E62B4">
        <w:rPr>
          <w:rFonts w:asciiTheme="minorHAnsi" w:eastAsia="Times New Roman" w:hAnsiTheme="minorHAnsi" w:cs="Calibri"/>
          <w:spacing w:val="5"/>
          <w:kern w:val="28"/>
          <w:sz w:val="24"/>
        </w:rPr>
        <w:t xml:space="preserve">: </w:t>
      </w:r>
      <w:r w:rsidR="00C526E1" w:rsidRPr="003E62B4">
        <w:rPr>
          <w:rFonts w:asciiTheme="minorHAnsi" w:eastAsia="Times New Roman" w:hAnsiTheme="minorHAnsi" w:cs="Calibri"/>
          <w:spacing w:val="5"/>
          <w:kern w:val="28"/>
          <w:sz w:val="24"/>
        </w:rPr>
        <w:t>an introduction to local public health in Massachusetts, history/background on the legislation, and a r</w:t>
      </w:r>
      <w:r w:rsidRPr="003E62B4">
        <w:rPr>
          <w:rFonts w:asciiTheme="minorHAnsi" w:eastAsia="Times New Roman" w:hAnsiTheme="minorHAnsi" w:cs="Calibri"/>
          <w:spacing w:val="5"/>
          <w:kern w:val="28"/>
          <w:sz w:val="24"/>
        </w:rPr>
        <w:t>eview of the Commission charge</w:t>
      </w:r>
      <w:r w:rsidR="00651457" w:rsidRPr="003E62B4">
        <w:rPr>
          <w:rFonts w:asciiTheme="minorHAnsi" w:eastAsia="Times New Roman" w:hAnsiTheme="minorHAnsi" w:cs="Calibri"/>
          <w:spacing w:val="5"/>
          <w:kern w:val="28"/>
          <w:sz w:val="24"/>
        </w:rPr>
        <w:t>.</w:t>
      </w:r>
    </w:p>
    <w:p w:rsidR="00362A2E" w:rsidRPr="003E62B4" w:rsidRDefault="000A7532" w:rsidP="003E62B4">
      <w:pPr>
        <w:pStyle w:val="ListParagraph"/>
        <w:numPr>
          <w:ilvl w:val="0"/>
          <w:numId w:val="50"/>
        </w:numPr>
        <w:spacing w:line="276" w:lineRule="auto"/>
        <w:ind w:right="720"/>
        <w:contextualSpacing/>
        <w:rPr>
          <w:rFonts w:asciiTheme="minorHAnsi" w:eastAsia="Times New Roman" w:hAnsiTheme="minorHAnsi" w:cs="Calibri"/>
          <w:spacing w:val="5"/>
          <w:kern w:val="28"/>
          <w:sz w:val="24"/>
        </w:rPr>
      </w:pPr>
      <w:r w:rsidRPr="00FA5C99">
        <w:rPr>
          <w:rFonts w:asciiTheme="minorHAnsi" w:eastAsia="Times New Roman" w:hAnsiTheme="minorHAnsi" w:cs="Calibri"/>
          <w:b/>
          <w:spacing w:val="5"/>
          <w:kern w:val="28"/>
          <w:sz w:val="24"/>
        </w:rPr>
        <w:t>September 2017</w:t>
      </w:r>
      <w:r w:rsidRPr="00FA5C99">
        <w:rPr>
          <w:rFonts w:asciiTheme="minorHAnsi" w:eastAsia="Times New Roman" w:hAnsiTheme="minorHAnsi" w:cs="Calibri"/>
          <w:spacing w:val="5"/>
          <w:kern w:val="28"/>
          <w:sz w:val="24"/>
        </w:rPr>
        <w:t xml:space="preserve">: </w:t>
      </w:r>
      <w:r w:rsidR="00C526E1" w:rsidRPr="00FA5C99">
        <w:rPr>
          <w:rFonts w:asciiTheme="minorHAnsi" w:eastAsia="Times New Roman" w:hAnsiTheme="minorHAnsi" w:cs="Calibri"/>
          <w:spacing w:val="5"/>
          <w:kern w:val="28"/>
          <w:sz w:val="24"/>
        </w:rPr>
        <w:t>information on shared services among local public health aut</w:t>
      </w:r>
      <w:r w:rsidRPr="00FA5C99">
        <w:rPr>
          <w:rFonts w:asciiTheme="minorHAnsi" w:eastAsia="Times New Roman" w:hAnsiTheme="minorHAnsi" w:cs="Calibri"/>
          <w:spacing w:val="5"/>
          <w:kern w:val="28"/>
          <w:sz w:val="24"/>
        </w:rPr>
        <w:t>horities in the United States</w:t>
      </w:r>
    </w:p>
    <w:p w:rsidR="00362A2E" w:rsidRPr="003E62B4" w:rsidRDefault="000A7532" w:rsidP="003E62B4">
      <w:pPr>
        <w:pStyle w:val="ListParagraph"/>
        <w:numPr>
          <w:ilvl w:val="0"/>
          <w:numId w:val="50"/>
        </w:numPr>
        <w:spacing w:line="276" w:lineRule="auto"/>
        <w:ind w:right="720"/>
        <w:contextualSpacing/>
        <w:rPr>
          <w:rFonts w:asciiTheme="minorHAnsi" w:eastAsia="Times New Roman" w:hAnsiTheme="minorHAnsi" w:cs="Calibri"/>
          <w:spacing w:val="5"/>
          <w:kern w:val="28"/>
          <w:sz w:val="24"/>
        </w:rPr>
      </w:pPr>
      <w:r w:rsidRPr="00FA5C99">
        <w:rPr>
          <w:rFonts w:asciiTheme="minorHAnsi" w:eastAsia="Times New Roman" w:hAnsiTheme="minorHAnsi" w:cs="Calibri"/>
          <w:b/>
          <w:spacing w:val="5"/>
          <w:kern w:val="28"/>
          <w:sz w:val="24"/>
        </w:rPr>
        <w:t>November 2017</w:t>
      </w:r>
      <w:r w:rsidRPr="00FA5C99">
        <w:rPr>
          <w:rFonts w:asciiTheme="minorHAnsi" w:eastAsia="Times New Roman" w:hAnsiTheme="minorHAnsi" w:cs="Calibri"/>
          <w:spacing w:val="5"/>
          <w:kern w:val="28"/>
          <w:sz w:val="24"/>
        </w:rPr>
        <w:t xml:space="preserve">: </w:t>
      </w:r>
      <w:r w:rsidR="00C526E1" w:rsidRPr="00FA5C99">
        <w:rPr>
          <w:rFonts w:asciiTheme="minorHAnsi" w:eastAsia="Times New Roman" w:hAnsiTheme="minorHAnsi" w:cs="Calibri"/>
          <w:spacing w:val="5"/>
          <w:kern w:val="28"/>
          <w:sz w:val="24"/>
        </w:rPr>
        <w:t>d</w:t>
      </w:r>
      <w:r w:rsidR="00152912">
        <w:rPr>
          <w:rFonts w:asciiTheme="minorHAnsi" w:eastAsia="Times New Roman" w:hAnsiTheme="minorHAnsi" w:cs="Calibri"/>
          <w:spacing w:val="5"/>
          <w:kern w:val="28"/>
          <w:sz w:val="24"/>
        </w:rPr>
        <w:t>iscussion</w:t>
      </w:r>
      <w:r w:rsidR="00C526E1" w:rsidRPr="00FA5C99">
        <w:rPr>
          <w:rFonts w:asciiTheme="minorHAnsi" w:eastAsia="Times New Roman" w:hAnsiTheme="minorHAnsi" w:cs="Calibri"/>
          <w:spacing w:val="5"/>
          <w:kern w:val="28"/>
          <w:sz w:val="24"/>
        </w:rPr>
        <w:t xml:space="preserve"> </w:t>
      </w:r>
      <w:r w:rsidR="00152912">
        <w:rPr>
          <w:rFonts w:asciiTheme="minorHAnsi" w:eastAsia="Times New Roman" w:hAnsiTheme="minorHAnsi" w:cs="Calibri"/>
          <w:spacing w:val="5"/>
          <w:kern w:val="28"/>
          <w:sz w:val="24"/>
        </w:rPr>
        <w:t>of</w:t>
      </w:r>
      <w:r w:rsidR="00C526E1" w:rsidRPr="00FA5C99">
        <w:rPr>
          <w:rFonts w:asciiTheme="minorHAnsi" w:eastAsia="Times New Roman" w:hAnsiTheme="minorHAnsi" w:cs="Calibri"/>
          <w:spacing w:val="5"/>
          <w:kern w:val="28"/>
          <w:sz w:val="24"/>
        </w:rPr>
        <w:t xml:space="preserve"> a minimum set of local public health services that every Massachusetts resident </w:t>
      </w:r>
      <w:r w:rsidR="00F229AD">
        <w:rPr>
          <w:rFonts w:asciiTheme="minorHAnsi" w:eastAsia="Times New Roman" w:hAnsiTheme="minorHAnsi" w:cs="Calibri"/>
          <w:spacing w:val="5"/>
          <w:kern w:val="28"/>
          <w:sz w:val="24"/>
        </w:rPr>
        <w:t>should</w:t>
      </w:r>
      <w:r w:rsidR="00C526E1" w:rsidRPr="00FA5C99">
        <w:rPr>
          <w:rFonts w:asciiTheme="minorHAnsi" w:eastAsia="Times New Roman" w:hAnsiTheme="minorHAnsi" w:cs="Calibri"/>
          <w:spacing w:val="5"/>
          <w:kern w:val="28"/>
          <w:sz w:val="24"/>
        </w:rPr>
        <w:t xml:space="preserve"> expect and data that makes the case for improvements in </w:t>
      </w:r>
      <w:r w:rsidRPr="00FA5C99">
        <w:rPr>
          <w:rFonts w:asciiTheme="minorHAnsi" w:eastAsia="Times New Roman" w:hAnsiTheme="minorHAnsi" w:cs="Calibri"/>
          <w:spacing w:val="5"/>
          <w:kern w:val="28"/>
          <w:sz w:val="24"/>
        </w:rPr>
        <w:t>the local public health system</w:t>
      </w:r>
    </w:p>
    <w:p w:rsidR="00362A2E" w:rsidRPr="003E62B4" w:rsidRDefault="000A7532" w:rsidP="003E62B4">
      <w:pPr>
        <w:pStyle w:val="ListParagraph"/>
        <w:numPr>
          <w:ilvl w:val="0"/>
          <w:numId w:val="50"/>
        </w:numPr>
        <w:spacing w:after="200" w:line="276" w:lineRule="auto"/>
        <w:ind w:right="720"/>
        <w:contextualSpacing/>
        <w:rPr>
          <w:rFonts w:cs="Calibri"/>
          <w:spacing w:val="5"/>
          <w:kern w:val="28"/>
          <w:sz w:val="24"/>
          <w:szCs w:val="24"/>
        </w:rPr>
      </w:pPr>
      <w:r w:rsidRPr="003E62B4">
        <w:rPr>
          <w:rFonts w:cs="Calibri"/>
          <w:b/>
          <w:spacing w:val="5"/>
          <w:kern w:val="28"/>
          <w:sz w:val="24"/>
          <w:szCs w:val="24"/>
        </w:rPr>
        <w:t>January 2018</w:t>
      </w:r>
      <w:r w:rsidRPr="003E62B4">
        <w:rPr>
          <w:rFonts w:cs="Calibri"/>
          <w:spacing w:val="5"/>
          <w:kern w:val="28"/>
          <w:sz w:val="24"/>
          <w:szCs w:val="24"/>
        </w:rPr>
        <w:t xml:space="preserve">: </w:t>
      </w:r>
      <w:r w:rsidR="00B10F5C" w:rsidRPr="003E62B4">
        <w:rPr>
          <w:rFonts w:cs="Calibri"/>
          <w:spacing w:val="5"/>
          <w:kern w:val="28"/>
          <w:sz w:val="24"/>
          <w:szCs w:val="24"/>
        </w:rPr>
        <w:t>making the case for public health</w:t>
      </w:r>
      <w:r w:rsidR="00F229AD" w:rsidRPr="003E62B4">
        <w:rPr>
          <w:rFonts w:cs="Calibri"/>
          <w:spacing w:val="5"/>
          <w:kern w:val="28"/>
          <w:sz w:val="24"/>
          <w:szCs w:val="24"/>
        </w:rPr>
        <w:t>,</w:t>
      </w:r>
      <w:r w:rsidR="00B10F5C" w:rsidRPr="003E62B4">
        <w:rPr>
          <w:rFonts w:cs="Calibri"/>
          <w:spacing w:val="5"/>
          <w:kern w:val="28"/>
          <w:sz w:val="24"/>
          <w:szCs w:val="24"/>
        </w:rPr>
        <w:t xml:space="preserve"> a review of history and challenges in the Massachusetts Public Health system and a </w:t>
      </w:r>
      <w:r w:rsidRPr="003E62B4">
        <w:rPr>
          <w:rFonts w:cs="Calibri"/>
          <w:spacing w:val="5"/>
          <w:kern w:val="28"/>
          <w:sz w:val="24"/>
          <w:szCs w:val="24"/>
        </w:rPr>
        <w:t>review of the roadmap</w:t>
      </w:r>
    </w:p>
    <w:p w:rsidR="00362A2E" w:rsidRPr="003E62B4" w:rsidRDefault="000A7532" w:rsidP="003E62B4">
      <w:pPr>
        <w:pStyle w:val="ListParagraph"/>
        <w:numPr>
          <w:ilvl w:val="0"/>
          <w:numId w:val="50"/>
        </w:numPr>
        <w:spacing w:after="200" w:line="276" w:lineRule="auto"/>
        <w:ind w:right="720"/>
        <w:contextualSpacing/>
        <w:rPr>
          <w:rFonts w:cs="Calibri"/>
          <w:spacing w:val="5"/>
          <w:kern w:val="28"/>
          <w:sz w:val="24"/>
          <w:szCs w:val="24"/>
        </w:rPr>
      </w:pPr>
      <w:r w:rsidRPr="003E62B4">
        <w:rPr>
          <w:rFonts w:cs="Calibri"/>
          <w:b/>
          <w:spacing w:val="5"/>
          <w:kern w:val="28"/>
          <w:sz w:val="24"/>
          <w:szCs w:val="24"/>
        </w:rPr>
        <w:t xml:space="preserve">February 2018: </w:t>
      </w:r>
      <w:r w:rsidRPr="003E62B4">
        <w:rPr>
          <w:rFonts w:cs="Calibri"/>
          <w:spacing w:val="5"/>
          <w:kern w:val="28"/>
          <w:sz w:val="24"/>
          <w:szCs w:val="24"/>
        </w:rPr>
        <w:t xml:space="preserve">discussion and </w:t>
      </w:r>
      <w:r w:rsidR="00B10F5C" w:rsidRPr="003E62B4">
        <w:rPr>
          <w:rFonts w:cs="Calibri"/>
          <w:spacing w:val="5"/>
          <w:kern w:val="28"/>
          <w:sz w:val="24"/>
          <w:szCs w:val="24"/>
        </w:rPr>
        <w:t>adoption of the Foundational Public Health S</w:t>
      </w:r>
      <w:r w:rsidRPr="003E62B4">
        <w:rPr>
          <w:rFonts w:cs="Calibri"/>
          <w:spacing w:val="5"/>
          <w:kern w:val="28"/>
          <w:sz w:val="24"/>
          <w:szCs w:val="24"/>
        </w:rPr>
        <w:t>ervices as the recommended minimum set of local public health services</w:t>
      </w:r>
    </w:p>
    <w:p w:rsidR="00CB5BFA" w:rsidRPr="003E62B4" w:rsidRDefault="000A7532" w:rsidP="003E62B4">
      <w:pPr>
        <w:pStyle w:val="ListParagraph"/>
        <w:numPr>
          <w:ilvl w:val="0"/>
          <w:numId w:val="50"/>
        </w:numPr>
        <w:spacing w:after="200" w:line="276" w:lineRule="auto"/>
        <w:ind w:right="720"/>
        <w:contextualSpacing/>
        <w:rPr>
          <w:rFonts w:cs="Calibri"/>
          <w:spacing w:val="5"/>
          <w:kern w:val="28"/>
          <w:sz w:val="24"/>
          <w:szCs w:val="24"/>
        </w:rPr>
      </w:pPr>
      <w:r w:rsidRPr="003E62B4">
        <w:rPr>
          <w:rFonts w:cs="Calibri"/>
          <w:b/>
          <w:spacing w:val="5"/>
          <w:kern w:val="28"/>
          <w:sz w:val="24"/>
          <w:szCs w:val="24"/>
        </w:rPr>
        <w:t>April 2018</w:t>
      </w:r>
      <w:r w:rsidRPr="003E62B4">
        <w:rPr>
          <w:rFonts w:cs="Calibri"/>
          <w:spacing w:val="5"/>
          <w:kern w:val="28"/>
          <w:sz w:val="24"/>
          <w:szCs w:val="24"/>
        </w:rPr>
        <w:t xml:space="preserve">: </w:t>
      </w:r>
      <w:r w:rsidR="00EE52FA" w:rsidRPr="003E62B4">
        <w:rPr>
          <w:rFonts w:cs="Calibri"/>
          <w:spacing w:val="5"/>
          <w:kern w:val="28"/>
          <w:sz w:val="24"/>
          <w:szCs w:val="24"/>
        </w:rPr>
        <w:t>subcommittee progress reports</w:t>
      </w:r>
      <w:r w:rsidR="00B10F5C" w:rsidRPr="003E62B4">
        <w:rPr>
          <w:rFonts w:cs="Calibri"/>
          <w:spacing w:val="5"/>
          <w:kern w:val="28"/>
          <w:sz w:val="24"/>
          <w:szCs w:val="24"/>
        </w:rPr>
        <w:t>, review of status report</w:t>
      </w:r>
      <w:r w:rsidR="00EE52FA" w:rsidRPr="003E62B4">
        <w:rPr>
          <w:rFonts w:cs="Calibri"/>
          <w:spacing w:val="5"/>
          <w:kern w:val="28"/>
          <w:sz w:val="24"/>
          <w:szCs w:val="24"/>
        </w:rPr>
        <w:t xml:space="preserve"> outline and content</w:t>
      </w:r>
      <w:r w:rsidR="00B10F5C" w:rsidRPr="003E62B4">
        <w:rPr>
          <w:rFonts w:cs="Calibri"/>
          <w:spacing w:val="5"/>
          <w:kern w:val="28"/>
          <w:sz w:val="24"/>
          <w:szCs w:val="24"/>
        </w:rPr>
        <w:t>, and discussion and planning</w:t>
      </w:r>
      <w:r w:rsidRPr="003E62B4">
        <w:rPr>
          <w:rFonts w:cs="Calibri"/>
          <w:spacing w:val="5"/>
          <w:kern w:val="28"/>
          <w:sz w:val="24"/>
          <w:szCs w:val="24"/>
        </w:rPr>
        <w:t xml:space="preserve"> for listening sessions</w:t>
      </w:r>
    </w:p>
    <w:p w:rsidR="00CB5BFA" w:rsidRPr="003E62B4" w:rsidRDefault="00CB5BFA" w:rsidP="003E62B4">
      <w:pPr>
        <w:pStyle w:val="ListParagraph"/>
        <w:numPr>
          <w:ilvl w:val="0"/>
          <w:numId w:val="50"/>
        </w:numPr>
        <w:spacing w:after="200" w:line="276" w:lineRule="auto"/>
        <w:ind w:right="720"/>
        <w:contextualSpacing/>
        <w:rPr>
          <w:rFonts w:cs="Calibri"/>
          <w:spacing w:val="5"/>
          <w:kern w:val="28"/>
          <w:sz w:val="24"/>
          <w:szCs w:val="24"/>
        </w:rPr>
      </w:pPr>
      <w:r w:rsidRPr="003E62B4">
        <w:rPr>
          <w:rFonts w:cs="Calibri"/>
          <w:b/>
          <w:spacing w:val="5"/>
          <w:kern w:val="28"/>
          <w:sz w:val="24"/>
          <w:szCs w:val="24"/>
        </w:rPr>
        <w:t>May 2018</w:t>
      </w:r>
      <w:r w:rsidR="00C02C95" w:rsidRPr="003E62B4">
        <w:rPr>
          <w:rFonts w:cs="Calibri"/>
          <w:spacing w:val="5"/>
          <w:kern w:val="28"/>
          <w:sz w:val="24"/>
          <w:szCs w:val="24"/>
        </w:rPr>
        <w:t>: review and approval of the</w:t>
      </w:r>
      <w:r w:rsidRPr="003E62B4">
        <w:rPr>
          <w:rFonts w:cs="Calibri"/>
          <w:spacing w:val="5"/>
          <w:kern w:val="28"/>
          <w:sz w:val="24"/>
          <w:szCs w:val="24"/>
        </w:rPr>
        <w:t xml:space="preserve"> status report and discussion of plans for</w:t>
      </w:r>
      <w:r w:rsidR="00C02C95" w:rsidRPr="003E62B4">
        <w:rPr>
          <w:rFonts w:cs="Calibri"/>
          <w:spacing w:val="5"/>
          <w:kern w:val="28"/>
          <w:sz w:val="24"/>
          <w:szCs w:val="24"/>
        </w:rPr>
        <w:t xml:space="preserve"> stakeholder listening sessions</w:t>
      </w:r>
    </w:p>
    <w:p w:rsidR="00152875" w:rsidRPr="00FA5C99" w:rsidRDefault="00297BFF" w:rsidP="002020C1">
      <w:pPr>
        <w:spacing w:line="276" w:lineRule="auto"/>
        <w:rPr>
          <w:rFonts w:asciiTheme="minorHAnsi" w:eastAsia="Times New Roman" w:hAnsiTheme="minorHAnsi" w:cs="Calibri"/>
          <w:spacing w:val="5"/>
          <w:kern w:val="28"/>
          <w:sz w:val="24"/>
        </w:rPr>
      </w:pPr>
      <w:proofErr w:type="gramStart"/>
      <w:r w:rsidRPr="00FA5C99">
        <w:rPr>
          <w:rFonts w:asciiTheme="minorHAnsi" w:eastAsia="Times New Roman" w:hAnsiTheme="minorHAnsi" w:cs="Calibri"/>
          <w:b/>
          <w:spacing w:val="5"/>
          <w:kern w:val="28"/>
          <w:sz w:val="24"/>
        </w:rPr>
        <w:t>Subcommittees</w:t>
      </w:r>
      <w:r w:rsidRPr="00FA5C99">
        <w:rPr>
          <w:rFonts w:asciiTheme="minorHAnsi" w:eastAsia="Times New Roman" w:hAnsiTheme="minorHAnsi" w:cs="Calibri"/>
          <w:b/>
          <w:smallCaps/>
          <w:spacing w:val="5"/>
          <w:kern w:val="28"/>
          <w:sz w:val="24"/>
        </w:rPr>
        <w:t>.</w:t>
      </w:r>
      <w:proofErr w:type="gramEnd"/>
      <w:r w:rsidRPr="00FA5C99">
        <w:rPr>
          <w:rFonts w:asciiTheme="minorHAnsi" w:eastAsia="Times New Roman" w:hAnsiTheme="minorHAnsi" w:cs="Calibri"/>
          <w:b/>
          <w:smallCaps/>
          <w:spacing w:val="5"/>
          <w:kern w:val="28"/>
          <w:sz w:val="24"/>
        </w:rPr>
        <w:t xml:space="preserve"> </w:t>
      </w:r>
      <w:r w:rsidRPr="00FA5C99">
        <w:rPr>
          <w:rFonts w:asciiTheme="minorHAnsi" w:eastAsia="Times New Roman" w:hAnsiTheme="minorHAnsi" w:cs="Calibri"/>
          <w:spacing w:val="5"/>
          <w:kern w:val="28"/>
          <w:sz w:val="24"/>
        </w:rPr>
        <w:t>The Commission has five subcommittees that were created</w:t>
      </w:r>
      <w:r w:rsidR="000838AF" w:rsidRPr="00FA5C99">
        <w:rPr>
          <w:rFonts w:asciiTheme="minorHAnsi" w:eastAsia="Times New Roman" w:hAnsiTheme="minorHAnsi" w:cs="Calibri"/>
          <w:spacing w:val="5"/>
          <w:kern w:val="28"/>
          <w:sz w:val="24"/>
        </w:rPr>
        <w:t>,</w:t>
      </w:r>
      <w:r w:rsidRPr="00FA5C99">
        <w:rPr>
          <w:rFonts w:asciiTheme="minorHAnsi" w:eastAsia="Times New Roman" w:hAnsiTheme="minorHAnsi" w:cs="Calibri"/>
          <w:spacing w:val="5"/>
          <w:kern w:val="28"/>
          <w:sz w:val="24"/>
        </w:rPr>
        <w:t xml:space="preserve"> and to which members were appointed</w:t>
      </w:r>
      <w:r w:rsidR="000838AF" w:rsidRPr="00FA5C99">
        <w:rPr>
          <w:rFonts w:asciiTheme="minorHAnsi" w:eastAsia="Times New Roman" w:hAnsiTheme="minorHAnsi" w:cs="Calibri"/>
          <w:spacing w:val="5"/>
          <w:kern w:val="28"/>
          <w:sz w:val="24"/>
        </w:rPr>
        <w:t>,</w:t>
      </w:r>
      <w:r w:rsidRPr="00FA5C99">
        <w:rPr>
          <w:rFonts w:asciiTheme="minorHAnsi" w:eastAsia="Times New Roman" w:hAnsiTheme="minorHAnsi" w:cs="Calibri"/>
          <w:spacing w:val="5"/>
          <w:kern w:val="28"/>
          <w:sz w:val="24"/>
        </w:rPr>
        <w:t xml:space="preserve"> at the September 2017 meeting: Data, Structure, Standards, Workforce Credentials, and Finance. </w:t>
      </w:r>
      <w:r w:rsidR="00663075" w:rsidRPr="00FA5C99">
        <w:rPr>
          <w:rFonts w:asciiTheme="minorHAnsi" w:eastAsia="Times New Roman" w:hAnsiTheme="minorHAnsi" w:cs="Calibri"/>
          <w:spacing w:val="5"/>
          <w:kern w:val="28"/>
          <w:sz w:val="24"/>
        </w:rPr>
        <w:t>The work of the subcommittees is aligned with the seven elements of the Commission charge.</w:t>
      </w:r>
      <w:r w:rsidR="005F6B90" w:rsidRPr="00FA5C99">
        <w:rPr>
          <w:rFonts w:asciiTheme="minorHAnsi" w:eastAsia="Times New Roman" w:hAnsiTheme="minorHAnsi" w:cs="Calibri"/>
          <w:spacing w:val="5"/>
          <w:kern w:val="28"/>
          <w:sz w:val="24"/>
        </w:rPr>
        <w:t xml:space="preserve"> </w:t>
      </w:r>
      <w:r w:rsidR="00152875" w:rsidRPr="00FA5C99">
        <w:rPr>
          <w:rFonts w:asciiTheme="minorHAnsi" w:eastAsia="Times New Roman" w:hAnsiTheme="minorHAnsi" w:cs="Calibri"/>
          <w:spacing w:val="5"/>
          <w:kern w:val="28"/>
          <w:sz w:val="24"/>
        </w:rPr>
        <w:t xml:space="preserve">Completed and planned meetings of the </w:t>
      </w:r>
      <w:r w:rsidR="00152875" w:rsidRPr="00FA5C99">
        <w:rPr>
          <w:rFonts w:asciiTheme="minorHAnsi" w:eastAsia="Times New Roman" w:hAnsiTheme="minorHAnsi" w:cs="Calibri"/>
          <w:spacing w:val="5"/>
          <w:kern w:val="28"/>
          <w:sz w:val="24"/>
        </w:rPr>
        <w:lastRenderedPageBreak/>
        <w:t>Commission and its subcommitt</w:t>
      </w:r>
      <w:r w:rsidR="00F52FE6" w:rsidRPr="00FA5C99">
        <w:rPr>
          <w:rFonts w:asciiTheme="minorHAnsi" w:eastAsia="Times New Roman" w:hAnsiTheme="minorHAnsi" w:cs="Calibri"/>
          <w:spacing w:val="5"/>
          <w:kern w:val="28"/>
          <w:sz w:val="24"/>
        </w:rPr>
        <w:t>ees are listed in Appendix B</w:t>
      </w:r>
      <w:r w:rsidR="00152875" w:rsidRPr="00FA5C99">
        <w:rPr>
          <w:rFonts w:asciiTheme="minorHAnsi" w:eastAsia="Times New Roman" w:hAnsiTheme="minorHAnsi" w:cs="Calibri"/>
          <w:spacing w:val="5"/>
          <w:kern w:val="28"/>
          <w:sz w:val="24"/>
        </w:rPr>
        <w:t xml:space="preserve">. </w:t>
      </w:r>
      <w:r w:rsidR="000A7532" w:rsidRPr="00FA5C99">
        <w:rPr>
          <w:rFonts w:asciiTheme="minorHAnsi" w:eastAsia="Times New Roman" w:hAnsiTheme="minorHAnsi" w:cs="Calibri"/>
          <w:spacing w:val="5"/>
          <w:kern w:val="28"/>
          <w:sz w:val="24"/>
        </w:rPr>
        <w:t>The subcommit</w:t>
      </w:r>
      <w:r w:rsidR="00152875" w:rsidRPr="00FA5C99">
        <w:rPr>
          <w:rFonts w:asciiTheme="minorHAnsi" w:eastAsia="Times New Roman" w:hAnsiTheme="minorHAnsi" w:cs="Calibri"/>
          <w:spacing w:val="5"/>
          <w:kern w:val="28"/>
          <w:sz w:val="24"/>
        </w:rPr>
        <w:t xml:space="preserve">tees (including a list </w:t>
      </w:r>
      <w:r w:rsidR="00F229AD">
        <w:rPr>
          <w:rFonts w:asciiTheme="minorHAnsi" w:eastAsia="Times New Roman" w:hAnsiTheme="minorHAnsi" w:cs="Calibri"/>
          <w:spacing w:val="5"/>
          <w:kern w:val="28"/>
          <w:sz w:val="24"/>
        </w:rPr>
        <w:t xml:space="preserve">of </w:t>
      </w:r>
      <w:r w:rsidR="00152875" w:rsidRPr="00FA5C99">
        <w:rPr>
          <w:rFonts w:asciiTheme="minorHAnsi" w:eastAsia="Times New Roman" w:hAnsiTheme="minorHAnsi" w:cs="Calibri"/>
          <w:spacing w:val="5"/>
          <w:kern w:val="28"/>
          <w:sz w:val="24"/>
        </w:rPr>
        <w:t>chairpersons and memb</w:t>
      </w:r>
      <w:r w:rsidR="00F52FE6" w:rsidRPr="00FA5C99">
        <w:rPr>
          <w:rFonts w:asciiTheme="minorHAnsi" w:eastAsia="Times New Roman" w:hAnsiTheme="minorHAnsi" w:cs="Calibri"/>
          <w:spacing w:val="5"/>
          <w:kern w:val="28"/>
          <w:sz w:val="24"/>
        </w:rPr>
        <w:t>ers) are described in Appendix C</w:t>
      </w:r>
      <w:r w:rsidR="000A7532" w:rsidRPr="00FA5C99">
        <w:rPr>
          <w:rFonts w:asciiTheme="minorHAnsi" w:eastAsia="Times New Roman" w:hAnsiTheme="minorHAnsi" w:cs="Calibri"/>
          <w:spacing w:val="5"/>
          <w:kern w:val="28"/>
          <w:sz w:val="24"/>
        </w:rPr>
        <w:t xml:space="preserve">. </w:t>
      </w:r>
    </w:p>
    <w:p w:rsidR="000838AF" w:rsidRPr="00FA5C99" w:rsidRDefault="000838AF" w:rsidP="002020C1">
      <w:pPr>
        <w:spacing w:line="276" w:lineRule="auto"/>
        <w:rPr>
          <w:rFonts w:asciiTheme="minorHAnsi" w:eastAsia="Times New Roman" w:hAnsiTheme="minorHAnsi" w:cs="Calibri"/>
          <w:spacing w:val="5"/>
          <w:kern w:val="28"/>
          <w:sz w:val="24"/>
        </w:rPr>
      </w:pPr>
    </w:p>
    <w:p w:rsidR="000838AF" w:rsidRPr="00FA5C99" w:rsidRDefault="000838AF" w:rsidP="002020C1">
      <w:pPr>
        <w:spacing w:line="276" w:lineRule="auto"/>
        <w:rPr>
          <w:rFonts w:asciiTheme="minorHAnsi" w:eastAsia="Times New Roman" w:hAnsiTheme="minorHAnsi" w:cs="Calibri"/>
          <w:spacing w:val="5"/>
          <w:kern w:val="28"/>
          <w:sz w:val="24"/>
        </w:rPr>
      </w:pPr>
      <w:r w:rsidRPr="00FA5C99">
        <w:rPr>
          <w:rFonts w:asciiTheme="minorHAnsi" w:eastAsia="Times New Roman" w:hAnsiTheme="minorHAnsi" w:cs="Calibri"/>
          <w:spacing w:val="5"/>
          <w:kern w:val="28"/>
          <w:sz w:val="24"/>
        </w:rPr>
        <w:t>In aligning the work of the subcommittees to the Commission charge, the Commission has also set priorities among the elements of the charge such that standards, capacity assessment, workforce credentials, and service delivery models and approaches have received greater focus in the first several months of discussion.</w:t>
      </w:r>
    </w:p>
    <w:p w:rsidR="00733829" w:rsidRDefault="00733829" w:rsidP="00A14D58">
      <w:pPr>
        <w:pStyle w:val="Heading1"/>
        <w:rPr>
          <w:rFonts w:eastAsia="Times New Roman"/>
        </w:rPr>
      </w:pPr>
      <w:bookmarkStart w:id="5" w:name="_Toc514334034"/>
      <w:r w:rsidRPr="00733829">
        <w:rPr>
          <w:rFonts w:eastAsia="Times New Roman"/>
        </w:rPr>
        <w:t xml:space="preserve">Progress on </w:t>
      </w:r>
      <w:r w:rsidR="00734D36">
        <w:rPr>
          <w:rFonts w:eastAsia="Times New Roman"/>
        </w:rPr>
        <w:t>Commission Charge</w:t>
      </w:r>
      <w:bookmarkEnd w:id="5"/>
    </w:p>
    <w:p w:rsidR="00A14D58" w:rsidRPr="00A14D58" w:rsidRDefault="00A14D58" w:rsidP="00A14D58"/>
    <w:p w:rsidR="00152875" w:rsidRPr="00FA5C99" w:rsidRDefault="00152875" w:rsidP="00152875">
      <w:pPr>
        <w:spacing w:line="276" w:lineRule="auto"/>
        <w:rPr>
          <w:rFonts w:asciiTheme="minorHAnsi" w:hAnsiTheme="minorHAnsi" w:cs="Calibri"/>
          <w:spacing w:val="5"/>
          <w:kern w:val="28"/>
          <w:sz w:val="24"/>
        </w:rPr>
      </w:pPr>
      <w:r w:rsidRPr="00FA5C99">
        <w:rPr>
          <w:rFonts w:asciiTheme="minorHAnsi" w:eastAsia="Times New Roman" w:hAnsiTheme="minorHAnsi" w:cs="Calibri"/>
          <w:spacing w:val="5"/>
          <w:kern w:val="28"/>
          <w:sz w:val="24"/>
        </w:rPr>
        <w:t xml:space="preserve">A summary of the progress on each element of the Commission charge follows. </w:t>
      </w:r>
      <w:r w:rsidRPr="00FA5C99">
        <w:rPr>
          <w:rFonts w:asciiTheme="minorHAnsi" w:hAnsiTheme="minorHAnsi" w:cs="Calibri"/>
          <w:spacing w:val="5"/>
          <w:kern w:val="28"/>
          <w:sz w:val="24"/>
        </w:rPr>
        <w:t>The summary includes a description of options, if any, that have been considered.</w:t>
      </w:r>
    </w:p>
    <w:p w:rsidR="00152875" w:rsidRPr="002020C1" w:rsidRDefault="00152875" w:rsidP="002020C1">
      <w:pPr>
        <w:spacing w:line="276" w:lineRule="auto"/>
        <w:rPr>
          <w:rFonts w:asciiTheme="minorHAnsi" w:eastAsia="Times New Roman" w:hAnsiTheme="minorHAnsi" w:cs="Calibri"/>
          <w:spacing w:val="5"/>
          <w:kern w:val="28"/>
        </w:rPr>
      </w:pPr>
    </w:p>
    <w:p w:rsidR="00D57296" w:rsidRPr="001D2606" w:rsidRDefault="001D2606" w:rsidP="004F27C0">
      <w:pPr>
        <w:rPr>
          <w:rFonts w:asciiTheme="minorHAnsi" w:hAnsiTheme="minorHAnsi"/>
          <w:b/>
          <w:i/>
          <w:sz w:val="24"/>
          <w:szCs w:val="24"/>
          <w:shd w:val="clear" w:color="auto" w:fill="FFFFFF"/>
        </w:rPr>
      </w:pPr>
      <w:r w:rsidRPr="001D2606">
        <w:rPr>
          <w:rFonts w:asciiTheme="minorHAnsi" w:hAnsiTheme="minorHAnsi" w:cs="Helvetica"/>
          <w:b/>
          <w:noProof/>
          <w:color w:val="548DD4" w:themeColor="text2" w:themeTint="99"/>
          <w:sz w:val="24"/>
          <w:szCs w:val="24"/>
          <w:shd w:val="clear" w:color="auto" w:fill="FFFFFF"/>
        </w:rPr>
        <mc:AlternateContent>
          <mc:Choice Requires="wps">
            <w:drawing>
              <wp:anchor distT="0" distB="0" distL="114300" distR="114300" simplePos="0" relativeHeight="251659264" behindDoc="1" locked="0" layoutInCell="1" allowOverlap="1" wp14:anchorId="3716D82B" wp14:editId="026FCCAE">
                <wp:simplePos x="0" y="0"/>
                <wp:positionH relativeFrom="column">
                  <wp:align>center</wp:align>
                </wp:positionH>
                <wp:positionV relativeFrom="paragraph">
                  <wp:posOffset>0</wp:posOffset>
                </wp:positionV>
                <wp:extent cx="5943600" cy="1403985"/>
                <wp:effectExtent l="0" t="0" r="19050" b="18415"/>
                <wp:wrapTight wrapText="bothSides">
                  <wp:wrapPolygon edited="0">
                    <wp:start x="0" y="0"/>
                    <wp:lineTo x="0" y="21586"/>
                    <wp:lineTo x="21600" y="21586"/>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chemeClr val="tx2"/>
                          </a:solidFill>
                          <a:miter lim="800000"/>
                          <a:headEnd/>
                          <a:tailEnd/>
                        </a:ln>
                      </wps:spPr>
                      <wps:txbx>
                        <w:txbxContent>
                          <w:p w:rsidR="009742A9" w:rsidRPr="000838AF" w:rsidRDefault="009742A9" w:rsidP="000A0AB7">
                            <w:pPr>
                              <w:pStyle w:val="ListParagraph"/>
                              <w:numPr>
                                <w:ilvl w:val="0"/>
                                <w:numId w:val="10"/>
                              </w:numPr>
                              <w:rPr>
                                <w:b/>
                                <w:sz w:val="24"/>
                              </w:rPr>
                            </w:pPr>
                            <w:r w:rsidRPr="000838AF">
                              <w:rPr>
                                <w:b/>
                                <w:sz w:val="24"/>
                              </w:rPr>
                              <w:t>Examine the capacity of local and regional public health authorities in comparison to national public health standards and recommendations from the Centers for Disease Control and Prevention, the Public Health Accreditation Board, the National Association of County and City Health Officials, the National Association of Local Boards of Health, the Association of State and Territorial Health Officials and other relevant organizations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0;width:468pt;height:110.5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" fillcolor="#c6d9f1 [671]" strokecolor="#1f497d [3215]">
                <v:textbox style="mso-fit-shape-to-text:t">
                  <w:txbxContent>
                    <w:p w:rsidR="009742A9" w:rsidRPr="000838AF" w:rsidRDefault="009742A9" w:rsidP="000A0AB7">
                      <w:pPr>
                        <w:pStyle w:val="ListParagraph"/>
                        <w:numPr>
                          <w:ilvl w:val="0"/>
                          <w:numId w:val="10"/>
                        </w:numPr>
                        <w:rPr>
                          <w:b/>
                          <w:sz w:val="24"/>
                        </w:rPr>
                      </w:pPr>
                      <w:r w:rsidRPr="000838AF">
                        <w:rPr>
                          <w:b/>
                          <w:sz w:val="24"/>
                        </w:rPr>
                        <w:t>Examine the capacity of local and regional public health authorities in comparison to national public health standards and recommendations from the Centers for Disease Control and Prevention, the Public Health Accreditation Board, the National Association of County and City Health Officials, the National Association of Local Boards of Health, the Association of State and Territorial Health Officials and other relevant organizations</w:t>
                      </w:r>
                    </w:p>
                  </w:txbxContent>
                </v:textbox>
                <w10:wrap type="tight"/>
              </v:shape>
            </w:pict>
          </mc:Fallback>
        </mc:AlternateContent>
      </w:r>
    </w:p>
    <w:p w:rsidR="00D57296" w:rsidRPr="00287019" w:rsidRDefault="005F6B90" w:rsidP="00287019">
      <w:pPr>
        <w:spacing w:line="276" w:lineRule="auto"/>
        <w:rPr>
          <w:rStyle w:val="Strong"/>
          <w:rFonts w:asciiTheme="minorHAnsi" w:hAnsiTheme="minorHAnsi" w:cstheme="minorHAnsi"/>
          <w:b w:val="0"/>
          <w:sz w:val="24"/>
          <w:bdr w:val="none" w:sz="0" w:space="0" w:color="auto" w:frame="1"/>
        </w:rPr>
      </w:pPr>
      <w:r w:rsidRPr="001D2606">
        <w:rPr>
          <w:rFonts w:asciiTheme="minorHAnsi" w:hAnsiTheme="minorHAnsi" w:cs="Helvetica"/>
          <w:sz w:val="24"/>
          <w:szCs w:val="24"/>
          <w:shd w:val="clear" w:color="auto" w:fill="FFFFFF"/>
        </w:rPr>
        <w:t>National standards for local public health departments have generally been stated in terms of a minimum set of public health services to which every resident can expect to have access in their community. The minimum set of services has evolved from the Core Public Health Functions (Institute of Medicine, 1988)</w:t>
      </w:r>
      <w:r w:rsidR="00E94B65">
        <w:rPr>
          <w:rFonts w:asciiTheme="minorHAnsi" w:hAnsiTheme="minorHAnsi" w:cs="Helvetica"/>
          <w:sz w:val="24"/>
          <w:szCs w:val="24"/>
          <w:shd w:val="clear" w:color="auto" w:fill="FFFFFF"/>
          <w:vertAlign w:val="superscript"/>
        </w:rPr>
        <w:t>10</w:t>
      </w:r>
      <w:r w:rsidRPr="001D2606">
        <w:rPr>
          <w:rFonts w:asciiTheme="minorHAnsi" w:hAnsiTheme="minorHAnsi" w:cs="Helvetica"/>
          <w:sz w:val="24"/>
          <w:szCs w:val="24"/>
          <w:shd w:val="clear" w:color="auto" w:fill="FFFFFF"/>
        </w:rPr>
        <w:t>, Ten Essential Public Health Services (U.S. Centers for Disease Control and Prevention, 1994)</w:t>
      </w:r>
      <w:r w:rsidR="00E94B65">
        <w:rPr>
          <w:rFonts w:asciiTheme="minorHAnsi" w:hAnsiTheme="minorHAnsi" w:cs="Helvetica"/>
          <w:sz w:val="24"/>
          <w:szCs w:val="24"/>
          <w:shd w:val="clear" w:color="auto" w:fill="FFFFFF"/>
          <w:vertAlign w:val="superscript"/>
        </w:rPr>
        <w:t>11</w:t>
      </w:r>
      <w:r w:rsidRPr="001D2606">
        <w:rPr>
          <w:rFonts w:asciiTheme="minorHAnsi" w:hAnsiTheme="minorHAnsi" w:cs="Helvetica"/>
          <w:sz w:val="24"/>
          <w:szCs w:val="24"/>
          <w:shd w:val="clear" w:color="auto" w:fill="FFFFFF"/>
        </w:rPr>
        <w:t>, Operational Definition of a Functional Local Public Health Department (National Association of County and City Health Officials, 2005)</w:t>
      </w:r>
      <w:r w:rsidR="00E94B65">
        <w:rPr>
          <w:rFonts w:asciiTheme="minorHAnsi" w:hAnsiTheme="minorHAnsi" w:cs="Helvetica"/>
          <w:sz w:val="24"/>
          <w:szCs w:val="24"/>
          <w:shd w:val="clear" w:color="auto" w:fill="FFFFFF"/>
          <w:vertAlign w:val="superscript"/>
        </w:rPr>
        <w:t>12</w:t>
      </w:r>
      <w:r w:rsidRPr="001D2606">
        <w:rPr>
          <w:rFonts w:asciiTheme="minorHAnsi" w:hAnsiTheme="minorHAnsi" w:cs="Helvetica"/>
          <w:sz w:val="24"/>
          <w:szCs w:val="24"/>
          <w:shd w:val="clear" w:color="auto" w:fill="FFFFFF"/>
        </w:rPr>
        <w:t xml:space="preserve">, </w:t>
      </w:r>
      <w:r w:rsidR="00287019" w:rsidRPr="001D2606">
        <w:rPr>
          <w:rFonts w:asciiTheme="minorHAnsi" w:hAnsiTheme="minorHAnsi" w:cs="Helvetica"/>
          <w:sz w:val="24"/>
          <w:szCs w:val="24"/>
          <w:shd w:val="clear" w:color="auto" w:fill="FFFFFF"/>
        </w:rPr>
        <w:t>voluntary accreditation standards of the Public Health Accreditation Board (2012)</w:t>
      </w:r>
      <w:r w:rsidR="00E94B65">
        <w:rPr>
          <w:rFonts w:asciiTheme="minorHAnsi" w:hAnsiTheme="minorHAnsi" w:cs="Helvetica"/>
          <w:sz w:val="24"/>
          <w:szCs w:val="24"/>
          <w:shd w:val="clear" w:color="auto" w:fill="FFFFFF"/>
          <w:vertAlign w:val="superscript"/>
        </w:rPr>
        <w:t>13</w:t>
      </w:r>
      <w:r w:rsidR="00287019">
        <w:rPr>
          <w:rFonts w:asciiTheme="minorHAnsi" w:hAnsiTheme="minorHAnsi" w:cs="Helvetica"/>
          <w:sz w:val="24"/>
          <w:szCs w:val="24"/>
          <w:shd w:val="clear" w:color="auto" w:fill="FFFFFF"/>
        </w:rPr>
        <w:t xml:space="preserve">, </w:t>
      </w:r>
      <w:r w:rsidR="00D02023">
        <w:rPr>
          <w:rFonts w:asciiTheme="minorHAnsi" w:hAnsiTheme="minorHAnsi" w:cs="Helvetica"/>
          <w:sz w:val="24"/>
          <w:szCs w:val="24"/>
          <w:shd w:val="clear" w:color="auto" w:fill="FFFFFF"/>
        </w:rPr>
        <w:t xml:space="preserve">and the </w:t>
      </w:r>
      <w:r w:rsidR="00287019">
        <w:rPr>
          <w:rFonts w:asciiTheme="minorHAnsi" w:hAnsiTheme="minorHAnsi" w:cs="Helvetica"/>
          <w:sz w:val="24"/>
          <w:szCs w:val="24"/>
          <w:shd w:val="clear" w:color="auto" w:fill="FFFFFF"/>
        </w:rPr>
        <w:t>Foundational Public Health Services (2013)</w:t>
      </w:r>
      <w:r w:rsidR="00E94B65">
        <w:rPr>
          <w:rFonts w:asciiTheme="minorHAnsi" w:hAnsiTheme="minorHAnsi" w:cs="Helvetica"/>
          <w:sz w:val="24"/>
          <w:szCs w:val="24"/>
          <w:shd w:val="clear" w:color="auto" w:fill="FFFFFF"/>
          <w:vertAlign w:val="superscript"/>
        </w:rPr>
        <w:t>14</w:t>
      </w:r>
      <w:r w:rsidRPr="001D2606">
        <w:rPr>
          <w:rFonts w:asciiTheme="minorHAnsi" w:hAnsiTheme="minorHAnsi" w:cs="Helvetica"/>
          <w:sz w:val="24"/>
          <w:szCs w:val="24"/>
          <w:shd w:val="clear" w:color="auto" w:fill="FFFFFF"/>
        </w:rPr>
        <w:t xml:space="preserve">. The PHAB standards employ the Ten Essential Public Health Services and two additional standards associated with administration and governance. The Foundational Public Health Services has recently </w:t>
      </w:r>
      <w:r w:rsidR="00D57296" w:rsidRPr="001D2606">
        <w:rPr>
          <w:rFonts w:asciiTheme="minorHAnsi" w:hAnsiTheme="minorHAnsi" w:cs="Helvetica"/>
          <w:sz w:val="24"/>
          <w:szCs w:val="24"/>
          <w:shd w:val="clear" w:color="auto" w:fill="FFFFFF"/>
        </w:rPr>
        <w:t xml:space="preserve">been adopted by some state and local public health departments as a framework aligned with the PHAB standards. It defines 1) </w:t>
      </w:r>
      <w:r w:rsidR="00D57296" w:rsidRPr="00287019">
        <w:rPr>
          <w:rStyle w:val="Strong"/>
          <w:rFonts w:asciiTheme="minorHAnsi" w:hAnsiTheme="minorHAnsi" w:cstheme="minorHAnsi"/>
          <w:b w:val="0"/>
          <w:sz w:val="24"/>
          <w:szCs w:val="24"/>
          <w:bdr w:val="none" w:sz="0" w:space="0" w:color="auto" w:frame="1"/>
        </w:rPr>
        <w:t>Foundational Capabilities</w:t>
      </w:r>
      <w:r w:rsidR="00D57296" w:rsidRPr="001D2606">
        <w:rPr>
          <w:rStyle w:val="Strong"/>
          <w:rFonts w:asciiTheme="minorHAnsi" w:hAnsiTheme="minorHAnsi" w:cstheme="minorHAnsi"/>
          <w:sz w:val="24"/>
          <w:szCs w:val="24"/>
          <w:bdr w:val="none" w:sz="0" w:space="0" w:color="auto" w:frame="1"/>
        </w:rPr>
        <w:t xml:space="preserve"> </w:t>
      </w:r>
      <w:r w:rsidR="00D57296" w:rsidRPr="001D2606">
        <w:rPr>
          <w:rStyle w:val="Strong"/>
          <w:rFonts w:asciiTheme="minorHAnsi" w:hAnsiTheme="minorHAnsi" w:cstheme="minorHAnsi"/>
          <w:b w:val="0"/>
          <w:sz w:val="24"/>
          <w:szCs w:val="24"/>
          <w:bdr w:val="none" w:sz="0" w:space="0" w:color="auto" w:frame="1"/>
        </w:rPr>
        <w:t>(</w:t>
      </w:r>
      <w:r w:rsidR="00D57296" w:rsidRPr="00287019">
        <w:rPr>
          <w:rStyle w:val="Strong"/>
          <w:rFonts w:asciiTheme="minorHAnsi" w:hAnsiTheme="minorHAnsi" w:cstheme="minorHAnsi"/>
          <w:b w:val="0"/>
          <w:sz w:val="24"/>
          <w:szCs w:val="24"/>
          <w:bdr w:val="none" w:sz="0" w:space="0" w:color="auto" w:frame="1"/>
        </w:rPr>
        <w:t xml:space="preserve">essential </w:t>
      </w:r>
      <w:r w:rsidR="00D57296" w:rsidRPr="00287019">
        <w:rPr>
          <w:rFonts w:asciiTheme="minorHAnsi" w:hAnsiTheme="minorHAnsi" w:cstheme="minorHAnsi"/>
          <w:sz w:val="24"/>
          <w:szCs w:val="24"/>
          <w:bdr w:val="none" w:sz="0" w:space="0" w:color="auto" w:frame="1"/>
        </w:rPr>
        <w:t>cross-cutting skills) and 2</w:t>
      </w:r>
      <w:r w:rsidR="00D57296" w:rsidRPr="00287019">
        <w:rPr>
          <w:rFonts w:asciiTheme="minorHAnsi" w:hAnsiTheme="minorHAnsi" w:cstheme="minorHAnsi"/>
          <w:b/>
          <w:sz w:val="24"/>
          <w:szCs w:val="24"/>
          <w:bdr w:val="none" w:sz="0" w:space="0" w:color="auto" w:frame="1"/>
        </w:rPr>
        <w:t>)</w:t>
      </w:r>
      <w:r w:rsidR="00287019" w:rsidRPr="00287019">
        <w:rPr>
          <w:rFonts w:asciiTheme="minorHAnsi" w:hAnsiTheme="minorHAnsi" w:cstheme="minorHAnsi"/>
          <w:b/>
          <w:sz w:val="24"/>
          <w:szCs w:val="24"/>
          <w:bdr w:val="none" w:sz="0" w:space="0" w:color="auto" w:frame="1"/>
        </w:rPr>
        <w:t xml:space="preserve"> </w:t>
      </w:r>
      <w:r w:rsidR="00D57296" w:rsidRPr="00287019">
        <w:rPr>
          <w:rStyle w:val="Strong"/>
          <w:rFonts w:asciiTheme="minorHAnsi" w:hAnsiTheme="minorHAnsi" w:cstheme="minorHAnsi"/>
          <w:b w:val="0"/>
          <w:sz w:val="24"/>
          <w:bdr w:val="none" w:sz="0" w:space="0" w:color="auto" w:frame="1"/>
        </w:rPr>
        <w:t>Foundational Areas (subject matter expertise).</w:t>
      </w:r>
      <w:r w:rsidR="00E54584" w:rsidRPr="00287019">
        <w:rPr>
          <w:rStyle w:val="Strong"/>
          <w:rFonts w:asciiTheme="minorHAnsi" w:hAnsiTheme="minorHAnsi" w:cstheme="minorHAnsi"/>
          <w:b w:val="0"/>
          <w:sz w:val="24"/>
          <w:bdr w:val="none" w:sz="0" w:space="0" w:color="auto" w:frame="1"/>
        </w:rPr>
        <w:t xml:space="preserve"> Some states have referred to their public health system improvements </w:t>
      </w:r>
      <w:r w:rsidR="009D0342">
        <w:rPr>
          <w:rStyle w:val="Strong"/>
          <w:rFonts w:asciiTheme="minorHAnsi" w:hAnsiTheme="minorHAnsi" w:cstheme="minorHAnsi"/>
          <w:b w:val="0"/>
          <w:sz w:val="24"/>
          <w:bdr w:val="none" w:sz="0" w:space="0" w:color="auto" w:frame="1"/>
        </w:rPr>
        <w:t>as</w:t>
      </w:r>
      <w:r w:rsidR="006E6136">
        <w:rPr>
          <w:rStyle w:val="Strong"/>
          <w:rFonts w:asciiTheme="minorHAnsi" w:hAnsiTheme="minorHAnsi" w:cstheme="minorHAnsi"/>
          <w:b w:val="0"/>
          <w:sz w:val="24"/>
          <w:bdr w:val="none" w:sz="0" w:space="0" w:color="auto" w:frame="1"/>
        </w:rPr>
        <w:t xml:space="preserve"> “public health modernization</w:t>
      </w:r>
      <w:r w:rsidR="00E54584" w:rsidRPr="00287019">
        <w:rPr>
          <w:rStyle w:val="Strong"/>
          <w:rFonts w:asciiTheme="minorHAnsi" w:hAnsiTheme="minorHAnsi" w:cstheme="minorHAnsi"/>
          <w:b w:val="0"/>
          <w:sz w:val="24"/>
          <w:bdr w:val="none" w:sz="0" w:space="0" w:color="auto" w:frame="1"/>
        </w:rPr>
        <w:t>.</w:t>
      </w:r>
      <w:r w:rsidR="006E6136">
        <w:rPr>
          <w:rStyle w:val="Strong"/>
          <w:rFonts w:asciiTheme="minorHAnsi" w:hAnsiTheme="minorHAnsi" w:cstheme="minorHAnsi"/>
          <w:b w:val="0"/>
          <w:sz w:val="24"/>
          <w:bdr w:val="none" w:sz="0" w:space="0" w:color="auto" w:frame="1"/>
        </w:rPr>
        <w:t>”</w:t>
      </w:r>
      <w:r w:rsidR="00E54584" w:rsidRPr="00287019">
        <w:rPr>
          <w:rStyle w:val="Strong"/>
          <w:rFonts w:asciiTheme="minorHAnsi" w:hAnsiTheme="minorHAnsi" w:cstheme="minorHAnsi"/>
          <w:b w:val="0"/>
          <w:sz w:val="24"/>
          <w:bdr w:val="none" w:sz="0" w:space="0" w:color="auto" w:frame="1"/>
        </w:rPr>
        <w:t xml:space="preserve"> </w:t>
      </w:r>
    </w:p>
    <w:p w:rsidR="00D57296" w:rsidRPr="001D2606" w:rsidRDefault="00D57296" w:rsidP="002020C1">
      <w:pPr>
        <w:pStyle w:val="NormalWeb"/>
        <w:shd w:val="clear" w:color="auto" w:fill="FFFFFF"/>
        <w:spacing w:before="0" w:beforeAutospacing="0" w:after="0" w:afterAutospacing="0" w:line="276" w:lineRule="auto"/>
        <w:textAlignment w:val="baseline"/>
        <w:rPr>
          <w:rStyle w:val="Strong"/>
          <w:rFonts w:asciiTheme="minorHAnsi" w:hAnsiTheme="minorHAnsi" w:cstheme="minorHAnsi"/>
          <w:b w:val="0"/>
          <w:bdr w:val="none" w:sz="0" w:space="0" w:color="auto" w:frame="1"/>
        </w:rPr>
      </w:pPr>
    </w:p>
    <w:p w:rsidR="00D57296" w:rsidRPr="001D2606" w:rsidRDefault="00D57296" w:rsidP="002020C1">
      <w:pPr>
        <w:pStyle w:val="NormalWeb"/>
        <w:shd w:val="clear" w:color="auto" w:fill="FFFFFF"/>
        <w:spacing w:before="0" w:beforeAutospacing="0" w:after="0" w:afterAutospacing="0" w:line="276" w:lineRule="auto"/>
        <w:textAlignment w:val="baseline"/>
        <w:rPr>
          <w:rFonts w:asciiTheme="minorHAnsi" w:hAnsiTheme="minorHAnsi" w:cstheme="minorHAnsi"/>
          <w:b/>
        </w:rPr>
      </w:pPr>
      <w:r w:rsidRPr="001D2606">
        <w:rPr>
          <w:rStyle w:val="Strong"/>
          <w:rFonts w:asciiTheme="minorHAnsi" w:hAnsiTheme="minorHAnsi" w:cstheme="minorHAnsi"/>
          <w:b w:val="0"/>
          <w:bdr w:val="none" w:sz="0" w:space="0" w:color="auto" w:frame="1"/>
        </w:rPr>
        <w:t xml:space="preserve">Unlike some other states, Massachusetts has not adopted national standards. The minimum set of local public health services that every Massachusetts resident can expect from their local public health department is defined as those duties and responsibilities of local boards of </w:t>
      </w:r>
      <w:r w:rsidRPr="001D2606">
        <w:rPr>
          <w:rStyle w:val="Strong"/>
          <w:rFonts w:asciiTheme="minorHAnsi" w:hAnsiTheme="minorHAnsi" w:cstheme="minorHAnsi"/>
          <w:b w:val="0"/>
          <w:bdr w:val="none" w:sz="0" w:space="0" w:color="auto" w:frame="1"/>
        </w:rPr>
        <w:lastRenderedPageBreak/>
        <w:t>health embodied in statute and regulation</w:t>
      </w:r>
      <w:r w:rsidR="00FB6C3E" w:rsidRPr="001D2606">
        <w:rPr>
          <w:rStyle w:val="Strong"/>
          <w:rFonts w:asciiTheme="minorHAnsi" w:hAnsiTheme="minorHAnsi" w:cstheme="minorHAnsi"/>
          <w:b w:val="0"/>
          <w:bdr w:val="none" w:sz="0" w:space="0" w:color="auto" w:frame="1"/>
        </w:rPr>
        <w:t>s</w:t>
      </w:r>
      <w:r w:rsidRPr="001D2606">
        <w:rPr>
          <w:rStyle w:val="Strong"/>
          <w:rFonts w:asciiTheme="minorHAnsi" w:hAnsiTheme="minorHAnsi" w:cstheme="minorHAnsi"/>
          <w:b w:val="0"/>
          <w:bdr w:val="none" w:sz="0" w:space="0" w:color="auto" w:frame="1"/>
        </w:rPr>
        <w:t xml:space="preserve">. The set of services required by statute and regulations is far less than the Ten Essential Public Health Services; many communities (particularly small towns) lack the capacity to provide this minimum set of services (based upon surveys conducted within the past </w:t>
      </w:r>
      <w:r w:rsidR="00287019">
        <w:rPr>
          <w:rStyle w:val="Strong"/>
          <w:rFonts w:asciiTheme="minorHAnsi" w:hAnsiTheme="minorHAnsi" w:cstheme="minorHAnsi"/>
          <w:b w:val="0"/>
          <w:bdr w:val="none" w:sz="0" w:space="0" w:color="auto" w:frame="1"/>
        </w:rPr>
        <w:t>15 years</w:t>
      </w:r>
      <w:r w:rsidRPr="001D2606">
        <w:rPr>
          <w:rStyle w:val="Strong"/>
          <w:rFonts w:asciiTheme="minorHAnsi" w:hAnsiTheme="minorHAnsi" w:cstheme="minorHAnsi"/>
          <w:b w:val="0"/>
          <w:bdr w:val="none" w:sz="0" w:space="0" w:color="auto" w:frame="1"/>
        </w:rPr>
        <w:t>)</w:t>
      </w:r>
      <w:r w:rsidR="00FB6C3E" w:rsidRPr="001D2606">
        <w:rPr>
          <w:rStyle w:val="Strong"/>
          <w:rFonts w:asciiTheme="minorHAnsi" w:hAnsiTheme="minorHAnsi" w:cstheme="minorHAnsi"/>
          <w:b w:val="0"/>
          <w:bdr w:val="none" w:sz="0" w:space="0" w:color="auto" w:frame="1"/>
        </w:rPr>
        <w:t xml:space="preserve">. </w:t>
      </w:r>
    </w:p>
    <w:p w:rsidR="00D57296" w:rsidRPr="001D2606" w:rsidRDefault="00D57296" w:rsidP="002020C1">
      <w:pPr>
        <w:spacing w:line="276" w:lineRule="auto"/>
        <w:rPr>
          <w:rFonts w:asciiTheme="minorHAnsi" w:hAnsiTheme="minorHAnsi" w:cs="Helvetica"/>
          <w:sz w:val="24"/>
          <w:szCs w:val="24"/>
          <w:shd w:val="clear" w:color="auto" w:fill="FFFFFF"/>
        </w:rPr>
      </w:pPr>
    </w:p>
    <w:p w:rsidR="00FB6C3E" w:rsidRPr="001D2606" w:rsidRDefault="00FB6C3E" w:rsidP="002020C1">
      <w:pPr>
        <w:spacing w:line="276" w:lineRule="auto"/>
        <w:rPr>
          <w:rFonts w:asciiTheme="minorHAnsi" w:hAnsiTheme="minorHAnsi" w:cs="Helvetica"/>
          <w:sz w:val="24"/>
          <w:szCs w:val="24"/>
          <w:shd w:val="clear" w:color="auto" w:fill="FFFFFF"/>
        </w:rPr>
      </w:pPr>
      <w:r w:rsidRPr="001D2606">
        <w:rPr>
          <w:rFonts w:asciiTheme="minorHAnsi" w:hAnsiTheme="minorHAnsi" w:cs="Helvetica"/>
          <w:sz w:val="24"/>
          <w:szCs w:val="24"/>
          <w:shd w:val="clear" w:color="auto" w:fill="FFFFFF"/>
        </w:rPr>
        <w:t>The Standards Subcommittee has reviewed the experience of other states in adopting national standards for local public health departments. For example, Ohio requires that each of its local public health departments achieve PHAB accreditation as a condition of state funding. Other states (Washington, Oregon, Colorado, North Carolina, Texas, North Dakota, and Kentucky) have adopted the Foundational Public Health Services framework for their state and local public health departments.</w:t>
      </w:r>
    </w:p>
    <w:p w:rsidR="00FB6C3E" w:rsidRPr="001D2606" w:rsidRDefault="00FB6C3E" w:rsidP="002020C1">
      <w:pPr>
        <w:spacing w:line="276" w:lineRule="auto"/>
        <w:rPr>
          <w:rFonts w:asciiTheme="minorHAnsi" w:hAnsiTheme="minorHAnsi" w:cs="Helvetica"/>
          <w:sz w:val="24"/>
          <w:szCs w:val="24"/>
          <w:shd w:val="clear" w:color="auto" w:fill="FFFFFF"/>
        </w:rPr>
      </w:pPr>
    </w:p>
    <w:p w:rsidR="00FA5C99" w:rsidRDefault="00FB6C3E" w:rsidP="002020C1">
      <w:pPr>
        <w:spacing w:line="276" w:lineRule="auto"/>
        <w:rPr>
          <w:rFonts w:asciiTheme="minorHAnsi" w:hAnsiTheme="minorHAnsi" w:cs="Helvetica"/>
          <w:sz w:val="24"/>
          <w:szCs w:val="24"/>
          <w:shd w:val="clear" w:color="auto" w:fill="FFFFFF"/>
        </w:rPr>
      </w:pPr>
      <w:r w:rsidRPr="001D2606">
        <w:rPr>
          <w:rFonts w:asciiTheme="minorHAnsi" w:hAnsiTheme="minorHAnsi" w:cs="Helvetica"/>
          <w:sz w:val="24"/>
          <w:szCs w:val="24"/>
          <w:shd w:val="clear" w:color="auto" w:fill="FFFFFF"/>
        </w:rPr>
        <w:t xml:space="preserve">The subcommittee has reviewed the Foundational Public Health Services </w:t>
      </w:r>
      <w:r w:rsidR="00B47EFC">
        <w:rPr>
          <w:rFonts w:asciiTheme="minorHAnsi" w:hAnsiTheme="minorHAnsi" w:cs="Helvetica"/>
          <w:sz w:val="24"/>
          <w:szCs w:val="24"/>
          <w:shd w:val="clear" w:color="auto" w:fill="FFFFFF"/>
        </w:rPr>
        <w:t xml:space="preserve">(FPHS) </w:t>
      </w:r>
      <w:r w:rsidRPr="001D2606">
        <w:rPr>
          <w:rFonts w:asciiTheme="minorHAnsi" w:hAnsiTheme="minorHAnsi" w:cs="Helvetica"/>
          <w:sz w:val="24"/>
          <w:szCs w:val="24"/>
          <w:shd w:val="clear" w:color="auto" w:fill="FFFFFF"/>
        </w:rPr>
        <w:t>framework as a possible approach in Massachusetts</w:t>
      </w:r>
      <w:r w:rsidR="003F1D59">
        <w:rPr>
          <w:rFonts w:asciiTheme="minorHAnsi" w:hAnsiTheme="minorHAnsi" w:cs="Helvetica"/>
          <w:sz w:val="24"/>
          <w:szCs w:val="24"/>
          <w:shd w:val="clear" w:color="auto" w:fill="FFFFFF"/>
        </w:rPr>
        <w:t xml:space="preserve"> (see page 7 for </w:t>
      </w:r>
      <w:r w:rsidR="00B47EFC">
        <w:rPr>
          <w:rFonts w:asciiTheme="minorHAnsi" w:hAnsiTheme="minorHAnsi" w:cs="Helvetica"/>
          <w:sz w:val="24"/>
          <w:szCs w:val="24"/>
          <w:shd w:val="clear" w:color="auto" w:fill="FFFFFF"/>
        </w:rPr>
        <w:t>more information about FPHS)</w:t>
      </w:r>
      <w:r w:rsidRPr="001D2606">
        <w:rPr>
          <w:rFonts w:asciiTheme="minorHAnsi" w:hAnsiTheme="minorHAnsi" w:cs="Helvetica"/>
          <w:sz w:val="24"/>
          <w:szCs w:val="24"/>
          <w:shd w:val="clear" w:color="auto" w:fill="FFFFFF"/>
        </w:rPr>
        <w:t xml:space="preserve">. </w:t>
      </w:r>
      <w:r w:rsidR="00287019">
        <w:rPr>
          <w:rFonts w:asciiTheme="minorHAnsi" w:hAnsiTheme="minorHAnsi" w:cs="Helvetica"/>
          <w:sz w:val="24"/>
          <w:szCs w:val="24"/>
          <w:shd w:val="clear" w:color="auto" w:fill="FFFFFF"/>
        </w:rPr>
        <w:t xml:space="preserve">The Commission accepted the proposal of the Standards Subcommittee that the Commission recommend Foundational Public Health Services as the minimum set of local public health services. </w:t>
      </w:r>
    </w:p>
    <w:p w:rsidR="00FA5C99" w:rsidRDefault="00FA5C99" w:rsidP="002020C1">
      <w:pPr>
        <w:spacing w:line="276" w:lineRule="auto"/>
        <w:rPr>
          <w:rFonts w:asciiTheme="minorHAnsi" w:hAnsiTheme="minorHAnsi" w:cs="Helvetica"/>
          <w:sz w:val="24"/>
          <w:szCs w:val="24"/>
          <w:shd w:val="clear" w:color="auto" w:fill="FFFFFF"/>
        </w:rPr>
      </w:pPr>
    </w:p>
    <w:p w:rsidR="00287019" w:rsidRDefault="00287019" w:rsidP="002020C1">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The </w:t>
      </w:r>
      <w:r w:rsidR="00FA5C99">
        <w:rPr>
          <w:rFonts w:asciiTheme="minorHAnsi" w:hAnsiTheme="minorHAnsi" w:cs="Helvetica"/>
          <w:sz w:val="24"/>
          <w:szCs w:val="24"/>
          <w:shd w:val="clear" w:color="auto" w:fill="FFFFFF"/>
        </w:rPr>
        <w:t>Standards S</w:t>
      </w:r>
      <w:r>
        <w:rPr>
          <w:rFonts w:asciiTheme="minorHAnsi" w:hAnsiTheme="minorHAnsi" w:cs="Helvetica"/>
          <w:sz w:val="24"/>
          <w:szCs w:val="24"/>
          <w:shd w:val="clear" w:color="auto" w:fill="FFFFFF"/>
        </w:rPr>
        <w:t>ubcommittee is pursuing the following strategies in support of that recommendation:</w:t>
      </w:r>
    </w:p>
    <w:p w:rsidR="00287019" w:rsidRDefault="00287019" w:rsidP="002020C1">
      <w:pPr>
        <w:spacing w:line="276" w:lineRule="auto"/>
        <w:rPr>
          <w:rFonts w:asciiTheme="minorHAnsi" w:hAnsiTheme="minorHAnsi" w:cs="Helvetica"/>
          <w:sz w:val="24"/>
          <w:szCs w:val="24"/>
          <w:shd w:val="clear" w:color="auto" w:fill="FFFFFF"/>
        </w:rPr>
      </w:pPr>
    </w:p>
    <w:p w:rsidR="00287019" w:rsidRDefault="00287019" w:rsidP="000A0AB7">
      <w:pPr>
        <w:pStyle w:val="ListParagraph"/>
        <w:numPr>
          <w:ilvl w:val="0"/>
          <w:numId w:val="17"/>
        </w:num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Create a cross-walk between Foundational Public Health Services and existing statutes and regulations to identify areas where changes in statute or regulation are required</w:t>
      </w:r>
      <w:r w:rsidR="00F44758">
        <w:rPr>
          <w:rFonts w:asciiTheme="minorHAnsi" w:hAnsiTheme="minorHAnsi" w:cs="Helvetica"/>
          <w:sz w:val="24"/>
          <w:szCs w:val="24"/>
          <w:shd w:val="clear" w:color="auto" w:fill="FFFFFF"/>
        </w:rPr>
        <w:t>;</w:t>
      </w:r>
    </w:p>
    <w:p w:rsidR="00287019" w:rsidRDefault="00287019" w:rsidP="000A0AB7">
      <w:pPr>
        <w:pStyle w:val="ListParagraph"/>
        <w:numPr>
          <w:ilvl w:val="0"/>
          <w:numId w:val="17"/>
        </w:num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Determine which of the services are provided by agencies or organizations other than local government</w:t>
      </w:r>
      <w:r w:rsidR="00F44758">
        <w:rPr>
          <w:rFonts w:asciiTheme="minorHAnsi" w:hAnsiTheme="minorHAnsi" w:cs="Helvetica"/>
          <w:sz w:val="24"/>
          <w:szCs w:val="24"/>
          <w:shd w:val="clear" w:color="auto" w:fill="FFFFFF"/>
        </w:rPr>
        <w:t>; and</w:t>
      </w:r>
    </w:p>
    <w:p w:rsidR="00287019" w:rsidRPr="00287019" w:rsidRDefault="00203B9A" w:rsidP="000A0AB7">
      <w:pPr>
        <w:pStyle w:val="ListParagraph"/>
        <w:numPr>
          <w:ilvl w:val="0"/>
          <w:numId w:val="17"/>
        </w:num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Explore the availability of </w:t>
      </w:r>
      <w:r w:rsidR="00F44758">
        <w:rPr>
          <w:rFonts w:asciiTheme="minorHAnsi" w:hAnsiTheme="minorHAnsi" w:cs="Helvetica"/>
          <w:sz w:val="24"/>
          <w:szCs w:val="24"/>
          <w:shd w:val="clear" w:color="auto" w:fill="FFFFFF"/>
        </w:rPr>
        <w:t xml:space="preserve">private </w:t>
      </w:r>
      <w:r>
        <w:rPr>
          <w:rFonts w:asciiTheme="minorHAnsi" w:hAnsiTheme="minorHAnsi" w:cs="Helvetica"/>
          <w:sz w:val="24"/>
          <w:szCs w:val="24"/>
          <w:shd w:val="clear" w:color="auto" w:fill="FFFFFF"/>
        </w:rPr>
        <w:t>foundation funding to facilitate implementation of the Foundational Public Health Services in Massachusetts.</w:t>
      </w:r>
    </w:p>
    <w:p w:rsidR="002111C4" w:rsidRDefault="0037097F" w:rsidP="002111C4">
      <w:pPr>
        <w:rPr>
          <w:rFonts w:cs="Arial"/>
          <w:color w:val="222222"/>
        </w:rPr>
      </w:pPr>
      <w:r w:rsidRPr="001D2606">
        <w:rPr>
          <w:rFonts w:asciiTheme="minorHAnsi" w:hAnsiTheme="minorHAnsi" w:cs="Helvetica"/>
          <w:b/>
          <w:noProof/>
          <w:color w:val="548DD4" w:themeColor="text2" w:themeTint="99"/>
          <w:sz w:val="24"/>
          <w:szCs w:val="24"/>
          <w:shd w:val="clear" w:color="auto" w:fill="FFFFFF"/>
        </w:rPr>
        <mc:AlternateContent>
          <mc:Choice Requires="wps">
            <w:drawing>
              <wp:anchor distT="0" distB="0" distL="114300" distR="114300" simplePos="0" relativeHeight="251661312" behindDoc="1" locked="0" layoutInCell="1" allowOverlap="1" wp14:anchorId="160BE7A3" wp14:editId="61C20313">
                <wp:simplePos x="0" y="0"/>
                <wp:positionH relativeFrom="column">
                  <wp:posOffset>-19685</wp:posOffset>
                </wp:positionH>
                <wp:positionV relativeFrom="paragraph">
                  <wp:posOffset>310515</wp:posOffset>
                </wp:positionV>
                <wp:extent cx="5943600" cy="140398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chemeClr val="tx2"/>
                          </a:solidFill>
                          <a:miter lim="800000"/>
                          <a:headEnd/>
                          <a:tailEnd/>
                        </a:ln>
                      </wps:spPr>
                      <wps:txbx>
                        <w:txbxContent>
                          <w:p w:rsidR="009742A9" w:rsidRPr="00287019" w:rsidRDefault="009742A9" w:rsidP="000A0AB7">
                            <w:pPr>
                              <w:pStyle w:val="ListParagraph"/>
                              <w:numPr>
                                <w:ilvl w:val="0"/>
                                <w:numId w:val="16"/>
                              </w:numPr>
                              <w:rPr>
                                <w:b/>
                                <w:sz w:val="24"/>
                              </w:rPr>
                            </w:pPr>
                            <w:r w:rsidRPr="00287019">
                              <w:rPr>
                                <w:b/>
                                <w:sz w:val="24"/>
                              </w:rPr>
                              <w:t>Assess the capacity of local public health authorities to carry out their statutory powers and duties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55pt;margin-top:24.45pt;width:468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" fillcolor="#c6d9f1 [671]" strokecolor="#1f497d [3215]">
                <v:textbox style="mso-fit-shape-to-text:t">
                  <w:txbxContent>
                    <w:p w:rsidR="009742A9" w:rsidRPr="00287019" w:rsidRDefault="009742A9" w:rsidP="000A0AB7">
                      <w:pPr>
                        <w:pStyle w:val="ListParagraph"/>
                        <w:numPr>
                          <w:ilvl w:val="0"/>
                          <w:numId w:val="16"/>
                        </w:numPr>
                        <w:rPr>
                          <w:b/>
                          <w:sz w:val="24"/>
                        </w:rPr>
                      </w:pPr>
                      <w:r w:rsidRPr="00287019">
                        <w:rPr>
                          <w:b/>
                          <w:sz w:val="24"/>
                        </w:rPr>
                        <w:t>Assess the capacity of local public health authorities to carry out their statutory powers and duties</w:t>
                      </w:r>
                    </w:p>
                  </w:txbxContent>
                </v:textbox>
                <w10:wrap type="tight"/>
              </v:shape>
            </w:pict>
          </mc:Fallback>
        </mc:AlternateContent>
      </w:r>
    </w:p>
    <w:p w:rsidR="00D90F22" w:rsidRDefault="00D90F22" w:rsidP="002111C4">
      <w:pPr>
        <w:rPr>
          <w:sz w:val="24"/>
        </w:rPr>
      </w:pPr>
    </w:p>
    <w:p w:rsidR="002111C4" w:rsidRPr="00FA5C99" w:rsidRDefault="002111C4" w:rsidP="006E6136">
      <w:pPr>
        <w:spacing w:line="276" w:lineRule="auto"/>
        <w:rPr>
          <w:sz w:val="24"/>
        </w:rPr>
      </w:pPr>
      <w:r w:rsidRPr="00FA5C99">
        <w:rPr>
          <w:sz w:val="24"/>
        </w:rPr>
        <w:t>In</w:t>
      </w:r>
      <w:r w:rsidR="00203B9A" w:rsidRPr="00FA5C99">
        <w:rPr>
          <w:sz w:val="24"/>
        </w:rPr>
        <w:t xml:space="preserve"> Massachusetts,</w:t>
      </w:r>
      <w:r w:rsidRPr="00FA5C99">
        <w:rPr>
          <w:sz w:val="24"/>
        </w:rPr>
        <w:t xml:space="preserve"> there are </w:t>
      </w:r>
      <w:r w:rsidR="00D013EC">
        <w:rPr>
          <w:sz w:val="24"/>
        </w:rPr>
        <w:t xml:space="preserve">differences </w:t>
      </w:r>
      <w:r w:rsidR="00203B9A" w:rsidRPr="00FA5C99">
        <w:rPr>
          <w:sz w:val="24"/>
        </w:rPr>
        <w:t xml:space="preserve">among </w:t>
      </w:r>
      <w:r w:rsidRPr="00FA5C99">
        <w:rPr>
          <w:sz w:val="24"/>
        </w:rPr>
        <w:t>communities in terms of local publi</w:t>
      </w:r>
      <w:r w:rsidR="000F1730" w:rsidRPr="00FA5C99">
        <w:rPr>
          <w:sz w:val="24"/>
        </w:rPr>
        <w:t xml:space="preserve">c health staffing and resources. </w:t>
      </w:r>
      <w:r w:rsidR="002E25D5" w:rsidRPr="000C2DBE">
        <w:rPr>
          <w:sz w:val="24"/>
        </w:rPr>
        <w:t xml:space="preserve">This section of the status report addresses functional capacity to carry out statutory powers and </w:t>
      </w:r>
      <w:r w:rsidR="00C02C95" w:rsidRPr="000C2DBE">
        <w:rPr>
          <w:sz w:val="24"/>
        </w:rPr>
        <w:t>du</w:t>
      </w:r>
      <w:r w:rsidR="002E25D5" w:rsidRPr="000C2DBE">
        <w:rPr>
          <w:sz w:val="24"/>
        </w:rPr>
        <w:t>ties. Capacity in terms of workforce qualifications is address</w:t>
      </w:r>
      <w:r w:rsidR="00C02C95" w:rsidRPr="000C2DBE">
        <w:rPr>
          <w:sz w:val="24"/>
        </w:rPr>
        <w:t>ed</w:t>
      </w:r>
      <w:r w:rsidR="002E25D5" w:rsidRPr="000C2DBE">
        <w:rPr>
          <w:sz w:val="24"/>
        </w:rPr>
        <w:t xml:space="preserve"> in</w:t>
      </w:r>
      <w:r w:rsidR="00C02C95" w:rsidRPr="000C2DBE">
        <w:rPr>
          <w:sz w:val="24"/>
        </w:rPr>
        <w:t xml:space="preserve"> charge</w:t>
      </w:r>
      <w:r w:rsidR="002E25D5" w:rsidRPr="000C2DBE">
        <w:rPr>
          <w:sz w:val="24"/>
        </w:rPr>
        <w:t xml:space="preserve"> #4 on page 17.</w:t>
      </w:r>
      <w:r w:rsidR="002E25D5">
        <w:rPr>
          <w:sz w:val="24"/>
        </w:rPr>
        <w:t xml:space="preserve"> </w:t>
      </w:r>
      <w:r w:rsidR="000F1730" w:rsidRPr="00FA5C99">
        <w:rPr>
          <w:sz w:val="24"/>
        </w:rPr>
        <w:t xml:space="preserve">These </w:t>
      </w:r>
      <w:r w:rsidR="00D013EC">
        <w:rPr>
          <w:sz w:val="24"/>
        </w:rPr>
        <w:t xml:space="preserve">differences </w:t>
      </w:r>
      <w:r w:rsidRPr="00FA5C99">
        <w:rPr>
          <w:sz w:val="24"/>
        </w:rPr>
        <w:t xml:space="preserve">affect </w:t>
      </w:r>
      <w:r w:rsidR="00203B9A" w:rsidRPr="00FA5C99">
        <w:rPr>
          <w:sz w:val="24"/>
        </w:rPr>
        <w:t>t</w:t>
      </w:r>
      <w:r w:rsidR="00EA5C7E" w:rsidRPr="00FA5C99">
        <w:rPr>
          <w:sz w:val="24"/>
        </w:rPr>
        <w:t>h</w:t>
      </w:r>
      <w:r w:rsidR="00203B9A" w:rsidRPr="00FA5C99">
        <w:rPr>
          <w:sz w:val="24"/>
        </w:rPr>
        <w:t xml:space="preserve">e capacity of </w:t>
      </w:r>
      <w:r w:rsidRPr="00FA5C99">
        <w:rPr>
          <w:sz w:val="24"/>
        </w:rPr>
        <w:t>local public health</w:t>
      </w:r>
      <w:r w:rsidR="00203B9A" w:rsidRPr="00FA5C99">
        <w:rPr>
          <w:sz w:val="24"/>
        </w:rPr>
        <w:t xml:space="preserve"> authorities </w:t>
      </w:r>
      <w:r w:rsidRPr="00FA5C99">
        <w:rPr>
          <w:sz w:val="24"/>
        </w:rPr>
        <w:t xml:space="preserve">to offer </w:t>
      </w:r>
      <w:r w:rsidR="000F1730" w:rsidRPr="00FA5C99">
        <w:rPr>
          <w:sz w:val="24"/>
        </w:rPr>
        <w:t xml:space="preserve">complete </w:t>
      </w:r>
      <w:r w:rsidRPr="00FA5C99">
        <w:rPr>
          <w:sz w:val="24"/>
        </w:rPr>
        <w:t>protections to all residents</w:t>
      </w:r>
      <w:r w:rsidR="000F1730" w:rsidRPr="00FA5C99">
        <w:rPr>
          <w:sz w:val="24"/>
        </w:rPr>
        <w:t xml:space="preserve">. </w:t>
      </w:r>
      <w:r w:rsidR="00EA5C7E" w:rsidRPr="00FA5C99">
        <w:rPr>
          <w:sz w:val="24"/>
        </w:rPr>
        <w:t xml:space="preserve">Many of these </w:t>
      </w:r>
      <w:r w:rsidR="00D013EC">
        <w:rPr>
          <w:sz w:val="24"/>
        </w:rPr>
        <w:t xml:space="preserve">differences </w:t>
      </w:r>
      <w:r w:rsidR="00EA5C7E" w:rsidRPr="00FA5C99">
        <w:rPr>
          <w:sz w:val="24"/>
        </w:rPr>
        <w:t xml:space="preserve">are documented in the 2003 </w:t>
      </w:r>
      <w:r w:rsidR="00203B9A" w:rsidRPr="00FA5C99">
        <w:rPr>
          <w:sz w:val="24"/>
        </w:rPr>
        <w:t>study</w:t>
      </w:r>
      <w:r w:rsidR="00E94B65">
        <w:rPr>
          <w:sz w:val="24"/>
          <w:vertAlign w:val="superscript"/>
        </w:rPr>
        <w:t>15</w:t>
      </w:r>
      <w:r w:rsidR="00EF556A">
        <w:rPr>
          <w:sz w:val="24"/>
        </w:rPr>
        <w:t xml:space="preserve"> </w:t>
      </w:r>
      <w:r w:rsidR="00EA5C7E" w:rsidRPr="00FA5C99">
        <w:rPr>
          <w:sz w:val="24"/>
        </w:rPr>
        <w:t xml:space="preserve">for </w:t>
      </w:r>
      <w:r w:rsidR="00203B9A" w:rsidRPr="00FA5C99">
        <w:rPr>
          <w:sz w:val="24"/>
        </w:rPr>
        <w:t>the Massachusetts</w:t>
      </w:r>
      <w:r w:rsidRPr="00FA5C99">
        <w:rPr>
          <w:sz w:val="24"/>
        </w:rPr>
        <w:t xml:space="preserve"> Coalition for Local Public Health, </w:t>
      </w:r>
      <w:r w:rsidRPr="00FA5C99">
        <w:rPr>
          <w:i/>
          <w:sz w:val="24"/>
        </w:rPr>
        <w:t xml:space="preserve">A Case for Improving the </w:t>
      </w:r>
      <w:r w:rsidRPr="00FA5C99">
        <w:rPr>
          <w:i/>
          <w:sz w:val="24"/>
        </w:rPr>
        <w:lastRenderedPageBreak/>
        <w:t>Massachusetts Lo</w:t>
      </w:r>
      <w:r w:rsidR="00C1703D">
        <w:rPr>
          <w:i/>
          <w:sz w:val="24"/>
        </w:rPr>
        <w:t>cal Public Health Infrastructure</w:t>
      </w:r>
      <w:r w:rsidR="00EA5C7E" w:rsidRPr="00FA5C99">
        <w:rPr>
          <w:i/>
          <w:sz w:val="24"/>
        </w:rPr>
        <w:t xml:space="preserve"> </w:t>
      </w:r>
      <w:r w:rsidR="00EA5C7E" w:rsidRPr="00FA5C99">
        <w:rPr>
          <w:sz w:val="24"/>
        </w:rPr>
        <w:t>which</w:t>
      </w:r>
      <w:r w:rsidR="00EA5C7E" w:rsidRPr="00FA5C99">
        <w:rPr>
          <w:i/>
          <w:sz w:val="24"/>
        </w:rPr>
        <w:t xml:space="preserve"> </w:t>
      </w:r>
      <w:r w:rsidR="00EA5C7E" w:rsidRPr="00FA5C99">
        <w:rPr>
          <w:sz w:val="24"/>
        </w:rPr>
        <w:t xml:space="preserve">outlined the following areas that were in need of improvement: </w:t>
      </w:r>
      <w:r w:rsidRPr="00FA5C99">
        <w:rPr>
          <w:sz w:val="24"/>
        </w:rPr>
        <w:t>Organizational Capacity, Workforce Standards and Competency, Information, Communication and Data Systems</w:t>
      </w:r>
      <w:r w:rsidR="00EA5C7E" w:rsidRPr="00FA5C99">
        <w:rPr>
          <w:sz w:val="24"/>
        </w:rPr>
        <w:t xml:space="preserve">, and Resources. </w:t>
      </w:r>
      <w:r w:rsidR="00EA5C7E" w:rsidRPr="00FA5C99">
        <w:rPr>
          <w:rFonts w:cs="Arial"/>
          <w:color w:val="222222"/>
          <w:sz w:val="24"/>
        </w:rPr>
        <w:t>The 2006 report</w:t>
      </w:r>
      <w:r w:rsidR="00E94B65">
        <w:rPr>
          <w:rFonts w:cs="Arial"/>
          <w:color w:val="222222"/>
          <w:sz w:val="24"/>
          <w:vertAlign w:val="superscript"/>
        </w:rPr>
        <w:t>16</w:t>
      </w:r>
      <w:r w:rsidR="00EA5C7E" w:rsidRPr="00FA5C99">
        <w:rPr>
          <w:rFonts w:cs="Arial"/>
          <w:color w:val="222222"/>
          <w:sz w:val="24"/>
        </w:rPr>
        <w:t xml:space="preserve">, </w:t>
      </w:r>
      <w:r w:rsidR="00EA5C7E" w:rsidRPr="00FA5C99">
        <w:rPr>
          <w:rFonts w:cs="Arial"/>
          <w:i/>
          <w:color w:val="222222"/>
          <w:sz w:val="24"/>
        </w:rPr>
        <w:t>Strengthening L</w:t>
      </w:r>
      <w:r w:rsidR="000F1730" w:rsidRPr="00FA5C99">
        <w:rPr>
          <w:rFonts w:cs="Arial"/>
          <w:i/>
          <w:color w:val="222222"/>
          <w:sz w:val="24"/>
        </w:rPr>
        <w:t>ocal Public Health i</w:t>
      </w:r>
      <w:r w:rsidR="00EA5C7E" w:rsidRPr="00FA5C99">
        <w:rPr>
          <w:rFonts w:cs="Arial"/>
          <w:i/>
          <w:color w:val="222222"/>
          <w:sz w:val="24"/>
        </w:rPr>
        <w:t>n Massachusetts:</w:t>
      </w:r>
      <w:r w:rsidR="00D30853">
        <w:rPr>
          <w:rFonts w:cs="Arial"/>
          <w:i/>
          <w:color w:val="222222"/>
          <w:sz w:val="24"/>
        </w:rPr>
        <w:t xml:space="preserve"> A Call t</w:t>
      </w:r>
      <w:r w:rsidR="00C1703D">
        <w:rPr>
          <w:rFonts w:cs="Arial"/>
          <w:i/>
          <w:color w:val="222222"/>
          <w:sz w:val="24"/>
        </w:rPr>
        <w:t>o Action</w:t>
      </w:r>
      <w:r w:rsidR="00EA5C7E" w:rsidRPr="00FA5C99">
        <w:rPr>
          <w:rFonts w:cs="Arial"/>
          <w:color w:val="222222"/>
          <w:sz w:val="24"/>
        </w:rPr>
        <w:t xml:space="preserve"> found differences in the local public health infrastr</w:t>
      </w:r>
      <w:r w:rsidR="000F1730" w:rsidRPr="00FA5C99">
        <w:rPr>
          <w:rFonts w:cs="Arial"/>
          <w:color w:val="222222"/>
          <w:sz w:val="24"/>
        </w:rPr>
        <w:t>ucture across the Commonwealth. T</w:t>
      </w:r>
      <w:r w:rsidR="00EA5C7E" w:rsidRPr="00FA5C99">
        <w:rPr>
          <w:rFonts w:cs="Arial"/>
          <w:color w:val="222222"/>
          <w:sz w:val="24"/>
        </w:rPr>
        <w:t>he most striking differences were between smaller and larger communities. Capacity to enforce environmental laws and perform communicable disease surveillance tends to be higher in larger communities.</w:t>
      </w:r>
      <w:r w:rsidR="00D02023" w:rsidRPr="00FA5C99">
        <w:rPr>
          <w:rFonts w:cs="Arial"/>
          <w:color w:val="222222"/>
          <w:sz w:val="24"/>
        </w:rPr>
        <w:t xml:space="preserve"> </w:t>
      </w:r>
      <w:r w:rsidR="00EA5C7E" w:rsidRPr="00FA5C99">
        <w:rPr>
          <w:sz w:val="24"/>
        </w:rPr>
        <w:t>The Data Subcommittee is charged with</w:t>
      </w:r>
      <w:r w:rsidRPr="00FA5C99">
        <w:rPr>
          <w:sz w:val="24"/>
        </w:rPr>
        <w:t xml:space="preserve"> collect</w:t>
      </w:r>
      <w:r w:rsidR="00D90F22">
        <w:rPr>
          <w:sz w:val="24"/>
        </w:rPr>
        <w:t>ing</w:t>
      </w:r>
      <w:r w:rsidRPr="00FA5C99">
        <w:rPr>
          <w:sz w:val="24"/>
        </w:rPr>
        <w:t xml:space="preserve"> and analyz</w:t>
      </w:r>
      <w:r w:rsidR="00D90F22">
        <w:rPr>
          <w:sz w:val="24"/>
        </w:rPr>
        <w:t>ing</w:t>
      </w:r>
      <w:r w:rsidRPr="00FA5C99">
        <w:rPr>
          <w:sz w:val="24"/>
        </w:rPr>
        <w:t xml:space="preserve"> </w:t>
      </w:r>
      <w:r w:rsidR="00EA5C7E" w:rsidRPr="00FA5C99">
        <w:rPr>
          <w:sz w:val="24"/>
        </w:rPr>
        <w:t xml:space="preserve">current </w:t>
      </w:r>
      <w:r w:rsidRPr="00FA5C99">
        <w:rPr>
          <w:sz w:val="24"/>
        </w:rPr>
        <w:t xml:space="preserve">data relevant to </w:t>
      </w:r>
      <w:r w:rsidR="00EA5C7E" w:rsidRPr="00FA5C99">
        <w:rPr>
          <w:sz w:val="24"/>
        </w:rPr>
        <w:t xml:space="preserve">documenting </w:t>
      </w:r>
      <w:r w:rsidR="00D02023" w:rsidRPr="00FA5C99">
        <w:rPr>
          <w:sz w:val="24"/>
        </w:rPr>
        <w:t>these disparities.</w:t>
      </w:r>
    </w:p>
    <w:p w:rsidR="002111C4" w:rsidRPr="00FA5C99" w:rsidRDefault="002111C4" w:rsidP="002111C4">
      <w:pPr>
        <w:rPr>
          <w:sz w:val="24"/>
        </w:rPr>
      </w:pPr>
    </w:p>
    <w:p w:rsidR="002111C4" w:rsidRPr="00FA5C99" w:rsidRDefault="002111C4" w:rsidP="006E6136">
      <w:pPr>
        <w:spacing w:line="276" w:lineRule="auto"/>
        <w:rPr>
          <w:b/>
          <w:sz w:val="24"/>
        </w:rPr>
      </w:pPr>
      <w:r w:rsidRPr="00FA5C99">
        <w:rPr>
          <w:rFonts w:cs="Arial"/>
          <w:color w:val="222222"/>
          <w:sz w:val="24"/>
        </w:rPr>
        <w:t xml:space="preserve">Data reporting from local public health to DPH is limited to reporting </w:t>
      </w:r>
      <w:r w:rsidR="001D3BBA">
        <w:rPr>
          <w:rFonts w:cs="Arial"/>
          <w:color w:val="222222"/>
          <w:sz w:val="24"/>
        </w:rPr>
        <w:t xml:space="preserve">required </w:t>
      </w:r>
      <w:r w:rsidRPr="00FA5C99">
        <w:rPr>
          <w:rFonts w:cs="Arial"/>
          <w:color w:val="222222"/>
          <w:sz w:val="24"/>
        </w:rPr>
        <w:t xml:space="preserve">by statute or regulation. In some cases, capacity is </w:t>
      </w:r>
      <w:r w:rsidR="000F1730" w:rsidRPr="00FA5C99">
        <w:rPr>
          <w:rFonts w:cs="Arial"/>
          <w:color w:val="222222"/>
          <w:sz w:val="24"/>
        </w:rPr>
        <w:t xml:space="preserve">limited </w:t>
      </w:r>
      <w:r w:rsidRPr="00FA5C99">
        <w:rPr>
          <w:rFonts w:cs="Arial"/>
          <w:color w:val="222222"/>
          <w:sz w:val="24"/>
        </w:rPr>
        <w:t>within DPH to monitor, audit, and verify the data that is reported. Other states (for example, Ohio and New Jersey) have more robust data reporting requirement</w:t>
      </w:r>
      <w:r w:rsidR="00F400B3">
        <w:rPr>
          <w:rFonts w:cs="Arial"/>
          <w:color w:val="222222"/>
          <w:sz w:val="24"/>
        </w:rPr>
        <w:t>s</w:t>
      </w:r>
      <w:r w:rsidRPr="00FA5C99">
        <w:rPr>
          <w:rFonts w:cs="Arial"/>
          <w:color w:val="222222"/>
          <w:sz w:val="24"/>
        </w:rPr>
        <w:t xml:space="preserve"> for local public health.</w:t>
      </w:r>
      <w:r w:rsidR="00EA5C7E" w:rsidRPr="00FA5C99">
        <w:rPr>
          <w:rFonts w:cs="Arial"/>
          <w:color w:val="222222"/>
          <w:sz w:val="24"/>
        </w:rPr>
        <w:t xml:space="preserve"> </w:t>
      </w:r>
    </w:p>
    <w:p w:rsidR="002111C4" w:rsidRPr="00FA5C99" w:rsidRDefault="002111C4" w:rsidP="006E6136">
      <w:pPr>
        <w:spacing w:line="276" w:lineRule="auto"/>
        <w:rPr>
          <w:b/>
          <w:sz w:val="24"/>
        </w:rPr>
      </w:pPr>
    </w:p>
    <w:p w:rsidR="00FE4643" w:rsidRPr="00FA5C99" w:rsidRDefault="002111C4" w:rsidP="006E6136">
      <w:pPr>
        <w:spacing w:line="276" w:lineRule="auto"/>
        <w:rPr>
          <w:rFonts w:cs="Arial"/>
          <w:color w:val="222222"/>
          <w:sz w:val="24"/>
        </w:rPr>
      </w:pPr>
      <w:r w:rsidRPr="00FA5C99">
        <w:rPr>
          <w:rFonts w:cs="Arial"/>
          <w:color w:val="222222"/>
          <w:sz w:val="24"/>
        </w:rPr>
        <w:t xml:space="preserve">The Data Subcommittee reviewed </w:t>
      </w:r>
      <w:r w:rsidR="00FE4643" w:rsidRPr="00FA5C99">
        <w:rPr>
          <w:rFonts w:cs="Arial"/>
          <w:color w:val="222222"/>
          <w:sz w:val="24"/>
        </w:rPr>
        <w:t xml:space="preserve">DPH </w:t>
      </w:r>
      <w:r w:rsidRPr="00FA5C99">
        <w:rPr>
          <w:rFonts w:cs="Arial"/>
          <w:color w:val="222222"/>
          <w:sz w:val="24"/>
        </w:rPr>
        <w:t xml:space="preserve">and Department of Environmental Protection </w:t>
      </w:r>
      <w:r w:rsidR="00FE4643" w:rsidRPr="00FA5C99">
        <w:rPr>
          <w:rFonts w:cs="Arial"/>
          <w:color w:val="222222"/>
          <w:sz w:val="24"/>
        </w:rPr>
        <w:t xml:space="preserve">(DEP) data </w:t>
      </w:r>
      <w:r w:rsidRPr="00FA5C99">
        <w:rPr>
          <w:rFonts w:cs="Arial"/>
          <w:color w:val="222222"/>
          <w:sz w:val="24"/>
        </w:rPr>
        <w:t>that documents local health capacity and performance in terms of mandated responsibilities</w:t>
      </w:r>
      <w:r w:rsidR="00E5320D">
        <w:rPr>
          <w:rFonts w:cs="Arial"/>
          <w:color w:val="222222"/>
          <w:sz w:val="24"/>
        </w:rPr>
        <w:t xml:space="preserve">. </w:t>
      </w:r>
      <w:r w:rsidRPr="00FA5C99">
        <w:rPr>
          <w:rFonts w:cs="Arial"/>
          <w:color w:val="222222"/>
          <w:sz w:val="24"/>
        </w:rPr>
        <w:t xml:space="preserve">The data gathered and reviewed </w:t>
      </w:r>
      <w:r w:rsidR="00D02023" w:rsidRPr="00FA5C99">
        <w:rPr>
          <w:rFonts w:cs="Arial"/>
          <w:color w:val="222222"/>
          <w:sz w:val="24"/>
        </w:rPr>
        <w:t>included</w:t>
      </w:r>
      <w:r w:rsidR="00D90F22">
        <w:rPr>
          <w:rFonts w:cs="Arial"/>
          <w:color w:val="222222"/>
          <w:sz w:val="24"/>
        </w:rPr>
        <w:t>:</w:t>
      </w:r>
    </w:p>
    <w:p w:rsidR="00D02023" w:rsidRPr="00FA5C99" w:rsidRDefault="00D02023" w:rsidP="002111C4">
      <w:pPr>
        <w:rPr>
          <w:rFonts w:cs="Arial"/>
          <w:color w:val="222222"/>
          <w:sz w:val="24"/>
        </w:rPr>
      </w:pPr>
    </w:p>
    <w:p w:rsidR="00FE4643" w:rsidRPr="00FA5C99" w:rsidRDefault="002111C4" w:rsidP="006E6136">
      <w:pPr>
        <w:pStyle w:val="ListParagraph"/>
        <w:numPr>
          <w:ilvl w:val="0"/>
          <w:numId w:val="18"/>
        </w:numPr>
        <w:spacing w:line="276" w:lineRule="auto"/>
        <w:rPr>
          <w:rFonts w:cs="Arial"/>
          <w:color w:val="222222"/>
          <w:sz w:val="24"/>
        </w:rPr>
      </w:pPr>
      <w:r w:rsidRPr="00FA5C99">
        <w:rPr>
          <w:rFonts w:cs="Arial"/>
          <w:color w:val="222222"/>
          <w:sz w:val="24"/>
        </w:rPr>
        <w:t>M</w:t>
      </w:r>
      <w:r w:rsidR="00D02023" w:rsidRPr="00FA5C99">
        <w:rPr>
          <w:rFonts w:cs="Arial"/>
          <w:color w:val="222222"/>
          <w:sz w:val="24"/>
        </w:rPr>
        <w:t>assachusetts Virtual Epidemiological Network (MA</w:t>
      </w:r>
      <w:r w:rsidRPr="00FA5C99">
        <w:rPr>
          <w:rFonts w:cs="Arial"/>
          <w:color w:val="222222"/>
          <w:sz w:val="24"/>
        </w:rPr>
        <w:t>VEN</w:t>
      </w:r>
      <w:r w:rsidR="00D02023" w:rsidRPr="00FA5C99">
        <w:rPr>
          <w:rFonts w:cs="Arial"/>
          <w:color w:val="222222"/>
          <w:sz w:val="24"/>
        </w:rPr>
        <w:t>)</w:t>
      </w:r>
      <w:r w:rsidR="00F72872" w:rsidRPr="00FA5C99">
        <w:rPr>
          <w:rFonts w:cs="Arial"/>
          <w:color w:val="222222"/>
          <w:sz w:val="24"/>
        </w:rPr>
        <w:t xml:space="preserve"> participation</w:t>
      </w:r>
      <w:r w:rsidR="00D02023" w:rsidRPr="00FA5C99">
        <w:rPr>
          <w:rFonts w:cs="Arial"/>
          <w:color w:val="222222"/>
          <w:sz w:val="24"/>
        </w:rPr>
        <w:t>;</w:t>
      </w:r>
    </w:p>
    <w:p w:rsidR="00F72872" w:rsidRPr="00FA5C99" w:rsidRDefault="002111C4" w:rsidP="006E6136">
      <w:pPr>
        <w:pStyle w:val="ListParagraph"/>
        <w:numPr>
          <w:ilvl w:val="0"/>
          <w:numId w:val="18"/>
        </w:numPr>
        <w:spacing w:line="276" w:lineRule="auto"/>
        <w:rPr>
          <w:rFonts w:cs="Arial"/>
          <w:color w:val="222222"/>
          <w:sz w:val="24"/>
        </w:rPr>
      </w:pPr>
      <w:r w:rsidRPr="00FA5C99">
        <w:rPr>
          <w:rFonts w:cs="Arial"/>
          <w:color w:val="222222"/>
          <w:sz w:val="24"/>
        </w:rPr>
        <w:t xml:space="preserve">Health and Homeland Alert Network (HHAN) drill response rates and </w:t>
      </w:r>
      <w:r w:rsidR="00F72872" w:rsidRPr="00FA5C99">
        <w:rPr>
          <w:rFonts w:cs="Arial"/>
          <w:color w:val="222222"/>
          <w:sz w:val="24"/>
        </w:rPr>
        <w:t>Emergency Dispensing Site Plans</w:t>
      </w:r>
      <w:r w:rsidR="00D02023" w:rsidRPr="00FA5C99">
        <w:rPr>
          <w:rFonts w:cs="Arial"/>
          <w:color w:val="222222"/>
          <w:sz w:val="24"/>
        </w:rPr>
        <w:t>;</w:t>
      </w:r>
    </w:p>
    <w:p w:rsidR="00F72872" w:rsidRPr="00FA5C99" w:rsidRDefault="000F1730" w:rsidP="006E6136">
      <w:pPr>
        <w:pStyle w:val="ListParagraph"/>
        <w:numPr>
          <w:ilvl w:val="0"/>
          <w:numId w:val="18"/>
        </w:numPr>
        <w:spacing w:line="276" w:lineRule="auto"/>
        <w:rPr>
          <w:rFonts w:cs="Arial"/>
          <w:color w:val="222222"/>
          <w:sz w:val="24"/>
        </w:rPr>
      </w:pPr>
      <w:r w:rsidRPr="00FA5C99">
        <w:rPr>
          <w:rFonts w:cs="Arial"/>
          <w:color w:val="222222"/>
          <w:sz w:val="24"/>
        </w:rPr>
        <w:t>retail food inspection</w:t>
      </w:r>
      <w:r w:rsidR="00F72872" w:rsidRPr="00FA5C99">
        <w:rPr>
          <w:rFonts w:cs="Arial"/>
          <w:color w:val="222222"/>
          <w:sz w:val="24"/>
        </w:rPr>
        <w:t xml:space="preserve"> reports to DPH</w:t>
      </w:r>
      <w:r w:rsidR="00D02023" w:rsidRPr="00FA5C99">
        <w:rPr>
          <w:rFonts w:cs="Arial"/>
          <w:color w:val="222222"/>
          <w:sz w:val="24"/>
        </w:rPr>
        <w:t>;</w:t>
      </w:r>
    </w:p>
    <w:p w:rsidR="00F72872" w:rsidRPr="00FA5C99" w:rsidRDefault="00F72872" w:rsidP="006E6136">
      <w:pPr>
        <w:pStyle w:val="ListParagraph"/>
        <w:numPr>
          <w:ilvl w:val="0"/>
          <w:numId w:val="18"/>
        </w:numPr>
        <w:spacing w:line="276" w:lineRule="auto"/>
        <w:rPr>
          <w:rFonts w:cs="Arial"/>
          <w:color w:val="222222"/>
          <w:sz w:val="24"/>
        </w:rPr>
      </w:pPr>
      <w:r w:rsidRPr="00FA5C99">
        <w:rPr>
          <w:rFonts w:cs="Arial"/>
          <w:color w:val="222222"/>
          <w:sz w:val="24"/>
        </w:rPr>
        <w:t xml:space="preserve">lead </w:t>
      </w:r>
      <w:proofErr w:type="spellStart"/>
      <w:r w:rsidRPr="00FA5C99">
        <w:rPr>
          <w:rFonts w:cs="Arial"/>
          <w:color w:val="222222"/>
          <w:sz w:val="24"/>
        </w:rPr>
        <w:t>determinators</w:t>
      </w:r>
      <w:proofErr w:type="spellEnd"/>
      <w:r w:rsidR="00D02023" w:rsidRPr="00FA5C99">
        <w:rPr>
          <w:rFonts w:cs="Arial"/>
          <w:color w:val="222222"/>
          <w:sz w:val="24"/>
        </w:rPr>
        <w:t>;</w:t>
      </w:r>
    </w:p>
    <w:p w:rsidR="00F72872" w:rsidRPr="00FA5C99" w:rsidRDefault="002111C4" w:rsidP="006E6136">
      <w:pPr>
        <w:pStyle w:val="ListParagraph"/>
        <w:numPr>
          <w:ilvl w:val="0"/>
          <w:numId w:val="18"/>
        </w:numPr>
        <w:spacing w:line="276" w:lineRule="auto"/>
        <w:rPr>
          <w:rFonts w:cs="Arial"/>
          <w:color w:val="222222"/>
          <w:sz w:val="24"/>
        </w:rPr>
      </w:pPr>
      <w:r w:rsidRPr="00FA5C99">
        <w:rPr>
          <w:rFonts w:cs="Arial"/>
          <w:color w:val="222222"/>
          <w:sz w:val="24"/>
        </w:rPr>
        <w:t>beach wa</w:t>
      </w:r>
      <w:r w:rsidR="00F72872" w:rsidRPr="00FA5C99">
        <w:rPr>
          <w:rFonts w:cs="Arial"/>
          <w:color w:val="222222"/>
          <w:sz w:val="24"/>
        </w:rPr>
        <w:t>ter testing</w:t>
      </w:r>
      <w:r w:rsidR="00D02023" w:rsidRPr="00FA5C99">
        <w:rPr>
          <w:rFonts w:cs="Arial"/>
          <w:color w:val="222222"/>
          <w:sz w:val="24"/>
        </w:rPr>
        <w:t>;</w:t>
      </w:r>
    </w:p>
    <w:p w:rsidR="00F72872" w:rsidRPr="00FA5C99" w:rsidRDefault="002111C4" w:rsidP="006E6136">
      <w:pPr>
        <w:pStyle w:val="ListParagraph"/>
        <w:numPr>
          <w:ilvl w:val="0"/>
          <w:numId w:val="18"/>
        </w:numPr>
        <w:spacing w:line="276" w:lineRule="auto"/>
        <w:rPr>
          <w:rFonts w:cs="Arial"/>
          <w:color w:val="222222"/>
          <w:sz w:val="24"/>
        </w:rPr>
      </w:pPr>
      <w:r w:rsidRPr="00FA5C99">
        <w:rPr>
          <w:rFonts w:cs="Arial"/>
          <w:color w:val="222222"/>
          <w:sz w:val="24"/>
        </w:rPr>
        <w:t>drinking water</w:t>
      </w:r>
      <w:r w:rsidR="00F72872" w:rsidRPr="00FA5C99">
        <w:rPr>
          <w:rFonts w:cs="Arial"/>
          <w:color w:val="222222"/>
          <w:sz w:val="24"/>
        </w:rPr>
        <w:t xml:space="preserve"> testing</w:t>
      </w:r>
      <w:r w:rsidR="00D02023" w:rsidRPr="00FA5C99">
        <w:rPr>
          <w:rFonts w:cs="Arial"/>
          <w:color w:val="222222"/>
          <w:sz w:val="24"/>
        </w:rPr>
        <w:t>;</w:t>
      </w:r>
      <w:r w:rsidRPr="00FA5C99">
        <w:rPr>
          <w:rFonts w:cs="Arial"/>
          <w:color w:val="222222"/>
          <w:sz w:val="24"/>
        </w:rPr>
        <w:t xml:space="preserve"> and </w:t>
      </w:r>
    </w:p>
    <w:p w:rsidR="00F72872" w:rsidRPr="00FA5C99" w:rsidRDefault="002111C4" w:rsidP="006E6136">
      <w:pPr>
        <w:pStyle w:val="ListParagraph"/>
        <w:numPr>
          <w:ilvl w:val="0"/>
          <w:numId w:val="18"/>
        </w:numPr>
        <w:spacing w:line="276" w:lineRule="auto"/>
        <w:rPr>
          <w:rFonts w:cs="Arial"/>
          <w:color w:val="222222"/>
          <w:sz w:val="24"/>
        </w:rPr>
      </w:pPr>
      <w:proofErr w:type="gramStart"/>
      <w:r w:rsidRPr="00FA5C99">
        <w:rPr>
          <w:rFonts w:cs="Arial"/>
          <w:color w:val="222222"/>
          <w:sz w:val="24"/>
        </w:rPr>
        <w:t>capacity</w:t>
      </w:r>
      <w:proofErr w:type="gramEnd"/>
      <w:r w:rsidRPr="00FA5C99">
        <w:rPr>
          <w:rFonts w:cs="Arial"/>
          <w:color w:val="222222"/>
          <w:sz w:val="24"/>
        </w:rPr>
        <w:t xml:space="preserve"> to provide Essential Public Health Services. </w:t>
      </w:r>
    </w:p>
    <w:p w:rsidR="00F72872" w:rsidRPr="00FA5C99" w:rsidRDefault="00F72872" w:rsidP="006E6136">
      <w:pPr>
        <w:spacing w:line="276" w:lineRule="auto"/>
        <w:rPr>
          <w:rFonts w:cs="Arial"/>
          <w:color w:val="222222"/>
          <w:sz w:val="24"/>
        </w:rPr>
      </w:pPr>
    </w:p>
    <w:p w:rsidR="002111C4" w:rsidRPr="00FA5C99" w:rsidRDefault="002111C4" w:rsidP="006E6136">
      <w:pPr>
        <w:spacing w:line="276" w:lineRule="auto"/>
        <w:rPr>
          <w:rFonts w:cs="Arial"/>
          <w:color w:val="222222"/>
          <w:sz w:val="24"/>
        </w:rPr>
      </w:pPr>
      <w:r w:rsidRPr="00FA5C99">
        <w:rPr>
          <w:rFonts w:cs="Arial"/>
          <w:color w:val="222222"/>
          <w:sz w:val="24"/>
        </w:rPr>
        <w:t xml:space="preserve">Each of these data elements were selected because a) they may be proxy measures of the overall capacity of the local public health system and b) have data available through an established reporting/record-keeping process. </w:t>
      </w:r>
    </w:p>
    <w:p w:rsidR="00F72872" w:rsidRPr="00FA5C99" w:rsidRDefault="00F72872" w:rsidP="006E6136">
      <w:pPr>
        <w:spacing w:line="276" w:lineRule="auto"/>
        <w:rPr>
          <w:rFonts w:cs="Arial"/>
          <w:color w:val="222222"/>
          <w:sz w:val="24"/>
        </w:rPr>
      </w:pPr>
    </w:p>
    <w:p w:rsidR="00F72872" w:rsidRPr="00FA5C99" w:rsidRDefault="00F72872" w:rsidP="006E6136">
      <w:pPr>
        <w:spacing w:line="276" w:lineRule="auto"/>
        <w:rPr>
          <w:sz w:val="24"/>
        </w:rPr>
      </w:pPr>
      <w:r w:rsidRPr="00FA5C99">
        <w:rPr>
          <w:rFonts w:cs="Arial"/>
          <w:color w:val="222222"/>
          <w:sz w:val="24"/>
        </w:rPr>
        <w:t>The Data S</w:t>
      </w:r>
      <w:r w:rsidR="002111C4" w:rsidRPr="00FA5C99">
        <w:rPr>
          <w:rFonts w:cs="Arial"/>
          <w:color w:val="222222"/>
          <w:sz w:val="24"/>
        </w:rPr>
        <w:t xml:space="preserve">ubcommittee </w:t>
      </w:r>
      <w:r w:rsidR="002111C4" w:rsidRPr="00FA5C99">
        <w:rPr>
          <w:sz w:val="24"/>
        </w:rPr>
        <w:t xml:space="preserve">identified </w:t>
      </w:r>
      <w:r w:rsidRPr="00FA5C99">
        <w:rPr>
          <w:sz w:val="24"/>
        </w:rPr>
        <w:t xml:space="preserve">the following areas in which </w:t>
      </w:r>
      <w:r w:rsidR="002111C4" w:rsidRPr="00FA5C99">
        <w:rPr>
          <w:sz w:val="24"/>
        </w:rPr>
        <w:t xml:space="preserve">local public health system reporting </w:t>
      </w:r>
      <w:r w:rsidRPr="00FA5C99">
        <w:rPr>
          <w:sz w:val="24"/>
        </w:rPr>
        <w:t>in Massachusetts is either lacking or limited</w:t>
      </w:r>
      <w:r w:rsidR="00D90F22">
        <w:rPr>
          <w:sz w:val="24"/>
        </w:rPr>
        <w:t>:</w:t>
      </w:r>
    </w:p>
    <w:p w:rsidR="00F72872" w:rsidRPr="00FA5C99" w:rsidRDefault="00F72872" w:rsidP="006E6136">
      <w:pPr>
        <w:spacing w:line="276" w:lineRule="auto"/>
        <w:rPr>
          <w:sz w:val="24"/>
        </w:rPr>
      </w:pPr>
    </w:p>
    <w:p w:rsidR="00F72872" w:rsidRPr="00FA5C99" w:rsidRDefault="00F72872" w:rsidP="006E6136">
      <w:pPr>
        <w:pStyle w:val="ListParagraph"/>
        <w:numPr>
          <w:ilvl w:val="0"/>
          <w:numId w:val="19"/>
        </w:numPr>
        <w:spacing w:line="276" w:lineRule="auto"/>
        <w:rPr>
          <w:sz w:val="24"/>
        </w:rPr>
      </w:pPr>
      <w:r w:rsidRPr="00FA5C99">
        <w:rPr>
          <w:sz w:val="24"/>
        </w:rPr>
        <w:t>Housing code enforcement data</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Septic</w:t>
      </w:r>
      <w:r w:rsidR="00E5320D">
        <w:rPr>
          <w:sz w:val="24"/>
        </w:rPr>
        <w:t xml:space="preserve"> </w:t>
      </w:r>
      <w:r w:rsidRPr="00FA5C99">
        <w:rPr>
          <w:sz w:val="24"/>
        </w:rPr>
        <w:t>(T</w:t>
      </w:r>
      <w:r w:rsidR="000F1730" w:rsidRPr="00FA5C99">
        <w:rPr>
          <w:sz w:val="24"/>
        </w:rPr>
        <w:t>itle 5)</w:t>
      </w:r>
      <w:r w:rsidR="00E5320D">
        <w:rPr>
          <w:sz w:val="24"/>
        </w:rPr>
        <w:t xml:space="preserve"> </w:t>
      </w:r>
      <w:r w:rsidR="000F1730" w:rsidRPr="00FA5C99">
        <w:rPr>
          <w:sz w:val="24"/>
        </w:rPr>
        <w:t>code enforcement d</w:t>
      </w:r>
      <w:r w:rsidR="00F72872" w:rsidRPr="00FA5C99">
        <w:rPr>
          <w:sz w:val="24"/>
        </w:rPr>
        <w:t>ata</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Title 5 Inspector or</w:t>
      </w:r>
      <w:r w:rsidR="00E5320D">
        <w:rPr>
          <w:sz w:val="24"/>
        </w:rPr>
        <w:t xml:space="preserve"> </w:t>
      </w:r>
      <w:r w:rsidRPr="00FA5C99">
        <w:rPr>
          <w:sz w:val="24"/>
        </w:rPr>
        <w:t>Soi</w:t>
      </w:r>
      <w:r w:rsidR="00F72872" w:rsidRPr="00FA5C99">
        <w:rPr>
          <w:sz w:val="24"/>
        </w:rPr>
        <w:t>l Evaluator certification data</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lastRenderedPageBreak/>
        <w:t xml:space="preserve">listing of towns </w:t>
      </w:r>
      <w:r w:rsidR="000F1730" w:rsidRPr="00FA5C99">
        <w:rPr>
          <w:sz w:val="24"/>
        </w:rPr>
        <w:t xml:space="preserve">that </w:t>
      </w:r>
      <w:r w:rsidRPr="00FA5C99">
        <w:rPr>
          <w:sz w:val="24"/>
        </w:rPr>
        <w:t>meet requiremen</w:t>
      </w:r>
      <w:r w:rsidR="006F344C">
        <w:rPr>
          <w:sz w:val="24"/>
        </w:rPr>
        <w:t xml:space="preserve">t to have a lead </w:t>
      </w:r>
      <w:proofErr w:type="spellStart"/>
      <w:r w:rsidR="006F344C">
        <w:rPr>
          <w:sz w:val="24"/>
        </w:rPr>
        <w:t>d</w:t>
      </w:r>
      <w:r w:rsidR="00F72872" w:rsidRPr="00FA5C99">
        <w:rPr>
          <w:sz w:val="24"/>
        </w:rPr>
        <w:t>eterminator</w:t>
      </w:r>
      <w:proofErr w:type="spellEnd"/>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private well water pr</w:t>
      </w:r>
      <w:r w:rsidR="00F72872" w:rsidRPr="00FA5C99">
        <w:rPr>
          <w:sz w:val="24"/>
        </w:rPr>
        <w:t>otection data</w:t>
      </w:r>
      <w:r w:rsidR="000F1730" w:rsidRPr="00FA5C99">
        <w:rPr>
          <w:sz w:val="24"/>
        </w:rPr>
        <w:t>;</w:t>
      </w:r>
    </w:p>
    <w:p w:rsidR="00F72872" w:rsidRPr="00FA5C99" w:rsidRDefault="00F72872" w:rsidP="006E6136">
      <w:pPr>
        <w:pStyle w:val="ListParagraph"/>
        <w:numPr>
          <w:ilvl w:val="0"/>
          <w:numId w:val="19"/>
        </w:numPr>
        <w:spacing w:line="276" w:lineRule="auto"/>
        <w:rPr>
          <w:sz w:val="24"/>
        </w:rPr>
      </w:pPr>
      <w:r w:rsidRPr="00FA5C99">
        <w:rPr>
          <w:sz w:val="24"/>
        </w:rPr>
        <w:t>food inspection data</w:t>
      </w:r>
      <w:r w:rsidR="000F1730" w:rsidRPr="00FA5C99">
        <w:rPr>
          <w:sz w:val="24"/>
        </w:rPr>
        <w:t>;</w:t>
      </w:r>
    </w:p>
    <w:p w:rsidR="00F72872" w:rsidRPr="00FA5C99" w:rsidRDefault="00F72872" w:rsidP="006E6136">
      <w:pPr>
        <w:pStyle w:val="ListParagraph"/>
        <w:numPr>
          <w:ilvl w:val="0"/>
          <w:numId w:val="19"/>
        </w:numPr>
        <w:spacing w:line="276" w:lineRule="auto"/>
        <w:rPr>
          <w:sz w:val="24"/>
        </w:rPr>
      </w:pPr>
      <w:r w:rsidRPr="00FA5C99">
        <w:rPr>
          <w:sz w:val="24"/>
        </w:rPr>
        <w:t>data on compliance with food i</w:t>
      </w:r>
      <w:r w:rsidR="002111C4" w:rsidRPr="00FA5C99">
        <w:rPr>
          <w:sz w:val="24"/>
        </w:rPr>
        <w:t>ns</w:t>
      </w:r>
      <w:r w:rsidRPr="00FA5C99">
        <w:rPr>
          <w:sz w:val="24"/>
        </w:rPr>
        <w:t>pector qualification standards</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statewide data o</w:t>
      </w:r>
      <w:r w:rsidR="00F72872" w:rsidRPr="00FA5C99">
        <w:rPr>
          <w:sz w:val="24"/>
        </w:rPr>
        <w:t>n food safety violation trends</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MAVEN case management</w:t>
      </w:r>
      <w:r w:rsidR="00F72872" w:rsidRPr="00FA5C99">
        <w:rPr>
          <w:sz w:val="24"/>
        </w:rPr>
        <w:t xml:space="preserve"> quality data</w:t>
      </w:r>
      <w:r w:rsidR="000F1730" w:rsidRPr="00FA5C99">
        <w:rPr>
          <w:sz w:val="24"/>
        </w:rPr>
        <w:t>;</w:t>
      </w:r>
    </w:p>
    <w:p w:rsidR="00F72872" w:rsidRPr="00FA5C99" w:rsidRDefault="002111C4" w:rsidP="006E6136">
      <w:pPr>
        <w:pStyle w:val="ListParagraph"/>
        <w:numPr>
          <w:ilvl w:val="0"/>
          <w:numId w:val="19"/>
        </w:numPr>
        <w:spacing w:line="276" w:lineRule="auto"/>
        <w:rPr>
          <w:sz w:val="24"/>
        </w:rPr>
      </w:pPr>
      <w:r w:rsidRPr="00FA5C99">
        <w:rPr>
          <w:sz w:val="24"/>
        </w:rPr>
        <w:t>data on compliance with requirement for a lead determination at each housing inspection</w:t>
      </w:r>
      <w:r w:rsidR="00F72872" w:rsidRPr="00FA5C99">
        <w:rPr>
          <w:sz w:val="24"/>
        </w:rPr>
        <w:t xml:space="preserve"> involving a child under 6</w:t>
      </w:r>
      <w:r w:rsidR="000F1730" w:rsidRPr="00FA5C99">
        <w:rPr>
          <w:sz w:val="24"/>
        </w:rPr>
        <w:t xml:space="preserve"> years of age; and</w:t>
      </w:r>
    </w:p>
    <w:p w:rsidR="002111C4" w:rsidRPr="00FA5C99" w:rsidRDefault="002111C4" w:rsidP="006E6136">
      <w:pPr>
        <w:pStyle w:val="ListParagraph"/>
        <w:numPr>
          <w:ilvl w:val="0"/>
          <w:numId w:val="19"/>
        </w:numPr>
        <w:spacing w:line="276" w:lineRule="auto"/>
        <w:rPr>
          <w:rFonts w:cs="Arial"/>
          <w:color w:val="222222"/>
          <w:sz w:val="24"/>
        </w:rPr>
      </w:pPr>
      <w:proofErr w:type="gramStart"/>
      <w:r w:rsidRPr="00FA5C99">
        <w:rPr>
          <w:sz w:val="24"/>
        </w:rPr>
        <w:t>data</w:t>
      </w:r>
      <w:proofErr w:type="gramEnd"/>
      <w:r w:rsidRPr="00FA5C99">
        <w:rPr>
          <w:sz w:val="24"/>
        </w:rPr>
        <w:t xml:space="preserve"> on percentage of </w:t>
      </w:r>
      <w:r w:rsidR="00F72872" w:rsidRPr="00FA5C99">
        <w:rPr>
          <w:sz w:val="24"/>
        </w:rPr>
        <w:t>local health d</w:t>
      </w:r>
      <w:r w:rsidRPr="00FA5C99">
        <w:rPr>
          <w:sz w:val="24"/>
        </w:rPr>
        <w:t>epartments meeting frequency requirement for beach water sampling.</w:t>
      </w:r>
    </w:p>
    <w:p w:rsidR="00F72872" w:rsidRPr="00FA5C99" w:rsidRDefault="00F72872" w:rsidP="006E6136">
      <w:pPr>
        <w:spacing w:line="276" w:lineRule="auto"/>
        <w:ind w:left="360"/>
        <w:rPr>
          <w:rFonts w:cs="Arial"/>
          <w:color w:val="222222"/>
          <w:sz w:val="24"/>
        </w:rPr>
      </w:pPr>
    </w:p>
    <w:p w:rsidR="00F72872" w:rsidRPr="00FA5C99" w:rsidRDefault="00F72872" w:rsidP="006E6136">
      <w:pPr>
        <w:spacing w:after="200" w:line="276" w:lineRule="auto"/>
        <w:rPr>
          <w:sz w:val="24"/>
        </w:rPr>
      </w:pPr>
      <w:r w:rsidRPr="00FA5C99">
        <w:rPr>
          <w:sz w:val="24"/>
        </w:rPr>
        <w:t>The Data S</w:t>
      </w:r>
      <w:r w:rsidR="002111C4" w:rsidRPr="00FA5C99">
        <w:rPr>
          <w:sz w:val="24"/>
        </w:rPr>
        <w:t xml:space="preserve">ubcommittee presented their findings on the data analysis </w:t>
      </w:r>
      <w:r w:rsidRPr="00FA5C99">
        <w:rPr>
          <w:sz w:val="24"/>
        </w:rPr>
        <w:t xml:space="preserve">to the </w:t>
      </w:r>
      <w:r w:rsidR="002111C4" w:rsidRPr="00FA5C99">
        <w:rPr>
          <w:sz w:val="24"/>
        </w:rPr>
        <w:t xml:space="preserve">Commission </w:t>
      </w:r>
      <w:r w:rsidRPr="00FA5C99">
        <w:rPr>
          <w:sz w:val="24"/>
        </w:rPr>
        <w:t xml:space="preserve">at the </w:t>
      </w:r>
      <w:r w:rsidR="002111C4" w:rsidRPr="00FA5C99">
        <w:rPr>
          <w:sz w:val="24"/>
        </w:rPr>
        <w:t xml:space="preserve">April 6, 2018 </w:t>
      </w:r>
      <w:r w:rsidRPr="00FA5C99">
        <w:rPr>
          <w:sz w:val="24"/>
        </w:rPr>
        <w:t>Commission m</w:t>
      </w:r>
      <w:r w:rsidR="002111C4" w:rsidRPr="00FA5C99">
        <w:rPr>
          <w:sz w:val="24"/>
        </w:rPr>
        <w:t xml:space="preserve">eeting. </w:t>
      </w:r>
      <w:r w:rsidRPr="00FA5C99">
        <w:rPr>
          <w:sz w:val="24"/>
        </w:rPr>
        <w:t>Commission members acknowledged that it is</w:t>
      </w:r>
      <w:r w:rsidR="000F1730" w:rsidRPr="00FA5C99">
        <w:rPr>
          <w:sz w:val="24"/>
        </w:rPr>
        <w:t xml:space="preserve"> important to use real-</w:t>
      </w:r>
      <w:r w:rsidR="002111C4" w:rsidRPr="00FA5C99">
        <w:rPr>
          <w:sz w:val="24"/>
        </w:rPr>
        <w:t xml:space="preserve">life examples to highlight the impact of </w:t>
      </w:r>
      <w:r w:rsidR="000F1730" w:rsidRPr="00FA5C99">
        <w:rPr>
          <w:sz w:val="24"/>
        </w:rPr>
        <w:t>in</w:t>
      </w:r>
      <w:r w:rsidR="002111C4" w:rsidRPr="00FA5C99">
        <w:rPr>
          <w:sz w:val="24"/>
        </w:rPr>
        <w:t>consistent data, especially data that</w:t>
      </w:r>
      <w:r w:rsidRPr="00FA5C99">
        <w:rPr>
          <w:sz w:val="24"/>
        </w:rPr>
        <w:t xml:space="preserve"> is required. </w:t>
      </w:r>
      <w:r w:rsidR="002111C4" w:rsidRPr="00FA5C99">
        <w:rPr>
          <w:sz w:val="24"/>
        </w:rPr>
        <w:t xml:space="preserve">It was emphasized that even though there may be a system for collecting data, </w:t>
      </w:r>
      <w:r w:rsidR="000F1730" w:rsidRPr="00FA5C99">
        <w:rPr>
          <w:sz w:val="24"/>
        </w:rPr>
        <w:t xml:space="preserve">local public health </w:t>
      </w:r>
      <w:r w:rsidR="002111C4" w:rsidRPr="00FA5C99">
        <w:rPr>
          <w:sz w:val="24"/>
        </w:rPr>
        <w:t xml:space="preserve">staff capacity </w:t>
      </w:r>
      <w:r w:rsidR="000F1730" w:rsidRPr="00FA5C99">
        <w:rPr>
          <w:sz w:val="24"/>
        </w:rPr>
        <w:t>to report</w:t>
      </w:r>
      <w:r w:rsidR="002111C4" w:rsidRPr="00FA5C99">
        <w:rPr>
          <w:sz w:val="24"/>
        </w:rPr>
        <w:t xml:space="preserve"> data</w:t>
      </w:r>
      <w:r w:rsidR="000F1730" w:rsidRPr="00FA5C99">
        <w:rPr>
          <w:sz w:val="24"/>
        </w:rPr>
        <w:t xml:space="preserve"> is limited</w:t>
      </w:r>
      <w:r w:rsidR="002111C4" w:rsidRPr="00FA5C99">
        <w:rPr>
          <w:sz w:val="24"/>
        </w:rPr>
        <w:t xml:space="preserve">. The data collection expectation and requirements should focus </w:t>
      </w:r>
      <w:r w:rsidR="000F1730" w:rsidRPr="00FA5C99">
        <w:rPr>
          <w:sz w:val="24"/>
        </w:rPr>
        <w:t xml:space="preserve">on, </w:t>
      </w:r>
      <w:r w:rsidR="002111C4" w:rsidRPr="00FA5C99">
        <w:rPr>
          <w:sz w:val="24"/>
        </w:rPr>
        <w:t>and make transparent</w:t>
      </w:r>
      <w:r w:rsidR="000F1730" w:rsidRPr="00FA5C99">
        <w:rPr>
          <w:sz w:val="24"/>
        </w:rPr>
        <w:t>,</w:t>
      </w:r>
      <w:r w:rsidR="002111C4" w:rsidRPr="00FA5C99">
        <w:rPr>
          <w:sz w:val="24"/>
        </w:rPr>
        <w:t xml:space="preserve"> the need for such data and the consequences for not </w:t>
      </w:r>
      <w:r w:rsidR="000F1730" w:rsidRPr="00FA5C99">
        <w:rPr>
          <w:sz w:val="24"/>
        </w:rPr>
        <w:t>providing the data.</w:t>
      </w:r>
    </w:p>
    <w:p w:rsidR="002111C4" w:rsidRPr="00FA5C99" w:rsidRDefault="00F72872" w:rsidP="006E6136">
      <w:pPr>
        <w:spacing w:after="200" w:line="276" w:lineRule="auto"/>
        <w:rPr>
          <w:sz w:val="24"/>
        </w:rPr>
      </w:pPr>
      <w:r w:rsidRPr="00FA5C99">
        <w:rPr>
          <w:sz w:val="24"/>
        </w:rPr>
        <w:t>The Data S</w:t>
      </w:r>
      <w:r w:rsidR="002111C4" w:rsidRPr="00FA5C99">
        <w:rPr>
          <w:sz w:val="24"/>
        </w:rPr>
        <w:t xml:space="preserve">ubcommittee’s analysis also </w:t>
      </w:r>
      <w:r w:rsidRPr="00FA5C99">
        <w:rPr>
          <w:sz w:val="24"/>
        </w:rPr>
        <w:t xml:space="preserve">found </w:t>
      </w:r>
      <w:r w:rsidR="002111C4" w:rsidRPr="00FA5C99">
        <w:rPr>
          <w:sz w:val="24"/>
        </w:rPr>
        <w:t>that data collection is more robust when federal or state resources support the prog</w:t>
      </w:r>
      <w:r w:rsidRPr="00FA5C99">
        <w:rPr>
          <w:sz w:val="24"/>
        </w:rPr>
        <w:t xml:space="preserve">ram in question. </w:t>
      </w:r>
      <w:r w:rsidR="000F1730" w:rsidRPr="00FA5C99">
        <w:rPr>
          <w:sz w:val="24"/>
        </w:rPr>
        <w:t>H</w:t>
      </w:r>
      <w:r w:rsidRPr="00FA5C99">
        <w:rPr>
          <w:sz w:val="24"/>
        </w:rPr>
        <w:t>ealth d</w:t>
      </w:r>
      <w:r w:rsidR="002111C4" w:rsidRPr="00FA5C99">
        <w:rPr>
          <w:sz w:val="24"/>
        </w:rPr>
        <w:t xml:space="preserve">istricts that have a high level of compliance </w:t>
      </w:r>
      <w:r w:rsidR="000F1730" w:rsidRPr="00FA5C99">
        <w:rPr>
          <w:sz w:val="24"/>
        </w:rPr>
        <w:t>provide important lessons in data collection and reporting.</w:t>
      </w:r>
      <w:r w:rsidR="002111C4" w:rsidRPr="00FA5C99">
        <w:rPr>
          <w:sz w:val="24"/>
        </w:rPr>
        <w:t xml:space="preserve"> </w:t>
      </w:r>
    </w:p>
    <w:p w:rsidR="002111C4" w:rsidRPr="00FA5C99" w:rsidRDefault="002111C4" w:rsidP="006E6136">
      <w:pPr>
        <w:spacing w:line="276" w:lineRule="auto"/>
        <w:rPr>
          <w:i/>
          <w:sz w:val="24"/>
        </w:rPr>
      </w:pPr>
      <w:r w:rsidRPr="00FA5C99">
        <w:rPr>
          <w:sz w:val="24"/>
        </w:rPr>
        <w:t xml:space="preserve">The limitations in the ability of data </w:t>
      </w:r>
      <w:r w:rsidR="009A32F3" w:rsidRPr="00FA5C99">
        <w:rPr>
          <w:sz w:val="24"/>
        </w:rPr>
        <w:t xml:space="preserve">analyzed by the Data Subcommittee </w:t>
      </w:r>
      <w:r w:rsidRPr="00FA5C99">
        <w:rPr>
          <w:sz w:val="24"/>
        </w:rPr>
        <w:t xml:space="preserve">to capture local public health capacity highlights the need for a more systematic approach to the collection of data that measures local public health system performance. While many other states have a mandatory local health </w:t>
      </w:r>
      <w:r w:rsidR="009A32F3" w:rsidRPr="00FA5C99">
        <w:rPr>
          <w:sz w:val="24"/>
        </w:rPr>
        <w:t>“</w:t>
      </w:r>
      <w:r w:rsidRPr="00FA5C99">
        <w:rPr>
          <w:sz w:val="24"/>
        </w:rPr>
        <w:t>report card</w:t>
      </w:r>
      <w:r w:rsidR="009A32F3" w:rsidRPr="00FA5C99">
        <w:rPr>
          <w:sz w:val="24"/>
        </w:rPr>
        <w:t>”</w:t>
      </w:r>
      <w:r w:rsidRPr="00FA5C99">
        <w:rPr>
          <w:sz w:val="24"/>
        </w:rPr>
        <w:t xml:space="preserve"> that can be</w:t>
      </w:r>
      <w:r w:rsidR="009A32F3" w:rsidRPr="00FA5C99">
        <w:rPr>
          <w:sz w:val="24"/>
        </w:rPr>
        <w:t xml:space="preserve"> reviewed by state and local administration, </w:t>
      </w:r>
      <w:r w:rsidR="00F400B3">
        <w:rPr>
          <w:sz w:val="24"/>
        </w:rPr>
        <w:t>the state L</w:t>
      </w:r>
      <w:r w:rsidR="00F400B3" w:rsidRPr="00FA5C99">
        <w:rPr>
          <w:sz w:val="24"/>
        </w:rPr>
        <w:t>egislature</w:t>
      </w:r>
      <w:r w:rsidR="009A32F3" w:rsidRPr="00FA5C99">
        <w:rPr>
          <w:sz w:val="24"/>
        </w:rPr>
        <w:t>,</w:t>
      </w:r>
      <w:r w:rsidRPr="00FA5C99">
        <w:rPr>
          <w:sz w:val="24"/>
        </w:rPr>
        <w:t xml:space="preserve"> and </w:t>
      </w:r>
      <w:r w:rsidR="009A32F3" w:rsidRPr="00FA5C99">
        <w:rPr>
          <w:sz w:val="24"/>
        </w:rPr>
        <w:t>consumers</w:t>
      </w:r>
      <w:r w:rsidRPr="00FA5C99">
        <w:rPr>
          <w:sz w:val="24"/>
        </w:rPr>
        <w:t xml:space="preserve">, there is currently no system in place </w:t>
      </w:r>
      <w:r w:rsidR="009A32F3" w:rsidRPr="00FA5C99">
        <w:rPr>
          <w:sz w:val="24"/>
        </w:rPr>
        <w:t xml:space="preserve">in Massachusetts </w:t>
      </w:r>
      <w:r w:rsidRPr="00FA5C99">
        <w:rPr>
          <w:sz w:val="24"/>
        </w:rPr>
        <w:t>to either collect data on important functions or analyze it. In addition to considering changes to the public health structure for the state to ensure efficient, effective local public health to all of its res</w:t>
      </w:r>
      <w:r w:rsidR="009A32F3" w:rsidRPr="00FA5C99">
        <w:rPr>
          <w:sz w:val="24"/>
        </w:rPr>
        <w:t xml:space="preserve">idents, it is important that Massachusetts </w:t>
      </w:r>
      <w:r w:rsidRPr="00FA5C99">
        <w:rPr>
          <w:sz w:val="24"/>
        </w:rPr>
        <w:t xml:space="preserve">create a standard data reporting requirement for local public health to measure capacity. </w:t>
      </w:r>
    </w:p>
    <w:p w:rsidR="002111C4" w:rsidRPr="00FA5C99" w:rsidRDefault="002111C4" w:rsidP="006E6136">
      <w:pPr>
        <w:spacing w:line="276" w:lineRule="auto"/>
        <w:rPr>
          <w:b/>
          <w:sz w:val="24"/>
        </w:rPr>
      </w:pPr>
    </w:p>
    <w:p w:rsidR="002111C4" w:rsidRPr="00FA5C99" w:rsidRDefault="00EF556A" w:rsidP="006E6136">
      <w:pPr>
        <w:spacing w:line="276" w:lineRule="auto"/>
        <w:rPr>
          <w:sz w:val="24"/>
        </w:rPr>
      </w:pPr>
      <w:r>
        <w:rPr>
          <w:sz w:val="24"/>
        </w:rPr>
        <w:t>The need to</w:t>
      </w:r>
      <w:r w:rsidR="002111C4" w:rsidRPr="00FA5C99">
        <w:rPr>
          <w:sz w:val="24"/>
        </w:rPr>
        <w:t xml:space="preserve"> fully assess the capacity of local public health authorities to carry out their</w:t>
      </w:r>
      <w:r w:rsidR="00F72872" w:rsidRPr="00FA5C99">
        <w:rPr>
          <w:sz w:val="24"/>
        </w:rPr>
        <w:t xml:space="preserve"> statutory powers and duties</w:t>
      </w:r>
      <w:r w:rsidR="006F344C">
        <w:rPr>
          <w:sz w:val="24"/>
        </w:rPr>
        <w:t xml:space="preserve"> has been raised. </w:t>
      </w:r>
      <w:r w:rsidR="007C5CE5">
        <w:rPr>
          <w:sz w:val="24"/>
        </w:rPr>
        <w:t>T</w:t>
      </w:r>
      <w:r w:rsidR="00F72872" w:rsidRPr="00FA5C99">
        <w:rPr>
          <w:sz w:val="24"/>
        </w:rPr>
        <w:t xml:space="preserve">he Data Subcommittee recognizes the importance </w:t>
      </w:r>
      <w:r w:rsidR="009A32F3" w:rsidRPr="00FA5C99">
        <w:rPr>
          <w:sz w:val="24"/>
        </w:rPr>
        <w:t xml:space="preserve">of exploring </w:t>
      </w:r>
      <w:r w:rsidR="002111C4" w:rsidRPr="00FA5C99">
        <w:rPr>
          <w:sz w:val="24"/>
        </w:rPr>
        <w:t xml:space="preserve">capacity </w:t>
      </w:r>
      <w:r w:rsidR="009A32F3" w:rsidRPr="00FA5C99">
        <w:rPr>
          <w:sz w:val="24"/>
        </w:rPr>
        <w:t xml:space="preserve">along several dimensions </w:t>
      </w:r>
      <w:r w:rsidR="002111C4" w:rsidRPr="00FA5C99">
        <w:rPr>
          <w:sz w:val="24"/>
        </w:rPr>
        <w:t xml:space="preserve">(structure, workforce, </w:t>
      </w:r>
      <w:r w:rsidR="009A32F3" w:rsidRPr="00FA5C99">
        <w:rPr>
          <w:sz w:val="24"/>
        </w:rPr>
        <w:t xml:space="preserve">and funding). </w:t>
      </w:r>
      <w:r w:rsidR="00F72872" w:rsidRPr="00FA5C99">
        <w:rPr>
          <w:sz w:val="24"/>
        </w:rPr>
        <w:t xml:space="preserve">A </w:t>
      </w:r>
      <w:r w:rsidR="002111C4" w:rsidRPr="00FA5C99">
        <w:rPr>
          <w:sz w:val="24"/>
        </w:rPr>
        <w:t>robust capac</w:t>
      </w:r>
      <w:r w:rsidR="00F72872" w:rsidRPr="00FA5C99">
        <w:rPr>
          <w:sz w:val="24"/>
        </w:rPr>
        <w:t xml:space="preserve">ity assessment to determine the capacity of the Massachusetts local public health system </w:t>
      </w:r>
      <w:r w:rsidR="002111C4" w:rsidRPr="00FA5C99">
        <w:rPr>
          <w:sz w:val="24"/>
        </w:rPr>
        <w:t xml:space="preserve">to deliver the FPHS services model will illustrate that there are variations in the </w:t>
      </w:r>
      <w:r w:rsidR="002111C4" w:rsidRPr="00FA5C99">
        <w:rPr>
          <w:sz w:val="24"/>
        </w:rPr>
        <w:lastRenderedPageBreak/>
        <w:t>ability to implement the FPHS components.</w:t>
      </w:r>
      <w:r w:rsidR="009A32F3" w:rsidRPr="00FA5C99">
        <w:rPr>
          <w:sz w:val="24"/>
        </w:rPr>
        <w:t xml:space="preserve"> Such a capacity assessment, similar to that conducted in other states, will be an important next step.</w:t>
      </w:r>
    </w:p>
    <w:p w:rsidR="002111C4" w:rsidRPr="00FA5C99" w:rsidRDefault="002111C4" w:rsidP="002111C4">
      <w:pPr>
        <w:rPr>
          <w:sz w:val="24"/>
        </w:rPr>
      </w:pPr>
    </w:p>
    <w:p w:rsidR="00240C76" w:rsidRPr="006E6136" w:rsidRDefault="00240C76" w:rsidP="006E6136">
      <w:pPr>
        <w:spacing w:line="276" w:lineRule="auto"/>
        <w:rPr>
          <w:sz w:val="24"/>
          <w:szCs w:val="24"/>
        </w:rPr>
      </w:pPr>
      <w:r w:rsidRPr="006E6136">
        <w:rPr>
          <w:sz w:val="24"/>
          <w:szCs w:val="24"/>
        </w:rPr>
        <w:t xml:space="preserve">The Data Subcommittee plans to </w:t>
      </w:r>
    </w:p>
    <w:p w:rsidR="00240C76" w:rsidRPr="006E6136" w:rsidRDefault="00240C76" w:rsidP="00C1703D">
      <w:pPr>
        <w:spacing w:line="276" w:lineRule="auto"/>
        <w:rPr>
          <w:sz w:val="24"/>
          <w:szCs w:val="24"/>
        </w:rPr>
      </w:pPr>
    </w:p>
    <w:p w:rsidR="00240C76" w:rsidRPr="006E6136" w:rsidRDefault="00240C76" w:rsidP="006E6136">
      <w:pPr>
        <w:pStyle w:val="ListParagraph"/>
        <w:numPr>
          <w:ilvl w:val="0"/>
          <w:numId w:val="28"/>
        </w:numPr>
        <w:spacing w:line="276" w:lineRule="auto"/>
        <w:rPr>
          <w:sz w:val="24"/>
          <w:szCs w:val="24"/>
        </w:rPr>
      </w:pPr>
      <w:r w:rsidRPr="006E6136">
        <w:rPr>
          <w:sz w:val="24"/>
          <w:szCs w:val="24"/>
        </w:rPr>
        <w:t>Explore with the Commission the development of a robust capacity assessment (structure, workforce</w:t>
      </w:r>
      <w:r w:rsidR="00EF556A">
        <w:rPr>
          <w:sz w:val="24"/>
          <w:szCs w:val="24"/>
        </w:rPr>
        <w:t>,</w:t>
      </w:r>
      <w:r w:rsidRPr="006E6136">
        <w:rPr>
          <w:sz w:val="24"/>
          <w:szCs w:val="24"/>
        </w:rPr>
        <w:t xml:space="preserve"> and funding) to determine the capacity of the Massachusetts local public health system to deliver the FPHS services model will illustrate that there are variations in the ability to implement the FPHS components. Such a capacity assessment, similar to that conducted in other states, will be an important next step.</w:t>
      </w:r>
    </w:p>
    <w:p w:rsidR="00240C76" w:rsidRPr="006E6136" w:rsidRDefault="00240C76" w:rsidP="006E6136">
      <w:pPr>
        <w:pStyle w:val="ListParagraph"/>
        <w:numPr>
          <w:ilvl w:val="0"/>
          <w:numId w:val="28"/>
        </w:numPr>
        <w:spacing w:line="276" w:lineRule="auto"/>
        <w:rPr>
          <w:sz w:val="24"/>
          <w:szCs w:val="24"/>
        </w:rPr>
      </w:pPr>
      <w:r w:rsidRPr="006E6136">
        <w:rPr>
          <w:sz w:val="24"/>
          <w:szCs w:val="24"/>
        </w:rPr>
        <w:t>Review and evaluate data reporting requirements for local public health in other states such as Ohio, New Jersey, and Connecticut and will make recommendations on how to strengthen the local public health reporting system in Massachusetts.</w:t>
      </w:r>
    </w:p>
    <w:p w:rsidR="00240C76" w:rsidRPr="006E6136" w:rsidRDefault="00240C76" w:rsidP="006E6136">
      <w:pPr>
        <w:pStyle w:val="ListParagraph"/>
        <w:numPr>
          <w:ilvl w:val="0"/>
          <w:numId w:val="28"/>
        </w:numPr>
        <w:spacing w:line="276" w:lineRule="auto"/>
        <w:rPr>
          <w:sz w:val="24"/>
          <w:szCs w:val="24"/>
        </w:rPr>
      </w:pPr>
      <w:r w:rsidRPr="006E6136">
        <w:rPr>
          <w:sz w:val="24"/>
          <w:szCs w:val="24"/>
        </w:rPr>
        <w:t>Explore new data reporting collection efforts</w:t>
      </w:r>
      <w:r w:rsidR="00650217" w:rsidRPr="006E6136">
        <w:rPr>
          <w:sz w:val="24"/>
          <w:szCs w:val="24"/>
        </w:rPr>
        <w:t>.</w:t>
      </w:r>
    </w:p>
    <w:p w:rsidR="00240C76" w:rsidRPr="006E6136" w:rsidRDefault="00240C76" w:rsidP="006E6136">
      <w:pPr>
        <w:pStyle w:val="ListParagraph"/>
        <w:numPr>
          <w:ilvl w:val="0"/>
          <w:numId w:val="28"/>
        </w:numPr>
        <w:spacing w:line="276" w:lineRule="auto"/>
        <w:rPr>
          <w:sz w:val="24"/>
          <w:szCs w:val="24"/>
        </w:rPr>
      </w:pPr>
      <w:r w:rsidRPr="006E6136">
        <w:rPr>
          <w:sz w:val="24"/>
          <w:szCs w:val="24"/>
        </w:rPr>
        <w:t>Review and incorporate feedback from the listening sessions regarding capacity at multiple levels (structure, workforce, funding) to ensure local public health authorities are able to carry out their statutory powers and duties.</w:t>
      </w:r>
    </w:p>
    <w:p w:rsidR="00240C76" w:rsidRDefault="00240C76" w:rsidP="00240C76">
      <w:pPr>
        <w:rPr>
          <w:b/>
        </w:rPr>
      </w:pPr>
    </w:p>
    <w:p w:rsidR="00C91452" w:rsidRDefault="00C91452" w:rsidP="004F27C0">
      <w:pPr>
        <w:spacing w:after="200" w:line="276" w:lineRule="auto"/>
        <w:contextualSpacing/>
        <w:rPr>
          <w:rFonts w:asciiTheme="minorHAnsi" w:eastAsia="Times New Roman" w:hAnsiTheme="minorHAnsi" w:cs="Calibri"/>
          <w:spacing w:val="5"/>
          <w:kern w:val="28"/>
          <w:sz w:val="24"/>
          <w:szCs w:val="24"/>
        </w:rPr>
      </w:pPr>
    </w:p>
    <w:p w:rsidR="00510E7D" w:rsidRPr="001D2606" w:rsidRDefault="004F27C0" w:rsidP="00733829">
      <w:pPr>
        <w:spacing w:after="200" w:line="276" w:lineRule="auto"/>
        <w:contextualSpacing/>
        <w:rPr>
          <w:rFonts w:asciiTheme="minorHAnsi" w:hAnsiTheme="minorHAnsi" w:cs="Helvetica"/>
          <w:sz w:val="24"/>
          <w:szCs w:val="24"/>
          <w:shd w:val="clear" w:color="auto" w:fill="FFFFFF"/>
        </w:rPr>
      </w:pPr>
      <w:r w:rsidRPr="004F27C0">
        <w:rPr>
          <w:rFonts w:asciiTheme="minorHAnsi" w:eastAsia="Times New Roman" w:hAnsiTheme="minorHAnsi" w:cs="Calibri"/>
          <w:noProof/>
          <w:spacing w:val="5"/>
          <w:kern w:val="28"/>
          <w:sz w:val="24"/>
          <w:szCs w:val="24"/>
        </w:rPr>
        <mc:AlternateContent>
          <mc:Choice Requires="wps">
            <w:drawing>
              <wp:anchor distT="0" distB="0" distL="114300" distR="114300" simplePos="0" relativeHeight="251663360" behindDoc="1" locked="0" layoutInCell="1" allowOverlap="1" wp14:anchorId="6AFCDCD9" wp14:editId="01B14EB9">
                <wp:simplePos x="0" y="0"/>
                <wp:positionH relativeFrom="column">
                  <wp:align>center</wp:align>
                </wp:positionH>
                <wp:positionV relativeFrom="paragraph">
                  <wp:posOffset>0</wp:posOffset>
                </wp:positionV>
                <wp:extent cx="5943600" cy="1403985"/>
                <wp:effectExtent l="0" t="0" r="19050" b="15875"/>
                <wp:wrapTight wrapText="bothSides">
                  <wp:wrapPolygon edited="0">
                    <wp:start x="0" y="0"/>
                    <wp:lineTo x="0" y="21445"/>
                    <wp:lineTo x="21600" y="21445"/>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rgbClr val="000000"/>
                          </a:solidFill>
                          <a:miter lim="800000"/>
                          <a:headEnd/>
                          <a:tailEnd/>
                        </a:ln>
                      </wps:spPr>
                      <wps:txbx>
                        <w:txbxContent>
                          <w:p w:rsidR="009742A9" w:rsidRPr="00287019" w:rsidRDefault="009742A9" w:rsidP="000A0AB7">
                            <w:pPr>
                              <w:pStyle w:val="ListParagraph"/>
                              <w:numPr>
                                <w:ilvl w:val="0"/>
                                <w:numId w:val="15"/>
                              </w:numPr>
                              <w:rPr>
                                <w:b/>
                                <w:sz w:val="24"/>
                              </w:rPr>
                            </w:pPr>
                            <w:r w:rsidRPr="00287019">
                              <w:rPr>
                                <w:b/>
                                <w:sz w:val="24"/>
                              </w:rPr>
                              <w:t>Evaluate existing municipal and state resources for local health and assess per capita funding levels within municipalities for local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0;margin-top:0;width:468pt;height:110.55pt;z-index:-2516531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" fillcolor="#c6d9f1 [671]">
                <v:textbox style="mso-fit-shape-to-text:t">
                  <w:txbxContent>
                    <w:p w:rsidR="009742A9" w:rsidRPr="00287019" w:rsidRDefault="009742A9" w:rsidP="000A0AB7">
                      <w:pPr>
                        <w:pStyle w:val="ListParagraph"/>
                        <w:numPr>
                          <w:ilvl w:val="0"/>
                          <w:numId w:val="15"/>
                        </w:numPr>
                        <w:rPr>
                          <w:b/>
                          <w:sz w:val="24"/>
                        </w:rPr>
                      </w:pPr>
                      <w:r w:rsidRPr="00287019">
                        <w:rPr>
                          <w:b/>
                          <w:sz w:val="24"/>
                        </w:rPr>
                        <w:t>Evaluate existing municipal and state resources for local health and assess per capita funding levels within municipalities for local health</w:t>
                      </w:r>
                    </w:p>
                  </w:txbxContent>
                </v:textbox>
                <w10:wrap type="tight"/>
              </v:shape>
            </w:pict>
          </mc:Fallback>
        </mc:AlternateContent>
      </w:r>
    </w:p>
    <w:p w:rsidR="000A79DD" w:rsidRDefault="003E02AD" w:rsidP="002020C1">
      <w:pPr>
        <w:spacing w:line="276" w:lineRule="auto"/>
        <w:rPr>
          <w:rFonts w:asciiTheme="minorHAnsi" w:hAnsiTheme="minorHAnsi" w:cs="Helvetica"/>
          <w:sz w:val="24"/>
          <w:szCs w:val="24"/>
          <w:shd w:val="clear" w:color="auto" w:fill="FFFFFF"/>
        </w:rPr>
      </w:pPr>
      <w:r w:rsidRPr="000C2DBE">
        <w:rPr>
          <w:rFonts w:asciiTheme="minorHAnsi" w:hAnsiTheme="minorHAnsi" w:cs="Helvetica"/>
          <w:sz w:val="24"/>
          <w:szCs w:val="24"/>
          <w:shd w:val="clear" w:color="auto" w:fill="FFFFFF"/>
        </w:rPr>
        <w:t xml:space="preserve">Unlike most other states, Massachusetts </w:t>
      </w:r>
      <w:r w:rsidR="00F82C6C" w:rsidRPr="000C2DBE">
        <w:rPr>
          <w:sz w:val="24"/>
          <w:szCs w:val="16"/>
        </w:rPr>
        <w:t xml:space="preserve">uses </w:t>
      </w:r>
      <w:r w:rsidR="002E25D5" w:rsidRPr="000C2DBE">
        <w:rPr>
          <w:sz w:val="24"/>
          <w:szCs w:val="16"/>
        </w:rPr>
        <w:t xml:space="preserve">municipal funding (as well as discretionary and variable use of </w:t>
      </w:r>
      <w:r w:rsidR="00F82C6C" w:rsidRPr="000C2DBE">
        <w:rPr>
          <w:sz w:val="24"/>
          <w:szCs w:val="16"/>
        </w:rPr>
        <w:t>general local aid</w:t>
      </w:r>
      <w:r w:rsidR="002E25D5" w:rsidRPr="000C2DBE">
        <w:rPr>
          <w:sz w:val="24"/>
          <w:szCs w:val="16"/>
        </w:rPr>
        <w:t>)</w:t>
      </w:r>
      <w:r w:rsidR="00F82C6C" w:rsidRPr="000C2DBE">
        <w:rPr>
          <w:sz w:val="24"/>
          <w:szCs w:val="16"/>
        </w:rPr>
        <w:t xml:space="preserve"> as </w:t>
      </w:r>
      <w:r w:rsidR="00D013EC" w:rsidRPr="000C2DBE">
        <w:rPr>
          <w:sz w:val="24"/>
          <w:szCs w:val="16"/>
        </w:rPr>
        <w:t>the</w:t>
      </w:r>
      <w:r w:rsidR="00E5320D" w:rsidRPr="000C2DBE">
        <w:rPr>
          <w:sz w:val="24"/>
          <w:szCs w:val="16"/>
        </w:rPr>
        <w:t xml:space="preserve"> </w:t>
      </w:r>
      <w:r w:rsidR="00F82C6C" w:rsidRPr="000C2DBE">
        <w:rPr>
          <w:sz w:val="24"/>
          <w:szCs w:val="16"/>
        </w:rPr>
        <w:t xml:space="preserve">mechanism </w:t>
      </w:r>
      <w:r w:rsidR="00D013EC" w:rsidRPr="000C2DBE">
        <w:rPr>
          <w:sz w:val="24"/>
          <w:szCs w:val="16"/>
        </w:rPr>
        <w:t>for funding core public health services at the municipal level</w:t>
      </w:r>
      <w:r w:rsidR="00E5320D" w:rsidRPr="000C2DBE">
        <w:rPr>
          <w:sz w:val="24"/>
          <w:szCs w:val="16"/>
        </w:rPr>
        <w:t>.</w:t>
      </w:r>
      <w:r w:rsidR="00D013EC" w:rsidRPr="000C2DBE">
        <w:rPr>
          <w:sz w:val="24"/>
          <w:szCs w:val="16"/>
        </w:rPr>
        <w:t xml:space="preserve"> </w:t>
      </w:r>
      <w:r w:rsidR="002E25D5" w:rsidRPr="000C2DBE">
        <w:rPr>
          <w:sz w:val="24"/>
          <w:szCs w:val="16"/>
        </w:rPr>
        <w:t xml:space="preserve">There is considerable variation in local public health funding because it is primarily supported at the local level. </w:t>
      </w:r>
      <w:r w:rsidR="00DD19EE" w:rsidRPr="000C2DBE">
        <w:rPr>
          <w:sz w:val="24"/>
          <w:szCs w:val="16"/>
        </w:rPr>
        <w:t>Local public health is also supported by other resources and funding sources (including categorical state funding and DPH staff)</w:t>
      </w:r>
      <w:r w:rsidR="00F42130" w:rsidRPr="000C2DBE">
        <w:rPr>
          <w:sz w:val="24"/>
          <w:szCs w:val="16"/>
        </w:rPr>
        <w:t xml:space="preserve"> as described in this report on </w:t>
      </w:r>
      <w:r w:rsidR="00EE27CF" w:rsidRPr="000C2DBE">
        <w:rPr>
          <w:sz w:val="24"/>
          <w:szCs w:val="16"/>
        </w:rPr>
        <w:t xml:space="preserve">page 9 and page 21 </w:t>
      </w:r>
      <w:r w:rsidR="00DD19EE" w:rsidRPr="000C2DBE">
        <w:rPr>
          <w:sz w:val="24"/>
          <w:szCs w:val="16"/>
        </w:rPr>
        <w:t xml:space="preserve">. </w:t>
      </w:r>
      <w:r w:rsidR="000A79DD" w:rsidRPr="000C2DBE">
        <w:rPr>
          <w:rFonts w:asciiTheme="minorHAnsi" w:hAnsiTheme="minorHAnsi" w:cs="Helvetica"/>
          <w:sz w:val="24"/>
          <w:szCs w:val="24"/>
          <w:shd w:val="clear" w:color="auto" w:fill="FFFFFF"/>
        </w:rPr>
        <w:t>In its deliberations, the Commission has no</w:t>
      </w:r>
      <w:r w:rsidR="002C7D17" w:rsidRPr="000C2DBE">
        <w:rPr>
          <w:rFonts w:asciiTheme="minorHAnsi" w:hAnsiTheme="minorHAnsi" w:cs="Helvetica"/>
          <w:sz w:val="24"/>
          <w:szCs w:val="24"/>
          <w:shd w:val="clear" w:color="auto" w:fill="FFFFFF"/>
        </w:rPr>
        <w:t>ted that</w:t>
      </w:r>
      <w:r w:rsidR="000A79DD" w:rsidRPr="000C2DBE">
        <w:rPr>
          <w:rFonts w:asciiTheme="minorHAnsi" w:hAnsiTheme="minorHAnsi" w:cs="Helvetica"/>
          <w:sz w:val="24"/>
          <w:szCs w:val="24"/>
          <w:shd w:val="clear" w:color="auto" w:fill="FFFFFF"/>
        </w:rPr>
        <w:t xml:space="preserve"> “more funding” is not the </w:t>
      </w:r>
      <w:r w:rsidR="002E25D5" w:rsidRPr="000C2DBE">
        <w:rPr>
          <w:rFonts w:asciiTheme="minorHAnsi" w:hAnsiTheme="minorHAnsi" w:cs="Helvetica"/>
          <w:sz w:val="24"/>
          <w:szCs w:val="24"/>
          <w:shd w:val="clear" w:color="auto" w:fill="FFFFFF"/>
        </w:rPr>
        <w:t xml:space="preserve">sole </w:t>
      </w:r>
      <w:r w:rsidR="000A79DD" w:rsidRPr="000C2DBE">
        <w:rPr>
          <w:rFonts w:asciiTheme="minorHAnsi" w:hAnsiTheme="minorHAnsi" w:cs="Helvetica"/>
          <w:sz w:val="24"/>
          <w:szCs w:val="24"/>
          <w:shd w:val="clear" w:color="auto" w:fill="FFFFFF"/>
        </w:rPr>
        <w:t>solution to “more effective and efficient municipal and regional public health systems</w:t>
      </w:r>
      <w:r w:rsidR="00EF556A" w:rsidRPr="000C2DBE">
        <w:rPr>
          <w:rFonts w:asciiTheme="minorHAnsi" w:hAnsiTheme="minorHAnsi" w:cs="Helvetica"/>
          <w:sz w:val="24"/>
          <w:szCs w:val="24"/>
          <w:shd w:val="clear" w:color="auto" w:fill="FFFFFF"/>
        </w:rPr>
        <w:t>.”</w:t>
      </w:r>
      <w:r w:rsidR="00F82C6C">
        <w:rPr>
          <w:rFonts w:asciiTheme="minorHAnsi" w:hAnsiTheme="minorHAnsi" w:cs="Helvetica"/>
          <w:sz w:val="24"/>
          <w:szCs w:val="24"/>
          <w:shd w:val="clear" w:color="auto" w:fill="FFFFFF"/>
        </w:rPr>
        <w:t xml:space="preserve"> </w:t>
      </w:r>
    </w:p>
    <w:p w:rsidR="00F82C6C" w:rsidRDefault="00F82C6C" w:rsidP="002020C1">
      <w:pPr>
        <w:spacing w:line="276" w:lineRule="auto"/>
        <w:rPr>
          <w:sz w:val="16"/>
          <w:szCs w:val="16"/>
        </w:rPr>
      </w:pPr>
    </w:p>
    <w:p w:rsidR="00FC38AA" w:rsidRDefault="003E02AD" w:rsidP="002020C1">
      <w:pPr>
        <w:spacing w:line="276" w:lineRule="auto"/>
        <w:rPr>
          <w:rFonts w:asciiTheme="minorHAnsi" w:hAnsiTheme="minorHAnsi" w:cs="Helvetica"/>
          <w:sz w:val="24"/>
          <w:szCs w:val="24"/>
          <w:shd w:val="clear" w:color="auto" w:fill="FFFFFF"/>
        </w:rPr>
      </w:pPr>
      <w:r w:rsidRPr="001D2606">
        <w:rPr>
          <w:rFonts w:asciiTheme="minorHAnsi" w:hAnsiTheme="minorHAnsi" w:cs="Helvetica"/>
          <w:sz w:val="24"/>
          <w:szCs w:val="24"/>
          <w:shd w:val="clear" w:color="auto" w:fill="FFFFFF"/>
        </w:rPr>
        <w:t xml:space="preserve">The Finance Subcommittee has held one meeting during which it discussed challenges in collecting a uniform set of information about local public health funding in </w:t>
      </w:r>
      <w:r w:rsidR="00E5320D">
        <w:rPr>
          <w:rFonts w:asciiTheme="minorHAnsi" w:hAnsiTheme="minorHAnsi" w:cs="Helvetica"/>
          <w:sz w:val="24"/>
          <w:szCs w:val="24"/>
          <w:shd w:val="clear" w:color="auto" w:fill="FFFFFF"/>
        </w:rPr>
        <w:t>each Massachusetts communities.</w:t>
      </w:r>
      <w:r w:rsidR="001B60E7">
        <w:rPr>
          <w:rFonts w:asciiTheme="minorHAnsi" w:hAnsiTheme="minorHAnsi" w:cs="Helvetica"/>
          <w:sz w:val="24"/>
          <w:szCs w:val="24"/>
          <w:shd w:val="clear" w:color="auto" w:fill="FFFFFF"/>
        </w:rPr>
        <w:t xml:space="preserve"> </w:t>
      </w:r>
      <w:r w:rsidRPr="001D2606">
        <w:rPr>
          <w:rFonts w:asciiTheme="minorHAnsi" w:hAnsiTheme="minorHAnsi" w:cs="Helvetica"/>
          <w:sz w:val="24"/>
          <w:szCs w:val="24"/>
          <w:shd w:val="clear" w:color="auto" w:fill="FFFFFF"/>
        </w:rPr>
        <w:t xml:space="preserve">Among the challenges are variations in the services provided by communities (for example, animal control is more often a public safety </w:t>
      </w:r>
      <w:r w:rsidR="00510E7D" w:rsidRPr="001D2606">
        <w:rPr>
          <w:rFonts w:asciiTheme="minorHAnsi" w:hAnsiTheme="minorHAnsi" w:cs="Helvetica"/>
          <w:sz w:val="24"/>
          <w:szCs w:val="24"/>
          <w:shd w:val="clear" w:color="auto" w:fill="FFFFFF"/>
        </w:rPr>
        <w:t xml:space="preserve">than public health responsibility). Other financing issues will depend upon recommendations of </w:t>
      </w:r>
      <w:r w:rsidR="000A79DD">
        <w:rPr>
          <w:rFonts w:asciiTheme="minorHAnsi" w:hAnsiTheme="minorHAnsi" w:cs="Helvetica"/>
          <w:sz w:val="24"/>
          <w:szCs w:val="24"/>
          <w:shd w:val="clear" w:color="auto" w:fill="FFFFFF"/>
        </w:rPr>
        <w:t xml:space="preserve">the Commission and its </w:t>
      </w:r>
      <w:r w:rsidR="00510E7D" w:rsidRPr="001D2606">
        <w:rPr>
          <w:rFonts w:asciiTheme="minorHAnsi" w:hAnsiTheme="minorHAnsi" w:cs="Helvetica"/>
          <w:sz w:val="24"/>
          <w:szCs w:val="24"/>
          <w:shd w:val="clear" w:color="auto" w:fill="FFFFFF"/>
        </w:rPr>
        <w:t>subcommittees.</w:t>
      </w:r>
    </w:p>
    <w:p w:rsidR="00733829" w:rsidRPr="001D2606" w:rsidRDefault="00733829" w:rsidP="002020C1">
      <w:pPr>
        <w:spacing w:line="276" w:lineRule="auto"/>
        <w:rPr>
          <w:rFonts w:asciiTheme="minorHAnsi" w:hAnsiTheme="minorHAnsi" w:cs="Helvetica"/>
          <w:sz w:val="24"/>
          <w:szCs w:val="24"/>
          <w:shd w:val="clear" w:color="auto" w:fill="FFFFFF"/>
        </w:rPr>
      </w:pPr>
    </w:p>
    <w:p w:rsidR="00510E7D" w:rsidRPr="001D2606" w:rsidRDefault="004F27C0" w:rsidP="00840C0E">
      <w:pPr>
        <w:rPr>
          <w:rFonts w:asciiTheme="minorHAnsi" w:hAnsiTheme="minorHAnsi" w:cs="Helvetica"/>
          <w:sz w:val="24"/>
          <w:szCs w:val="24"/>
          <w:shd w:val="clear" w:color="auto" w:fill="FFFFFF"/>
        </w:rPr>
      </w:pPr>
      <w:r w:rsidRPr="004F27C0">
        <w:rPr>
          <w:rFonts w:asciiTheme="minorHAnsi" w:hAnsiTheme="minorHAnsi" w:cs="Helvetica"/>
          <w:b/>
          <w:noProof/>
          <w:color w:val="548DD4" w:themeColor="text2" w:themeTint="99"/>
          <w:sz w:val="24"/>
          <w:szCs w:val="24"/>
          <w:shd w:val="clear" w:color="auto" w:fill="FFFFFF"/>
        </w:rPr>
        <w:lastRenderedPageBreak/>
        <mc:AlternateContent>
          <mc:Choice Requires="wps">
            <w:drawing>
              <wp:anchor distT="0" distB="0" distL="114300" distR="114300" simplePos="0" relativeHeight="251665408" behindDoc="1" locked="0" layoutInCell="1" allowOverlap="1" wp14:anchorId="0A25B340" wp14:editId="635A5FE3">
                <wp:simplePos x="0" y="0"/>
                <wp:positionH relativeFrom="column">
                  <wp:align>center</wp:align>
                </wp:positionH>
                <wp:positionV relativeFrom="paragraph">
                  <wp:posOffset>0</wp:posOffset>
                </wp:positionV>
                <wp:extent cx="5943600" cy="1403985"/>
                <wp:effectExtent l="0" t="0" r="19050" b="15875"/>
                <wp:wrapTight wrapText="bothSides">
                  <wp:wrapPolygon edited="0">
                    <wp:start x="0" y="0"/>
                    <wp:lineTo x="0" y="21445"/>
                    <wp:lineTo x="21600" y="21445"/>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rgbClr val="000000"/>
                          </a:solidFill>
                          <a:miter lim="800000"/>
                          <a:headEnd/>
                          <a:tailEnd/>
                        </a:ln>
                      </wps:spPr>
                      <wps:txbx>
                        <w:txbxContent>
                          <w:p w:rsidR="009742A9" w:rsidRPr="00287019" w:rsidRDefault="009742A9" w:rsidP="000A0AB7">
                            <w:pPr>
                              <w:pStyle w:val="ListParagraph"/>
                              <w:numPr>
                                <w:ilvl w:val="0"/>
                                <w:numId w:val="14"/>
                              </w:numPr>
                              <w:rPr>
                                <w:b/>
                                <w:sz w:val="24"/>
                              </w:rPr>
                            </w:pPr>
                            <w:r w:rsidRPr="00287019">
                              <w:rPr>
                                <w:b/>
                                <w:sz w:val="24"/>
                              </w:rPr>
                              <w:t>Evaluate the workforce credentials of the current and future public health workforce as to educational standards, credentialing and training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0;margin-top:0;width:468pt;height:110.55pt;z-index:-2516510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" fillcolor="#c6d9f1 [671]">
                <v:textbox style="mso-fit-shape-to-text:t">
                  <w:txbxContent>
                    <w:p w:rsidR="009742A9" w:rsidRPr="00287019" w:rsidRDefault="009742A9" w:rsidP="000A0AB7">
                      <w:pPr>
                        <w:pStyle w:val="ListParagraph"/>
                        <w:numPr>
                          <w:ilvl w:val="0"/>
                          <w:numId w:val="14"/>
                        </w:numPr>
                        <w:rPr>
                          <w:b/>
                          <w:sz w:val="24"/>
                        </w:rPr>
                      </w:pPr>
                      <w:r w:rsidRPr="00287019">
                        <w:rPr>
                          <w:b/>
                          <w:sz w:val="24"/>
                        </w:rPr>
                        <w:t>Evaluate the workforce credentials of the current and future public health workforce as to educational standards, credentialing and training</w:t>
                      </w:r>
                    </w:p>
                  </w:txbxContent>
                </v:textbox>
                <w10:wrap type="tight"/>
              </v:shape>
            </w:pict>
          </mc:Fallback>
        </mc:AlternateContent>
      </w:r>
    </w:p>
    <w:p w:rsidR="002C7D17" w:rsidRPr="00BE22F3" w:rsidRDefault="002C7D17" w:rsidP="00422230">
      <w:pPr>
        <w:spacing w:line="276" w:lineRule="auto"/>
        <w:rPr>
          <w:sz w:val="24"/>
        </w:rPr>
      </w:pPr>
      <w:r w:rsidRPr="00BE22F3">
        <w:rPr>
          <w:sz w:val="24"/>
        </w:rPr>
        <w:t xml:space="preserve">The Massachusetts local public health workforce includes the hundreds of public health professionals and </w:t>
      </w:r>
      <w:r w:rsidR="009A32F3">
        <w:rPr>
          <w:sz w:val="24"/>
        </w:rPr>
        <w:t xml:space="preserve">elected or appointed </w:t>
      </w:r>
      <w:r w:rsidRPr="00BE22F3">
        <w:rPr>
          <w:sz w:val="24"/>
        </w:rPr>
        <w:t xml:space="preserve">members of local boards of health </w:t>
      </w:r>
      <w:r w:rsidR="00BE22F3" w:rsidRPr="00BE22F3">
        <w:rPr>
          <w:sz w:val="24"/>
        </w:rPr>
        <w:t>who work every day to protect and improve the health of their communities.</w:t>
      </w:r>
    </w:p>
    <w:p w:rsidR="002C7D17" w:rsidRPr="00BE22F3" w:rsidRDefault="002C7D17" w:rsidP="00422230">
      <w:pPr>
        <w:spacing w:line="276" w:lineRule="auto"/>
        <w:rPr>
          <w:sz w:val="24"/>
        </w:rPr>
      </w:pPr>
    </w:p>
    <w:p w:rsidR="002111C4" w:rsidRPr="00BE22F3" w:rsidRDefault="002111C4" w:rsidP="00422230">
      <w:pPr>
        <w:spacing w:line="276" w:lineRule="auto"/>
        <w:rPr>
          <w:rFonts w:asciiTheme="minorHAnsi" w:hAnsiTheme="minorHAnsi"/>
        </w:rPr>
      </w:pPr>
      <w:r w:rsidRPr="00BE22F3">
        <w:rPr>
          <w:sz w:val="24"/>
        </w:rPr>
        <w:t xml:space="preserve">Massachusetts </w:t>
      </w:r>
      <w:r w:rsidR="00D013EC">
        <w:rPr>
          <w:sz w:val="24"/>
        </w:rPr>
        <w:t>does not have</w:t>
      </w:r>
      <w:r w:rsidR="00E5320D">
        <w:rPr>
          <w:sz w:val="24"/>
        </w:rPr>
        <w:t xml:space="preserve"> </w:t>
      </w:r>
      <w:r w:rsidRPr="00BE22F3">
        <w:rPr>
          <w:sz w:val="24"/>
        </w:rPr>
        <w:t>standards for experience, training</w:t>
      </w:r>
      <w:r w:rsidR="009A32F3">
        <w:rPr>
          <w:sz w:val="24"/>
        </w:rPr>
        <w:t>,</w:t>
      </w:r>
      <w:r w:rsidRPr="00BE22F3">
        <w:rPr>
          <w:sz w:val="24"/>
        </w:rPr>
        <w:t xml:space="preserve"> or credentials for the local public health workforce. This results in a lack of</w:t>
      </w:r>
      <w:r w:rsidR="009A32F3">
        <w:rPr>
          <w:sz w:val="24"/>
        </w:rPr>
        <w:t xml:space="preserve"> consistency in the ability of boards of h</w:t>
      </w:r>
      <w:r w:rsidRPr="00BE22F3">
        <w:rPr>
          <w:sz w:val="24"/>
        </w:rPr>
        <w:t>ealth (BOH) to adequately provide public health services to resi</w:t>
      </w:r>
      <w:r w:rsidR="009A32F3">
        <w:rPr>
          <w:sz w:val="24"/>
        </w:rPr>
        <w:t xml:space="preserve">dents across the Commonwealth. Those who provide local public health services </w:t>
      </w:r>
      <w:r w:rsidRPr="00BE22F3">
        <w:rPr>
          <w:sz w:val="24"/>
        </w:rPr>
        <w:t>across the state range from trained and experienced staff to contractors, volunteers</w:t>
      </w:r>
      <w:r w:rsidR="009A32F3">
        <w:rPr>
          <w:sz w:val="24"/>
        </w:rPr>
        <w:t xml:space="preserve">, or board members. </w:t>
      </w:r>
      <w:r w:rsidRPr="00BE22F3">
        <w:rPr>
          <w:sz w:val="24"/>
        </w:rPr>
        <w:t xml:space="preserve">The pool of trained local public health workers and the pipeline for public health workers is minimal and is further exacerbated by the large number of experienced local public health workers who are expected to retire in the next few years. </w:t>
      </w:r>
      <w:r w:rsidRPr="00BE22F3">
        <w:rPr>
          <w:rFonts w:asciiTheme="minorHAnsi" w:hAnsiTheme="minorHAnsi" w:cs="Helvetica"/>
          <w:sz w:val="24"/>
          <w:szCs w:val="24"/>
          <w:shd w:val="clear" w:color="auto" w:fill="FFFFFF"/>
        </w:rPr>
        <w:t xml:space="preserve">The lack of a standard for experience, training, credentialing, and staffing for local public health </w:t>
      </w:r>
      <w:r w:rsidR="009A32F3">
        <w:rPr>
          <w:rFonts w:asciiTheme="minorHAnsi" w:hAnsiTheme="minorHAnsi" w:cs="Helvetica"/>
          <w:sz w:val="24"/>
          <w:szCs w:val="24"/>
          <w:shd w:val="clear" w:color="auto" w:fill="FFFFFF"/>
        </w:rPr>
        <w:t xml:space="preserve">- </w:t>
      </w:r>
      <w:r w:rsidRPr="00BE22F3">
        <w:rPr>
          <w:rFonts w:asciiTheme="minorHAnsi" w:hAnsiTheme="minorHAnsi" w:cs="Helvetica"/>
          <w:sz w:val="24"/>
          <w:szCs w:val="24"/>
          <w:shd w:val="clear" w:color="auto" w:fill="FFFFFF"/>
        </w:rPr>
        <w:t xml:space="preserve">board of health members and staff </w:t>
      </w:r>
      <w:r w:rsidR="009A32F3">
        <w:rPr>
          <w:rFonts w:asciiTheme="minorHAnsi" w:hAnsiTheme="minorHAnsi" w:cs="Helvetica"/>
          <w:sz w:val="24"/>
          <w:szCs w:val="24"/>
          <w:shd w:val="clear" w:color="auto" w:fill="FFFFFF"/>
        </w:rPr>
        <w:t xml:space="preserve">- </w:t>
      </w:r>
      <w:r w:rsidRPr="00BE22F3">
        <w:rPr>
          <w:rFonts w:asciiTheme="minorHAnsi" w:hAnsiTheme="minorHAnsi" w:cs="Helvetica"/>
          <w:sz w:val="24"/>
          <w:szCs w:val="24"/>
          <w:shd w:val="clear" w:color="auto" w:fill="FFFFFF"/>
        </w:rPr>
        <w:t>creates inequity in local public health capac</w:t>
      </w:r>
      <w:r w:rsidR="009A32F3">
        <w:rPr>
          <w:rFonts w:asciiTheme="minorHAnsi" w:hAnsiTheme="minorHAnsi" w:cs="Helvetica"/>
          <w:sz w:val="24"/>
          <w:szCs w:val="24"/>
          <w:shd w:val="clear" w:color="auto" w:fill="FFFFFF"/>
        </w:rPr>
        <w:t xml:space="preserve">ity across the state. </w:t>
      </w:r>
      <w:r w:rsidRPr="00BE22F3">
        <w:rPr>
          <w:rFonts w:asciiTheme="minorHAnsi" w:hAnsiTheme="minorHAnsi" w:cs="Helvetica"/>
          <w:sz w:val="24"/>
          <w:szCs w:val="24"/>
          <w:shd w:val="clear" w:color="auto" w:fill="FFFFFF"/>
        </w:rPr>
        <w:t xml:space="preserve">“Where you live” determines not only the </w:t>
      </w:r>
      <w:r w:rsidR="009A32F3">
        <w:rPr>
          <w:rFonts w:asciiTheme="minorHAnsi" w:hAnsiTheme="minorHAnsi" w:cs="Helvetica"/>
          <w:sz w:val="24"/>
          <w:szCs w:val="24"/>
          <w:shd w:val="clear" w:color="auto" w:fill="FFFFFF"/>
        </w:rPr>
        <w:t xml:space="preserve">depth and breadth </w:t>
      </w:r>
      <w:r w:rsidRPr="00BE22F3">
        <w:rPr>
          <w:rFonts w:asciiTheme="minorHAnsi" w:hAnsiTheme="minorHAnsi" w:cs="Helvetica"/>
          <w:sz w:val="24"/>
          <w:szCs w:val="24"/>
          <w:shd w:val="clear" w:color="auto" w:fill="FFFFFF"/>
        </w:rPr>
        <w:t xml:space="preserve">of public health services that are available but also the qualifications of the individuals providing the services. </w:t>
      </w:r>
    </w:p>
    <w:p w:rsidR="002111C4" w:rsidRDefault="002111C4" w:rsidP="00422230">
      <w:pPr>
        <w:spacing w:line="276" w:lineRule="auto"/>
        <w:rPr>
          <w:rFonts w:asciiTheme="minorHAnsi" w:hAnsiTheme="minorHAnsi" w:cs="Helvetica"/>
          <w:sz w:val="24"/>
          <w:szCs w:val="24"/>
          <w:shd w:val="clear" w:color="auto" w:fill="FFFFFF"/>
        </w:rPr>
      </w:pPr>
    </w:p>
    <w:p w:rsidR="002111C4" w:rsidRDefault="002111C4" w:rsidP="00422230">
      <w:pPr>
        <w:spacing w:line="276" w:lineRule="auto"/>
        <w:rPr>
          <w:rFonts w:asciiTheme="minorHAnsi" w:hAnsiTheme="minorHAnsi" w:cs="Helvetica"/>
          <w:sz w:val="24"/>
          <w:szCs w:val="24"/>
          <w:shd w:val="clear" w:color="auto" w:fill="FFFFFF"/>
        </w:rPr>
      </w:pPr>
      <w:r w:rsidRPr="00297BFF">
        <w:rPr>
          <w:rFonts w:asciiTheme="minorHAnsi" w:hAnsiTheme="minorHAnsi" w:cs="Helvetica"/>
          <w:sz w:val="24"/>
          <w:szCs w:val="24"/>
          <w:shd w:val="clear" w:color="auto" w:fill="FFFFFF"/>
        </w:rPr>
        <w:t xml:space="preserve">The Workforce Credentials Subcommittee </w:t>
      </w:r>
      <w:r>
        <w:rPr>
          <w:rFonts w:asciiTheme="minorHAnsi" w:hAnsiTheme="minorHAnsi" w:cs="Helvetica"/>
          <w:sz w:val="24"/>
          <w:szCs w:val="24"/>
          <w:shd w:val="clear" w:color="auto" w:fill="FFFFFF"/>
        </w:rPr>
        <w:t xml:space="preserve">reviewed </w:t>
      </w:r>
      <w:r w:rsidRPr="00297BFF">
        <w:rPr>
          <w:rFonts w:asciiTheme="minorHAnsi" w:hAnsiTheme="minorHAnsi" w:cs="Helvetica"/>
          <w:sz w:val="24"/>
          <w:szCs w:val="24"/>
          <w:shd w:val="clear" w:color="auto" w:fill="FFFFFF"/>
        </w:rPr>
        <w:t xml:space="preserve">existing studies </w:t>
      </w:r>
      <w:r>
        <w:rPr>
          <w:rFonts w:asciiTheme="minorHAnsi" w:hAnsiTheme="minorHAnsi" w:cs="Helvetica"/>
          <w:sz w:val="24"/>
          <w:szCs w:val="24"/>
          <w:shd w:val="clear" w:color="auto" w:fill="FFFFFF"/>
        </w:rPr>
        <w:t xml:space="preserve">and recommendations (including </w:t>
      </w:r>
      <w:r w:rsidRPr="00297BFF">
        <w:rPr>
          <w:rFonts w:asciiTheme="minorHAnsi" w:hAnsiTheme="minorHAnsi" w:cs="Helvetica"/>
          <w:sz w:val="24"/>
          <w:szCs w:val="24"/>
          <w:shd w:val="clear" w:color="auto" w:fill="FFFFFF"/>
        </w:rPr>
        <w:t>required competencies</w:t>
      </w:r>
      <w:r>
        <w:rPr>
          <w:rFonts w:asciiTheme="minorHAnsi" w:hAnsiTheme="minorHAnsi" w:cs="Helvetica"/>
          <w:sz w:val="24"/>
          <w:szCs w:val="24"/>
          <w:shd w:val="clear" w:color="auto" w:fill="FFFFFF"/>
        </w:rPr>
        <w:t xml:space="preserve">) </w:t>
      </w:r>
      <w:r w:rsidRPr="00297BFF">
        <w:rPr>
          <w:rFonts w:asciiTheme="minorHAnsi" w:hAnsiTheme="minorHAnsi" w:cs="Helvetica"/>
          <w:sz w:val="24"/>
          <w:szCs w:val="24"/>
          <w:shd w:val="clear" w:color="auto" w:fill="FFFFFF"/>
        </w:rPr>
        <w:t>on the Massachusett</w:t>
      </w:r>
      <w:r>
        <w:rPr>
          <w:rFonts w:asciiTheme="minorHAnsi" w:hAnsiTheme="minorHAnsi" w:cs="Helvetica"/>
          <w:sz w:val="24"/>
          <w:szCs w:val="24"/>
          <w:shd w:val="clear" w:color="auto" w:fill="FFFFFF"/>
        </w:rPr>
        <w:t>s local public health workforce. The s</w:t>
      </w:r>
      <w:r w:rsidRPr="00297BFF">
        <w:rPr>
          <w:rFonts w:asciiTheme="minorHAnsi" w:hAnsiTheme="minorHAnsi" w:cs="Helvetica"/>
          <w:sz w:val="24"/>
          <w:szCs w:val="24"/>
          <w:shd w:val="clear" w:color="auto" w:fill="FFFFFF"/>
        </w:rPr>
        <w:t xml:space="preserve">ubcommittee has reviewed existing </w:t>
      </w:r>
      <w:r>
        <w:rPr>
          <w:rFonts w:asciiTheme="minorHAnsi" w:hAnsiTheme="minorHAnsi" w:cs="Helvetica"/>
          <w:sz w:val="24"/>
          <w:szCs w:val="24"/>
          <w:shd w:val="clear" w:color="auto" w:fill="FFFFFF"/>
        </w:rPr>
        <w:t xml:space="preserve">voluntary </w:t>
      </w:r>
      <w:r w:rsidRPr="00297BFF">
        <w:rPr>
          <w:rFonts w:asciiTheme="minorHAnsi" w:hAnsiTheme="minorHAnsi" w:cs="Helvetica"/>
          <w:sz w:val="24"/>
          <w:szCs w:val="24"/>
          <w:shd w:val="clear" w:color="auto" w:fill="FFFFFF"/>
        </w:rPr>
        <w:t xml:space="preserve">credentials in Massachusetts </w:t>
      </w:r>
      <w:r>
        <w:rPr>
          <w:rFonts w:asciiTheme="minorHAnsi" w:hAnsiTheme="minorHAnsi" w:cs="Helvetica"/>
          <w:sz w:val="24"/>
          <w:szCs w:val="24"/>
          <w:shd w:val="clear" w:color="auto" w:fill="FFFFFF"/>
        </w:rPr>
        <w:t xml:space="preserve">in comparison to requirements of selected other </w:t>
      </w:r>
      <w:r w:rsidRPr="00297BFF">
        <w:rPr>
          <w:rFonts w:asciiTheme="minorHAnsi" w:hAnsiTheme="minorHAnsi" w:cs="Helvetica"/>
          <w:sz w:val="24"/>
          <w:szCs w:val="24"/>
          <w:shd w:val="clear" w:color="auto" w:fill="FFFFFF"/>
        </w:rPr>
        <w:t>states (New J</w:t>
      </w:r>
      <w:r>
        <w:rPr>
          <w:rFonts w:asciiTheme="minorHAnsi" w:hAnsiTheme="minorHAnsi" w:cs="Helvetica"/>
          <w:sz w:val="24"/>
          <w:szCs w:val="24"/>
          <w:shd w:val="clear" w:color="auto" w:fill="FFFFFF"/>
        </w:rPr>
        <w:t>ersey, Connecticut, Illinois,</w:t>
      </w:r>
      <w:r w:rsidRPr="00297BFF">
        <w:rPr>
          <w:rFonts w:asciiTheme="minorHAnsi" w:hAnsiTheme="minorHAnsi" w:cs="Helvetica"/>
          <w:sz w:val="24"/>
          <w:szCs w:val="24"/>
          <w:shd w:val="clear" w:color="auto" w:fill="FFFFFF"/>
        </w:rPr>
        <w:t xml:space="preserve"> Colorado</w:t>
      </w:r>
      <w:r>
        <w:rPr>
          <w:rFonts w:asciiTheme="minorHAnsi" w:hAnsiTheme="minorHAnsi" w:cs="Helvetica"/>
          <w:sz w:val="24"/>
          <w:szCs w:val="24"/>
          <w:shd w:val="clear" w:color="auto" w:fill="FFFFFF"/>
        </w:rPr>
        <w:t xml:space="preserve"> and Ohio</w:t>
      </w:r>
      <w:r w:rsidRPr="00297BFF">
        <w:rPr>
          <w:rFonts w:asciiTheme="minorHAnsi" w:hAnsiTheme="minorHAnsi" w:cs="Helvetica"/>
          <w:sz w:val="24"/>
          <w:szCs w:val="24"/>
          <w:shd w:val="clear" w:color="auto" w:fill="FFFFFF"/>
        </w:rPr>
        <w:t>)</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Requirements for similar types of </w:t>
      </w:r>
      <w:r w:rsidR="009A32F3">
        <w:rPr>
          <w:rFonts w:asciiTheme="minorHAnsi" w:hAnsiTheme="minorHAnsi" w:cs="Helvetica"/>
          <w:sz w:val="24"/>
          <w:szCs w:val="24"/>
          <w:shd w:val="clear" w:color="auto" w:fill="FFFFFF"/>
        </w:rPr>
        <w:t xml:space="preserve">municipal </w:t>
      </w:r>
      <w:r>
        <w:rPr>
          <w:rFonts w:asciiTheme="minorHAnsi" w:hAnsiTheme="minorHAnsi" w:cs="Helvetica"/>
          <w:sz w:val="24"/>
          <w:szCs w:val="24"/>
          <w:shd w:val="clear" w:color="auto" w:fill="FFFFFF"/>
        </w:rPr>
        <w:t>workforces, such as building inspector and animal control officer, were also reviewed.</w:t>
      </w:r>
    </w:p>
    <w:p w:rsidR="002111C4" w:rsidRDefault="002111C4" w:rsidP="00422230">
      <w:pPr>
        <w:spacing w:line="276" w:lineRule="auto"/>
        <w:rPr>
          <w:rFonts w:asciiTheme="minorHAnsi" w:hAnsiTheme="minorHAnsi" w:cs="Helvetica"/>
          <w:sz w:val="24"/>
          <w:szCs w:val="24"/>
          <w:shd w:val="clear" w:color="auto" w:fill="FFFFFF"/>
        </w:rPr>
      </w:pPr>
    </w:p>
    <w:p w:rsidR="002111C4" w:rsidRDefault="002111C4"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Voluntary training is available and provided by multiple organizations</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The Massachusetts Department of Public Health funds the Local Public Health Initiative (LPHI) </w:t>
      </w:r>
      <w:r w:rsidR="009D0ADB">
        <w:rPr>
          <w:rFonts w:asciiTheme="minorHAnsi" w:hAnsiTheme="minorHAnsi" w:cs="Helvetica"/>
          <w:sz w:val="24"/>
          <w:szCs w:val="24"/>
          <w:shd w:val="clear" w:color="auto" w:fill="FFFFFF"/>
        </w:rPr>
        <w:t xml:space="preserve">at the Boston University School of Public Health </w:t>
      </w:r>
      <w:r>
        <w:rPr>
          <w:rFonts w:asciiTheme="minorHAnsi" w:hAnsiTheme="minorHAnsi" w:cs="Helvetica"/>
          <w:sz w:val="24"/>
          <w:szCs w:val="24"/>
          <w:shd w:val="clear" w:color="auto" w:fill="FFFFFF"/>
        </w:rPr>
        <w:t xml:space="preserve">which provides on-line, web-based and classroom blended training specifically for increasing the skill and knowledge competencies of the </w:t>
      </w:r>
      <w:r w:rsidR="009A32F3">
        <w:rPr>
          <w:rFonts w:asciiTheme="minorHAnsi" w:hAnsiTheme="minorHAnsi" w:cs="Helvetica"/>
          <w:sz w:val="24"/>
          <w:szCs w:val="24"/>
          <w:shd w:val="clear" w:color="auto" w:fill="FFFFFF"/>
        </w:rPr>
        <w:t xml:space="preserve">local public health workforce. </w:t>
      </w:r>
      <w:r>
        <w:rPr>
          <w:rFonts w:asciiTheme="minorHAnsi" w:hAnsiTheme="minorHAnsi" w:cs="Helvetica"/>
          <w:sz w:val="24"/>
          <w:szCs w:val="24"/>
          <w:shd w:val="clear" w:color="auto" w:fill="FFFFFF"/>
        </w:rPr>
        <w:t xml:space="preserve">The Coalition </w:t>
      </w:r>
      <w:r w:rsidR="009A32F3">
        <w:rPr>
          <w:rFonts w:asciiTheme="minorHAnsi" w:hAnsiTheme="minorHAnsi" w:cs="Helvetica"/>
          <w:sz w:val="24"/>
          <w:szCs w:val="24"/>
          <w:shd w:val="clear" w:color="auto" w:fill="FFFFFF"/>
        </w:rPr>
        <w:t xml:space="preserve">for </w:t>
      </w:r>
      <w:r>
        <w:rPr>
          <w:rFonts w:asciiTheme="minorHAnsi" w:hAnsiTheme="minorHAnsi" w:cs="Helvetica"/>
          <w:sz w:val="24"/>
          <w:szCs w:val="24"/>
          <w:shd w:val="clear" w:color="auto" w:fill="FFFFFF"/>
        </w:rPr>
        <w:t>Local Public Health</w:t>
      </w:r>
      <w:r w:rsidR="009A32F3">
        <w:rPr>
          <w:rFonts w:asciiTheme="minorHAnsi" w:hAnsiTheme="minorHAnsi" w:cs="Helvetica"/>
          <w:sz w:val="24"/>
          <w:szCs w:val="24"/>
          <w:shd w:val="clear" w:color="auto" w:fill="FFFFFF"/>
        </w:rPr>
        <w:t xml:space="preserve"> (CLPH)</w:t>
      </w:r>
      <w:r>
        <w:rPr>
          <w:rFonts w:asciiTheme="minorHAnsi" w:hAnsiTheme="minorHAnsi" w:cs="Helvetica"/>
          <w:sz w:val="24"/>
          <w:szCs w:val="24"/>
          <w:shd w:val="clear" w:color="auto" w:fill="FFFFFF"/>
        </w:rPr>
        <w:t xml:space="preserve">, comprised of the </w:t>
      </w:r>
      <w:r w:rsidR="009A32F3">
        <w:rPr>
          <w:rFonts w:asciiTheme="minorHAnsi" w:hAnsiTheme="minorHAnsi" w:cs="Helvetica"/>
          <w:sz w:val="24"/>
          <w:szCs w:val="24"/>
          <w:shd w:val="clear" w:color="auto" w:fill="FFFFFF"/>
        </w:rPr>
        <w:t xml:space="preserve">public health </w:t>
      </w:r>
      <w:r>
        <w:rPr>
          <w:rFonts w:asciiTheme="minorHAnsi" w:hAnsiTheme="minorHAnsi" w:cs="Helvetica"/>
          <w:sz w:val="24"/>
          <w:szCs w:val="24"/>
          <w:shd w:val="clear" w:color="auto" w:fill="FFFFFF"/>
        </w:rPr>
        <w:t>trade organizations that represent the majority of the local public health professionals, provide</w:t>
      </w:r>
      <w:r w:rsidR="009A32F3">
        <w:rPr>
          <w:rFonts w:asciiTheme="minorHAnsi" w:hAnsiTheme="minorHAnsi" w:cs="Helvetica"/>
          <w:sz w:val="24"/>
          <w:szCs w:val="24"/>
          <w:shd w:val="clear" w:color="auto" w:fill="FFFFFF"/>
        </w:rPr>
        <w:t>s</w:t>
      </w:r>
      <w:r>
        <w:rPr>
          <w:rFonts w:asciiTheme="minorHAnsi" w:hAnsiTheme="minorHAnsi" w:cs="Helvetica"/>
          <w:sz w:val="24"/>
          <w:szCs w:val="24"/>
          <w:shd w:val="clear" w:color="auto" w:fill="FFFFFF"/>
        </w:rPr>
        <w:t xml:space="preserve"> orientation to the local public health workforce and serve</w:t>
      </w:r>
      <w:r w:rsidR="009A32F3">
        <w:rPr>
          <w:rFonts w:asciiTheme="minorHAnsi" w:hAnsiTheme="minorHAnsi" w:cs="Helvetica"/>
          <w:sz w:val="24"/>
          <w:szCs w:val="24"/>
          <w:shd w:val="clear" w:color="auto" w:fill="FFFFFF"/>
        </w:rPr>
        <w:t>s</w:t>
      </w:r>
      <w:r>
        <w:rPr>
          <w:rFonts w:asciiTheme="minorHAnsi" w:hAnsiTheme="minorHAnsi" w:cs="Helvetica"/>
          <w:sz w:val="24"/>
          <w:szCs w:val="24"/>
          <w:shd w:val="clear" w:color="auto" w:fill="FFFFFF"/>
        </w:rPr>
        <w:t xml:space="preserve"> as an advisory group on </w:t>
      </w:r>
      <w:r w:rsidR="009D0ADB">
        <w:rPr>
          <w:rFonts w:asciiTheme="minorHAnsi" w:hAnsiTheme="minorHAnsi" w:cs="Helvetica"/>
          <w:sz w:val="24"/>
          <w:szCs w:val="24"/>
          <w:shd w:val="clear" w:color="auto" w:fill="FFFFFF"/>
        </w:rPr>
        <w:t xml:space="preserve">workforce development to LPHI. </w:t>
      </w:r>
      <w:r w:rsidR="009A32F3">
        <w:rPr>
          <w:rFonts w:asciiTheme="minorHAnsi" w:hAnsiTheme="minorHAnsi" w:cs="Helvetica"/>
          <w:sz w:val="24"/>
          <w:szCs w:val="24"/>
          <w:shd w:val="clear" w:color="auto" w:fill="FFFFFF"/>
        </w:rPr>
        <w:t>The CLPH mem</w:t>
      </w:r>
      <w:r w:rsidR="004219CD">
        <w:rPr>
          <w:rFonts w:asciiTheme="minorHAnsi" w:hAnsiTheme="minorHAnsi" w:cs="Helvetica"/>
          <w:sz w:val="24"/>
          <w:szCs w:val="24"/>
          <w:shd w:val="clear" w:color="auto" w:fill="FFFFFF"/>
        </w:rPr>
        <w:t>ber organizations each provide training and education for the public health workforce. For example, t</w:t>
      </w:r>
      <w:r>
        <w:rPr>
          <w:rFonts w:asciiTheme="minorHAnsi" w:hAnsiTheme="minorHAnsi" w:cs="Helvetica"/>
          <w:sz w:val="24"/>
          <w:szCs w:val="24"/>
          <w:shd w:val="clear" w:color="auto" w:fill="FFFFFF"/>
        </w:rPr>
        <w:t>he Massachusetts Association of Health Boards offers orientation and training to local public health board members annual</w:t>
      </w:r>
      <w:r w:rsidR="004219CD">
        <w:rPr>
          <w:rFonts w:asciiTheme="minorHAnsi" w:hAnsiTheme="minorHAnsi" w:cs="Helvetica"/>
          <w:sz w:val="24"/>
          <w:szCs w:val="24"/>
          <w:shd w:val="clear" w:color="auto" w:fill="FFFFFF"/>
        </w:rPr>
        <w:t>ly</w:t>
      </w:r>
      <w:r>
        <w:rPr>
          <w:rFonts w:asciiTheme="minorHAnsi" w:hAnsiTheme="minorHAnsi" w:cs="Helvetica"/>
          <w:sz w:val="24"/>
          <w:szCs w:val="24"/>
          <w:shd w:val="clear" w:color="auto" w:fill="FFFFFF"/>
        </w:rPr>
        <w:t>.</w:t>
      </w:r>
      <w:r w:rsidR="004219CD">
        <w:rPr>
          <w:rFonts w:asciiTheme="minorHAnsi" w:hAnsiTheme="minorHAnsi" w:cs="Helvetica"/>
          <w:sz w:val="24"/>
          <w:szCs w:val="24"/>
          <w:shd w:val="clear" w:color="auto" w:fill="FFFFFF"/>
        </w:rPr>
        <w:t xml:space="preserve"> The Massachusetts Health Officers Association, Massachusetts Environmental Health </w:t>
      </w:r>
      <w:r w:rsidR="004219CD">
        <w:rPr>
          <w:rFonts w:asciiTheme="minorHAnsi" w:hAnsiTheme="minorHAnsi" w:cs="Helvetica"/>
          <w:sz w:val="24"/>
          <w:szCs w:val="24"/>
          <w:shd w:val="clear" w:color="auto" w:fill="FFFFFF"/>
        </w:rPr>
        <w:lastRenderedPageBreak/>
        <w:t xml:space="preserve">Association, and the Massachusetts Association of Public Health Nurses each provide annual conferences and other educational opportunities that meet continuing education requirements for their members. </w:t>
      </w:r>
      <w:r>
        <w:rPr>
          <w:rFonts w:asciiTheme="minorHAnsi" w:hAnsiTheme="minorHAnsi" w:cs="Helvetica"/>
          <w:sz w:val="24"/>
          <w:szCs w:val="24"/>
          <w:shd w:val="clear" w:color="auto" w:fill="FFFFFF"/>
        </w:rPr>
        <w:t>Other regionally based organizations also offer tr</w:t>
      </w:r>
      <w:r w:rsidR="004219CD">
        <w:rPr>
          <w:rFonts w:asciiTheme="minorHAnsi" w:hAnsiTheme="minorHAnsi" w:cs="Helvetica"/>
          <w:sz w:val="24"/>
          <w:szCs w:val="24"/>
          <w:shd w:val="clear" w:color="auto" w:fill="FFFFFF"/>
        </w:rPr>
        <w:t xml:space="preserve">aining to local public health. </w:t>
      </w:r>
      <w:r>
        <w:rPr>
          <w:rFonts w:asciiTheme="minorHAnsi" w:hAnsiTheme="minorHAnsi" w:cs="Helvetica"/>
          <w:sz w:val="24"/>
          <w:szCs w:val="24"/>
          <w:shd w:val="clear" w:color="auto" w:fill="FFFFFF"/>
        </w:rPr>
        <w:t xml:space="preserve">Since </w:t>
      </w:r>
      <w:r w:rsidR="004219CD">
        <w:rPr>
          <w:rFonts w:asciiTheme="minorHAnsi" w:hAnsiTheme="minorHAnsi" w:cs="Helvetica"/>
          <w:sz w:val="24"/>
          <w:szCs w:val="24"/>
          <w:shd w:val="clear" w:color="auto" w:fill="FFFFFF"/>
        </w:rPr>
        <w:t xml:space="preserve">training </w:t>
      </w:r>
      <w:r>
        <w:rPr>
          <w:rFonts w:asciiTheme="minorHAnsi" w:hAnsiTheme="minorHAnsi" w:cs="Helvetica"/>
          <w:sz w:val="24"/>
          <w:szCs w:val="24"/>
          <w:shd w:val="clear" w:color="auto" w:fill="FFFFFF"/>
        </w:rPr>
        <w:t>is voluntary and there are no required standards, the boards of health and health departments with resources or strong commitment benefit the most from these initiatives, increasing already an unequitable situation.</w:t>
      </w:r>
    </w:p>
    <w:p w:rsidR="002111C4" w:rsidRDefault="002111C4" w:rsidP="00422230">
      <w:pPr>
        <w:spacing w:line="276" w:lineRule="auto"/>
        <w:rPr>
          <w:rFonts w:asciiTheme="minorHAnsi" w:hAnsiTheme="minorHAnsi" w:cs="Helvetica"/>
          <w:sz w:val="24"/>
          <w:szCs w:val="24"/>
          <w:shd w:val="clear" w:color="auto" w:fill="FFFFFF"/>
        </w:rPr>
      </w:pPr>
    </w:p>
    <w:p w:rsidR="004219CD" w:rsidRDefault="002111C4"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The subcommittee </w:t>
      </w:r>
      <w:r w:rsidRPr="00297BFF">
        <w:rPr>
          <w:rFonts w:asciiTheme="minorHAnsi" w:hAnsiTheme="minorHAnsi" w:cs="Helvetica"/>
          <w:sz w:val="24"/>
          <w:szCs w:val="24"/>
          <w:shd w:val="clear" w:color="auto" w:fill="FFFFFF"/>
        </w:rPr>
        <w:t xml:space="preserve">has </w:t>
      </w:r>
      <w:r>
        <w:rPr>
          <w:rFonts w:asciiTheme="minorHAnsi" w:hAnsiTheme="minorHAnsi" w:cs="Helvetica"/>
          <w:sz w:val="24"/>
          <w:szCs w:val="24"/>
          <w:shd w:val="clear" w:color="auto" w:fill="FFFFFF"/>
        </w:rPr>
        <w:t xml:space="preserve">explored critical experience, </w:t>
      </w:r>
      <w:r w:rsidR="00D75A28">
        <w:rPr>
          <w:rFonts w:asciiTheme="minorHAnsi" w:hAnsiTheme="minorHAnsi" w:cs="Helvetica"/>
          <w:sz w:val="24"/>
          <w:szCs w:val="24"/>
          <w:shd w:val="clear" w:color="auto" w:fill="FFFFFF"/>
        </w:rPr>
        <w:t>training,</w:t>
      </w:r>
      <w:r>
        <w:rPr>
          <w:rFonts w:asciiTheme="minorHAnsi" w:hAnsiTheme="minorHAnsi" w:cs="Helvetica"/>
          <w:sz w:val="24"/>
          <w:szCs w:val="24"/>
          <w:shd w:val="clear" w:color="auto" w:fill="FFFFFF"/>
        </w:rPr>
        <w:t xml:space="preserve"> and credentials for core staff, including board of health members</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The subcommittee focused on the most common positions in local health departments and positions which </w:t>
      </w:r>
      <w:r w:rsidR="004219CD">
        <w:rPr>
          <w:rFonts w:asciiTheme="minorHAnsi" w:hAnsiTheme="minorHAnsi" w:cs="Helvetica"/>
          <w:sz w:val="24"/>
          <w:szCs w:val="24"/>
          <w:shd w:val="clear" w:color="auto" w:fill="FFFFFF"/>
        </w:rPr>
        <w:t>often</w:t>
      </w:r>
      <w:r>
        <w:rPr>
          <w:rFonts w:asciiTheme="minorHAnsi" w:hAnsiTheme="minorHAnsi" w:cs="Helvetica"/>
          <w:sz w:val="24"/>
          <w:szCs w:val="24"/>
          <w:shd w:val="clear" w:color="auto" w:fill="FFFFFF"/>
        </w:rPr>
        <w:t xml:space="preserve"> do not have experience, training</w:t>
      </w:r>
      <w:r w:rsidR="004219CD">
        <w:rPr>
          <w:rFonts w:asciiTheme="minorHAnsi" w:hAnsiTheme="minorHAnsi" w:cs="Helvetica"/>
          <w:sz w:val="24"/>
          <w:szCs w:val="24"/>
          <w:shd w:val="clear" w:color="auto" w:fill="FFFFFF"/>
        </w:rPr>
        <w:t xml:space="preserve">, or credentialing requirements </w:t>
      </w:r>
      <w:r>
        <w:rPr>
          <w:rFonts w:asciiTheme="minorHAnsi" w:hAnsiTheme="minorHAnsi" w:cs="Helvetica"/>
          <w:sz w:val="24"/>
          <w:szCs w:val="24"/>
          <w:shd w:val="clear" w:color="auto" w:fill="FFFFFF"/>
        </w:rPr>
        <w:t>but are essential for providing ess</w:t>
      </w:r>
      <w:r w:rsidR="001933F2">
        <w:rPr>
          <w:rFonts w:asciiTheme="minorHAnsi" w:hAnsiTheme="minorHAnsi" w:cs="Helvetica"/>
          <w:sz w:val="24"/>
          <w:szCs w:val="24"/>
          <w:shd w:val="clear" w:color="auto" w:fill="FFFFFF"/>
        </w:rPr>
        <w:t xml:space="preserve">ential public health services. </w:t>
      </w:r>
      <w:r>
        <w:rPr>
          <w:rFonts w:asciiTheme="minorHAnsi" w:hAnsiTheme="minorHAnsi" w:cs="Helvetica"/>
          <w:sz w:val="24"/>
          <w:szCs w:val="24"/>
          <w:shd w:val="clear" w:color="auto" w:fill="FFFFFF"/>
        </w:rPr>
        <w:t>These pos</w:t>
      </w:r>
      <w:r w:rsidR="004219CD">
        <w:rPr>
          <w:rFonts w:asciiTheme="minorHAnsi" w:hAnsiTheme="minorHAnsi" w:cs="Helvetica"/>
          <w:sz w:val="24"/>
          <w:szCs w:val="24"/>
          <w:shd w:val="clear" w:color="auto" w:fill="FFFFFF"/>
        </w:rPr>
        <w:t>itions have been classified as:</w:t>
      </w:r>
    </w:p>
    <w:p w:rsidR="004219CD" w:rsidRDefault="004219CD" w:rsidP="00422230">
      <w:pPr>
        <w:spacing w:line="276" w:lineRule="auto"/>
        <w:rPr>
          <w:rFonts w:asciiTheme="minorHAnsi" w:hAnsiTheme="minorHAnsi" w:cs="Helvetica"/>
          <w:sz w:val="24"/>
          <w:szCs w:val="24"/>
          <w:shd w:val="clear" w:color="auto" w:fill="FFFFFF"/>
        </w:rPr>
      </w:pPr>
    </w:p>
    <w:p w:rsidR="004219CD" w:rsidRDefault="002111C4" w:rsidP="00422230">
      <w:pPr>
        <w:pStyle w:val="ListParagraph"/>
        <w:numPr>
          <w:ilvl w:val="0"/>
          <w:numId w:val="27"/>
        </w:numPr>
        <w:spacing w:line="276" w:lineRule="auto"/>
        <w:rPr>
          <w:rFonts w:asciiTheme="minorHAnsi" w:hAnsiTheme="minorHAnsi" w:cs="Helvetica"/>
          <w:sz w:val="24"/>
          <w:szCs w:val="24"/>
          <w:shd w:val="clear" w:color="auto" w:fill="FFFFFF"/>
        </w:rPr>
      </w:pPr>
      <w:r w:rsidRPr="004219CD">
        <w:rPr>
          <w:rFonts w:asciiTheme="minorHAnsi" w:hAnsiTheme="minorHAnsi" w:cs="Helvetica"/>
          <w:sz w:val="24"/>
          <w:szCs w:val="24"/>
          <w:shd w:val="clear" w:color="auto" w:fill="FFFFFF"/>
        </w:rPr>
        <w:t xml:space="preserve">management (director, assistant or deputy director or commissioner); </w:t>
      </w:r>
    </w:p>
    <w:p w:rsidR="004219CD" w:rsidRDefault="002111C4" w:rsidP="00422230">
      <w:pPr>
        <w:pStyle w:val="ListParagraph"/>
        <w:numPr>
          <w:ilvl w:val="0"/>
          <w:numId w:val="27"/>
        </w:numPr>
        <w:spacing w:line="276" w:lineRule="auto"/>
        <w:rPr>
          <w:rFonts w:asciiTheme="minorHAnsi" w:hAnsiTheme="minorHAnsi" w:cs="Helvetica"/>
          <w:sz w:val="24"/>
          <w:szCs w:val="24"/>
          <w:shd w:val="clear" w:color="auto" w:fill="FFFFFF"/>
        </w:rPr>
      </w:pPr>
      <w:r w:rsidRPr="004219CD">
        <w:rPr>
          <w:rFonts w:asciiTheme="minorHAnsi" w:hAnsiTheme="minorHAnsi" w:cs="Helvetica"/>
          <w:sz w:val="24"/>
          <w:szCs w:val="24"/>
          <w:shd w:val="clear" w:color="auto" w:fill="FFFFFF"/>
        </w:rPr>
        <w:t xml:space="preserve">management and health agent (duties include both administrative and health agent); </w:t>
      </w:r>
    </w:p>
    <w:p w:rsidR="004219CD" w:rsidRDefault="002111C4" w:rsidP="00422230">
      <w:pPr>
        <w:pStyle w:val="ListParagraph"/>
        <w:numPr>
          <w:ilvl w:val="0"/>
          <w:numId w:val="27"/>
        </w:numPr>
        <w:spacing w:line="276" w:lineRule="auto"/>
        <w:rPr>
          <w:rFonts w:asciiTheme="minorHAnsi" w:hAnsiTheme="minorHAnsi" w:cs="Helvetica"/>
          <w:sz w:val="24"/>
          <w:szCs w:val="24"/>
          <w:shd w:val="clear" w:color="auto" w:fill="FFFFFF"/>
        </w:rPr>
      </w:pPr>
      <w:r w:rsidRPr="004219CD">
        <w:rPr>
          <w:rFonts w:asciiTheme="minorHAnsi" w:hAnsiTheme="minorHAnsi" w:cs="Helvetica"/>
          <w:sz w:val="24"/>
          <w:szCs w:val="24"/>
          <w:shd w:val="clear" w:color="auto" w:fill="FFFFFF"/>
        </w:rPr>
        <w:t xml:space="preserve">inspector or sanitarian (code enforcement); </w:t>
      </w:r>
    </w:p>
    <w:p w:rsidR="004219CD" w:rsidRDefault="004219CD" w:rsidP="00422230">
      <w:pPr>
        <w:pStyle w:val="ListParagraph"/>
        <w:numPr>
          <w:ilvl w:val="0"/>
          <w:numId w:val="27"/>
        </w:num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public health nurse;</w:t>
      </w:r>
    </w:p>
    <w:p w:rsidR="004219CD" w:rsidRDefault="002111C4" w:rsidP="00422230">
      <w:pPr>
        <w:pStyle w:val="ListParagraph"/>
        <w:numPr>
          <w:ilvl w:val="0"/>
          <w:numId w:val="27"/>
        </w:numPr>
        <w:spacing w:line="276" w:lineRule="auto"/>
        <w:rPr>
          <w:rFonts w:asciiTheme="minorHAnsi" w:hAnsiTheme="minorHAnsi" w:cs="Helvetica"/>
          <w:sz w:val="24"/>
          <w:szCs w:val="24"/>
          <w:shd w:val="clear" w:color="auto" w:fill="FFFFFF"/>
        </w:rPr>
      </w:pPr>
      <w:r w:rsidRPr="004219CD">
        <w:rPr>
          <w:rFonts w:asciiTheme="minorHAnsi" w:hAnsiTheme="minorHAnsi" w:cs="Helvetica"/>
          <w:sz w:val="24"/>
          <w:szCs w:val="24"/>
          <w:shd w:val="clear" w:color="auto" w:fill="FFFFFF"/>
        </w:rPr>
        <w:t xml:space="preserve">clerical staff; and </w:t>
      </w:r>
    </w:p>
    <w:p w:rsidR="002111C4" w:rsidRPr="004219CD" w:rsidRDefault="002111C4" w:rsidP="00422230">
      <w:pPr>
        <w:pStyle w:val="ListParagraph"/>
        <w:numPr>
          <w:ilvl w:val="0"/>
          <w:numId w:val="27"/>
        </w:numPr>
        <w:spacing w:line="276" w:lineRule="auto"/>
        <w:rPr>
          <w:rFonts w:asciiTheme="minorHAnsi" w:hAnsiTheme="minorHAnsi" w:cs="Helvetica"/>
          <w:sz w:val="24"/>
          <w:szCs w:val="24"/>
          <w:shd w:val="clear" w:color="auto" w:fill="FFFFFF"/>
        </w:rPr>
      </w:pPr>
      <w:proofErr w:type="gramStart"/>
      <w:r w:rsidRPr="004219CD">
        <w:rPr>
          <w:rFonts w:asciiTheme="minorHAnsi" w:hAnsiTheme="minorHAnsi" w:cs="Helvetica"/>
          <w:sz w:val="24"/>
          <w:szCs w:val="24"/>
          <w:shd w:val="clear" w:color="auto" w:fill="FFFFFF"/>
        </w:rPr>
        <w:t>board</w:t>
      </w:r>
      <w:proofErr w:type="gramEnd"/>
      <w:r w:rsidRPr="004219CD">
        <w:rPr>
          <w:rFonts w:asciiTheme="minorHAnsi" w:hAnsiTheme="minorHAnsi" w:cs="Helvetica"/>
          <w:sz w:val="24"/>
          <w:szCs w:val="24"/>
          <w:shd w:val="clear" w:color="auto" w:fill="FFFFFF"/>
        </w:rPr>
        <w:t xml:space="preserve"> </w:t>
      </w:r>
      <w:r w:rsidR="004219CD">
        <w:rPr>
          <w:rFonts w:asciiTheme="minorHAnsi" w:hAnsiTheme="minorHAnsi" w:cs="Helvetica"/>
          <w:sz w:val="24"/>
          <w:szCs w:val="24"/>
          <w:shd w:val="clear" w:color="auto" w:fill="FFFFFF"/>
        </w:rPr>
        <w:t xml:space="preserve">of health </w:t>
      </w:r>
      <w:r w:rsidRPr="004219CD">
        <w:rPr>
          <w:rFonts w:asciiTheme="minorHAnsi" w:hAnsiTheme="minorHAnsi" w:cs="Helvetica"/>
          <w:sz w:val="24"/>
          <w:szCs w:val="24"/>
          <w:shd w:val="clear" w:color="auto" w:fill="FFFFFF"/>
        </w:rPr>
        <w:t>member.</w:t>
      </w:r>
    </w:p>
    <w:p w:rsidR="002111C4" w:rsidRDefault="002111C4" w:rsidP="00422230">
      <w:pPr>
        <w:spacing w:line="276" w:lineRule="auto"/>
        <w:rPr>
          <w:rFonts w:asciiTheme="minorHAnsi" w:hAnsiTheme="minorHAnsi" w:cs="Helvetica"/>
          <w:sz w:val="24"/>
          <w:szCs w:val="24"/>
          <w:shd w:val="clear" w:color="auto" w:fill="FFFFFF"/>
        </w:rPr>
      </w:pPr>
    </w:p>
    <w:p w:rsidR="002111C4" w:rsidRDefault="002111C4"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T</w:t>
      </w:r>
      <w:r w:rsidRPr="00AC64BC">
        <w:rPr>
          <w:rFonts w:asciiTheme="minorHAnsi" w:hAnsiTheme="minorHAnsi" w:cs="Helvetica"/>
          <w:sz w:val="24"/>
          <w:szCs w:val="24"/>
          <w:shd w:val="clear" w:color="auto" w:fill="FFFFFF"/>
        </w:rPr>
        <w:t xml:space="preserve">o acquire a better sense of the current workforce, a survey focusing on </w:t>
      </w:r>
      <w:r>
        <w:rPr>
          <w:rFonts w:asciiTheme="minorHAnsi" w:hAnsiTheme="minorHAnsi" w:cs="Helvetica"/>
          <w:sz w:val="24"/>
          <w:szCs w:val="24"/>
          <w:shd w:val="clear" w:color="auto" w:fill="FFFFFF"/>
        </w:rPr>
        <w:t xml:space="preserve">local public health staffing size, staff positions, and qualifications </w:t>
      </w:r>
      <w:r w:rsidRPr="00AC64BC">
        <w:rPr>
          <w:rFonts w:asciiTheme="minorHAnsi" w:hAnsiTheme="minorHAnsi" w:cs="Helvetica"/>
          <w:sz w:val="24"/>
          <w:szCs w:val="24"/>
          <w:shd w:val="clear" w:color="auto" w:fill="FFFFFF"/>
        </w:rPr>
        <w:t xml:space="preserve">of staffing </w:t>
      </w:r>
      <w:r>
        <w:rPr>
          <w:rFonts w:asciiTheme="minorHAnsi" w:hAnsiTheme="minorHAnsi" w:cs="Helvetica"/>
          <w:sz w:val="24"/>
          <w:szCs w:val="24"/>
          <w:shd w:val="clear" w:color="auto" w:fill="FFFFFF"/>
        </w:rPr>
        <w:t>has been conducted</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Over 275 local boards of health have responded to the survey. </w:t>
      </w:r>
      <w:r w:rsidRPr="00AC64BC">
        <w:rPr>
          <w:rFonts w:asciiTheme="minorHAnsi" w:hAnsiTheme="minorHAnsi" w:cs="Helvetica"/>
          <w:sz w:val="24"/>
          <w:szCs w:val="24"/>
          <w:shd w:val="clear" w:color="auto" w:fill="FFFFFF"/>
        </w:rPr>
        <w:t xml:space="preserve">The data </w:t>
      </w:r>
      <w:r>
        <w:rPr>
          <w:rFonts w:asciiTheme="minorHAnsi" w:hAnsiTheme="minorHAnsi" w:cs="Helvetica"/>
          <w:sz w:val="24"/>
          <w:szCs w:val="24"/>
          <w:shd w:val="clear" w:color="auto" w:fill="FFFFFF"/>
        </w:rPr>
        <w:t xml:space="preserve">is being analyzed and </w:t>
      </w:r>
      <w:r w:rsidRPr="00AC64BC">
        <w:rPr>
          <w:rFonts w:asciiTheme="minorHAnsi" w:hAnsiTheme="minorHAnsi" w:cs="Helvetica"/>
          <w:sz w:val="24"/>
          <w:szCs w:val="24"/>
          <w:shd w:val="clear" w:color="auto" w:fill="FFFFFF"/>
        </w:rPr>
        <w:t xml:space="preserve">will help inform </w:t>
      </w:r>
      <w:r w:rsidR="004219CD">
        <w:rPr>
          <w:rFonts w:asciiTheme="minorHAnsi" w:hAnsiTheme="minorHAnsi" w:cs="Helvetica"/>
          <w:sz w:val="24"/>
          <w:szCs w:val="24"/>
          <w:shd w:val="clear" w:color="auto" w:fill="FFFFFF"/>
        </w:rPr>
        <w:t xml:space="preserve">the amount of </w:t>
      </w:r>
      <w:r w:rsidRPr="00AC64BC">
        <w:rPr>
          <w:rFonts w:asciiTheme="minorHAnsi" w:hAnsiTheme="minorHAnsi" w:cs="Helvetica"/>
          <w:sz w:val="24"/>
          <w:szCs w:val="24"/>
          <w:shd w:val="clear" w:color="auto" w:fill="FFFFFF"/>
        </w:rPr>
        <w:t>effort, time</w:t>
      </w:r>
      <w:r w:rsidR="004219CD">
        <w:rPr>
          <w:rFonts w:asciiTheme="minorHAnsi" w:hAnsiTheme="minorHAnsi" w:cs="Helvetica"/>
          <w:sz w:val="24"/>
          <w:szCs w:val="24"/>
          <w:shd w:val="clear" w:color="auto" w:fill="FFFFFF"/>
        </w:rPr>
        <w:t>,</w:t>
      </w:r>
      <w:r w:rsidRPr="00AC64BC">
        <w:rPr>
          <w:rFonts w:asciiTheme="minorHAnsi" w:hAnsiTheme="minorHAnsi" w:cs="Helvetica"/>
          <w:sz w:val="24"/>
          <w:szCs w:val="24"/>
          <w:shd w:val="clear" w:color="auto" w:fill="FFFFFF"/>
        </w:rPr>
        <w:t xml:space="preserve"> and resources </w:t>
      </w:r>
      <w:r w:rsidR="004219CD">
        <w:rPr>
          <w:rFonts w:asciiTheme="minorHAnsi" w:hAnsiTheme="minorHAnsi" w:cs="Helvetica"/>
          <w:sz w:val="24"/>
          <w:szCs w:val="24"/>
          <w:shd w:val="clear" w:color="auto" w:fill="FFFFFF"/>
        </w:rPr>
        <w:t xml:space="preserve">that </w:t>
      </w:r>
      <w:r w:rsidRPr="00AC64BC">
        <w:rPr>
          <w:rFonts w:asciiTheme="minorHAnsi" w:hAnsiTheme="minorHAnsi" w:cs="Helvetica"/>
          <w:sz w:val="24"/>
          <w:szCs w:val="24"/>
          <w:shd w:val="clear" w:color="auto" w:fill="FFFFFF"/>
        </w:rPr>
        <w:t xml:space="preserve">will be needed to </w:t>
      </w:r>
      <w:r w:rsidR="004219CD">
        <w:rPr>
          <w:rFonts w:asciiTheme="minorHAnsi" w:hAnsiTheme="minorHAnsi" w:cs="Helvetica"/>
          <w:sz w:val="24"/>
          <w:szCs w:val="24"/>
          <w:shd w:val="clear" w:color="auto" w:fill="FFFFFF"/>
        </w:rPr>
        <w:t xml:space="preserve">bring </w:t>
      </w:r>
      <w:r w:rsidRPr="00AC64BC">
        <w:rPr>
          <w:rFonts w:asciiTheme="minorHAnsi" w:hAnsiTheme="minorHAnsi" w:cs="Helvetica"/>
          <w:sz w:val="24"/>
          <w:szCs w:val="24"/>
          <w:shd w:val="clear" w:color="auto" w:fill="FFFFFF"/>
        </w:rPr>
        <w:t>staffing</w:t>
      </w:r>
      <w:r>
        <w:rPr>
          <w:rFonts w:asciiTheme="minorHAnsi" w:hAnsiTheme="minorHAnsi" w:cs="Helvetica"/>
          <w:sz w:val="24"/>
          <w:szCs w:val="24"/>
          <w:shd w:val="clear" w:color="auto" w:fill="FFFFFF"/>
        </w:rPr>
        <w:t xml:space="preserve"> to </w:t>
      </w:r>
      <w:r w:rsidR="004219CD">
        <w:rPr>
          <w:rFonts w:asciiTheme="minorHAnsi" w:hAnsiTheme="minorHAnsi" w:cs="Helvetica"/>
          <w:sz w:val="24"/>
          <w:szCs w:val="24"/>
          <w:shd w:val="clear" w:color="auto" w:fill="FFFFFF"/>
        </w:rPr>
        <w:t xml:space="preserve">a </w:t>
      </w:r>
      <w:r>
        <w:rPr>
          <w:rFonts w:asciiTheme="minorHAnsi" w:hAnsiTheme="minorHAnsi" w:cs="Helvetica"/>
          <w:sz w:val="24"/>
          <w:szCs w:val="24"/>
          <w:shd w:val="clear" w:color="auto" w:fill="FFFFFF"/>
        </w:rPr>
        <w:t>recommended standard.</w:t>
      </w:r>
    </w:p>
    <w:p w:rsidR="002111C4" w:rsidRDefault="002111C4" w:rsidP="00422230">
      <w:pPr>
        <w:spacing w:line="276" w:lineRule="auto"/>
        <w:rPr>
          <w:rFonts w:asciiTheme="minorHAnsi" w:hAnsiTheme="minorHAnsi" w:cs="Helvetica"/>
          <w:sz w:val="24"/>
          <w:szCs w:val="24"/>
          <w:shd w:val="clear" w:color="auto" w:fill="FFFFFF"/>
        </w:rPr>
      </w:pPr>
    </w:p>
    <w:p w:rsidR="00C5085A" w:rsidRPr="000C2DBE" w:rsidRDefault="002111C4"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The subcommittee presented and the Commission discussed preliminary recommendations for local public health workforce credentials at its April 6, 2018 meeting</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It was emphasized that the draft recommendations focused on the local public </w:t>
      </w:r>
      <w:r w:rsidR="004219CD">
        <w:rPr>
          <w:rFonts w:asciiTheme="minorHAnsi" w:hAnsiTheme="minorHAnsi" w:cs="Helvetica"/>
          <w:sz w:val="24"/>
          <w:szCs w:val="24"/>
          <w:shd w:val="clear" w:color="auto" w:fill="FFFFFF"/>
        </w:rPr>
        <w:t xml:space="preserve">health workforce of the future – one that is </w:t>
      </w:r>
      <w:r>
        <w:rPr>
          <w:rFonts w:asciiTheme="minorHAnsi" w:hAnsiTheme="minorHAnsi" w:cs="Helvetica"/>
          <w:sz w:val="24"/>
          <w:szCs w:val="24"/>
          <w:shd w:val="clear" w:color="auto" w:fill="FFFFFF"/>
        </w:rPr>
        <w:t>skilled to carry out the Foundational Pu</w:t>
      </w:r>
      <w:r w:rsidR="004219CD">
        <w:rPr>
          <w:rFonts w:asciiTheme="minorHAnsi" w:hAnsiTheme="minorHAnsi" w:cs="Helvetica"/>
          <w:sz w:val="24"/>
          <w:szCs w:val="24"/>
          <w:shd w:val="clear" w:color="auto" w:fill="FFFFFF"/>
        </w:rPr>
        <w:t xml:space="preserve">blic Health Services - </w:t>
      </w:r>
      <w:r>
        <w:rPr>
          <w:rFonts w:asciiTheme="minorHAnsi" w:hAnsiTheme="minorHAnsi" w:cs="Helvetica"/>
          <w:sz w:val="24"/>
          <w:szCs w:val="24"/>
          <w:shd w:val="clear" w:color="auto" w:fill="FFFFFF"/>
        </w:rPr>
        <w:t>as opposed to just ensuring that i</w:t>
      </w:r>
      <w:r w:rsidR="004219CD">
        <w:rPr>
          <w:rFonts w:asciiTheme="minorHAnsi" w:hAnsiTheme="minorHAnsi" w:cs="Helvetica"/>
          <w:sz w:val="24"/>
          <w:szCs w:val="24"/>
          <w:shd w:val="clear" w:color="auto" w:fill="FFFFFF"/>
        </w:rPr>
        <w:t xml:space="preserve">t could meet current mandates. </w:t>
      </w:r>
      <w:r w:rsidR="00DD19EE" w:rsidRPr="000C2DBE">
        <w:rPr>
          <w:rFonts w:asciiTheme="minorHAnsi" w:hAnsiTheme="minorHAnsi" w:cs="Helvetica"/>
          <w:sz w:val="24"/>
          <w:szCs w:val="24"/>
          <w:shd w:val="clear" w:color="auto" w:fill="FFFFFF"/>
        </w:rPr>
        <w:t>Based on that discussion</w:t>
      </w:r>
      <w:r w:rsidR="00CD05B5" w:rsidRPr="000C2DBE">
        <w:rPr>
          <w:rFonts w:asciiTheme="minorHAnsi" w:hAnsiTheme="minorHAnsi" w:cs="Helvetica"/>
          <w:sz w:val="24"/>
          <w:szCs w:val="24"/>
          <w:shd w:val="clear" w:color="auto" w:fill="FFFFFF"/>
        </w:rPr>
        <w:t>,</w:t>
      </w:r>
      <w:r w:rsidR="00DD19EE" w:rsidRPr="000C2DBE">
        <w:rPr>
          <w:rFonts w:asciiTheme="minorHAnsi" w:hAnsiTheme="minorHAnsi" w:cs="Helvetica"/>
          <w:sz w:val="24"/>
          <w:szCs w:val="24"/>
          <w:shd w:val="clear" w:color="auto" w:fill="FFFFFF"/>
        </w:rPr>
        <w:t xml:space="preserve"> the subcommittee revised its recommendations as presented in the </w:t>
      </w:r>
      <w:r w:rsidR="000D3140" w:rsidRPr="000C2DBE">
        <w:rPr>
          <w:rFonts w:asciiTheme="minorHAnsi" w:hAnsiTheme="minorHAnsi" w:cs="Helvetica"/>
          <w:sz w:val="24"/>
          <w:szCs w:val="24"/>
          <w:shd w:val="clear" w:color="auto" w:fill="FFFFFF"/>
        </w:rPr>
        <w:t xml:space="preserve">table </w:t>
      </w:r>
      <w:r w:rsidR="00DD19EE" w:rsidRPr="000C2DBE">
        <w:rPr>
          <w:rFonts w:asciiTheme="minorHAnsi" w:hAnsiTheme="minorHAnsi" w:cs="Helvetica"/>
          <w:sz w:val="24"/>
          <w:szCs w:val="24"/>
          <w:shd w:val="clear" w:color="auto" w:fill="FFFFFF"/>
        </w:rPr>
        <w:t xml:space="preserve">in Appendix E. </w:t>
      </w:r>
    </w:p>
    <w:p w:rsidR="00C5085A" w:rsidRDefault="00C5085A" w:rsidP="00422230">
      <w:pPr>
        <w:spacing w:line="276" w:lineRule="auto"/>
        <w:rPr>
          <w:rFonts w:asciiTheme="minorHAnsi" w:hAnsiTheme="minorHAnsi" w:cs="Helvetica"/>
          <w:sz w:val="24"/>
          <w:szCs w:val="24"/>
          <w:highlight w:val="yellow"/>
          <w:shd w:val="clear" w:color="auto" w:fill="FFFFFF"/>
        </w:rPr>
      </w:pPr>
    </w:p>
    <w:p w:rsidR="00DD19EE" w:rsidRDefault="00F42130" w:rsidP="00422230">
      <w:pPr>
        <w:spacing w:line="276" w:lineRule="auto"/>
        <w:rPr>
          <w:rFonts w:asciiTheme="minorHAnsi" w:hAnsiTheme="minorHAnsi" w:cs="Helvetica"/>
          <w:sz w:val="24"/>
          <w:szCs w:val="24"/>
          <w:shd w:val="clear" w:color="auto" w:fill="FFFFFF"/>
        </w:rPr>
      </w:pPr>
      <w:r w:rsidRPr="000C2DBE">
        <w:rPr>
          <w:rFonts w:asciiTheme="minorHAnsi" w:hAnsiTheme="minorHAnsi" w:cs="Helvetica"/>
          <w:sz w:val="24"/>
          <w:szCs w:val="24"/>
          <w:shd w:val="clear" w:color="auto" w:fill="FFFFFF"/>
        </w:rPr>
        <w:t>Whi</w:t>
      </w:r>
      <w:r w:rsidR="00CD05B5" w:rsidRPr="000C2DBE">
        <w:rPr>
          <w:rFonts w:asciiTheme="minorHAnsi" w:hAnsiTheme="minorHAnsi" w:cs="Helvetica"/>
          <w:sz w:val="24"/>
          <w:szCs w:val="24"/>
          <w:shd w:val="clear" w:color="auto" w:fill="FFFFFF"/>
        </w:rPr>
        <w:t>le there is general agreement on</w:t>
      </w:r>
      <w:r w:rsidRPr="000C2DBE">
        <w:rPr>
          <w:rFonts w:asciiTheme="minorHAnsi" w:hAnsiTheme="minorHAnsi" w:cs="Helvetica"/>
          <w:sz w:val="24"/>
          <w:szCs w:val="24"/>
          <w:shd w:val="clear" w:color="auto" w:fill="FFFFFF"/>
        </w:rPr>
        <w:t xml:space="preserve"> the need</w:t>
      </w:r>
      <w:r w:rsidR="00CD05B5" w:rsidRPr="000C2DBE">
        <w:rPr>
          <w:rFonts w:asciiTheme="minorHAnsi" w:hAnsiTheme="minorHAnsi" w:cs="Helvetica"/>
          <w:sz w:val="24"/>
          <w:szCs w:val="24"/>
          <w:shd w:val="clear" w:color="auto" w:fill="FFFFFF"/>
        </w:rPr>
        <w:t xml:space="preserve"> to establish</w:t>
      </w:r>
      <w:r w:rsidR="00C02C95" w:rsidRPr="000C2DBE">
        <w:rPr>
          <w:rFonts w:asciiTheme="minorHAnsi" w:hAnsiTheme="minorHAnsi" w:cs="Helvetica"/>
          <w:sz w:val="24"/>
          <w:szCs w:val="24"/>
          <w:shd w:val="clear" w:color="auto" w:fill="FFFFFF"/>
        </w:rPr>
        <w:t xml:space="preserve"> workforce qualificati</w:t>
      </w:r>
      <w:r w:rsidRPr="000C2DBE">
        <w:rPr>
          <w:rFonts w:asciiTheme="minorHAnsi" w:hAnsiTheme="minorHAnsi" w:cs="Helvetica"/>
          <w:sz w:val="24"/>
          <w:szCs w:val="24"/>
          <w:shd w:val="clear" w:color="auto" w:fill="FFFFFF"/>
        </w:rPr>
        <w:t xml:space="preserve">ons, there are varying points of view on the details. </w:t>
      </w:r>
      <w:r w:rsidR="000D3140" w:rsidRPr="000C2DBE">
        <w:rPr>
          <w:rFonts w:asciiTheme="minorHAnsi" w:hAnsiTheme="minorHAnsi" w:cs="Helvetica"/>
          <w:sz w:val="24"/>
          <w:szCs w:val="24"/>
          <w:shd w:val="clear" w:color="auto" w:fill="FFFFFF"/>
        </w:rPr>
        <w:t xml:space="preserve">For example, the Commission has discussed whether a Master’s degree (or Bachelor’s with graduate credits) should be required at hire or within 5 years after hire for management positions (see table in Appendix E). </w:t>
      </w:r>
      <w:r w:rsidRPr="000C2DBE">
        <w:rPr>
          <w:rFonts w:asciiTheme="minorHAnsi" w:hAnsiTheme="minorHAnsi" w:cs="Helvetica"/>
          <w:sz w:val="24"/>
          <w:szCs w:val="24"/>
          <w:shd w:val="clear" w:color="auto" w:fill="FFFFFF"/>
        </w:rPr>
        <w:t>The Commission welcomes input from stakeholders before it makes final recommendations.</w:t>
      </w:r>
    </w:p>
    <w:p w:rsidR="00DD19EE" w:rsidRDefault="00DD19EE" w:rsidP="00422230">
      <w:pPr>
        <w:spacing w:line="276" w:lineRule="auto"/>
        <w:rPr>
          <w:rFonts w:asciiTheme="minorHAnsi" w:hAnsiTheme="minorHAnsi" w:cs="Helvetica"/>
          <w:sz w:val="24"/>
          <w:szCs w:val="24"/>
          <w:shd w:val="clear" w:color="auto" w:fill="FFFFFF"/>
        </w:rPr>
      </w:pPr>
    </w:p>
    <w:p w:rsidR="002111C4" w:rsidRDefault="00DD19EE"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 </w:t>
      </w:r>
      <w:r w:rsidR="002111C4">
        <w:rPr>
          <w:rFonts w:asciiTheme="minorHAnsi" w:hAnsiTheme="minorHAnsi" w:cs="Helvetica"/>
          <w:sz w:val="24"/>
          <w:szCs w:val="24"/>
          <w:shd w:val="clear" w:color="auto" w:fill="FFFFFF"/>
        </w:rPr>
        <w:t>Recognizing that there is a limited workforce and that there are some geographical limitations with recruitment and retention, developing a “</w:t>
      </w:r>
      <w:proofErr w:type="spellStart"/>
      <w:r w:rsidR="002111C4">
        <w:rPr>
          <w:rFonts w:asciiTheme="minorHAnsi" w:hAnsiTheme="minorHAnsi" w:cs="Helvetica"/>
          <w:sz w:val="24"/>
          <w:szCs w:val="24"/>
          <w:shd w:val="clear" w:color="auto" w:fill="FFFFFF"/>
        </w:rPr>
        <w:t>grandparenting</w:t>
      </w:r>
      <w:proofErr w:type="spellEnd"/>
      <w:r w:rsidR="002111C4">
        <w:rPr>
          <w:rFonts w:asciiTheme="minorHAnsi" w:hAnsiTheme="minorHAnsi" w:cs="Helvetica"/>
          <w:sz w:val="24"/>
          <w:szCs w:val="24"/>
          <w:shd w:val="clear" w:color="auto" w:fill="FFFFFF"/>
        </w:rPr>
        <w:t xml:space="preserve">” and waiver </w:t>
      </w:r>
      <w:r w:rsidR="004219CD">
        <w:rPr>
          <w:rFonts w:asciiTheme="minorHAnsi" w:hAnsiTheme="minorHAnsi" w:cs="Helvetica"/>
          <w:sz w:val="24"/>
          <w:szCs w:val="24"/>
          <w:shd w:val="clear" w:color="auto" w:fill="FFFFFF"/>
        </w:rPr>
        <w:t xml:space="preserve">process is being reviewed. </w:t>
      </w:r>
      <w:r w:rsidR="002111C4">
        <w:rPr>
          <w:rFonts w:asciiTheme="minorHAnsi" w:hAnsiTheme="minorHAnsi" w:cs="Helvetica"/>
          <w:sz w:val="24"/>
          <w:szCs w:val="24"/>
          <w:shd w:val="clear" w:color="auto" w:fill="FFFFFF"/>
        </w:rPr>
        <w:t>A “</w:t>
      </w:r>
      <w:proofErr w:type="spellStart"/>
      <w:r w:rsidR="002111C4">
        <w:rPr>
          <w:rFonts w:asciiTheme="minorHAnsi" w:hAnsiTheme="minorHAnsi" w:cs="Helvetica"/>
          <w:sz w:val="24"/>
          <w:szCs w:val="24"/>
          <w:shd w:val="clear" w:color="auto" w:fill="FFFFFF"/>
        </w:rPr>
        <w:t>grandparenting</w:t>
      </w:r>
      <w:proofErr w:type="spellEnd"/>
      <w:r w:rsidR="002111C4">
        <w:rPr>
          <w:rFonts w:asciiTheme="minorHAnsi" w:hAnsiTheme="minorHAnsi" w:cs="Helvetica"/>
          <w:sz w:val="24"/>
          <w:szCs w:val="24"/>
          <w:shd w:val="clear" w:color="auto" w:fill="FFFFFF"/>
        </w:rPr>
        <w:t>” process is intended to ensure that seasoned public health professionals who may retire within 10 years are fairly imp</w:t>
      </w:r>
      <w:r w:rsidR="004219CD">
        <w:rPr>
          <w:rFonts w:asciiTheme="minorHAnsi" w:hAnsiTheme="minorHAnsi" w:cs="Helvetica"/>
          <w:sz w:val="24"/>
          <w:szCs w:val="24"/>
          <w:shd w:val="clear" w:color="auto" w:fill="FFFFFF"/>
        </w:rPr>
        <w:t xml:space="preserve">acted by the draft regulations - </w:t>
      </w:r>
      <w:r w:rsidR="002111C4">
        <w:rPr>
          <w:rFonts w:asciiTheme="minorHAnsi" w:hAnsiTheme="minorHAnsi" w:cs="Helvetica"/>
          <w:sz w:val="24"/>
          <w:szCs w:val="24"/>
          <w:shd w:val="clear" w:color="auto" w:fill="FFFFFF"/>
        </w:rPr>
        <w:t>i</w:t>
      </w:r>
      <w:r w:rsidR="004219CD">
        <w:rPr>
          <w:rFonts w:asciiTheme="minorHAnsi" w:hAnsiTheme="minorHAnsi" w:cs="Helvetica"/>
          <w:sz w:val="24"/>
          <w:szCs w:val="24"/>
          <w:shd w:val="clear" w:color="auto" w:fill="FFFFFF"/>
        </w:rPr>
        <w:t xml:space="preserve">f they were to be implemented. </w:t>
      </w:r>
      <w:r w:rsidR="002111C4">
        <w:rPr>
          <w:rFonts w:asciiTheme="minorHAnsi" w:hAnsiTheme="minorHAnsi" w:cs="Helvetica"/>
          <w:sz w:val="24"/>
          <w:szCs w:val="24"/>
          <w:shd w:val="clear" w:color="auto" w:fill="FFFFFF"/>
        </w:rPr>
        <w:t xml:space="preserve">In addition, the option of having a waiver with well-defined criteria, would help towns, especially small towns, </w:t>
      </w:r>
      <w:proofErr w:type="gramStart"/>
      <w:r w:rsidR="002111C4">
        <w:rPr>
          <w:rFonts w:asciiTheme="minorHAnsi" w:hAnsiTheme="minorHAnsi" w:cs="Helvetica"/>
          <w:sz w:val="24"/>
          <w:szCs w:val="24"/>
          <w:shd w:val="clear" w:color="auto" w:fill="FFFFFF"/>
        </w:rPr>
        <w:t>recruit</w:t>
      </w:r>
      <w:proofErr w:type="gramEnd"/>
      <w:r w:rsidR="002111C4">
        <w:rPr>
          <w:rFonts w:asciiTheme="minorHAnsi" w:hAnsiTheme="minorHAnsi" w:cs="Helvetica"/>
          <w:sz w:val="24"/>
          <w:szCs w:val="24"/>
          <w:shd w:val="clear" w:color="auto" w:fill="FFFFFF"/>
        </w:rPr>
        <w:t xml:space="preserve"> and retain committed professionals who were working tow</w:t>
      </w:r>
      <w:r w:rsidR="004219CD">
        <w:rPr>
          <w:rFonts w:asciiTheme="minorHAnsi" w:hAnsiTheme="minorHAnsi" w:cs="Helvetica"/>
          <w:sz w:val="24"/>
          <w:szCs w:val="24"/>
          <w:shd w:val="clear" w:color="auto" w:fill="FFFFFF"/>
        </w:rPr>
        <w:t xml:space="preserve">ards meeting the requirements. </w:t>
      </w:r>
      <w:r w:rsidR="002111C4">
        <w:rPr>
          <w:rFonts w:asciiTheme="minorHAnsi" w:hAnsiTheme="minorHAnsi" w:cs="Helvetica"/>
          <w:sz w:val="24"/>
          <w:szCs w:val="24"/>
          <w:shd w:val="clear" w:color="auto" w:fill="FFFFFF"/>
        </w:rPr>
        <w:t>This</w:t>
      </w:r>
      <w:r w:rsidR="004219CD">
        <w:rPr>
          <w:rFonts w:asciiTheme="minorHAnsi" w:hAnsiTheme="minorHAnsi" w:cs="Helvetica"/>
          <w:sz w:val="24"/>
          <w:szCs w:val="24"/>
          <w:shd w:val="clear" w:color="auto" w:fill="FFFFFF"/>
        </w:rPr>
        <w:t xml:space="preserve"> approach</w:t>
      </w:r>
      <w:r w:rsidR="002111C4">
        <w:rPr>
          <w:rFonts w:asciiTheme="minorHAnsi" w:hAnsiTheme="minorHAnsi" w:cs="Helvetica"/>
          <w:sz w:val="24"/>
          <w:szCs w:val="24"/>
          <w:shd w:val="clear" w:color="auto" w:fill="FFFFFF"/>
        </w:rPr>
        <w:t xml:space="preserve"> would also support</w:t>
      </w:r>
      <w:r w:rsidR="004219CD">
        <w:rPr>
          <w:rFonts w:asciiTheme="minorHAnsi" w:hAnsiTheme="minorHAnsi" w:cs="Helvetica"/>
          <w:sz w:val="24"/>
          <w:szCs w:val="24"/>
          <w:shd w:val="clear" w:color="auto" w:fill="FFFFFF"/>
        </w:rPr>
        <w:t xml:space="preserve"> a pathway for the local public health profession. </w:t>
      </w:r>
      <w:r w:rsidR="002111C4">
        <w:rPr>
          <w:rFonts w:asciiTheme="minorHAnsi" w:hAnsiTheme="minorHAnsi" w:cs="Helvetica"/>
          <w:sz w:val="24"/>
          <w:szCs w:val="24"/>
          <w:shd w:val="clear" w:color="auto" w:fill="FFFFFF"/>
        </w:rPr>
        <w:t xml:space="preserve">Questions remain regarding when a waiver could be submitted and </w:t>
      </w:r>
      <w:r w:rsidR="004219CD">
        <w:rPr>
          <w:rFonts w:asciiTheme="minorHAnsi" w:hAnsiTheme="minorHAnsi" w:cs="Helvetica"/>
          <w:sz w:val="24"/>
          <w:szCs w:val="24"/>
          <w:shd w:val="clear" w:color="auto" w:fill="FFFFFF"/>
        </w:rPr>
        <w:t xml:space="preserve">would </w:t>
      </w:r>
      <w:r w:rsidR="002111C4">
        <w:rPr>
          <w:rFonts w:asciiTheme="minorHAnsi" w:hAnsiTheme="minorHAnsi" w:cs="Helvetica"/>
          <w:sz w:val="24"/>
          <w:szCs w:val="24"/>
          <w:shd w:val="clear" w:color="auto" w:fill="FFFFFF"/>
        </w:rPr>
        <w:t xml:space="preserve">the waiver </w:t>
      </w:r>
      <w:r w:rsidR="004219CD">
        <w:rPr>
          <w:rFonts w:asciiTheme="minorHAnsi" w:hAnsiTheme="minorHAnsi" w:cs="Helvetica"/>
          <w:sz w:val="24"/>
          <w:szCs w:val="24"/>
          <w:shd w:val="clear" w:color="auto" w:fill="FFFFFF"/>
        </w:rPr>
        <w:t xml:space="preserve">be </w:t>
      </w:r>
      <w:r w:rsidR="002111C4">
        <w:rPr>
          <w:rFonts w:asciiTheme="minorHAnsi" w:hAnsiTheme="minorHAnsi" w:cs="Helvetica"/>
          <w:sz w:val="24"/>
          <w:szCs w:val="24"/>
          <w:shd w:val="clear" w:color="auto" w:fill="FFFFFF"/>
        </w:rPr>
        <w:t xml:space="preserve">issued to the town or to the individual. </w:t>
      </w:r>
      <w:r w:rsidR="004219CD">
        <w:rPr>
          <w:rFonts w:asciiTheme="minorHAnsi" w:hAnsiTheme="minorHAnsi" w:cs="Helvetica"/>
          <w:sz w:val="24"/>
          <w:szCs w:val="24"/>
          <w:shd w:val="clear" w:color="auto" w:fill="FFFFFF"/>
        </w:rPr>
        <w:t>The s</w:t>
      </w:r>
      <w:r w:rsidR="002111C4">
        <w:rPr>
          <w:rFonts w:asciiTheme="minorHAnsi" w:hAnsiTheme="minorHAnsi" w:cs="Helvetica"/>
          <w:sz w:val="24"/>
          <w:szCs w:val="24"/>
          <w:shd w:val="clear" w:color="auto" w:fill="FFFFFF"/>
        </w:rPr>
        <w:t>ubcommittee was asked to consider t</w:t>
      </w:r>
      <w:r w:rsidR="004219CD">
        <w:rPr>
          <w:rFonts w:asciiTheme="minorHAnsi" w:hAnsiTheme="minorHAnsi" w:cs="Helvetica"/>
          <w:sz w:val="24"/>
          <w:szCs w:val="24"/>
          <w:shd w:val="clear" w:color="auto" w:fill="FFFFFF"/>
        </w:rPr>
        <w:t xml:space="preserve">he draft recommendations from an </w:t>
      </w:r>
      <w:r w:rsidR="002111C4">
        <w:rPr>
          <w:rFonts w:asciiTheme="minorHAnsi" w:hAnsiTheme="minorHAnsi" w:cs="Helvetica"/>
          <w:sz w:val="24"/>
          <w:szCs w:val="24"/>
          <w:shd w:val="clear" w:color="auto" w:fill="FFFFFF"/>
        </w:rPr>
        <w:t xml:space="preserve">equity lens due to concerns that educational and credentialing requirements might limit access to career advancement for local public </w:t>
      </w:r>
      <w:r w:rsidR="004219CD">
        <w:rPr>
          <w:rFonts w:asciiTheme="minorHAnsi" w:hAnsiTheme="minorHAnsi" w:cs="Helvetica"/>
          <w:sz w:val="24"/>
          <w:szCs w:val="24"/>
          <w:shd w:val="clear" w:color="auto" w:fill="FFFFFF"/>
        </w:rPr>
        <w:t xml:space="preserve">health </w:t>
      </w:r>
      <w:r w:rsidR="002111C4">
        <w:rPr>
          <w:rFonts w:asciiTheme="minorHAnsi" w:hAnsiTheme="minorHAnsi" w:cs="Helvetica"/>
          <w:sz w:val="24"/>
          <w:szCs w:val="24"/>
          <w:shd w:val="clear" w:color="auto" w:fill="FFFFFF"/>
        </w:rPr>
        <w:t xml:space="preserve">professionals of color </w:t>
      </w:r>
      <w:proofErr w:type="gramStart"/>
      <w:r w:rsidR="002111C4">
        <w:rPr>
          <w:rFonts w:asciiTheme="minorHAnsi" w:hAnsiTheme="minorHAnsi" w:cs="Helvetica"/>
          <w:sz w:val="24"/>
          <w:szCs w:val="24"/>
          <w:shd w:val="clear" w:color="auto" w:fill="FFFFFF"/>
        </w:rPr>
        <w:t>who</w:t>
      </w:r>
      <w:proofErr w:type="gramEnd"/>
      <w:r w:rsidR="002111C4">
        <w:rPr>
          <w:rFonts w:asciiTheme="minorHAnsi" w:hAnsiTheme="minorHAnsi" w:cs="Helvetica"/>
          <w:sz w:val="24"/>
          <w:szCs w:val="24"/>
          <w:shd w:val="clear" w:color="auto" w:fill="FFFFFF"/>
        </w:rPr>
        <w:t xml:space="preserve"> </w:t>
      </w:r>
      <w:r w:rsidR="004219CD">
        <w:rPr>
          <w:rFonts w:asciiTheme="minorHAnsi" w:hAnsiTheme="minorHAnsi" w:cs="Helvetica"/>
          <w:sz w:val="24"/>
          <w:szCs w:val="24"/>
          <w:shd w:val="clear" w:color="auto" w:fill="FFFFFF"/>
        </w:rPr>
        <w:t>might already be under-represented in the profession.</w:t>
      </w:r>
    </w:p>
    <w:p w:rsidR="002111C4" w:rsidRDefault="002111C4" w:rsidP="00422230">
      <w:pPr>
        <w:spacing w:line="276" w:lineRule="auto"/>
        <w:rPr>
          <w:rFonts w:asciiTheme="minorHAnsi" w:hAnsiTheme="minorHAnsi" w:cs="Helvetica"/>
          <w:sz w:val="24"/>
          <w:szCs w:val="24"/>
          <w:shd w:val="clear" w:color="auto" w:fill="FFFFFF"/>
        </w:rPr>
      </w:pPr>
    </w:p>
    <w:p w:rsidR="002111C4" w:rsidRDefault="002111C4" w:rsidP="00422230">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Some national organizations have established staff to population ratios for some public health positions. The subcommittee is exploring these ratios as a benchmark for local public health staffing</w:t>
      </w:r>
      <w:r w:rsidR="00E5320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The subcommittee will also align its prelim</w:t>
      </w:r>
      <w:r w:rsidRPr="00AC64BC">
        <w:rPr>
          <w:rFonts w:asciiTheme="minorHAnsi" w:hAnsiTheme="minorHAnsi" w:cs="Helvetica"/>
          <w:sz w:val="24"/>
          <w:szCs w:val="24"/>
          <w:shd w:val="clear" w:color="auto" w:fill="FFFFFF"/>
        </w:rPr>
        <w:t>inary recommendations</w:t>
      </w:r>
      <w:r>
        <w:rPr>
          <w:rFonts w:asciiTheme="minorHAnsi" w:hAnsiTheme="minorHAnsi" w:cs="Helvetica"/>
          <w:sz w:val="24"/>
          <w:szCs w:val="24"/>
          <w:shd w:val="clear" w:color="auto" w:fill="FFFFFF"/>
        </w:rPr>
        <w:t xml:space="preserve"> with the </w:t>
      </w:r>
      <w:r w:rsidR="004219CD">
        <w:rPr>
          <w:rFonts w:asciiTheme="minorHAnsi" w:hAnsiTheme="minorHAnsi" w:cs="Helvetica"/>
          <w:sz w:val="24"/>
          <w:szCs w:val="24"/>
          <w:shd w:val="clear" w:color="auto" w:fill="FFFFFF"/>
        </w:rPr>
        <w:t xml:space="preserve">FPHS </w:t>
      </w:r>
      <w:r>
        <w:rPr>
          <w:rFonts w:asciiTheme="minorHAnsi" w:hAnsiTheme="minorHAnsi" w:cs="Helvetica"/>
          <w:sz w:val="24"/>
          <w:szCs w:val="24"/>
          <w:shd w:val="clear" w:color="auto" w:fill="FFFFFF"/>
        </w:rPr>
        <w:t xml:space="preserve">minimum set of services recommended by the Commission. </w:t>
      </w:r>
      <w:r w:rsidR="004219CD">
        <w:rPr>
          <w:rFonts w:asciiTheme="minorHAnsi" w:hAnsiTheme="minorHAnsi" w:cs="Helvetica"/>
          <w:sz w:val="24"/>
          <w:szCs w:val="24"/>
          <w:shd w:val="clear" w:color="auto" w:fill="FFFFFF"/>
        </w:rPr>
        <w:t>The Commission encouraged the s</w:t>
      </w:r>
      <w:r>
        <w:rPr>
          <w:rFonts w:asciiTheme="minorHAnsi" w:hAnsiTheme="minorHAnsi" w:cs="Helvetica"/>
          <w:sz w:val="24"/>
          <w:szCs w:val="24"/>
          <w:shd w:val="clear" w:color="auto" w:fill="FFFFFF"/>
        </w:rPr>
        <w:t xml:space="preserve">ubcommittee to continue researching other states to compare their draft recommendations, </w:t>
      </w:r>
      <w:r w:rsidR="002133CA">
        <w:rPr>
          <w:rFonts w:asciiTheme="minorHAnsi" w:hAnsiTheme="minorHAnsi" w:cs="Helvetica"/>
          <w:sz w:val="24"/>
          <w:szCs w:val="24"/>
          <w:shd w:val="clear" w:color="auto" w:fill="FFFFFF"/>
        </w:rPr>
        <w:t>to explore</w:t>
      </w:r>
      <w:r>
        <w:rPr>
          <w:rFonts w:asciiTheme="minorHAnsi" w:hAnsiTheme="minorHAnsi" w:cs="Helvetica"/>
          <w:sz w:val="24"/>
          <w:szCs w:val="24"/>
          <w:shd w:val="clear" w:color="auto" w:fill="FFFFFF"/>
        </w:rPr>
        <w:t xml:space="preserve"> </w:t>
      </w:r>
      <w:r w:rsidR="002133CA">
        <w:rPr>
          <w:rFonts w:asciiTheme="minorHAnsi" w:hAnsiTheme="minorHAnsi" w:cs="Helvetica"/>
          <w:sz w:val="24"/>
          <w:szCs w:val="24"/>
          <w:shd w:val="clear" w:color="auto" w:fill="FFFFFF"/>
        </w:rPr>
        <w:t xml:space="preserve">staff to population </w:t>
      </w:r>
      <w:r>
        <w:rPr>
          <w:rFonts w:asciiTheme="minorHAnsi" w:hAnsiTheme="minorHAnsi" w:cs="Helvetica"/>
          <w:sz w:val="24"/>
          <w:szCs w:val="24"/>
          <w:shd w:val="clear" w:color="auto" w:fill="FFFFFF"/>
        </w:rPr>
        <w:t xml:space="preserve">ratios, and to </w:t>
      </w:r>
      <w:r w:rsidR="002133CA">
        <w:rPr>
          <w:rFonts w:asciiTheme="minorHAnsi" w:hAnsiTheme="minorHAnsi" w:cs="Helvetica"/>
          <w:sz w:val="24"/>
          <w:szCs w:val="24"/>
          <w:shd w:val="clear" w:color="auto" w:fill="FFFFFF"/>
        </w:rPr>
        <w:t xml:space="preserve">ensure that the recommendations are </w:t>
      </w:r>
      <w:r>
        <w:rPr>
          <w:rFonts w:asciiTheme="minorHAnsi" w:hAnsiTheme="minorHAnsi" w:cs="Helvetica"/>
          <w:sz w:val="24"/>
          <w:szCs w:val="24"/>
          <w:shd w:val="clear" w:color="auto" w:fill="FFFFFF"/>
        </w:rPr>
        <w:t>aligned with the Foundational Public Health Services</w:t>
      </w:r>
      <w:r w:rsidR="00E5320D">
        <w:rPr>
          <w:rFonts w:asciiTheme="minorHAnsi" w:hAnsiTheme="minorHAnsi" w:cs="Helvetica"/>
          <w:sz w:val="24"/>
          <w:szCs w:val="24"/>
          <w:shd w:val="clear" w:color="auto" w:fill="FFFFFF"/>
        </w:rPr>
        <w:t xml:space="preserve">. </w:t>
      </w:r>
    </w:p>
    <w:p w:rsidR="002111C4" w:rsidRPr="00297BFF" w:rsidRDefault="002111C4" w:rsidP="002111C4">
      <w:pPr>
        <w:rPr>
          <w:rFonts w:asciiTheme="minorHAnsi" w:hAnsiTheme="minorHAnsi" w:cs="Helvetica"/>
          <w:sz w:val="24"/>
          <w:szCs w:val="24"/>
          <w:shd w:val="clear" w:color="auto" w:fill="FFFFFF"/>
        </w:rPr>
      </w:pPr>
    </w:p>
    <w:p w:rsidR="002133CA" w:rsidRPr="002133CA" w:rsidRDefault="002133CA" w:rsidP="00422230">
      <w:pPr>
        <w:spacing w:line="276" w:lineRule="auto"/>
        <w:rPr>
          <w:sz w:val="24"/>
        </w:rPr>
      </w:pPr>
      <w:r w:rsidRPr="002133CA">
        <w:rPr>
          <w:sz w:val="24"/>
        </w:rPr>
        <w:t>The Workforce Credentials Subcommittee plans to</w:t>
      </w:r>
      <w:r w:rsidR="001B60E7">
        <w:rPr>
          <w:sz w:val="24"/>
        </w:rPr>
        <w:t>:</w:t>
      </w:r>
      <w:r w:rsidRPr="002133CA">
        <w:rPr>
          <w:sz w:val="24"/>
        </w:rPr>
        <w:t xml:space="preserve"> </w:t>
      </w:r>
    </w:p>
    <w:p w:rsidR="002133CA" w:rsidRDefault="002133CA" w:rsidP="00422230">
      <w:pPr>
        <w:spacing w:line="276" w:lineRule="auto"/>
        <w:rPr>
          <w:b/>
        </w:rPr>
      </w:pPr>
    </w:p>
    <w:p w:rsidR="002111C4" w:rsidRPr="00BE22F3" w:rsidRDefault="002111C4" w:rsidP="00422230">
      <w:pPr>
        <w:pStyle w:val="ListParagraph"/>
        <w:numPr>
          <w:ilvl w:val="0"/>
          <w:numId w:val="9"/>
        </w:numPr>
        <w:spacing w:line="276" w:lineRule="auto"/>
        <w:contextualSpacing/>
        <w:rPr>
          <w:sz w:val="24"/>
        </w:rPr>
      </w:pPr>
      <w:r w:rsidRPr="00BE22F3">
        <w:rPr>
          <w:sz w:val="24"/>
        </w:rPr>
        <w:t xml:space="preserve">Analyze the </w:t>
      </w:r>
      <w:r w:rsidR="00FA5C99">
        <w:rPr>
          <w:sz w:val="24"/>
        </w:rPr>
        <w:t xml:space="preserve">local public health workforce </w:t>
      </w:r>
      <w:r w:rsidRPr="00BE22F3">
        <w:rPr>
          <w:sz w:val="24"/>
        </w:rPr>
        <w:t xml:space="preserve">survey data to assess the current </w:t>
      </w:r>
      <w:r w:rsidR="002133CA">
        <w:rPr>
          <w:sz w:val="24"/>
        </w:rPr>
        <w:t>local public health (LPH)</w:t>
      </w:r>
      <w:r w:rsidRPr="00BE22F3">
        <w:rPr>
          <w:sz w:val="24"/>
        </w:rPr>
        <w:t xml:space="preserve"> workforce landscape and to estimate the gaps in capacity to provide </w:t>
      </w:r>
      <w:r w:rsidR="002133CA">
        <w:rPr>
          <w:sz w:val="24"/>
        </w:rPr>
        <w:t xml:space="preserve">the </w:t>
      </w:r>
      <w:r w:rsidRPr="00BE22F3">
        <w:rPr>
          <w:sz w:val="24"/>
        </w:rPr>
        <w:t>Commission-recommended minimum set of LPH services</w:t>
      </w:r>
      <w:r w:rsidR="002133CA">
        <w:rPr>
          <w:sz w:val="24"/>
        </w:rPr>
        <w:t>;</w:t>
      </w:r>
    </w:p>
    <w:p w:rsidR="002133CA" w:rsidRDefault="002111C4" w:rsidP="00422230">
      <w:pPr>
        <w:pStyle w:val="ListParagraph"/>
        <w:numPr>
          <w:ilvl w:val="0"/>
          <w:numId w:val="9"/>
        </w:numPr>
        <w:spacing w:line="276" w:lineRule="auto"/>
        <w:contextualSpacing/>
        <w:rPr>
          <w:sz w:val="24"/>
        </w:rPr>
      </w:pPr>
      <w:r w:rsidRPr="00BE22F3">
        <w:rPr>
          <w:sz w:val="24"/>
        </w:rPr>
        <w:t>Define required versus recommended workforce standards and core versu</w:t>
      </w:r>
      <w:r w:rsidR="002133CA">
        <w:rPr>
          <w:sz w:val="24"/>
        </w:rPr>
        <w:t>s expanded staffing;</w:t>
      </w:r>
    </w:p>
    <w:p w:rsidR="002111C4" w:rsidRPr="00BE22F3" w:rsidRDefault="002133CA" w:rsidP="00422230">
      <w:pPr>
        <w:pStyle w:val="ListParagraph"/>
        <w:numPr>
          <w:ilvl w:val="0"/>
          <w:numId w:val="9"/>
        </w:numPr>
        <w:spacing w:line="276" w:lineRule="auto"/>
        <w:contextualSpacing/>
        <w:rPr>
          <w:sz w:val="24"/>
        </w:rPr>
      </w:pPr>
      <w:r>
        <w:rPr>
          <w:sz w:val="24"/>
        </w:rPr>
        <w:t>I</w:t>
      </w:r>
      <w:r w:rsidR="002111C4" w:rsidRPr="00BE22F3">
        <w:rPr>
          <w:sz w:val="24"/>
        </w:rPr>
        <w:t>dentify the necessary structures and supports for ensuring the capacity to provide training across the state that supports a LPH workforce that meets the Commission’s minimum set of LPH services</w:t>
      </w:r>
      <w:r>
        <w:rPr>
          <w:sz w:val="24"/>
        </w:rPr>
        <w:t>;</w:t>
      </w:r>
    </w:p>
    <w:p w:rsidR="002111C4" w:rsidRPr="00BE22F3" w:rsidRDefault="002111C4" w:rsidP="00422230">
      <w:pPr>
        <w:pStyle w:val="ListParagraph"/>
        <w:numPr>
          <w:ilvl w:val="0"/>
          <w:numId w:val="9"/>
        </w:numPr>
        <w:spacing w:line="276" w:lineRule="auto"/>
        <w:contextualSpacing/>
        <w:rPr>
          <w:sz w:val="24"/>
        </w:rPr>
      </w:pPr>
      <w:r w:rsidRPr="00BE22F3">
        <w:rPr>
          <w:sz w:val="24"/>
        </w:rPr>
        <w:t>Further develop the concepts of “</w:t>
      </w:r>
      <w:proofErr w:type="spellStart"/>
      <w:r w:rsidRPr="00BE22F3">
        <w:rPr>
          <w:sz w:val="24"/>
        </w:rPr>
        <w:t>grandparenting</w:t>
      </w:r>
      <w:proofErr w:type="spellEnd"/>
      <w:r w:rsidRPr="00BE22F3">
        <w:rPr>
          <w:sz w:val="24"/>
        </w:rPr>
        <w:t>” and waivers</w:t>
      </w:r>
      <w:r w:rsidR="002133CA">
        <w:rPr>
          <w:sz w:val="24"/>
        </w:rPr>
        <w:t>;</w:t>
      </w:r>
    </w:p>
    <w:p w:rsidR="002111C4" w:rsidRPr="00BE22F3" w:rsidRDefault="002111C4" w:rsidP="00422230">
      <w:pPr>
        <w:pStyle w:val="ListParagraph"/>
        <w:numPr>
          <w:ilvl w:val="0"/>
          <w:numId w:val="9"/>
        </w:numPr>
        <w:spacing w:line="276" w:lineRule="auto"/>
        <w:contextualSpacing/>
        <w:rPr>
          <w:sz w:val="24"/>
        </w:rPr>
      </w:pPr>
      <w:r w:rsidRPr="00BE22F3">
        <w:rPr>
          <w:sz w:val="24"/>
        </w:rPr>
        <w:t>Explore national benchmarks and staffing guidelines (ratios)</w:t>
      </w:r>
      <w:r w:rsidR="002133CA">
        <w:rPr>
          <w:sz w:val="24"/>
        </w:rPr>
        <w:t>;</w:t>
      </w:r>
    </w:p>
    <w:p w:rsidR="002111C4" w:rsidRPr="00BE22F3" w:rsidRDefault="002111C4" w:rsidP="00422230">
      <w:pPr>
        <w:pStyle w:val="ListParagraph"/>
        <w:numPr>
          <w:ilvl w:val="0"/>
          <w:numId w:val="9"/>
        </w:numPr>
        <w:spacing w:line="276" w:lineRule="auto"/>
        <w:contextualSpacing/>
        <w:rPr>
          <w:sz w:val="24"/>
        </w:rPr>
      </w:pPr>
      <w:r w:rsidRPr="00BE22F3">
        <w:rPr>
          <w:sz w:val="24"/>
        </w:rPr>
        <w:t xml:space="preserve">Compare draft recommendations to standards set by other similar states </w:t>
      </w:r>
      <w:r w:rsidR="002133CA">
        <w:rPr>
          <w:sz w:val="24"/>
        </w:rPr>
        <w:t>and/</w:t>
      </w:r>
      <w:r w:rsidRPr="00BE22F3">
        <w:rPr>
          <w:sz w:val="24"/>
        </w:rPr>
        <w:t>or with national standards/benchmarks</w:t>
      </w:r>
      <w:r w:rsidR="002133CA">
        <w:rPr>
          <w:sz w:val="24"/>
        </w:rPr>
        <w:t xml:space="preserve">; and </w:t>
      </w:r>
    </w:p>
    <w:p w:rsidR="002111C4" w:rsidRPr="00BE22F3" w:rsidRDefault="002111C4" w:rsidP="00422230">
      <w:pPr>
        <w:pStyle w:val="ListParagraph"/>
        <w:numPr>
          <w:ilvl w:val="0"/>
          <w:numId w:val="9"/>
        </w:numPr>
        <w:spacing w:line="276" w:lineRule="auto"/>
        <w:contextualSpacing/>
        <w:rPr>
          <w:sz w:val="24"/>
        </w:rPr>
      </w:pPr>
      <w:r w:rsidRPr="00BE22F3">
        <w:rPr>
          <w:sz w:val="24"/>
        </w:rPr>
        <w:lastRenderedPageBreak/>
        <w:t xml:space="preserve">Review and incorporate feedback from the listening sessions regarding minimum educational, </w:t>
      </w:r>
      <w:r w:rsidR="00D75A28" w:rsidRPr="00BE22F3">
        <w:rPr>
          <w:sz w:val="24"/>
        </w:rPr>
        <w:t>training,</w:t>
      </w:r>
      <w:r w:rsidRPr="00BE22F3">
        <w:rPr>
          <w:sz w:val="24"/>
        </w:rPr>
        <w:t xml:space="preserve"> and credentialing standards for essential local public health professionals to meet the FPHS standard</w:t>
      </w:r>
      <w:r w:rsidR="002133CA">
        <w:rPr>
          <w:sz w:val="24"/>
        </w:rPr>
        <w:t>.</w:t>
      </w:r>
    </w:p>
    <w:p w:rsidR="00733829" w:rsidRPr="001D2606" w:rsidRDefault="00733829" w:rsidP="002020C1">
      <w:pPr>
        <w:spacing w:line="276" w:lineRule="auto"/>
        <w:rPr>
          <w:rFonts w:asciiTheme="minorHAnsi" w:hAnsiTheme="minorHAnsi" w:cs="Helvetica"/>
          <w:color w:val="548DD4" w:themeColor="text2" w:themeTint="99"/>
          <w:sz w:val="24"/>
          <w:szCs w:val="24"/>
          <w:shd w:val="clear" w:color="auto" w:fill="FFFFFF"/>
        </w:rPr>
      </w:pPr>
    </w:p>
    <w:p w:rsidR="00FC38AA" w:rsidRPr="001D2606" w:rsidRDefault="004F27C0" w:rsidP="00840C0E">
      <w:pPr>
        <w:rPr>
          <w:rFonts w:asciiTheme="minorHAnsi" w:hAnsiTheme="minorHAnsi" w:cs="Helvetica"/>
          <w:sz w:val="24"/>
          <w:szCs w:val="24"/>
          <w:shd w:val="clear" w:color="auto" w:fill="FFFFFF"/>
        </w:rPr>
      </w:pPr>
      <w:r w:rsidRPr="004F27C0">
        <w:rPr>
          <w:rFonts w:asciiTheme="minorHAnsi" w:hAnsiTheme="minorHAnsi" w:cs="Helvetica"/>
          <w:noProof/>
          <w:sz w:val="24"/>
          <w:szCs w:val="24"/>
          <w:shd w:val="clear" w:color="auto" w:fill="FFFFFF"/>
        </w:rPr>
        <mc:AlternateContent>
          <mc:Choice Requires="wps">
            <w:drawing>
              <wp:anchor distT="0" distB="0" distL="114300" distR="114300" simplePos="0" relativeHeight="251667456" behindDoc="1" locked="0" layoutInCell="1" allowOverlap="1" wp14:anchorId="1D1D7CCC" wp14:editId="0F495389">
                <wp:simplePos x="0" y="0"/>
                <wp:positionH relativeFrom="column">
                  <wp:align>center</wp:align>
                </wp:positionH>
                <wp:positionV relativeFrom="paragraph">
                  <wp:posOffset>0</wp:posOffset>
                </wp:positionV>
                <wp:extent cx="5943600" cy="1403985"/>
                <wp:effectExtent l="0" t="0" r="19050" b="15875"/>
                <wp:wrapTight wrapText="bothSides">
                  <wp:wrapPolygon edited="0">
                    <wp:start x="0" y="0"/>
                    <wp:lineTo x="0" y="21445"/>
                    <wp:lineTo x="21600" y="21445"/>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rgbClr val="000000"/>
                          </a:solidFill>
                          <a:miter lim="800000"/>
                          <a:headEnd/>
                          <a:tailEnd/>
                        </a:ln>
                      </wps:spPr>
                      <wps:txbx>
                        <w:txbxContent>
                          <w:p w:rsidR="009742A9" w:rsidRPr="00287019" w:rsidRDefault="009742A9" w:rsidP="000A0AB7">
                            <w:pPr>
                              <w:pStyle w:val="ListParagraph"/>
                              <w:numPr>
                                <w:ilvl w:val="0"/>
                                <w:numId w:val="13"/>
                              </w:numPr>
                              <w:rPr>
                                <w:b/>
                                <w:sz w:val="24"/>
                              </w:rPr>
                            </w:pPr>
                            <w:r w:rsidRPr="00287019">
                              <w:rPr>
                                <w:b/>
                                <w:sz w:val="24"/>
                              </w:rPr>
                              <w:t>Assess the current capacity of the Office of Local and Regional Health (OLRH) within the Department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0;margin-top:0;width:468pt;height:110.55pt;z-index:-2516490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" fillcolor="#c6d9f1 [671]">
                <v:textbox style="mso-fit-shape-to-text:t">
                  <w:txbxContent>
                    <w:p w:rsidR="009742A9" w:rsidRPr="00287019" w:rsidRDefault="009742A9" w:rsidP="000A0AB7">
                      <w:pPr>
                        <w:pStyle w:val="ListParagraph"/>
                        <w:numPr>
                          <w:ilvl w:val="0"/>
                          <w:numId w:val="13"/>
                        </w:numPr>
                        <w:rPr>
                          <w:b/>
                          <w:sz w:val="24"/>
                        </w:rPr>
                      </w:pPr>
                      <w:r w:rsidRPr="00287019">
                        <w:rPr>
                          <w:b/>
                          <w:sz w:val="24"/>
                        </w:rPr>
                        <w:t>Assess the current capacity of the Office of Local and Regional Health (OLRH) within the Department of Public Health</w:t>
                      </w:r>
                    </w:p>
                  </w:txbxContent>
                </v:textbox>
                <w10:wrap type="tight"/>
              </v:shape>
            </w:pict>
          </mc:Fallback>
        </mc:AlternateContent>
      </w:r>
    </w:p>
    <w:p w:rsidR="00510E7D" w:rsidRPr="001D2606" w:rsidRDefault="00BE22F3" w:rsidP="002020C1">
      <w:pPr>
        <w:spacing w:line="276" w:lineRule="auto"/>
        <w:rPr>
          <w:rFonts w:asciiTheme="minorHAnsi" w:hAnsiTheme="minorHAnsi" w:cs="Helvetica"/>
          <w:sz w:val="24"/>
          <w:szCs w:val="24"/>
          <w:shd w:val="clear" w:color="auto" w:fill="FFFFFF"/>
        </w:rPr>
      </w:pPr>
      <w:r>
        <w:rPr>
          <w:sz w:val="24"/>
          <w:szCs w:val="24"/>
        </w:rPr>
        <w:t>Created in 2013, t</w:t>
      </w:r>
      <w:r w:rsidRPr="009424E8">
        <w:rPr>
          <w:sz w:val="24"/>
          <w:szCs w:val="24"/>
        </w:rPr>
        <w:t xml:space="preserve">he Office of Local and Regional Health (OLRH) </w:t>
      </w:r>
      <w:proofErr w:type="gramStart"/>
      <w:r w:rsidRPr="009424E8">
        <w:rPr>
          <w:sz w:val="24"/>
          <w:szCs w:val="24"/>
        </w:rPr>
        <w:t>provides</w:t>
      </w:r>
      <w:proofErr w:type="gramEnd"/>
      <w:r w:rsidRPr="009424E8">
        <w:rPr>
          <w:sz w:val="24"/>
          <w:szCs w:val="24"/>
        </w:rPr>
        <w:t xml:space="preserve"> leadership in collaboration with internal and external public health stakeholders to strengthen the capacity of Massachusetts local Boards of Health (BOH) to meet their legal responsibilities to protect </w:t>
      </w:r>
      <w:r>
        <w:rPr>
          <w:sz w:val="24"/>
          <w:szCs w:val="24"/>
        </w:rPr>
        <w:t>the health of their communities.</w:t>
      </w:r>
      <w:r w:rsidR="00DD19EE">
        <w:rPr>
          <w:sz w:val="24"/>
          <w:szCs w:val="24"/>
        </w:rPr>
        <w:t xml:space="preserve"> </w:t>
      </w:r>
      <w:r w:rsidR="00DD19EE" w:rsidRPr="000C2DBE">
        <w:rPr>
          <w:sz w:val="24"/>
          <w:szCs w:val="24"/>
        </w:rPr>
        <w:t xml:space="preserve">In addition to the Office of Local and Regional Health, DPH provides staff support in the form of training, technical assistance, and other guidance </w:t>
      </w:r>
      <w:r w:rsidR="00CD05B5" w:rsidRPr="000C2DBE">
        <w:rPr>
          <w:sz w:val="24"/>
          <w:szCs w:val="24"/>
        </w:rPr>
        <w:t>to local public health authorities</w:t>
      </w:r>
      <w:r w:rsidR="00DD19EE" w:rsidRPr="000C2DBE">
        <w:rPr>
          <w:sz w:val="24"/>
          <w:szCs w:val="24"/>
        </w:rPr>
        <w:t xml:space="preserve"> on a wide range of public health issues. Communicable disease control, emergency preparedness, state sanitary code, tobacco control, food protection, and </w:t>
      </w:r>
      <w:r w:rsidR="00C02C95" w:rsidRPr="000C2DBE">
        <w:rPr>
          <w:sz w:val="24"/>
          <w:szCs w:val="24"/>
        </w:rPr>
        <w:t>substance addi</w:t>
      </w:r>
      <w:r w:rsidR="005613DF" w:rsidRPr="000C2DBE">
        <w:rPr>
          <w:sz w:val="24"/>
          <w:szCs w:val="24"/>
        </w:rPr>
        <w:t>ction are among the public health issues for which DPH works with</w:t>
      </w:r>
      <w:r w:rsidR="00CD05B5" w:rsidRPr="000C2DBE">
        <w:rPr>
          <w:sz w:val="24"/>
          <w:szCs w:val="24"/>
        </w:rPr>
        <w:t xml:space="preserve"> local public health officials</w:t>
      </w:r>
      <w:r w:rsidR="005613DF" w:rsidRPr="000C2DBE">
        <w:rPr>
          <w:sz w:val="24"/>
          <w:szCs w:val="24"/>
        </w:rPr>
        <w:t>.</w:t>
      </w:r>
      <w:r w:rsidR="00F42130" w:rsidRPr="000C2DBE">
        <w:rPr>
          <w:sz w:val="24"/>
          <w:szCs w:val="24"/>
        </w:rPr>
        <w:t xml:space="preserve"> For some programs, DPH funds regional coalitions and collaborative activities that support an efficient and effective use of resources.</w:t>
      </w:r>
    </w:p>
    <w:p w:rsidR="00BE22F3" w:rsidRDefault="00BE22F3" w:rsidP="002020C1">
      <w:pPr>
        <w:spacing w:line="276" w:lineRule="auto"/>
        <w:rPr>
          <w:rFonts w:asciiTheme="minorHAnsi" w:hAnsiTheme="minorHAnsi" w:cs="Helvetica"/>
          <w:sz w:val="24"/>
          <w:szCs w:val="24"/>
          <w:shd w:val="clear" w:color="auto" w:fill="FFFFFF"/>
        </w:rPr>
      </w:pPr>
    </w:p>
    <w:p w:rsidR="00BE22F3" w:rsidRDefault="00BE22F3" w:rsidP="002020C1">
      <w:pPr>
        <w:spacing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Work related to this element of the charge will depend on preliminary recommendations of the Commission.</w:t>
      </w:r>
    </w:p>
    <w:p w:rsidR="00BE22F3" w:rsidRDefault="00BE22F3" w:rsidP="002020C1">
      <w:pPr>
        <w:spacing w:line="276" w:lineRule="auto"/>
        <w:rPr>
          <w:rFonts w:asciiTheme="minorHAnsi" w:hAnsiTheme="minorHAnsi" w:cs="Helvetica"/>
          <w:sz w:val="24"/>
          <w:szCs w:val="24"/>
          <w:shd w:val="clear" w:color="auto" w:fill="FFFFFF"/>
        </w:rPr>
      </w:pPr>
    </w:p>
    <w:p w:rsidR="002111C4" w:rsidRDefault="002111C4" w:rsidP="00733829">
      <w:pPr>
        <w:rPr>
          <w:rFonts w:asciiTheme="minorHAnsi" w:hAnsiTheme="minorHAnsi" w:cs="Helvetica"/>
          <w:sz w:val="24"/>
          <w:szCs w:val="24"/>
          <w:shd w:val="clear" w:color="auto" w:fill="FFFFFF"/>
        </w:rPr>
      </w:pPr>
      <w:r w:rsidRPr="004F27C0">
        <w:rPr>
          <w:rFonts w:asciiTheme="minorHAnsi" w:hAnsiTheme="minorHAnsi" w:cs="Helvetica"/>
          <w:noProof/>
          <w:sz w:val="24"/>
          <w:szCs w:val="24"/>
          <w:shd w:val="clear" w:color="auto" w:fill="FFFFFF"/>
        </w:rPr>
        <mc:AlternateContent>
          <mc:Choice Requires="wps">
            <w:drawing>
              <wp:anchor distT="0" distB="0" distL="114300" distR="114300" simplePos="0" relativeHeight="251669504" behindDoc="1" locked="0" layoutInCell="1" allowOverlap="1" wp14:anchorId="0B1675CE" wp14:editId="77B21ACD">
                <wp:simplePos x="0" y="0"/>
                <wp:positionH relativeFrom="column">
                  <wp:posOffset>-48895</wp:posOffset>
                </wp:positionH>
                <wp:positionV relativeFrom="paragraph">
                  <wp:posOffset>38735</wp:posOffset>
                </wp:positionV>
                <wp:extent cx="5943600" cy="1403985"/>
                <wp:effectExtent l="0" t="0" r="19050" b="27305"/>
                <wp:wrapTight wrapText="bothSides">
                  <wp:wrapPolygon edited="0">
                    <wp:start x="0" y="0"/>
                    <wp:lineTo x="0" y="21871"/>
                    <wp:lineTo x="21600" y="21871"/>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rgbClr val="000000"/>
                          </a:solidFill>
                          <a:miter lim="800000"/>
                          <a:headEnd/>
                          <a:tailEnd/>
                        </a:ln>
                      </wps:spPr>
                      <wps:txbx>
                        <w:txbxContent>
                          <w:p w:rsidR="009742A9" w:rsidRPr="00287019" w:rsidRDefault="009742A9" w:rsidP="000A0AB7">
                            <w:pPr>
                              <w:pStyle w:val="ListParagraph"/>
                              <w:numPr>
                                <w:ilvl w:val="0"/>
                                <w:numId w:val="12"/>
                              </w:numPr>
                              <w:rPr>
                                <w:b/>
                                <w:sz w:val="24"/>
                              </w:rPr>
                            </w:pPr>
                            <w:r w:rsidRPr="00287019">
                              <w:rPr>
                                <w:b/>
                                <w:sz w:val="24"/>
                              </w:rPr>
                              <w:t>Evaluate existing regional collaboration and various models of service delivery across the commonwealth, including stand-alone, shared service and fully comprehensive regional districts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3.85pt;margin-top:3.05pt;width:468pt;height:11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" fillcolor="#c6d9f1 [671]">
                <v:textbox style="mso-fit-shape-to-text:t">
                  <w:txbxContent>
                    <w:p w:rsidR="009742A9" w:rsidRPr="00287019" w:rsidRDefault="009742A9" w:rsidP="000A0AB7">
                      <w:pPr>
                        <w:pStyle w:val="ListParagraph"/>
                        <w:numPr>
                          <w:ilvl w:val="0"/>
                          <w:numId w:val="12"/>
                        </w:numPr>
                        <w:rPr>
                          <w:b/>
                          <w:sz w:val="24"/>
                        </w:rPr>
                      </w:pPr>
                      <w:r w:rsidRPr="00287019">
                        <w:rPr>
                          <w:b/>
                          <w:sz w:val="24"/>
                        </w:rPr>
                        <w:t>Evaluate existing regional collaboration and various models of service delivery across the commonwealth, including stand-alone, shared service and fully comprehensive regional districts</w:t>
                      </w:r>
                    </w:p>
                  </w:txbxContent>
                </v:textbox>
                <w10:wrap type="tight"/>
              </v:shape>
            </w:pict>
          </mc:Fallback>
        </mc:AlternateContent>
      </w:r>
    </w:p>
    <w:p w:rsidR="002111C4" w:rsidRDefault="002111C4" w:rsidP="0035133A">
      <w:pPr>
        <w:pStyle w:val="Default"/>
        <w:spacing w:line="276" w:lineRule="auto"/>
        <w:rPr>
          <w:sz w:val="23"/>
          <w:szCs w:val="23"/>
        </w:rPr>
      </w:pPr>
      <w:r>
        <w:rPr>
          <w:sz w:val="23"/>
          <w:szCs w:val="23"/>
        </w:rPr>
        <w:t xml:space="preserve">While most states have a relatively uniform, efficient structure for the delivery of local public health services through a county system, Massachusetts has a “patchwork” of public health districts, other shared services arrangements among communities, and many standalone local health departments. Massachusetts has the most local public health departments (351) in the United States. </w:t>
      </w:r>
    </w:p>
    <w:p w:rsidR="002111C4" w:rsidRDefault="002111C4" w:rsidP="0035133A">
      <w:pPr>
        <w:pStyle w:val="Default"/>
        <w:spacing w:line="276" w:lineRule="auto"/>
        <w:rPr>
          <w:b/>
          <w:bCs/>
          <w:sz w:val="23"/>
          <w:szCs w:val="23"/>
        </w:rPr>
      </w:pPr>
    </w:p>
    <w:p w:rsidR="002111C4" w:rsidRDefault="002111C4" w:rsidP="0035133A">
      <w:pPr>
        <w:pStyle w:val="Default"/>
        <w:spacing w:line="276" w:lineRule="auto"/>
        <w:rPr>
          <w:bCs/>
          <w:sz w:val="23"/>
          <w:szCs w:val="23"/>
        </w:rPr>
      </w:pPr>
      <w:r w:rsidRPr="0080347B">
        <w:rPr>
          <w:bCs/>
          <w:sz w:val="23"/>
          <w:szCs w:val="23"/>
        </w:rPr>
        <w:t>The Commission hosted a presentation from the National Center for Sharing Public Health Services on September 15, 2017</w:t>
      </w:r>
      <w:r w:rsidR="00E94B65">
        <w:rPr>
          <w:bCs/>
          <w:sz w:val="23"/>
          <w:szCs w:val="23"/>
          <w:vertAlign w:val="superscript"/>
        </w:rPr>
        <w:t>17</w:t>
      </w:r>
      <w:r w:rsidRPr="0080347B">
        <w:rPr>
          <w:bCs/>
          <w:sz w:val="23"/>
          <w:szCs w:val="23"/>
        </w:rPr>
        <w:t>. Cross-jurisdictional Sharing (CJS) of services is a term used to refer to the wide variety of means by which jurisdictions can collaborate around the provision of public health services</w:t>
      </w:r>
      <w:r w:rsidR="00E5320D">
        <w:rPr>
          <w:bCs/>
          <w:sz w:val="23"/>
          <w:szCs w:val="23"/>
        </w:rPr>
        <w:t xml:space="preserve">. </w:t>
      </w:r>
      <w:r w:rsidRPr="0080347B">
        <w:rPr>
          <w:bCs/>
          <w:sz w:val="23"/>
          <w:szCs w:val="23"/>
        </w:rPr>
        <w:t xml:space="preserve">CJS is a tool that may assist the Commonwealth in </w:t>
      </w:r>
      <w:r w:rsidR="00BE22F3">
        <w:rPr>
          <w:bCs/>
          <w:sz w:val="23"/>
          <w:szCs w:val="23"/>
        </w:rPr>
        <w:t>reaching the goal of providing Foundational Public Health S</w:t>
      </w:r>
      <w:r w:rsidRPr="0080347B">
        <w:rPr>
          <w:bCs/>
          <w:sz w:val="23"/>
          <w:szCs w:val="23"/>
        </w:rPr>
        <w:t>ervices in every community.</w:t>
      </w:r>
    </w:p>
    <w:p w:rsidR="002111C4" w:rsidRDefault="002111C4" w:rsidP="0035133A">
      <w:pPr>
        <w:pStyle w:val="Default"/>
        <w:spacing w:line="276" w:lineRule="auto"/>
        <w:rPr>
          <w:bCs/>
          <w:sz w:val="23"/>
          <w:szCs w:val="23"/>
        </w:rPr>
      </w:pPr>
    </w:p>
    <w:p w:rsidR="002111C4" w:rsidRDefault="002111C4" w:rsidP="0035133A">
      <w:pPr>
        <w:pStyle w:val="Default"/>
        <w:spacing w:line="276" w:lineRule="auto"/>
      </w:pPr>
      <w:r>
        <w:rPr>
          <w:bCs/>
          <w:sz w:val="23"/>
          <w:szCs w:val="23"/>
        </w:rPr>
        <w:t xml:space="preserve">Consideration of CJS could be helpful in identifying structure(s) that would serve as models for communities that are not able to currently provide foundational services to do so in collaboration </w:t>
      </w:r>
      <w:r>
        <w:rPr>
          <w:bCs/>
          <w:sz w:val="23"/>
          <w:szCs w:val="23"/>
        </w:rPr>
        <w:lastRenderedPageBreak/>
        <w:t>with other communities in their region</w:t>
      </w:r>
      <w:r w:rsidR="00E5320D">
        <w:rPr>
          <w:bCs/>
          <w:sz w:val="23"/>
          <w:szCs w:val="23"/>
        </w:rPr>
        <w:t xml:space="preserve">. </w:t>
      </w:r>
      <w:r w:rsidR="007E3604">
        <w:rPr>
          <w:bCs/>
          <w:sz w:val="23"/>
          <w:szCs w:val="23"/>
        </w:rPr>
        <w:t>As discussed at the September 2017 Commission meeting, e</w:t>
      </w:r>
      <w:r>
        <w:rPr>
          <w:bCs/>
          <w:sz w:val="23"/>
          <w:szCs w:val="23"/>
        </w:rPr>
        <w:t>lements of CJS that could be favorable to increased cross jurisdictiona</w:t>
      </w:r>
      <w:r w:rsidRPr="002D0E31">
        <w:rPr>
          <w:bCs/>
          <w:sz w:val="23"/>
          <w:szCs w:val="23"/>
        </w:rPr>
        <w:t>l collaboration include:</w:t>
      </w:r>
      <w:r w:rsidRPr="002D0E31">
        <w:t xml:space="preserve"> </w:t>
      </w:r>
    </w:p>
    <w:p w:rsidR="002111C4" w:rsidRDefault="002111C4" w:rsidP="0035133A">
      <w:pPr>
        <w:pStyle w:val="Default"/>
        <w:spacing w:line="276" w:lineRule="auto"/>
      </w:pPr>
    </w:p>
    <w:p w:rsidR="002111C4" w:rsidRPr="006D4C8C" w:rsidRDefault="002111C4" w:rsidP="0035133A">
      <w:pPr>
        <w:pStyle w:val="ListParagraph"/>
        <w:numPr>
          <w:ilvl w:val="0"/>
          <w:numId w:val="8"/>
        </w:numPr>
        <w:spacing w:after="200" w:line="276" w:lineRule="auto"/>
        <w:contextualSpacing/>
        <w:rPr>
          <w:bCs/>
          <w:sz w:val="23"/>
          <w:szCs w:val="23"/>
        </w:rPr>
      </w:pPr>
      <w:r w:rsidRPr="006D4C8C">
        <w:rPr>
          <w:rFonts w:cs="Calibri"/>
          <w:bCs/>
          <w:color w:val="000000"/>
          <w:sz w:val="23"/>
          <w:szCs w:val="23"/>
        </w:rPr>
        <w:t xml:space="preserve">Cross-Jurisdictional Sharing is a means to a goal. Pre-requisites for success </w:t>
      </w:r>
      <w:proofErr w:type="gramStart"/>
      <w:r w:rsidRPr="006D4C8C">
        <w:rPr>
          <w:rFonts w:cs="Calibri"/>
          <w:bCs/>
          <w:color w:val="000000"/>
          <w:sz w:val="23"/>
          <w:szCs w:val="23"/>
        </w:rPr>
        <w:t>are:</w:t>
      </w:r>
      <w:proofErr w:type="gramEnd"/>
      <w:r w:rsidR="00E5320D">
        <w:rPr>
          <w:rFonts w:cs="Calibri"/>
          <w:bCs/>
          <w:color w:val="000000"/>
          <w:sz w:val="23"/>
          <w:szCs w:val="23"/>
        </w:rPr>
        <w:t xml:space="preserve"> </w:t>
      </w:r>
      <w:r w:rsidRPr="006D4C8C">
        <w:rPr>
          <w:rFonts w:cs="Calibri"/>
          <w:bCs/>
          <w:color w:val="000000"/>
          <w:sz w:val="23"/>
          <w:szCs w:val="23"/>
        </w:rPr>
        <w:t>Clarity of objectives, Defining Efficiency vs. Effectiveness, Utilizing the Spectrum of CJS using a balanced approach with mutual benefit.</w:t>
      </w:r>
    </w:p>
    <w:p w:rsidR="002111C4" w:rsidRDefault="002111C4" w:rsidP="0035133A">
      <w:pPr>
        <w:pStyle w:val="ListParagraph"/>
        <w:numPr>
          <w:ilvl w:val="0"/>
          <w:numId w:val="8"/>
        </w:numPr>
        <w:spacing w:after="200" w:line="276" w:lineRule="auto"/>
        <w:contextualSpacing/>
        <w:rPr>
          <w:bCs/>
          <w:sz w:val="23"/>
          <w:szCs w:val="23"/>
        </w:rPr>
      </w:pPr>
      <w:r w:rsidRPr="006D4C8C">
        <w:rPr>
          <w:bCs/>
          <w:sz w:val="23"/>
          <w:szCs w:val="23"/>
        </w:rPr>
        <w:t>To avoid pushback when the mandate comes from above the Center reports that the formation of new models is most successful when formed voluntarily</w:t>
      </w:r>
      <w:r w:rsidR="00E5320D">
        <w:rPr>
          <w:bCs/>
          <w:sz w:val="23"/>
          <w:szCs w:val="23"/>
        </w:rPr>
        <w:t xml:space="preserve">. </w:t>
      </w:r>
      <w:r w:rsidRPr="006D4C8C">
        <w:rPr>
          <w:bCs/>
          <w:sz w:val="23"/>
          <w:szCs w:val="23"/>
        </w:rPr>
        <w:t xml:space="preserve">It is most helpful when the community “personality” is known so groupings are made by pairing “like communities” rather than by proximity on the map. </w:t>
      </w:r>
    </w:p>
    <w:p w:rsidR="002111C4" w:rsidRDefault="002111C4" w:rsidP="0035133A">
      <w:pPr>
        <w:pStyle w:val="ListParagraph"/>
        <w:numPr>
          <w:ilvl w:val="0"/>
          <w:numId w:val="8"/>
        </w:numPr>
        <w:spacing w:after="200" w:line="276" w:lineRule="auto"/>
        <w:contextualSpacing/>
        <w:rPr>
          <w:bCs/>
          <w:sz w:val="23"/>
          <w:szCs w:val="23"/>
        </w:rPr>
      </w:pPr>
      <w:r w:rsidRPr="006D4C8C">
        <w:rPr>
          <w:bCs/>
          <w:sz w:val="23"/>
          <w:szCs w:val="23"/>
        </w:rPr>
        <w:t>CJS should</w:t>
      </w:r>
      <w:r w:rsidR="00EF556A">
        <w:rPr>
          <w:bCs/>
          <w:sz w:val="23"/>
          <w:szCs w:val="23"/>
        </w:rPr>
        <w:t xml:space="preserve"> not</w:t>
      </w:r>
      <w:r w:rsidRPr="006D4C8C">
        <w:rPr>
          <w:bCs/>
          <w:sz w:val="23"/>
          <w:szCs w:val="23"/>
        </w:rPr>
        <w:t xml:space="preserve"> be seen as a means of cutting service cos</w:t>
      </w:r>
      <w:r w:rsidR="00EF556A">
        <w:rPr>
          <w:bCs/>
          <w:sz w:val="23"/>
          <w:szCs w:val="23"/>
        </w:rPr>
        <w:t>ts.</w:t>
      </w:r>
      <w:r w:rsidRPr="006D4C8C">
        <w:rPr>
          <w:bCs/>
          <w:sz w:val="23"/>
          <w:szCs w:val="23"/>
        </w:rPr>
        <w:t xml:space="preserve"> It is a means of maximizing money spent and may be a useful tool to build on the return of the investment.</w:t>
      </w:r>
    </w:p>
    <w:p w:rsidR="002111C4" w:rsidRDefault="002111C4" w:rsidP="0035133A">
      <w:pPr>
        <w:pStyle w:val="ListParagraph"/>
        <w:numPr>
          <w:ilvl w:val="0"/>
          <w:numId w:val="8"/>
        </w:numPr>
        <w:spacing w:after="200" w:line="276" w:lineRule="auto"/>
        <w:contextualSpacing/>
        <w:rPr>
          <w:bCs/>
          <w:sz w:val="23"/>
          <w:szCs w:val="23"/>
        </w:rPr>
      </w:pPr>
      <w:r>
        <w:rPr>
          <w:bCs/>
          <w:sz w:val="23"/>
          <w:szCs w:val="23"/>
        </w:rPr>
        <w:t>Recognize the unique challenge in Massachusetts presented by its having the largest number of public health jurisdictions of any state in the country and seeing CJS as a tool to help respond to that challenge.</w:t>
      </w:r>
    </w:p>
    <w:p w:rsidR="002111C4" w:rsidRDefault="002111C4" w:rsidP="0035133A">
      <w:pPr>
        <w:pStyle w:val="ListParagraph"/>
        <w:numPr>
          <w:ilvl w:val="0"/>
          <w:numId w:val="8"/>
        </w:numPr>
        <w:spacing w:after="200" w:line="276" w:lineRule="auto"/>
        <w:contextualSpacing/>
        <w:rPr>
          <w:bCs/>
          <w:sz w:val="23"/>
          <w:szCs w:val="23"/>
        </w:rPr>
      </w:pPr>
      <w:r>
        <w:rPr>
          <w:bCs/>
          <w:sz w:val="23"/>
          <w:szCs w:val="23"/>
        </w:rPr>
        <w:t xml:space="preserve">The Center reported that change management is difficult and will </w:t>
      </w:r>
      <w:r w:rsidR="001B60E7">
        <w:rPr>
          <w:bCs/>
          <w:sz w:val="23"/>
          <w:szCs w:val="23"/>
        </w:rPr>
        <w:t xml:space="preserve">be </w:t>
      </w:r>
      <w:r>
        <w:rPr>
          <w:bCs/>
          <w:sz w:val="23"/>
          <w:szCs w:val="23"/>
        </w:rPr>
        <w:t xml:space="preserve">a potential pitfall to success in Massachusetts in reaching the goal of enhancing the availability of </w:t>
      </w:r>
      <w:r w:rsidR="00E54B2B">
        <w:rPr>
          <w:bCs/>
          <w:sz w:val="23"/>
          <w:szCs w:val="23"/>
        </w:rPr>
        <w:t xml:space="preserve">public health </w:t>
      </w:r>
      <w:r>
        <w:rPr>
          <w:bCs/>
          <w:sz w:val="23"/>
          <w:szCs w:val="23"/>
        </w:rPr>
        <w:t>services through CJS.</w:t>
      </w:r>
    </w:p>
    <w:p w:rsidR="002111C4" w:rsidRDefault="002111C4" w:rsidP="0035133A">
      <w:pPr>
        <w:pStyle w:val="Default"/>
        <w:spacing w:line="276" w:lineRule="auto"/>
        <w:rPr>
          <w:sz w:val="23"/>
          <w:szCs w:val="23"/>
        </w:rPr>
      </w:pPr>
      <w:r w:rsidRPr="006D4C8C">
        <w:rPr>
          <w:sz w:val="23"/>
          <w:szCs w:val="23"/>
        </w:rPr>
        <w:t xml:space="preserve">A detailed list of existing local public health districts in Massachusetts and a list of local public health structures in other states have been provided to </w:t>
      </w:r>
      <w:r w:rsidR="007E3604">
        <w:rPr>
          <w:sz w:val="23"/>
          <w:szCs w:val="23"/>
        </w:rPr>
        <w:t>Structure S</w:t>
      </w:r>
      <w:r w:rsidRPr="006D4C8C">
        <w:rPr>
          <w:sz w:val="23"/>
          <w:szCs w:val="23"/>
        </w:rPr>
        <w:t>ubcommittee members for evaluation and further discussion</w:t>
      </w:r>
      <w:r w:rsidR="00B321F8">
        <w:rPr>
          <w:sz w:val="23"/>
          <w:szCs w:val="23"/>
        </w:rPr>
        <w:t>.</w:t>
      </w:r>
      <w:r w:rsidRPr="006D4C8C">
        <w:rPr>
          <w:sz w:val="23"/>
          <w:szCs w:val="23"/>
        </w:rPr>
        <w:t xml:space="preserve"> In addition, members also discussed funding mechanisms (M.G.L</w:t>
      </w:r>
      <w:r w:rsidR="00B321F8">
        <w:rPr>
          <w:sz w:val="23"/>
          <w:szCs w:val="23"/>
        </w:rPr>
        <w:t>.</w:t>
      </w:r>
      <w:r w:rsidRPr="006D4C8C">
        <w:rPr>
          <w:sz w:val="23"/>
          <w:szCs w:val="23"/>
        </w:rPr>
        <w:t xml:space="preserve"> Chapter 111 Section </w:t>
      </w:r>
      <w:r w:rsidR="00B321F8" w:rsidRPr="006D4C8C">
        <w:rPr>
          <w:sz w:val="23"/>
          <w:szCs w:val="23"/>
        </w:rPr>
        <w:t>27</w:t>
      </w:r>
      <w:r w:rsidR="00B321F8">
        <w:rPr>
          <w:sz w:val="23"/>
          <w:szCs w:val="23"/>
        </w:rPr>
        <w:t>C</w:t>
      </w:r>
      <w:r w:rsidRPr="006D4C8C">
        <w:rPr>
          <w:sz w:val="23"/>
          <w:szCs w:val="23"/>
        </w:rPr>
        <w:t>) and the Public Health District Incentive Grant program designed to support the formation of local public health districts and various shared service arrangements in Massachusetts</w:t>
      </w:r>
    </w:p>
    <w:p w:rsidR="00BE22F3" w:rsidRDefault="00BE22F3" w:rsidP="0035133A">
      <w:pPr>
        <w:pStyle w:val="Default"/>
        <w:spacing w:after="17" w:line="276" w:lineRule="auto"/>
        <w:rPr>
          <w:sz w:val="23"/>
          <w:szCs w:val="23"/>
        </w:rPr>
      </w:pPr>
    </w:p>
    <w:p w:rsidR="002111C4" w:rsidRDefault="002111C4" w:rsidP="0035133A">
      <w:pPr>
        <w:pStyle w:val="Default"/>
        <w:spacing w:after="17" w:line="276" w:lineRule="auto"/>
        <w:rPr>
          <w:sz w:val="23"/>
          <w:szCs w:val="23"/>
        </w:rPr>
      </w:pPr>
      <w:r>
        <w:rPr>
          <w:sz w:val="23"/>
          <w:szCs w:val="23"/>
        </w:rPr>
        <w:t xml:space="preserve">The subcommittee has reviewed and discussed the local public health structures in six states: Colorado, New Jersey, Texas, Washington, </w:t>
      </w:r>
      <w:r w:rsidR="00D75A28">
        <w:rPr>
          <w:sz w:val="23"/>
          <w:szCs w:val="23"/>
        </w:rPr>
        <w:t>Ohio,</w:t>
      </w:r>
      <w:r>
        <w:rPr>
          <w:sz w:val="23"/>
          <w:szCs w:val="23"/>
        </w:rPr>
        <w:t xml:space="preserve"> and Connecticut</w:t>
      </w:r>
      <w:r w:rsidR="001B60E7">
        <w:rPr>
          <w:sz w:val="23"/>
          <w:szCs w:val="23"/>
        </w:rPr>
        <w:t>.</w:t>
      </w:r>
      <w:r>
        <w:rPr>
          <w:sz w:val="23"/>
          <w:szCs w:val="23"/>
        </w:rPr>
        <w:t xml:space="preserve"> </w:t>
      </w:r>
    </w:p>
    <w:p w:rsidR="00BE22F3" w:rsidRDefault="00BE22F3" w:rsidP="0035133A">
      <w:pPr>
        <w:pStyle w:val="Default"/>
        <w:spacing w:line="276" w:lineRule="auto"/>
        <w:rPr>
          <w:sz w:val="23"/>
          <w:szCs w:val="23"/>
        </w:rPr>
      </w:pPr>
    </w:p>
    <w:p w:rsidR="002111C4" w:rsidRDefault="002111C4" w:rsidP="0035133A">
      <w:pPr>
        <w:pStyle w:val="Default"/>
        <w:spacing w:line="276" w:lineRule="auto"/>
        <w:rPr>
          <w:sz w:val="23"/>
          <w:szCs w:val="23"/>
        </w:rPr>
      </w:pPr>
      <w:r>
        <w:rPr>
          <w:sz w:val="23"/>
          <w:szCs w:val="23"/>
        </w:rPr>
        <w:t xml:space="preserve">A flexible and comprehensive approach to local public health governance (i.e., public health districts) has been discussed as an effective option for providing a more efficient and equitable local public health system in </w:t>
      </w:r>
      <w:r w:rsidRPr="000C2DBE">
        <w:rPr>
          <w:sz w:val="23"/>
          <w:szCs w:val="23"/>
        </w:rPr>
        <w:t>Massachusetts</w:t>
      </w:r>
      <w:proofErr w:type="gramStart"/>
      <w:r w:rsidRPr="000C2DBE">
        <w:rPr>
          <w:sz w:val="23"/>
          <w:szCs w:val="23"/>
        </w:rPr>
        <w:t xml:space="preserve">. </w:t>
      </w:r>
      <w:r w:rsidR="001E4297" w:rsidRPr="000C2DBE">
        <w:rPr>
          <w:sz w:val="23"/>
          <w:szCs w:val="23"/>
        </w:rPr>
        <w:t xml:space="preserve"> </w:t>
      </w:r>
      <w:proofErr w:type="gramEnd"/>
      <w:r w:rsidR="001E4297" w:rsidRPr="000C2DBE">
        <w:rPr>
          <w:sz w:val="23"/>
          <w:szCs w:val="23"/>
        </w:rPr>
        <w:t>An incremental approach to shared services that recognizes the complexity of the local public health environment and incorporates knowledge of models that work will be important.</w:t>
      </w:r>
    </w:p>
    <w:p w:rsidR="00BE22F3" w:rsidRDefault="00BE22F3" w:rsidP="0035133A">
      <w:pPr>
        <w:pStyle w:val="Default"/>
        <w:spacing w:after="18" w:line="276" w:lineRule="auto"/>
        <w:rPr>
          <w:sz w:val="23"/>
          <w:szCs w:val="23"/>
        </w:rPr>
      </w:pPr>
    </w:p>
    <w:p w:rsidR="002111C4" w:rsidRDefault="002111C4" w:rsidP="0035133A">
      <w:pPr>
        <w:pStyle w:val="Default"/>
        <w:spacing w:after="18" w:line="276" w:lineRule="auto"/>
        <w:rPr>
          <w:sz w:val="23"/>
          <w:szCs w:val="23"/>
        </w:rPr>
      </w:pPr>
      <w:r>
        <w:rPr>
          <w:sz w:val="23"/>
          <w:szCs w:val="23"/>
        </w:rPr>
        <w:t>A comprehensive/cafeteria style model with a baseline set of minimum services in which municipalities can also receive additional niche services (i.e.</w:t>
      </w:r>
      <w:r w:rsidR="004D0A29">
        <w:rPr>
          <w:sz w:val="23"/>
          <w:szCs w:val="23"/>
        </w:rPr>
        <w:t>,</w:t>
      </w:r>
      <w:r>
        <w:rPr>
          <w:sz w:val="23"/>
          <w:szCs w:val="23"/>
        </w:rPr>
        <w:t xml:space="preserve"> Title V inspection), if needed, is probably a good starting point for local public health infrastructure redesign and planning. </w:t>
      </w:r>
    </w:p>
    <w:p w:rsidR="00BE22F3" w:rsidRDefault="00BE22F3" w:rsidP="0035133A">
      <w:pPr>
        <w:pStyle w:val="Default"/>
        <w:spacing w:after="18" w:line="276" w:lineRule="auto"/>
        <w:rPr>
          <w:sz w:val="23"/>
          <w:szCs w:val="23"/>
        </w:rPr>
      </w:pPr>
    </w:p>
    <w:p w:rsidR="002111C4" w:rsidRDefault="002111C4" w:rsidP="0035133A">
      <w:pPr>
        <w:pStyle w:val="Default"/>
        <w:spacing w:after="18" w:line="276" w:lineRule="auto"/>
        <w:rPr>
          <w:sz w:val="23"/>
          <w:szCs w:val="23"/>
        </w:rPr>
      </w:pPr>
      <w:r>
        <w:rPr>
          <w:sz w:val="23"/>
          <w:szCs w:val="23"/>
        </w:rPr>
        <w:lastRenderedPageBreak/>
        <w:t>Structural redesign should be based on the Foun</w:t>
      </w:r>
      <w:r w:rsidR="004D0A29">
        <w:rPr>
          <w:sz w:val="23"/>
          <w:szCs w:val="23"/>
        </w:rPr>
        <w:t>dational Public Health Services</w:t>
      </w:r>
      <w:r w:rsidR="00E5320D">
        <w:rPr>
          <w:sz w:val="23"/>
          <w:szCs w:val="23"/>
        </w:rPr>
        <w:t xml:space="preserve">. </w:t>
      </w:r>
      <w:r>
        <w:rPr>
          <w:sz w:val="23"/>
          <w:szCs w:val="23"/>
        </w:rPr>
        <w:t xml:space="preserve">Deeper evaluation of public health districts </w:t>
      </w:r>
      <w:r w:rsidR="006E6136">
        <w:rPr>
          <w:sz w:val="23"/>
          <w:szCs w:val="23"/>
        </w:rPr>
        <w:t>is needed and</w:t>
      </w:r>
      <w:r>
        <w:rPr>
          <w:sz w:val="23"/>
          <w:szCs w:val="23"/>
        </w:rPr>
        <w:t xml:space="preserve"> may support these fi</w:t>
      </w:r>
      <w:r w:rsidR="00BE22F3">
        <w:rPr>
          <w:sz w:val="23"/>
          <w:szCs w:val="23"/>
        </w:rPr>
        <w:t xml:space="preserve">ndings (e.g., </w:t>
      </w:r>
      <w:proofErr w:type="spellStart"/>
      <w:r w:rsidR="00BE22F3">
        <w:rPr>
          <w:sz w:val="23"/>
          <w:szCs w:val="23"/>
        </w:rPr>
        <w:t>Nashoba</w:t>
      </w:r>
      <w:proofErr w:type="spellEnd"/>
      <w:r w:rsidR="00BE22F3">
        <w:rPr>
          <w:sz w:val="23"/>
          <w:szCs w:val="23"/>
        </w:rPr>
        <w:t xml:space="preserve"> Associated </w:t>
      </w:r>
      <w:r>
        <w:rPr>
          <w:sz w:val="23"/>
          <w:szCs w:val="23"/>
        </w:rPr>
        <w:t xml:space="preserve">Boards of Health, </w:t>
      </w:r>
      <w:r w:rsidR="00CD05B5" w:rsidRPr="000C2DBE">
        <w:rPr>
          <w:sz w:val="23"/>
          <w:szCs w:val="23"/>
        </w:rPr>
        <w:t>Berkshire Public Health Alliance</w:t>
      </w:r>
      <w:r w:rsidR="00CD05B5">
        <w:rPr>
          <w:sz w:val="23"/>
          <w:szCs w:val="23"/>
        </w:rPr>
        <w:t xml:space="preserve">, </w:t>
      </w:r>
      <w:proofErr w:type="spellStart"/>
      <w:r>
        <w:rPr>
          <w:sz w:val="23"/>
          <w:szCs w:val="23"/>
        </w:rPr>
        <w:t>Montachusett</w:t>
      </w:r>
      <w:proofErr w:type="spellEnd"/>
      <w:r>
        <w:rPr>
          <w:sz w:val="23"/>
          <w:szCs w:val="23"/>
        </w:rPr>
        <w:t xml:space="preserve"> Public Health Network, Central Massachusetts Regional Public Health Alliance, and Franklin Regional Council of Governments)</w:t>
      </w:r>
      <w:r w:rsidR="00650217">
        <w:rPr>
          <w:sz w:val="23"/>
          <w:szCs w:val="23"/>
        </w:rPr>
        <w:t>.</w:t>
      </w:r>
    </w:p>
    <w:p w:rsidR="002111C4" w:rsidRDefault="002111C4" w:rsidP="0035133A">
      <w:pPr>
        <w:pStyle w:val="Default"/>
        <w:spacing w:line="276" w:lineRule="auto"/>
        <w:rPr>
          <w:sz w:val="23"/>
          <w:szCs w:val="23"/>
        </w:rPr>
      </w:pPr>
    </w:p>
    <w:p w:rsidR="00A775C3" w:rsidRDefault="007E3604" w:rsidP="0035133A">
      <w:pPr>
        <w:pStyle w:val="Default"/>
        <w:spacing w:line="276" w:lineRule="auto"/>
        <w:rPr>
          <w:bCs/>
          <w:sz w:val="23"/>
          <w:szCs w:val="23"/>
        </w:rPr>
      </w:pPr>
      <w:r w:rsidRPr="007E3604">
        <w:rPr>
          <w:bCs/>
          <w:sz w:val="23"/>
          <w:szCs w:val="23"/>
        </w:rPr>
        <w:t>The Structure Subcommittee plans to</w:t>
      </w:r>
      <w:r w:rsidR="00863B37">
        <w:rPr>
          <w:bCs/>
          <w:sz w:val="23"/>
          <w:szCs w:val="23"/>
        </w:rPr>
        <w:t xml:space="preserve"> </w:t>
      </w:r>
    </w:p>
    <w:p w:rsidR="00A775C3" w:rsidRDefault="00A775C3" w:rsidP="0035133A">
      <w:pPr>
        <w:pStyle w:val="Default"/>
        <w:spacing w:line="276" w:lineRule="auto"/>
        <w:rPr>
          <w:bCs/>
          <w:sz w:val="23"/>
          <w:szCs w:val="23"/>
        </w:rPr>
      </w:pPr>
    </w:p>
    <w:p w:rsidR="007471DF" w:rsidRPr="000C2DBE" w:rsidRDefault="00CD05B5" w:rsidP="007471DF">
      <w:pPr>
        <w:pStyle w:val="Default"/>
        <w:numPr>
          <w:ilvl w:val="0"/>
          <w:numId w:val="30"/>
        </w:numPr>
        <w:spacing w:line="276" w:lineRule="auto"/>
        <w:rPr>
          <w:bCs/>
          <w:sz w:val="23"/>
          <w:szCs w:val="23"/>
        </w:rPr>
      </w:pPr>
      <w:r w:rsidRPr="000C2DBE">
        <w:rPr>
          <w:bCs/>
          <w:sz w:val="23"/>
          <w:szCs w:val="23"/>
        </w:rPr>
        <w:t>Evaluate a representative sample of public health districts and regional public health alliances in its review of models/approaches that work to improve local public health capacity</w:t>
      </w:r>
    </w:p>
    <w:p w:rsidR="007471DF" w:rsidRDefault="002111C4" w:rsidP="0035133A">
      <w:pPr>
        <w:pStyle w:val="Default"/>
        <w:numPr>
          <w:ilvl w:val="1"/>
          <w:numId w:val="7"/>
        </w:numPr>
        <w:spacing w:line="276" w:lineRule="auto"/>
        <w:rPr>
          <w:sz w:val="23"/>
          <w:szCs w:val="23"/>
        </w:rPr>
      </w:pPr>
      <w:r w:rsidRPr="007471DF">
        <w:rPr>
          <w:sz w:val="23"/>
          <w:szCs w:val="23"/>
        </w:rPr>
        <w:t>Contrast statutory districts with regional alliances formed through interagency agreements (e.g.</w:t>
      </w:r>
      <w:r w:rsidR="00972A79" w:rsidRPr="007471DF">
        <w:rPr>
          <w:sz w:val="23"/>
          <w:szCs w:val="23"/>
        </w:rPr>
        <w:t>,</w:t>
      </w:r>
      <w:r w:rsidRPr="007471DF">
        <w:rPr>
          <w:sz w:val="23"/>
          <w:szCs w:val="23"/>
        </w:rPr>
        <w:t xml:space="preserve"> PHDIG</w:t>
      </w:r>
      <w:r w:rsidR="00E5320D" w:rsidRPr="007471DF">
        <w:rPr>
          <w:sz w:val="23"/>
          <w:szCs w:val="23"/>
        </w:rPr>
        <w:t xml:space="preserve"> </w:t>
      </w:r>
      <w:proofErr w:type="spellStart"/>
      <w:r w:rsidR="007471DF" w:rsidRPr="007471DF">
        <w:rPr>
          <w:sz w:val="23"/>
          <w:szCs w:val="23"/>
        </w:rPr>
        <w:t>collaboratives</w:t>
      </w:r>
      <w:proofErr w:type="spellEnd"/>
      <w:r w:rsidR="007471DF" w:rsidRPr="007471DF">
        <w:rPr>
          <w:sz w:val="23"/>
          <w:szCs w:val="23"/>
        </w:rPr>
        <w:t>)</w:t>
      </w:r>
    </w:p>
    <w:p w:rsidR="002111C4" w:rsidRPr="007471DF" w:rsidRDefault="002111C4" w:rsidP="0035133A">
      <w:pPr>
        <w:pStyle w:val="Default"/>
        <w:numPr>
          <w:ilvl w:val="1"/>
          <w:numId w:val="7"/>
        </w:numPr>
        <w:spacing w:line="276" w:lineRule="auto"/>
        <w:rPr>
          <w:sz w:val="23"/>
          <w:szCs w:val="23"/>
        </w:rPr>
      </w:pPr>
      <w:r w:rsidRPr="007471DF">
        <w:rPr>
          <w:sz w:val="23"/>
          <w:szCs w:val="23"/>
        </w:rPr>
        <w:t>Consider Regional Veteran’s Services Collaborative Districts as a model</w:t>
      </w:r>
    </w:p>
    <w:p w:rsidR="002111C4" w:rsidRDefault="002111C4" w:rsidP="0035133A">
      <w:pPr>
        <w:pStyle w:val="Default"/>
        <w:numPr>
          <w:ilvl w:val="0"/>
          <w:numId w:val="7"/>
        </w:numPr>
        <w:spacing w:after="17" w:line="276" w:lineRule="auto"/>
        <w:rPr>
          <w:sz w:val="23"/>
          <w:szCs w:val="23"/>
        </w:rPr>
      </w:pPr>
      <w:r>
        <w:rPr>
          <w:sz w:val="23"/>
          <w:szCs w:val="23"/>
        </w:rPr>
        <w:t>Evaluate the Commission’s ability to get buy-in from municipal officials</w:t>
      </w:r>
      <w:r w:rsidR="00650217">
        <w:rPr>
          <w:sz w:val="23"/>
          <w:szCs w:val="23"/>
        </w:rPr>
        <w:t>.</w:t>
      </w:r>
      <w:r>
        <w:rPr>
          <w:sz w:val="23"/>
          <w:szCs w:val="23"/>
        </w:rPr>
        <w:t xml:space="preserve"> </w:t>
      </w:r>
    </w:p>
    <w:p w:rsidR="00650217" w:rsidRDefault="002111C4" w:rsidP="0035133A">
      <w:pPr>
        <w:pStyle w:val="Default"/>
        <w:numPr>
          <w:ilvl w:val="0"/>
          <w:numId w:val="7"/>
        </w:numPr>
        <w:spacing w:line="276" w:lineRule="auto"/>
        <w:rPr>
          <w:sz w:val="23"/>
          <w:szCs w:val="23"/>
        </w:rPr>
      </w:pPr>
      <w:r w:rsidRPr="00B11F5B">
        <w:rPr>
          <w:sz w:val="23"/>
          <w:szCs w:val="23"/>
        </w:rPr>
        <w:t xml:space="preserve">Evaluate average services </w:t>
      </w:r>
      <w:r w:rsidR="00F31049">
        <w:rPr>
          <w:sz w:val="23"/>
          <w:szCs w:val="23"/>
        </w:rPr>
        <w:t>provided in public health in Massachusetts</w:t>
      </w:r>
      <w:r w:rsidRPr="00B11F5B">
        <w:rPr>
          <w:sz w:val="23"/>
          <w:szCs w:val="23"/>
        </w:rPr>
        <w:t xml:space="preserve"> (document the state/local agencies responsible for delivering each of the foundational public health services</w:t>
      </w:r>
      <w:r>
        <w:rPr>
          <w:sz w:val="23"/>
          <w:szCs w:val="23"/>
        </w:rPr>
        <w:t>)</w:t>
      </w:r>
      <w:r w:rsidR="00650217">
        <w:rPr>
          <w:sz w:val="23"/>
          <w:szCs w:val="23"/>
        </w:rPr>
        <w:t>.</w:t>
      </w:r>
    </w:p>
    <w:p w:rsidR="002111C4" w:rsidRDefault="002111C4" w:rsidP="0035133A">
      <w:pPr>
        <w:pStyle w:val="Default"/>
        <w:numPr>
          <w:ilvl w:val="0"/>
          <w:numId w:val="7"/>
        </w:numPr>
        <w:spacing w:line="276" w:lineRule="auto"/>
        <w:rPr>
          <w:sz w:val="23"/>
          <w:szCs w:val="23"/>
        </w:rPr>
      </w:pPr>
      <w:r>
        <w:rPr>
          <w:sz w:val="23"/>
          <w:szCs w:val="23"/>
        </w:rPr>
        <w:t>Evaluate ways in which municipal officials can retain their local board of health powers during transition</w:t>
      </w:r>
      <w:r w:rsidR="00650217">
        <w:rPr>
          <w:sz w:val="23"/>
          <w:szCs w:val="23"/>
        </w:rPr>
        <w:t>.</w:t>
      </w:r>
      <w:r>
        <w:rPr>
          <w:sz w:val="23"/>
          <w:szCs w:val="23"/>
        </w:rPr>
        <w:t xml:space="preserve"> </w:t>
      </w:r>
    </w:p>
    <w:p w:rsidR="002111C4" w:rsidRDefault="002111C4" w:rsidP="002111C4">
      <w:pPr>
        <w:pStyle w:val="Default"/>
        <w:rPr>
          <w:sz w:val="23"/>
          <w:szCs w:val="23"/>
        </w:rPr>
      </w:pPr>
    </w:p>
    <w:p w:rsidR="00BE22F3" w:rsidRDefault="00BE22F3" w:rsidP="002111C4">
      <w:r w:rsidRPr="004F27C0">
        <w:rPr>
          <w:rFonts w:asciiTheme="minorHAnsi" w:hAnsiTheme="minorHAnsi"/>
          <w:noProof/>
          <w:sz w:val="24"/>
          <w:szCs w:val="24"/>
        </w:rPr>
        <mc:AlternateContent>
          <mc:Choice Requires="wps">
            <w:drawing>
              <wp:anchor distT="0" distB="0" distL="114300" distR="114300" simplePos="0" relativeHeight="251671552" behindDoc="1" locked="0" layoutInCell="1" allowOverlap="1" wp14:anchorId="06BB28CE" wp14:editId="551923C0">
                <wp:simplePos x="0" y="0"/>
                <wp:positionH relativeFrom="column">
                  <wp:posOffset>-170180</wp:posOffset>
                </wp:positionH>
                <wp:positionV relativeFrom="paragraph">
                  <wp:posOffset>102870</wp:posOffset>
                </wp:positionV>
                <wp:extent cx="5943600" cy="1403985"/>
                <wp:effectExtent l="0" t="0" r="19050" b="27305"/>
                <wp:wrapTight wrapText="bothSides">
                  <wp:wrapPolygon edited="0">
                    <wp:start x="0" y="0"/>
                    <wp:lineTo x="0" y="21871"/>
                    <wp:lineTo x="21600" y="21871"/>
                    <wp:lineTo x="216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2">
                            <a:lumMod val="20000"/>
                            <a:lumOff val="80000"/>
                          </a:schemeClr>
                        </a:solidFill>
                        <a:ln w="9525">
                          <a:solidFill>
                            <a:srgbClr val="000000"/>
                          </a:solidFill>
                          <a:miter lim="800000"/>
                          <a:headEnd/>
                          <a:tailEnd/>
                        </a:ln>
                      </wps:spPr>
                      <wps:txbx>
                        <w:txbxContent>
                          <w:p w:rsidR="009742A9" w:rsidRPr="000838AF" w:rsidRDefault="009742A9" w:rsidP="000A0AB7">
                            <w:pPr>
                              <w:pStyle w:val="ListParagraph"/>
                              <w:numPr>
                                <w:ilvl w:val="0"/>
                                <w:numId w:val="11"/>
                              </w:numPr>
                              <w:rPr>
                                <w:b/>
                                <w:sz w:val="24"/>
                              </w:rPr>
                            </w:pPr>
                            <w:r w:rsidRPr="000838AF">
                              <w:rPr>
                                <w:b/>
                                <w:sz w:val="24"/>
                              </w:rPr>
                              <w:t>Determine the commonwealth’s progress towards achieving recommendations made by the Massachusetts regionalization advisory commission pursuant to chapter 60 of the acts of 2009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3.4pt;margin-top:8.1pt;width:468pt;height:110.5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" fillcolor="#c6d9f1 [671]">
                <v:textbox style="mso-fit-shape-to-text:t">
                  <w:txbxContent>
                    <w:p w:rsidR="009742A9" w:rsidRPr="000838AF" w:rsidRDefault="009742A9" w:rsidP="000A0AB7">
                      <w:pPr>
                        <w:pStyle w:val="ListParagraph"/>
                        <w:numPr>
                          <w:ilvl w:val="0"/>
                          <w:numId w:val="11"/>
                        </w:numPr>
                        <w:rPr>
                          <w:b/>
                          <w:sz w:val="24"/>
                        </w:rPr>
                      </w:pPr>
                      <w:r w:rsidRPr="000838AF">
                        <w:rPr>
                          <w:b/>
                          <w:sz w:val="24"/>
                        </w:rPr>
                        <w:t>Determine the commonwealth’s progress towards achieving recommendations made by the Massachusetts regionalization advisory commission pursuant to chapter 60 of the acts of 2009</w:t>
                      </w:r>
                    </w:p>
                  </w:txbxContent>
                </v:textbox>
                <w10:wrap type="tight"/>
              </v:shape>
            </w:pict>
          </mc:Fallback>
        </mc:AlternateContent>
      </w:r>
    </w:p>
    <w:p w:rsidR="002111C4" w:rsidRDefault="002111C4" w:rsidP="0035133A">
      <w:pPr>
        <w:spacing w:line="276" w:lineRule="auto"/>
        <w:rPr>
          <w:sz w:val="24"/>
        </w:rPr>
      </w:pPr>
      <w:proofErr w:type="gramStart"/>
      <w:r w:rsidRPr="00400868">
        <w:rPr>
          <w:b/>
          <w:sz w:val="24"/>
        </w:rPr>
        <w:t>Massachusetts Regi</w:t>
      </w:r>
      <w:r w:rsidR="00BE22F3" w:rsidRPr="00400868">
        <w:rPr>
          <w:b/>
          <w:sz w:val="24"/>
        </w:rPr>
        <w:t>onalization Advisory Commission</w:t>
      </w:r>
      <w:r w:rsidR="0021532C">
        <w:t>.</w:t>
      </w:r>
      <w:proofErr w:type="gramEnd"/>
      <w:r w:rsidR="0021532C">
        <w:t xml:space="preserve"> </w:t>
      </w:r>
      <w:r w:rsidRPr="00400868">
        <w:rPr>
          <w:sz w:val="24"/>
        </w:rPr>
        <w:t>Chapter 60 of the Massachusetts General Laws of 2009 created a Regionalization Advisory Commission chaired by then L</w:t>
      </w:r>
      <w:r w:rsidR="00F96D5B">
        <w:rPr>
          <w:sz w:val="24"/>
        </w:rPr>
        <w:t>ieutenant</w:t>
      </w:r>
      <w:r w:rsidRPr="00400868">
        <w:rPr>
          <w:sz w:val="24"/>
        </w:rPr>
        <w:t xml:space="preserve"> Governor Timothy Murray</w:t>
      </w:r>
      <w:r w:rsidR="00E5320D">
        <w:rPr>
          <w:sz w:val="24"/>
        </w:rPr>
        <w:t xml:space="preserve">. </w:t>
      </w:r>
      <w:r w:rsidRPr="00400868">
        <w:rPr>
          <w:sz w:val="24"/>
        </w:rPr>
        <w:t xml:space="preserve">The Commission reviewed possible opportunities, </w:t>
      </w:r>
      <w:r w:rsidR="00D75A28" w:rsidRPr="00400868">
        <w:rPr>
          <w:sz w:val="24"/>
        </w:rPr>
        <w:t>benefits,</w:t>
      </w:r>
      <w:r w:rsidRPr="00400868">
        <w:rPr>
          <w:sz w:val="24"/>
        </w:rPr>
        <w:t xml:space="preserve"> and challenges of regionalizing services within the Commonwealth by focusing on a number of specific local services areas including public health</w:t>
      </w:r>
      <w:r w:rsidR="00E5320D">
        <w:rPr>
          <w:sz w:val="24"/>
        </w:rPr>
        <w:t xml:space="preserve">. </w:t>
      </w:r>
      <w:r w:rsidRPr="00400868">
        <w:rPr>
          <w:sz w:val="24"/>
        </w:rPr>
        <w:t xml:space="preserve">The Regionalization Advisory Commission Report included examples of successful collaborations as well as an analysis of the </w:t>
      </w:r>
      <w:r w:rsidR="00D75A28" w:rsidRPr="00400868">
        <w:rPr>
          <w:sz w:val="24"/>
        </w:rPr>
        <w:t>status</w:t>
      </w:r>
      <w:r w:rsidRPr="00400868">
        <w:rPr>
          <w:sz w:val="24"/>
        </w:rPr>
        <w:t xml:space="preserve"> of regionalization in Massachusetts and how </w:t>
      </w:r>
      <w:r w:rsidR="00C16464" w:rsidRPr="00400868">
        <w:rPr>
          <w:sz w:val="24"/>
        </w:rPr>
        <w:t>other</w:t>
      </w:r>
      <w:r w:rsidRPr="00400868">
        <w:rPr>
          <w:sz w:val="24"/>
        </w:rPr>
        <w:t xml:space="preserve"> states are addressing regionalization</w:t>
      </w:r>
      <w:r w:rsidR="00E5320D">
        <w:rPr>
          <w:sz w:val="24"/>
        </w:rPr>
        <w:t xml:space="preserve">. </w:t>
      </w:r>
      <w:r w:rsidRPr="00400868">
        <w:rPr>
          <w:sz w:val="24"/>
        </w:rPr>
        <w:t>The report also includes a set of recommendations that, individually or collectively, will help municipalities move closer to sharing services with neighboring communities</w:t>
      </w:r>
      <w:r w:rsidR="00E5320D">
        <w:rPr>
          <w:sz w:val="24"/>
        </w:rPr>
        <w:t xml:space="preserve">. </w:t>
      </w:r>
      <w:r w:rsidRPr="00400868">
        <w:rPr>
          <w:sz w:val="24"/>
        </w:rPr>
        <w:t>The Commission report</w:t>
      </w:r>
      <w:r w:rsidR="00341E3E" w:rsidRPr="00341E3E">
        <w:rPr>
          <w:sz w:val="24"/>
          <w:vertAlign w:val="superscript"/>
        </w:rPr>
        <w:t>1</w:t>
      </w:r>
      <w:r w:rsidR="00E94B65">
        <w:rPr>
          <w:sz w:val="24"/>
          <w:vertAlign w:val="superscript"/>
        </w:rPr>
        <w:t>8</w:t>
      </w:r>
      <w:r w:rsidRPr="00400868">
        <w:rPr>
          <w:sz w:val="24"/>
        </w:rPr>
        <w:t>, issued in 2010, included several recommendations intended to facilitate regionalization of public health services</w:t>
      </w:r>
      <w:r w:rsidR="00E5320D">
        <w:rPr>
          <w:sz w:val="24"/>
        </w:rPr>
        <w:t xml:space="preserve">. </w:t>
      </w:r>
      <w:r w:rsidRPr="00400868">
        <w:rPr>
          <w:sz w:val="24"/>
        </w:rPr>
        <w:t>Those recommendations and progre</w:t>
      </w:r>
      <w:r w:rsidR="0021532C">
        <w:rPr>
          <w:sz w:val="24"/>
        </w:rPr>
        <w:t>ss to date in implementing them are provided here:</w:t>
      </w:r>
    </w:p>
    <w:p w:rsidR="00400868" w:rsidRPr="00400868" w:rsidRDefault="00400868" w:rsidP="002111C4">
      <w:pPr>
        <w:rPr>
          <w:sz w:val="24"/>
        </w:rPr>
      </w:pPr>
    </w:p>
    <w:p w:rsidR="002111C4" w:rsidRDefault="002111C4" w:rsidP="0035133A">
      <w:pPr>
        <w:spacing w:line="276" w:lineRule="auto"/>
        <w:rPr>
          <w:b/>
          <w:sz w:val="24"/>
        </w:rPr>
      </w:pPr>
      <w:r w:rsidRPr="00400868">
        <w:rPr>
          <w:b/>
          <w:sz w:val="24"/>
        </w:rPr>
        <w:t xml:space="preserve">Further amend M.G.L. c.111 s.27B to remove the requirement that a town meeting must vote to approve formation of a public health district. (This will streamline district formation and </w:t>
      </w:r>
      <w:r w:rsidRPr="00400868">
        <w:rPr>
          <w:b/>
          <w:sz w:val="24"/>
        </w:rPr>
        <w:lastRenderedPageBreak/>
        <w:t>retain appropriate roles for municipal leaders and Boards of Health currently included in statute.)</w:t>
      </w:r>
    </w:p>
    <w:p w:rsidR="0021532C" w:rsidRPr="00400868" w:rsidRDefault="0021532C" w:rsidP="0035133A">
      <w:pPr>
        <w:spacing w:line="276" w:lineRule="auto"/>
        <w:rPr>
          <w:b/>
          <w:sz w:val="24"/>
        </w:rPr>
      </w:pPr>
    </w:p>
    <w:p w:rsidR="002111C4" w:rsidRPr="00400868" w:rsidRDefault="002111C4" w:rsidP="0035133A">
      <w:pPr>
        <w:spacing w:line="276" w:lineRule="auto"/>
        <w:ind w:left="576" w:right="576"/>
        <w:rPr>
          <w:sz w:val="24"/>
        </w:rPr>
      </w:pPr>
      <w:r w:rsidRPr="00400868">
        <w:rPr>
          <w:sz w:val="24"/>
        </w:rPr>
        <w:t>M.G.L. c.111 s.27B was amended effective November 7, 2016 to remove the town meeting approval requirement for district formation (see 2016, 218, Sec. 213) and appointments to a regional board of health (see 2016, 218, Sec. 214).</w:t>
      </w:r>
    </w:p>
    <w:p w:rsidR="00400868" w:rsidRDefault="00400868" w:rsidP="0035133A">
      <w:pPr>
        <w:spacing w:line="276" w:lineRule="auto"/>
        <w:rPr>
          <w:sz w:val="24"/>
        </w:rPr>
      </w:pPr>
    </w:p>
    <w:p w:rsidR="002111C4" w:rsidRPr="00400868" w:rsidRDefault="002111C4" w:rsidP="0035133A">
      <w:pPr>
        <w:spacing w:line="276" w:lineRule="auto"/>
        <w:rPr>
          <w:b/>
          <w:sz w:val="24"/>
        </w:rPr>
      </w:pPr>
      <w:r w:rsidRPr="00400868">
        <w:rPr>
          <w:b/>
          <w:sz w:val="24"/>
        </w:rPr>
        <w:t>Begin state funding to promote formation of public health districts by providing pilot funding for six districts, in accordance with the provisions of M.G.L. c.111 s.27A‐C.</w:t>
      </w:r>
    </w:p>
    <w:p w:rsidR="00400868" w:rsidRDefault="00400868" w:rsidP="0035133A">
      <w:pPr>
        <w:spacing w:line="276" w:lineRule="auto"/>
        <w:rPr>
          <w:sz w:val="24"/>
        </w:rPr>
      </w:pPr>
    </w:p>
    <w:p w:rsidR="002111C4" w:rsidRPr="00400868" w:rsidRDefault="002111C4" w:rsidP="0035133A">
      <w:pPr>
        <w:spacing w:line="276" w:lineRule="auto"/>
        <w:ind w:left="576" w:right="576"/>
        <w:rPr>
          <w:sz w:val="24"/>
        </w:rPr>
      </w:pPr>
      <w:r w:rsidRPr="00400868">
        <w:rPr>
          <w:sz w:val="24"/>
        </w:rPr>
        <w:t>With funding from the U.S. Centers for Disease Control and Prevention through the National Public Health Performance Improvement Initiative, DPH supported planning grants for eleven and implementation grants for five public health districts. The five districts in the Public Health District Incentive Grant (PHDIG) program encompassed 58 communities and a total population of approximately 808,000.</w:t>
      </w:r>
    </w:p>
    <w:p w:rsidR="00400868" w:rsidRDefault="00400868" w:rsidP="0035133A">
      <w:pPr>
        <w:spacing w:line="276" w:lineRule="auto"/>
        <w:rPr>
          <w:sz w:val="24"/>
        </w:rPr>
      </w:pPr>
    </w:p>
    <w:p w:rsidR="002111C4" w:rsidRPr="00400868" w:rsidRDefault="002111C4" w:rsidP="0035133A">
      <w:pPr>
        <w:spacing w:line="276" w:lineRule="auto"/>
        <w:rPr>
          <w:b/>
          <w:sz w:val="24"/>
        </w:rPr>
      </w:pPr>
      <w:proofErr w:type="gramStart"/>
      <w:r w:rsidRPr="00400868">
        <w:rPr>
          <w:b/>
          <w:sz w:val="24"/>
        </w:rPr>
        <w:t>Implement lessons from the pilot program in order to take a regional public health system “to scale” in Massachusetts by providing sustained state funding for district start‐ups and operations.</w:t>
      </w:r>
      <w:proofErr w:type="gramEnd"/>
    </w:p>
    <w:p w:rsidR="00400868" w:rsidRDefault="00400868" w:rsidP="0035133A">
      <w:pPr>
        <w:spacing w:line="276" w:lineRule="auto"/>
        <w:rPr>
          <w:sz w:val="24"/>
        </w:rPr>
      </w:pPr>
    </w:p>
    <w:p w:rsidR="002111C4" w:rsidRPr="00400868" w:rsidRDefault="002111C4" w:rsidP="0035133A">
      <w:pPr>
        <w:spacing w:line="276" w:lineRule="auto"/>
        <w:ind w:left="576" w:right="576"/>
        <w:rPr>
          <w:sz w:val="24"/>
        </w:rPr>
      </w:pPr>
      <w:r w:rsidRPr="00400868">
        <w:rPr>
          <w:sz w:val="24"/>
        </w:rPr>
        <w:t>The final report on the PHDIG program (including an analysis of the lessons learned) will be an important part of discussions by the Structure Subcommittee and Commission. Sustained state funding for district start-ups and operations will depend on recommendations of the Commission.</w:t>
      </w:r>
    </w:p>
    <w:p w:rsidR="00400868" w:rsidRDefault="00400868" w:rsidP="0035133A">
      <w:pPr>
        <w:spacing w:line="276" w:lineRule="auto"/>
        <w:rPr>
          <w:sz w:val="24"/>
        </w:rPr>
      </w:pPr>
    </w:p>
    <w:p w:rsidR="002111C4" w:rsidRPr="00400868" w:rsidRDefault="002111C4" w:rsidP="0035133A">
      <w:pPr>
        <w:spacing w:line="276" w:lineRule="auto"/>
        <w:rPr>
          <w:b/>
          <w:sz w:val="24"/>
        </w:rPr>
      </w:pPr>
      <w:r w:rsidRPr="00400868">
        <w:rPr>
          <w:b/>
          <w:sz w:val="24"/>
        </w:rPr>
        <w:t>Seek opportunities to use state contracts and other revenue sources to promote increased regionalization of local public health.</w:t>
      </w:r>
    </w:p>
    <w:p w:rsidR="00400868" w:rsidRDefault="00400868" w:rsidP="0035133A">
      <w:pPr>
        <w:spacing w:line="276" w:lineRule="auto"/>
        <w:rPr>
          <w:sz w:val="24"/>
        </w:rPr>
      </w:pPr>
    </w:p>
    <w:p w:rsidR="002111C4" w:rsidRDefault="002111C4" w:rsidP="0035133A">
      <w:pPr>
        <w:spacing w:line="276" w:lineRule="auto"/>
        <w:ind w:left="576" w:right="576"/>
        <w:rPr>
          <w:sz w:val="24"/>
        </w:rPr>
      </w:pPr>
      <w:r w:rsidRPr="00400868">
        <w:rPr>
          <w:sz w:val="24"/>
        </w:rPr>
        <w:t>DPH provides funding to municipalities for emergency preparedness, tobacco control, wellness, and substance misuse prevention. In many cases, these programs employ a regional model that includes local public health and other community partners.</w:t>
      </w:r>
    </w:p>
    <w:p w:rsidR="001F5D95" w:rsidRDefault="001F5D95" w:rsidP="0035133A">
      <w:pPr>
        <w:spacing w:line="276" w:lineRule="auto"/>
        <w:rPr>
          <w:sz w:val="24"/>
        </w:rPr>
      </w:pPr>
    </w:p>
    <w:p w:rsidR="001F5D95" w:rsidRPr="001F5D95" w:rsidRDefault="001F5D95" w:rsidP="0035133A">
      <w:pPr>
        <w:spacing w:line="276" w:lineRule="auto"/>
        <w:ind w:left="576" w:right="576"/>
        <w:rPr>
          <w:sz w:val="24"/>
        </w:rPr>
      </w:pPr>
      <w:proofErr w:type="gramStart"/>
      <w:r w:rsidRPr="001F5D95">
        <w:rPr>
          <w:b/>
          <w:sz w:val="24"/>
        </w:rPr>
        <w:t>Community Compact Cabinet</w:t>
      </w:r>
      <w:r w:rsidRPr="001F5D95">
        <w:rPr>
          <w:sz w:val="24"/>
        </w:rPr>
        <w:t>.</w:t>
      </w:r>
      <w:proofErr w:type="gramEnd"/>
      <w:r w:rsidRPr="001F5D95">
        <w:rPr>
          <w:sz w:val="24"/>
        </w:rPr>
        <w:t xml:space="preserve"> Governor Baker launched an initiative to support regionalization at th</w:t>
      </w:r>
      <w:r>
        <w:rPr>
          <w:sz w:val="24"/>
        </w:rPr>
        <w:t xml:space="preserve">e start of his administration. </w:t>
      </w:r>
      <w:r w:rsidRPr="001F5D95">
        <w:rPr>
          <w:sz w:val="24"/>
        </w:rPr>
        <w:t>The Community Compact Cabinet promotes enhanced partnership between state government and municipalities and allows the Governor’s Office to work more closely with le</w:t>
      </w:r>
      <w:r>
        <w:rPr>
          <w:sz w:val="24"/>
        </w:rPr>
        <w:t xml:space="preserve">aders from all </w:t>
      </w:r>
      <w:r>
        <w:rPr>
          <w:sz w:val="24"/>
        </w:rPr>
        <w:lastRenderedPageBreak/>
        <w:t xml:space="preserve">municipalities. </w:t>
      </w:r>
      <w:r w:rsidRPr="001F5D95">
        <w:rPr>
          <w:sz w:val="24"/>
        </w:rPr>
        <w:t xml:space="preserve">The Community Compact Cabinet supports specific regional initiatives through the Efficiency &amp; Regionalization grant program. </w:t>
      </w:r>
    </w:p>
    <w:p w:rsidR="001F5D95" w:rsidRPr="001F5D95" w:rsidRDefault="001F5D95" w:rsidP="0035133A">
      <w:pPr>
        <w:spacing w:line="276" w:lineRule="auto"/>
        <w:ind w:left="576" w:right="576"/>
        <w:rPr>
          <w:sz w:val="24"/>
        </w:rPr>
      </w:pPr>
      <w:r w:rsidRPr="001F5D95">
        <w:rPr>
          <w:sz w:val="24"/>
        </w:rPr>
        <w:t>The purpose of this competitive grant program is to provide financial support for governmental entities interested in implementing regionalization and other efficiency initiatives that allow for long-term sustainability. These grants provide funds for one-time or transition costs for municipalities, regional school districts, school districts considering forming a regional school district or regionalizing services, regional planning agencies and councils of governments interested in such projects.</w:t>
      </w:r>
    </w:p>
    <w:p w:rsidR="001F5D95" w:rsidRPr="001F5D95" w:rsidRDefault="001F5D95" w:rsidP="0035133A">
      <w:pPr>
        <w:spacing w:line="276" w:lineRule="auto"/>
        <w:ind w:left="576" w:right="576"/>
        <w:rPr>
          <w:sz w:val="24"/>
        </w:rPr>
      </w:pPr>
    </w:p>
    <w:p w:rsidR="001F5D95" w:rsidRPr="001F5D95" w:rsidRDefault="001F5D95" w:rsidP="0035133A">
      <w:pPr>
        <w:spacing w:line="276" w:lineRule="auto"/>
        <w:ind w:left="576" w:right="576"/>
        <w:rPr>
          <w:sz w:val="24"/>
        </w:rPr>
      </w:pPr>
      <w:r w:rsidRPr="001F5D95">
        <w:rPr>
          <w:sz w:val="24"/>
        </w:rPr>
        <w:t xml:space="preserve">Public health initiatives funded through the program since its inception include a shared services agreement </w:t>
      </w:r>
      <w:r>
        <w:rPr>
          <w:sz w:val="24"/>
        </w:rPr>
        <w:t xml:space="preserve">among </w:t>
      </w:r>
      <w:r w:rsidRPr="001F5D95">
        <w:rPr>
          <w:sz w:val="24"/>
        </w:rPr>
        <w:t xml:space="preserve">Chelsea, Winthrop, and Revere; a mosquito control district in western </w:t>
      </w:r>
      <w:r>
        <w:rPr>
          <w:sz w:val="24"/>
        </w:rPr>
        <w:t>Massachusetts</w:t>
      </w:r>
      <w:r w:rsidRPr="001F5D95">
        <w:rPr>
          <w:sz w:val="24"/>
        </w:rPr>
        <w:t xml:space="preserve"> for eleven towns; and a shared public health nurse among Avon, Holbrook, and Randolph</w:t>
      </w:r>
      <w:r w:rsidR="00E5320D">
        <w:rPr>
          <w:sz w:val="24"/>
        </w:rPr>
        <w:t xml:space="preserve">. </w:t>
      </w:r>
    </w:p>
    <w:p w:rsidR="001F5D95" w:rsidRPr="00400868" w:rsidRDefault="001F5D95" w:rsidP="0035133A">
      <w:pPr>
        <w:spacing w:line="276" w:lineRule="auto"/>
        <w:rPr>
          <w:sz w:val="24"/>
        </w:rPr>
      </w:pPr>
    </w:p>
    <w:p w:rsidR="002111C4" w:rsidRPr="00400868" w:rsidRDefault="002111C4" w:rsidP="0035133A">
      <w:pPr>
        <w:spacing w:line="276" w:lineRule="auto"/>
        <w:rPr>
          <w:b/>
          <w:sz w:val="24"/>
        </w:rPr>
      </w:pPr>
      <w:r w:rsidRPr="00400868">
        <w:rPr>
          <w:b/>
          <w:sz w:val="24"/>
        </w:rPr>
        <w:t>Establish an Office of Local Health within the Department of Public Health, with adequate staffing to provide technical assistance to promote and support public health regionalization.</w:t>
      </w:r>
    </w:p>
    <w:p w:rsidR="00400868" w:rsidRDefault="00400868" w:rsidP="0035133A">
      <w:pPr>
        <w:spacing w:line="276" w:lineRule="auto"/>
        <w:rPr>
          <w:sz w:val="24"/>
        </w:rPr>
      </w:pPr>
    </w:p>
    <w:p w:rsidR="002111C4" w:rsidRPr="00400868" w:rsidRDefault="002111C4" w:rsidP="0035133A">
      <w:pPr>
        <w:spacing w:line="276" w:lineRule="auto"/>
        <w:ind w:left="576" w:right="576"/>
        <w:rPr>
          <w:sz w:val="24"/>
        </w:rPr>
      </w:pPr>
      <w:r w:rsidRPr="00400868">
        <w:rPr>
          <w:sz w:val="24"/>
        </w:rPr>
        <w:t>DPH established the Office of Local and Regional Health in October 2013. The office includes staff with assignments that support local public health capacity building including cross-jurisdictional sharing and workforce development.</w:t>
      </w:r>
    </w:p>
    <w:p w:rsidR="00400868" w:rsidRDefault="00400868" w:rsidP="0035133A">
      <w:pPr>
        <w:spacing w:line="276" w:lineRule="auto"/>
        <w:rPr>
          <w:sz w:val="24"/>
        </w:rPr>
      </w:pPr>
    </w:p>
    <w:p w:rsidR="002111C4" w:rsidRPr="00400868" w:rsidRDefault="002111C4" w:rsidP="0035133A">
      <w:pPr>
        <w:spacing w:line="276" w:lineRule="auto"/>
        <w:rPr>
          <w:b/>
          <w:sz w:val="24"/>
        </w:rPr>
      </w:pPr>
      <w:r w:rsidRPr="00400868">
        <w:rPr>
          <w:b/>
          <w:sz w:val="24"/>
        </w:rPr>
        <w:t>Establish minimum workforce qualifications for the local health workforce through legislation and regulation, including appropriate “grandfathering” provisions. (Municipalities are more likely to form districts in order to share the costs of better qualified staff.)</w:t>
      </w:r>
    </w:p>
    <w:p w:rsidR="00400868" w:rsidRDefault="00400868" w:rsidP="0035133A">
      <w:pPr>
        <w:spacing w:line="276" w:lineRule="auto"/>
        <w:rPr>
          <w:sz w:val="24"/>
        </w:rPr>
      </w:pPr>
    </w:p>
    <w:p w:rsidR="002111C4" w:rsidRPr="00400868" w:rsidRDefault="002111C4" w:rsidP="0035133A">
      <w:pPr>
        <w:spacing w:line="276" w:lineRule="auto"/>
        <w:ind w:left="576" w:right="576"/>
        <w:rPr>
          <w:sz w:val="24"/>
        </w:rPr>
      </w:pPr>
      <w:r w:rsidRPr="00400868">
        <w:rPr>
          <w:sz w:val="24"/>
        </w:rPr>
        <w:t>The Workforce Credentials Subcommittee of the Massachusetts Public Health Regionalization Working Group developed recommendations for the local public health workforce with particular attention to staff employed in public health districts. Those recommendations are informing the work of the Workforce Credentials Subcommittee of the Commission</w:t>
      </w:r>
      <w:r w:rsidR="001904FE">
        <w:rPr>
          <w:sz w:val="24"/>
        </w:rPr>
        <w:t xml:space="preserve"> </w:t>
      </w:r>
      <w:r w:rsidRPr="00400868">
        <w:rPr>
          <w:sz w:val="24"/>
        </w:rPr>
        <w:t>in addressing the issues associated with this recommendation.</w:t>
      </w:r>
    </w:p>
    <w:p w:rsidR="00400868" w:rsidRDefault="00400868" w:rsidP="0035133A">
      <w:pPr>
        <w:spacing w:line="276" w:lineRule="auto"/>
        <w:rPr>
          <w:sz w:val="24"/>
        </w:rPr>
      </w:pPr>
    </w:p>
    <w:p w:rsidR="002111C4" w:rsidRDefault="002111C4" w:rsidP="0035133A">
      <w:pPr>
        <w:spacing w:line="276" w:lineRule="auto"/>
        <w:rPr>
          <w:b/>
          <w:sz w:val="24"/>
        </w:rPr>
      </w:pPr>
      <w:r w:rsidRPr="00400868">
        <w:rPr>
          <w:b/>
          <w:sz w:val="24"/>
        </w:rPr>
        <w:t>Establish minimum performance standards for Boards of Health, linked to state funding for operating capacity required to meet statutory and regulatory responsibilities.</w:t>
      </w:r>
    </w:p>
    <w:p w:rsidR="0021532C" w:rsidRDefault="0021532C" w:rsidP="0035133A">
      <w:pPr>
        <w:spacing w:line="276" w:lineRule="auto"/>
        <w:rPr>
          <w:b/>
          <w:sz w:val="24"/>
        </w:rPr>
      </w:pPr>
    </w:p>
    <w:p w:rsidR="0021532C" w:rsidRPr="0021532C" w:rsidRDefault="0021532C" w:rsidP="0035133A">
      <w:pPr>
        <w:spacing w:line="276" w:lineRule="auto"/>
        <w:ind w:left="576" w:right="576"/>
        <w:rPr>
          <w:sz w:val="24"/>
        </w:rPr>
      </w:pPr>
      <w:r>
        <w:rPr>
          <w:sz w:val="24"/>
        </w:rPr>
        <w:t>This recommendation has not been addressed</w:t>
      </w:r>
      <w:r w:rsidR="00F31049">
        <w:rPr>
          <w:sz w:val="24"/>
        </w:rPr>
        <w:t>.</w:t>
      </w:r>
    </w:p>
    <w:p w:rsidR="008336E4" w:rsidRPr="00400868" w:rsidRDefault="008336E4" w:rsidP="00734D36">
      <w:pPr>
        <w:pStyle w:val="Heading1"/>
      </w:pPr>
      <w:bookmarkStart w:id="6" w:name="_Toc514334035"/>
      <w:r w:rsidRPr="00400868">
        <w:lastRenderedPageBreak/>
        <w:t xml:space="preserve">Plans </w:t>
      </w:r>
      <w:r w:rsidR="00FE1ABD" w:rsidRPr="00400868">
        <w:t xml:space="preserve">for </w:t>
      </w:r>
      <w:r w:rsidRPr="00400868">
        <w:t>Stakeholder Engagement and Public Input</w:t>
      </w:r>
      <w:bookmarkEnd w:id="6"/>
    </w:p>
    <w:p w:rsidR="008336E4" w:rsidRDefault="008336E4" w:rsidP="002020C1">
      <w:pPr>
        <w:spacing w:line="276" w:lineRule="auto"/>
        <w:rPr>
          <w:rFonts w:asciiTheme="minorHAnsi" w:hAnsiTheme="minorHAnsi"/>
          <w:sz w:val="24"/>
          <w:szCs w:val="24"/>
        </w:rPr>
      </w:pPr>
    </w:p>
    <w:p w:rsidR="00FC65F0" w:rsidRDefault="00FC65F0" w:rsidP="002020C1">
      <w:pPr>
        <w:spacing w:line="276" w:lineRule="auto"/>
        <w:rPr>
          <w:rFonts w:asciiTheme="minorHAnsi" w:hAnsiTheme="minorHAnsi"/>
          <w:sz w:val="24"/>
          <w:szCs w:val="24"/>
        </w:rPr>
      </w:pPr>
      <w:r>
        <w:rPr>
          <w:rFonts w:asciiTheme="minorHAnsi" w:hAnsiTheme="minorHAnsi"/>
          <w:sz w:val="24"/>
          <w:szCs w:val="24"/>
        </w:rPr>
        <w:t>The Commission will provide two opportunities for stakeholder engagement and public input: 1) listening sessions in response to this Commission status report and 2) public hearings in response to draft recommendations as outlined in the reporting requirements of the legislation that created the Commission (see “Commission Final Report” below).</w:t>
      </w:r>
    </w:p>
    <w:p w:rsidR="00FC65F0" w:rsidRDefault="00FC65F0" w:rsidP="002020C1">
      <w:pPr>
        <w:spacing w:line="276" w:lineRule="auto"/>
        <w:rPr>
          <w:rFonts w:asciiTheme="minorHAnsi" w:hAnsiTheme="minorHAnsi"/>
          <w:sz w:val="24"/>
          <w:szCs w:val="24"/>
        </w:rPr>
      </w:pPr>
    </w:p>
    <w:p w:rsidR="00FC65F0" w:rsidRDefault="008336E4" w:rsidP="0035133A">
      <w:pPr>
        <w:pStyle w:val="ListParagraph"/>
        <w:numPr>
          <w:ilvl w:val="0"/>
          <w:numId w:val="6"/>
        </w:numPr>
        <w:spacing w:line="276" w:lineRule="auto"/>
        <w:contextualSpacing/>
        <w:rPr>
          <w:sz w:val="24"/>
          <w:szCs w:val="24"/>
        </w:rPr>
      </w:pPr>
      <w:r w:rsidRPr="008336E4">
        <w:rPr>
          <w:rFonts w:asciiTheme="minorHAnsi" w:eastAsia="Times New Roman" w:hAnsiTheme="minorHAnsi" w:cs="Calibri"/>
          <w:b/>
          <w:spacing w:val="5"/>
          <w:kern w:val="28"/>
          <w:sz w:val="24"/>
          <w:szCs w:val="24"/>
        </w:rPr>
        <w:t>Listening sessions</w:t>
      </w:r>
      <w:r w:rsidR="00FE1ABD">
        <w:rPr>
          <w:rFonts w:asciiTheme="minorHAnsi" w:eastAsia="Times New Roman" w:hAnsiTheme="minorHAnsi" w:cs="Calibri"/>
          <w:b/>
          <w:spacing w:val="5"/>
          <w:kern w:val="28"/>
          <w:sz w:val="24"/>
          <w:szCs w:val="24"/>
        </w:rPr>
        <w:t xml:space="preserve">. </w:t>
      </w:r>
      <w:r w:rsidR="00FE1ABD">
        <w:rPr>
          <w:rFonts w:asciiTheme="minorHAnsi" w:eastAsia="Times New Roman" w:hAnsiTheme="minorHAnsi" w:cs="Calibri"/>
          <w:spacing w:val="5"/>
          <w:kern w:val="28"/>
          <w:sz w:val="24"/>
          <w:szCs w:val="24"/>
        </w:rPr>
        <w:t xml:space="preserve">The Commission has planned stakeholder listening sessions to obtain </w:t>
      </w:r>
      <w:r w:rsidR="00FC65F0">
        <w:rPr>
          <w:rFonts w:asciiTheme="minorHAnsi" w:eastAsia="Times New Roman" w:hAnsiTheme="minorHAnsi" w:cs="Calibri"/>
          <w:spacing w:val="5"/>
          <w:kern w:val="28"/>
          <w:sz w:val="24"/>
          <w:szCs w:val="24"/>
        </w:rPr>
        <w:t xml:space="preserve">feedback, comments, and suggestions in response to </w:t>
      </w:r>
      <w:r w:rsidR="00FE1ABD">
        <w:rPr>
          <w:rFonts w:asciiTheme="minorHAnsi" w:eastAsia="Times New Roman" w:hAnsiTheme="minorHAnsi" w:cs="Calibri"/>
          <w:spacing w:val="5"/>
          <w:kern w:val="28"/>
          <w:sz w:val="24"/>
          <w:szCs w:val="24"/>
        </w:rPr>
        <w:t>the Commission Status Report</w:t>
      </w:r>
      <w:r w:rsidR="00FC65F0">
        <w:rPr>
          <w:rFonts w:asciiTheme="minorHAnsi" w:eastAsia="Times New Roman" w:hAnsiTheme="minorHAnsi" w:cs="Calibri"/>
          <w:spacing w:val="5"/>
          <w:kern w:val="28"/>
          <w:sz w:val="24"/>
          <w:szCs w:val="24"/>
        </w:rPr>
        <w:t xml:space="preserve"> and other matters of concern to local public health stakeholders and customers. The listening sessions will be held in each region of the state. They are intended to communicate transparency and inclusiveness in the work of the Commission and to ensure that Commission members are aware of </w:t>
      </w:r>
      <w:r w:rsidR="00FC65F0" w:rsidRPr="00FC65F0">
        <w:rPr>
          <w:sz w:val="24"/>
          <w:szCs w:val="24"/>
        </w:rPr>
        <w:t xml:space="preserve">local </w:t>
      </w:r>
      <w:r w:rsidR="00DB1779">
        <w:rPr>
          <w:sz w:val="24"/>
          <w:szCs w:val="24"/>
        </w:rPr>
        <w:t xml:space="preserve">readiness for and barriers to local public health system </w:t>
      </w:r>
      <w:r w:rsidR="00FC65F0" w:rsidRPr="00FC65F0">
        <w:rPr>
          <w:sz w:val="24"/>
          <w:szCs w:val="24"/>
        </w:rPr>
        <w:t>change</w:t>
      </w:r>
      <w:r w:rsidR="00DB1779">
        <w:rPr>
          <w:sz w:val="24"/>
          <w:szCs w:val="24"/>
        </w:rPr>
        <w:t>.</w:t>
      </w:r>
    </w:p>
    <w:p w:rsidR="00DB1779" w:rsidRDefault="00DB1779" w:rsidP="0035133A">
      <w:pPr>
        <w:spacing w:line="276" w:lineRule="auto"/>
        <w:contextualSpacing/>
        <w:rPr>
          <w:sz w:val="24"/>
          <w:szCs w:val="24"/>
        </w:rPr>
      </w:pPr>
    </w:p>
    <w:p w:rsidR="00DB1779" w:rsidRDefault="00DB1779" w:rsidP="0035133A">
      <w:pPr>
        <w:spacing w:line="276" w:lineRule="auto"/>
        <w:ind w:left="360"/>
        <w:contextualSpacing/>
        <w:rPr>
          <w:sz w:val="24"/>
          <w:szCs w:val="24"/>
        </w:rPr>
      </w:pPr>
      <w:r>
        <w:rPr>
          <w:sz w:val="24"/>
          <w:szCs w:val="24"/>
        </w:rPr>
        <w:t xml:space="preserve">The schedule of listening sessions is </w:t>
      </w:r>
      <w:r w:rsidR="00A775C3" w:rsidRPr="000C2DBE">
        <w:rPr>
          <w:sz w:val="24"/>
          <w:szCs w:val="24"/>
        </w:rPr>
        <w:t>provided in Appendix D.</w:t>
      </w:r>
      <w:r>
        <w:rPr>
          <w:sz w:val="24"/>
          <w:szCs w:val="24"/>
        </w:rPr>
        <w:t xml:space="preserve"> In addition to comments received at the listening sessions, written</w:t>
      </w:r>
      <w:r w:rsidR="00400868">
        <w:rPr>
          <w:sz w:val="24"/>
          <w:szCs w:val="24"/>
        </w:rPr>
        <w:t xml:space="preserve"> comments will also be accepted.</w:t>
      </w:r>
    </w:p>
    <w:p w:rsidR="00400868" w:rsidRDefault="00400868" w:rsidP="0035133A">
      <w:pPr>
        <w:spacing w:line="276" w:lineRule="auto"/>
        <w:ind w:left="360"/>
        <w:contextualSpacing/>
        <w:rPr>
          <w:b/>
          <w:i/>
          <w:color w:val="FF0000"/>
          <w:sz w:val="24"/>
          <w:szCs w:val="24"/>
        </w:rPr>
      </w:pPr>
    </w:p>
    <w:p w:rsidR="00DB1779" w:rsidRPr="00DB1779" w:rsidRDefault="00DB1779" w:rsidP="0035133A">
      <w:pPr>
        <w:pStyle w:val="ListParagraph"/>
        <w:numPr>
          <w:ilvl w:val="0"/>
          <w:numId w:val="6"/>
        </w:numPr>
        <w:spacing w:line="276" w:lineRule="auto"/>
        <w:contextualSpacing/>
        <w:rPr>
          <w:b/>
          <w:sz w:val="24"/>
          <w:szCs w:val="24"/>
        </w:rPr>
      </w:pPr>
      <w:r w:rsidRPr="00DB1779">
        <w:rPr>
          <w:b/>
          <w:sz w:val="24"/>
          <w:szCs w:val="24"/>
        </w:rPr>
        <w:t>Public hearings.</w:t>
      </w:r>
      <w:r>
        <w:rPr>
          <w:b/>
          <w:sz w:val="24"/>
          <w:szCs w:val="24"/>
        </w:rPr>
        <w:t xml:space="preserve"> </w:t>
      </w:r>
      <w:r>
        <w:rPr>
          <w:sz w:val="24"/>
          <w:szCs w:val="24"/>
        </w:rPr>
        <w:t>Informed by input from the stakeholder listening sessions and additional deliberations among its members, the Commission will prepare draft recommendations for public comment. Details about the public hearing process will be available when draft recommendations are approved by the Commission for public comment.</w:t>
      </w:r>
    </w:p>
    <w:p w:rsidR="004B1979" w:rsidRPr="00DC6308" w:rsidRDefault="004B1979" w:rsidP="00734D36">
      <w:pPr>
        <w:pStyle w:val="Heading1"/>
      </w:pPr>
      <w:bookmarkStart w:id="7" w:name="_Toc514334036"/>
      <w:r w:rsidRPr="00DC6308">
        <w:t>Commission Final Report</w:t>
      </w:r>
      <w:bookmarkEnd w:id="7"/>
    </w:p>
    <w:p w:rsidR="00FA49A0" w:rsidRPr="00FA49A0" w:rsidRDefault="00FA49A0" w:rsidP="002020C1">
      <w:pPr>
        <w:spacing w:line="276" w:lineRule="auto"/>
        <w:rPr>
          <w:rFonts w:asciiTheme="minorHAnsi" w:hAnsiTheme="minorHAnsi" w:cs="Calibri"/>
          <w:b/>
          <w:color w:val="FF0000"/>
          <w:spacing w:val="5"/>
          <w:kern w:val="28"/>
          <w:szCs w:val="24"/>
          <w:u w:val="single"/>
        </w:rPr>
      </w:pPr>
    </w:p>
    <w:p w:rsidR="008336E4" w:rsidRDefault="004B1979" w:rsidP="00DB1779">
      <w:pPr>
        <w:spacing w:line="276" w:lineRule="auto"/>
        <w:rPr>
          <w:rFonts w:asciiTheme="minorHAnsi" w:eastAsia="Times New Roman" w:hAnsiTheme="minorHAnsi" w:cs="Calibri"/>
          <w:spacing w:val="5"/>
          <w:kern w:val="28"/>
          <w:sz w:val="24"/>
          <w:szCs w:val="24"/>
        </w:rPr>
      </w:pPr>
      <w:r w:rsidRPr="00DB1779">
        <w:rPr>
          <w:rFonts w:asciiTheme="minorHAnsi" w:hAnsiTheme="minorHAnsi" w:cs="Calibri"/>
          <w:spacing w:val="5"/>
          <w:kern w:val="28"/>
          <w:sz w:val="24"/>
        </w:rPr>
        <w:t xml:space="preserve">The Commission is charged </w:t>
      </w:r>
      <w:r w:rsidR="006A5FC7" w:rsidRPr="00DB1779">
        <w:rPr>
          <w:rFonts w:asciiTheme="minorHAnsi" w:hAnsiTheme="minorHAnsi" w:cs="Calibri"/>
          <w:spacing w:val="5"/>
          <w:kern w:val="28"/>
          <w:sz w:val="24"/>
        </w:rPr>
        <w:t>with preparing and submitting</w:t>
      </w:r>
      <w:r w:rsidR="006A5FC7" w:rsidRPr="00DB1779">
        <w:rPr>
          <w:rFonts w:asciiTheme="minorHAnsi" w:hAnsiTheme="minorHAnsi"/>
          <w:color w:val="333333"/>
          <w:sz w:val="24"/>
          <w:shd w:val="clear" w:color="auto" w:fill="FFFFFF"/>
        </w:rPr>
        <w:t xml:space="preserve"> </w:t>
      </w:r>
      <w:r w:rsidR="00DC6308" w:rsidRPr="00DB1779">
        <w:rPr>
          <w:rFonts w:asciiTheme="minorHAnsi" w:hAnsiTheme="minorHAnsi"/>
          <w:color w:val="333333"/>
          <w:sz w:val="24"/>
          <w:shd w:val="clear" w:color="auto" w:fill="FFFFFF"/>
        </w:rPr>
        <w:t xml:space="preserve">a report </w:t>
      </w:r>
      <w:r w:rsidR="006A5FC7" w:rsidRPr="00DB1779">
        <w:rPr>
          <w:rFonts w:asciiTheme="minorHAnsi" w:hAnsiTheme="minorHAnsi"/>
          <w:color w:val="333333"/>
          <w:sz w:val="24"/>
          <w:shd w:val="clear" w:color="auto" w:fill="FFFFFF"/>
        </w:rPr>
        <w:t>to the Governor, the Joint Committee on Public Health and the House and Senate Committee</w:t>
      </w:r>
      <w:r w:rsidR="00DC6308" w:rsidRPr="00DB1779">
        <w:rPr>
          <w:rFonts w:asciiTheme="minorHAnsi" w:hAnsiTheme="minorHAnsi"/>
          <w:color w:val="333333"/>
          <w:sz w:val="24"/>
          <w:shd w:val="clear" w:color="auto" w:fill="FFFFFF"/>
        </w:rPr>
        <w:t>s</w:t>
      </w:r>
      <w:r w:rsidR="006A5FC7" w:rsidRPr="00DB1779">
        <w:rPr>
          <w:rFonts w:asciiTheme="minorHAnsi" w:hAnsiTheme="minorHAnsi"/>
          <w:color w:val="333333"/>
          <w:sz w:val="24"/>
          <w:shd w:val="clear" w:color="auto" w:fill="FFFFFF"/>
        </w:rPr>
        <w:t xml:space="preserve"> on Ways and M</w:t>
      </w:r>
      <w:r w:rsidR="00DC6308" w:rsidRPr="00DB1779">
        <w:rPr>
          <w:rFonts w:asciiTheme="minorHAnsi" w:hAnsiTheme="minorHAnsi"/>
          <w:color w:val="333333"/>
          <w:sz w:val="24"/>
          <w:shd w:val="clear" w:color="auto" w:fill="FFFFFF"/>
        </w:rPr>
        <w:t xml:space="preserve">eans. </w:t>
      </w:r>
      <w:r w:rsidR="005B4DEB">
        <w:rPr>
          <w:rFonts w:asciiTheme="minorHAnsi" w:hAnsiTheme="minorHAnsi"/>
          <w:color w:val="333333"/>
          <w:sz w:val="24"/>
          <w:shd w:val="clear" w:color="auto" w:fill="FFFFFF"/>
        </w:rPr>
        <w:t xml:space="preserve">That report is expected to </w:t>
      </w:r>
      <w:r w:rsidR="00400868">
        <w:rPr>
          <w:rFonts w:asciiTheme="minorHAnsi" w:hAnsiTheme="minorHAnsi"/>
          <w:color w:val="333333"/>
          <w:sz w:val="24"/>
          <w:shd w:val="clear" w:color="auto" w:fill="FFFFFF"/>
        </w:rPr>
        <w:t>include the following elements:</w:t>
      </w:r>
    </w:p>
    <w:p w:rsidR="00D53EC4" w:rsidRDefault="00D53EC4" w:rsidP="00DC6308">
      <w:pPr>
        <w:spacing w:line="276" w:lineRule="auto"/>
        <w:rPr>
          <w:rFonts w:ascii="Helvetica" w:hAnsi="Helvetica"/>
          <w:b/>
          <w:color w:val="333333"/>
          <w:sz w:val="21"/>
          <w:szCs w:val="21"/>
          <w:shd w:val="clear" w:color="auto" w:fill="FFFFFF"/>
        </w:rPr>
      </w:pPr>
    </w:p>
    <w:p w:rsidR="00DC6308" w:rsidRPr="00400868" w:rsidRDefault="00DC6308" w:rsidP="000A0AB7">
      <w:pPr>
        <w:pStyle w:val="ListParagraph"/>
        <w:numPr>
          <w:ilvl w:val="0"/>
          <w:numId w:val="6"/>
        </w:numPr>
        <w:spacing w:line="276" w:lineRule="auto"/>
        <w:rPr>
          <w:rFonts w:asciiTheme="minorHAnsi" w:hAnsiTheme="minorHAnsi" w:cs="Calibri"/>
          <w:spacing w:val="5"/>
          <w:kern w:val="28"/>
          <w:sz w:val="24"/>
          <w:szCs w:val="24"/>
        </w:rPr>
      </w:pPr>
      <w:r w:rsidRPr="00400868">
        <w:rPr>
          <w:rFonts w:asciiTheme="minorHAnsi" w:hAnsiTheme="minorHAnsi"/>
          <w:color w:val="333333"/>
          <w:sz w:val="24"/>
          <w:szCs w:val="24"/>
          <w:shd w:val="clear" w:color="auto" w:fill="FFFFFF"/>
        </w:rPr>
        <w:t>Review of l</w:t>
      </w:r>
      <w:r w:rsidR="006A5FC7" w:rsidRPr="00400868">
        <w:rPr>
          <w:rFonts w:asciiTheme="minorHAnsi" w:hAnsiTheme="minorHAnsi"/>
          <w:color w:val="333333"/>
          <w:sz w:val="24"/>
          <w:szCs w:val="24"/>
          <w:shd w:val="clear" w:color="auto" w:fill="FFFFFF"/>
        </w:rPr>
        <w:t>ocal public health organization and financin</w:t>
      </w:r>
      <w:r w:rsidRPr="00400868">
        <w:rPr>
          <w:rFonts w:asciiTheme="minorHAnsi" w:hAnsiTheme="minorHAnsi"/>
          <w:color w:val="333333"/>
          <w:sz w:val="24"/>
          <w:szCs w:val="24"/>
          <w:shd w:val="clear" w:color="auto" w:fill="FFFFFF"/>
        </w:rPr>
        <w:t>g in other states</w:t>
      </w:r>
      <w:r w:rsidR="00650217">
        <w:rPr>
          <w:rFonts w:asciiTheme="minorHAnsi" w:hAnsiTheme="minorHAnsi"/>
          <w:color w:val="333333"/>
          <w:sz w:val="24"/>
          <w:szCs w:val="24"/>
          <w:shd w:val="clear" w:color="auto" w:fill="FFFFFF"/>
        </w:rPr>
        <w:t xml:space="preserve">, and </w:t>
      </w:r>
    </w:p>
    <w:p w:rsidR="00DC6308" w:rsidRPr="00400868" w:rsidRDefault="00DC6308" w:rsidP="000A0AB7">
      <w:pPr>
        <w:pStyle w:val="ListParagraph"/>
        <w:numPr>
          <w:ilvl w:val="0"/>
          <w:numId w:val="6"/>
        </w:numPr>
        <w:spacing w:line="276" w:lineRule="auto"/>
        <w:rPr>
          <w:rFonts w:asciiTheme="minorHAnsi" w:hAnsiTheme="minorHAnsi"/>
          <w:color w:val="333333"/>
          <w:sz w:val="24"/>
          <w:szCs w:val="24"/>
          <w:shd w:val="clear" w:color="auto" w:fill="FFFFFF"/>
        </w:rPr>
      </w:pPr>
      <w:r w:rsidRPr="00400868">
        <w:rPr>
          <w:rFonts w:asciiTheme="minorHAnsi" w:hAnsiTheme="minorHAnsi"/>
          <w:color w:val="333333"/>
          <w:sz w:val="24"/>
          <w:szCs w:val="24"/>
          <w:shd w:val="clear" w:color="auto" w:fill="FFFFFF"/>
        </w:rPr>
        <w:t>Review of the s</w:t>
      </w:r>
      <w:r w:rsidR="006A5FC7" w:rsidRPr="00400868">
        <w:rPr>
          <w:rFonts w:asciiTheme="minorHAnsi" w:hAnsiTheme="minorHAnsi"/>
          <w:color w:val="333333"/>
          <w:sz w:val="24"/>
          <w:szCs w:val="24"/>
          <w:shd w:val="clear" w:color="auto" w:fill="FFFFFF"/>
        </w:rPr>
        <w:t xml:space="preserve">trengths and weaknesses of the local public health system as it currently exists in the </w:t>
      </w:r>
      <w:r w:rsidR="00650217">
        <w:rPr>
          <w:rFonts w:asciiTheme="minorHAnsi" w:hAnsiTheme="minorHAnsi"/>
          <w:color w:val="333333"/>
          <w:sz w:val="24"/>
          <w:szCs w:val="24"/>
          <w:shd w:val="clear" w:color="auto" w:fill="FFFFFF"/>
        </w:rPr>
        <w:t>C</w:t>
      </w:r>
      <w:r w:rsidR="006A5FC7" w:rsidRPr="00400868">
        <w:rPr>
          <w:rFonts w:asciiTheme="minorHAnsi" w:hAnsiTheme="minorHAnsi"/>
          <w:color w:val="333333"/>
          <w:sz w:val="24"/>
          <w:szCs w:val="24"/>
          <w:shd w:val="clear" w:color="auto" w:fill="FFFFFF"/>
        </w:rPr>
        <w:t>ommonwealth, with particular emphasis on capacity</w:t>
      </w:r>
      <w:r w:rsidRPr="00400868">
        <w:rPr>
          <w:rFonts w:asciiTheme="minorHAnsi" w:hAnsiTheme="minorHAnsi"/>
          <w:color w:val="333333"/>
          <w:sz w:val="24"/>
          <w:szCs w:val="24"/>
          <w:shd w:val="clear" w:color="auto" w:fill="FFFFFF"/>
        </w:rPr>
        <w:t xml:space="preserve">, </w:t>
      </w:r>
      <w:r w:rsidR="00D75A28" w:rsidRPr="00400868">
        <w:rPr>
          <w:rFonts w:asciiTheme="minorHAnsi" w:hAnsiTheme="minorHAnsi"/>
          <w:color w:val="333333"/>
          <w:sz w:val="24"/>
          <w:szCs w:val="24"/>
          <w:shd w:val="clear" w:color="auto" w:fill="FFFFFF"/>
        </w:rPr>
        <w:t>functionality,</w:t>
      </w:r>
      <w:r w:rsidRPr="00400868">
        <w:rPr>
          <w:rFonts w:asciiTheme="minorHAnsi" w:hAnsiTheme="minorHAnsi"/>
          <w:color w:val="333333"/>
          <w:sz w:val="24"/>
          <w:szCs w:val="24"/>
          <w:shd w:val="clear" w:color="auto" w:fill="FFFFFF"/>
        </w:rPr>
        <w:t xml:space="preserve"> and efficiency</w:t>
      </w:r>
      <w:r w:rsidR="00650217">
        <w:rPr>
          <w:rFonts w:asciiTheme="minorHAnsi" w:hAnsiTheme="minorHAnsi"/>
          <w:color w:val="333333"/>
          <w:sz w:val="24"/>
          <w:szCs w:val="24"/>
          <w:shd w:val="clear" w:color="auto" w:fill="FFFFFF"/>
        </w:rPr>
        <w:t>.</w:t>
      </w:r>
    </w:p>
    <w:p w:rsidR="00400868" w:rsidRDefault="00400868" w:rsidP="00DC6308">
      <w:pPr>
        <w:spacing w:line="276" w:lineRule="auto"/>
        <w:rPr>
          <w:rFonts w:asciiTheme="minorHAnsi" w:hAnsiTheme="minorHAnsi"/>
          <w:b/>
          <w:color w:val="333333"/>
          <w:sz w:val="24"/>
          <w:szCs w:val="24"/>
          <w:shd w:val="clear" w:color="auto" w:fill="FFFFFF"/>
        </w:rPr>
      </w:pPr>
    </w:p>
    <w:p w:rsidR="00DC6308" w:rsidRDefault="00DC6308" w:rsidP="00DC6308">
      <w:pPr>
        <w:spacing w:line="276" w:lineRule="auto"/>
        <w:rPr>
          <w:rFonts w:asciiTheme="minorHAnsi" w:hAnsiTheme="minorHAnsi"/>
          <w:b/>
          <w:color w:val="333333"/>
          <w:sz w:val="24"/>
          <w:szCs w:val="24"/>
          <w:shd w:val="clear" w:color="auto" w:fill="FFFFFF"/>
        </w:rPr>
      </w:pPr>
      <w:r w:rsidRPr="00DC6308">
        <w:rPr>
          <w:rFonts w:asciiTheme="minorHAnsi" w:hAnsiTheme="minorHAnsi"/>
          <w:b/>
          <w:color w:val="333333"/>
          <w:sz w:val="24"/>
          <w:szCs w:val="24"/>
          <w:shd w:val="clear" w:color="auto" w:fill="FFFFFF"/>
        </w:rPr>
        <w:t>Recommendations</w:t>
      </w:r>
    </w:p>
    <w:p w:rsidR="00400868" w:rsidRPr="00DC6308" w:rsidRDefault="00400868" w:rsidP="00DC6308">
      <w:pPr>
        <w:spacing w:line="276" w:lineRule="auto"/>
        <w:rPr>
          <w:rFonts w:asciiTheme="minorHAnsi" w:hAnsiTheme="minorHAnsi"/>
          <w:color w:val="333333"/>
          <w:sz w:val="24"/>
          <w:szCs w:val="24"/>
          <w:shd w:val="clear" w:color="auto" w:fill="FFFFFF"/>
        </w:rPr>
      </w:pPr>
    </w:p>
    <w:p w:rsidR="00DC6308" w:rsidRPr="00400868" w:rsidRDefault="00650217" w:rsidP="000A0AB7">
      <w:pPr>
        <w:pStyle w:val="ListParagraph"/>
        <w:numPr>
          <w:ilvl w:val="0"/>
          <w:numId w:val="6"/>
        </w:numPr>
        <w:spacing w:line="276" w:lineRule="auto"/>
        <w:rPr>
          <w:rFonts w:asciiTheme="minorHAnsi" w:hAnsiTheme="minorHAnsi" w:cs="Calibri"/>
          <w:spacing w:val="5"/>
          <w:kern w:val="28"/>
          <w:sz w:val="24"/>
          <w:szCs w:val="24"/>
        </w:rPr>
      </w:pPr>
      <w:r>
        <w:rPr>
          <w:rFonts w:asciiTheme="minorHAnsi" w:hAnsiTheme="minorHAnsi"/>
          <w:color w:val="333333"/>
          <w:sz w:val="24"/>
          <w:szCs w:val="24"/>
          <w:shd w:val="clear" w:color="auto" w:fill="FFFFFF"/>
        </w:rPr>
        <w:t>O</w:t>
      </w:r>
      <w:r w:rsidR="006A5FC7" w:rsidRPr="00400868">
        <w:rPr>
          <w:rFonts w:asciiTheme="minorHAnsi" w:hAnsiTheme="minorHAnsi"/>
          <w:color w:val="333333"/>
          <w:sz w:val="24"/>
          <w:szCs w:val="24"/>
          <w:shd w:val="clear" w:color="auto" w:fill="FFFFFF"/>
        </w:rPr>
        <w:t xml:space="preserve">rganizational and fiscal models that would work to ensure </w:t>
      </w:r>
      <w:r w:rsidR="00DC6308" w:rsidRPr="00400868">
        <w:rPr>
          <w:rFonts w:asciiTheme="minorHAnsi" w:hAnsiTheme="minorHAnsi"/>
          <w:color w:val="333333"/>
          <w:sz w:val="24"/>
          <w:szCs w:val="24"/>
          <w:shd w:val="clear" w:color="auto" w:fill="FFFFFF"/>
        </w:rPr>
        <w:t>capacity across municipalities</w:t>
      </w:r>
      <w:r>
        <w:rPr>
          <w:rFonts w:asciiTheme="minorHAnsi" w:hAnsiTheme="minorHAnsi"/>
          <w:color w:val="333333"/>
          <w:sz w:val="24"/>
          <w:szCs w:val="24"/>
          <w:shd w:val="clear" w:color="auto" w:fill="FFFFFF"/>
        </w:rPr>
        <w:t>.</w:t>
      </w:r>
    </w:p>
    <w:p w:rsidR="00DC6308" w:rsidRPr="00400868" w:rsidRDefault="00650217" w:rsidP="000A0AB7">
      <w:pPr>
        <w:pStyle w:val="ListParagraph"/>
        <w:numPr>
          <w:ilvl w:val="0"/>
          <w:numId w:val="6"/>
        </w:numPr>
        <w:spacing w:line="276" w:lineRule="auto"/>
        <w:rPr>
          <w:rFonts w:asciiTheme="minorHAnsi" w:hAnsiTheme="minorHAnsi"/>
          <w:color w:val="333333"/>
          <w:sz w:val="24"/>
          <w:szCs w:val="24"/>
          <w:shd w:val="clear" w:color="auto" w:fill="FFFFFF"/>
        </w:rPr>
      </w:pPr>
      <w:r>
        <w:rPr>
          <w:rFonts w:asciiTheme="minorHAnsi" w:hAnsiTheme="minorHAnsi"/>
          <w:color w:val="333333"/>
          <w:sz w:val="24"/>
          <w:szCs w:val="24"/>
          <w:shd w:val="clear" w:color="auto" w:fill="FFFFFF"/>
        </w:rPr>
        <w:t>S</w:t>
      </w:r>
      <w:r w:rsidR="006A5FC7" w:rsidRPr="00400868">
        <w:rPr>
          <w:rFonts w:asciiTheme="minorHAnsi" w:hAnsiTheme="minorHAnsi"/>
          <w:color w:val="333333"/>
          <w:sz w:val="24"/>
          <w:szCs w:val="24"/>
          <w:shd w:val="clear" w:color="auto" w:fill="FFFFFF"/>
        </w:rPr>
        <w:t>haring of resources across municipalit</w:t>
      </w:r>
      <w:r w:rsidR="00DC6308" w:rsidRPr="00400868">
        <w:rPr>
          <w:rFonts w:asciiTheme="minorHAnsi" w:hAnsiTheme="minorHAnsi"/>
          <w:color w:val="333333"/>
          <w:sz w:val="24"/>
          <w:szCs w:val="24"/>
          <w:shd w:val="clear" w:color="auto" w:fill="FFFFFF"/>
        </w:rPr>
        <w:t>ies, including regionalization</w:t>
      </w:r>
      <w:r>
        <w:rPr>
          <w:rFonts w:asciiTheme="minorHAnsi" w:hAnsiTheme="minorHAnsi"/>
          <w:color w:val="333333"/>
          <w:sz w:val="24"/>
          <w:szCs w:val="24"/>
          <w:shd w:val="clear" w:color="auto" w:fill="FFFFFF"/>
        </w:rPr>
        <w:t>.</w:t>
      </w:r>
    </w:p>
    <w:p w:rsidR="00170E99" w:rsidRDefault="001904FE" w:rsidP="000A0AB7">
      <w:pPr>
        <w:pStyle w:val="ListParagraph"/>
        <w:numPr>
          <w:ilvl w:val="0"/>
          <w:numId w:val="6"/>
        </w:numPr>
        <w:spacing w:line="276" w:lineRule="auto"/>
        <w:rPr>
          <w:rFonts w:asciiTheme="minorHAnsi" w:hAnsiTheme="minorHAnsi"/>
          <w:color w:val="333333"/>
          <w:sz w:val="24"/>
          <w:szCs w:val="24"/>
          <w:shd w:val="clear" w:color="auto" w:fill="FFFFFF"/>
        </w:rPr>
      </w:pPr>
      <w:r>
        <w:rPr>
          <w:rFonts w:asciiTheme="minorHAnsi" w:hAnsiTheme="minorHAnsi"/>
          <w:color w:val="333333"/>
          <w:sz w:val="24"/>
          <w:szCs w:val="24"/>
          <w:shd w:val="clear" w:color="auto" w:fill="FFFFFF"/>
        </w:rPr>
        <w:lastRenderedPageBreak/>
        <w:t>S</w:t>
      </w:r>
      <w:r w:rsidRPr="00400868">
        <w:rPr>
          <w:rFonts w:asciiTheme="minorHAnsi" w:hAnsiTheme="minorHAnsi"/>
          <w:color w:val="333333"/>
          <w:sz w:val="24"/>
          <w:szCs w:val="24"/>
          <w:shd w:val="clear" w:color="auto" w:fill="FFFFFF"/>
        </w:rPr>
        <w:t>trengthen </w:t>
      </w:r>
      <w:r w:rsidR="006A5FC7" w:rsidRPr="00400868">
        <w:rPr>
          <w:rFonts w:asciiTheme="minorHAnsi" w:hAnsiTheme="minorHAnsi"/>
          <w:color w:val="333333"/>
          <w:sz w:val="24"/>
          <w:szCs w:val="24"/>
          <w:shd w:val="clear" w:color="auto" w:fill="FFFFFF"/>
        </w:rPr>
        <w:t xml:space="preserve">public health data reporting, </w:t>
      </w:r>
      <w:r w:rsidR="00D75A28" w:rsidRPr="00400868">
        <w:rPr>
          <w:rFonts w:asciiTheme="minorHAnsi" w:hAnsiTheme="minorHAnsi"/>
          <w:color w:val="333333"/>
          <w:sz w:val="24"/>
          <w:szCs w:val="24"/>
          <w:shd w:val="clear" w:color="auto" w:fill="FFFFFF"/>
        </w:rPr>
        <w:t>gathering,</w:t>
      </w:r>
      <w:r w:rsidR="006A5FC7" w:rsidRPr="00400868">
        <w:rPr>
          <w:rFonts w:asciiTheme="minorHAnsi" w:hAnsiTheme="minorHAnsi"/>
          <w:color w:val="333333"/>
          <w:sz w:val="24"/>
          <w:szCs w:val="24"/>
          <w:shd w:val="clear" w:color="auto" w:fill="FFFFFF"/>
        </w:rPr>
        <w:t xml:space="preserve"> and analysis, including any recommendations on mandatory reporting of local health autho</w:t>
      </w:r>
      <w:r w:rsidR="00DC6308" w:rsidRPr="00400868">
        <w:rPr>
          <w:rFonts w:asciiTheme="minorHAnsi" w:hAnsiTheme="minorHAnsi"/>
          <w:color w:val="333333"/>
          <w:sz w:val="24"/>
          <w:szCs w:val="24"/>
          <w:shd w:val="clear" w:color="auto" w:fill="FFFFFF"/>
        </w:rPr>
        <w:t>rities to the department</w:t>
      </w:r>
      <w:r w:rsidR="00650217">
        <w:rPr>
          <w:rFonts w:asciiTheme="minorHAnsi" w:hAnsiTheme="minorHAnsi"/>
          <w:color w:val="333333"/>
          <w:sz w:val="24"/>
          <w:szCs w:val="24"/>
          <w:shd w:val="clear" w:color="auto" w:fill="FFFFFF"/>
        </w:rPr>
        <w:t>.</w:t>
      </w:r>
    </w:p>
    <w:p w:rsidR="00DC6308" w:rsidRPr="00400868" w:rsidRDefault="00650217" w:rsidP="000A0AB7">
      <w:pPr>
        <w:pStyle w:val="ListParagraph"/>
        <w:numPr>
          <w:ilvl w:val="0"/>
          <w:numId w:val="6"/>
        </w:numPr>
        <w:spacing w:line="276" w:lineRule="auto"/>
        <w:rPr>
          <w:rFonts w:asciiTheme="minorHAnsi" w:hAnsiTheme="minorHAnsi" w:cs="Calibri"/>
          <w:spacing w:val="5"/>
          <w:kern w:val="28"/>
          <w:sz w:val="24"/>
          <w:szCs w:val="24"/>
        </w:rPr>
      </w:pPr>
      <w:r>
        <w:rPr>
          <w:rFonts w:asciiTheme="minorHAnsi" w:hAnsiTheme="minorHAnsi"/>
          <w:color w:val="333333"/>
          <w:sz w:val="24"/>
          <w:szCs w:val="24"/>
          <w:shd w:val="clear" w:color="auto" w:fill="FFFFFF"/>
        </w:rPr>
        <w:t>R</w:t>
      </w:r>
      <w:r w:rsidR="006A5FC7" w:rsidRPr="00400868">
        <w:rPr>
          <w:rFonts w:asciiTheme="minorHAnsi" w:hAnsiTheme="minorHAnsi"/>
          <w:color w:val="333333"/>
          <w:sz w:val="24"/>
          <w:szCs w:val="24"/>
          <w:shd w:val="clear" w:color="auto" w:fill="FFFFFF"/>
        </w:rPr>
        <w:t>esources needed to effectively meet statutory responsibilitie</w:t>
      </w:r>
      <w:r w:rsidR="00DC6308" w:rsidRPr="00400868">
        <w:rPr>
          <w:rFonts w:asciiTheme="minorHAnsi" w:hAnsiTheme="minorHAnsi"/>
          <w:color w:val="333333"/>
          <w:sz w:val="24"/>
          <w:szCs w:val="24"/>
          <w:shd w:val="clear" w:color="auto" w:fill="FFFFFF"/>
        </w:rPr>
        <w:t>s at the state and local level</w:t>
      </w:r>
      <w:r>
        <w:rPr>
          <w:rFonts w:asciiTheme="minorHAnsi" w:hAnsiTheme="minorHAnsi"/>
          <w:color w:val="333333"/>
          <w:sz w:val="24"/>
          <w:szCs w:val="24"/>
          <w:shd w:val="clear" w:color="auto" w:fill="FFFFFF"/>
        </w:rPr>
        <w:t>.</w:t>
      </w:r>
    </w:p>
    <w:p w:rsidR="00FE5B23" w:rsidRDefault="00650217" w:rsidP="000A0AB7">
      <w:pPr>
        <w:pStyle w:val="ListParagraph"/>
        <w:numPr>
          <w:ilvl w:val="0"/>
          <w:numId w:val="6"/>
        </w:numPr>
        <w:spacing w:line="276" w:lineRule="auto"/>
        <w:rPr>
          <w:rFonts w:asciiTheme="minorHAnsi" w:hAnsiTheme="minorHAnsi"/>
          <w:b/>
          <w:color w:val="333333"/>
          <w:sz w:val="24"/>
          <w:szCs w:val="24"/>
          <w:shd w:val="clear" w:color="auto" w:fill="FFFFFF"/>
        </w:rPr>
      </w:pPr>
      <w:r>
        <w:rPr>
          <w:rFonts w:asciiTheme="minorHAnsi" w:hAnsiTheme="minorHAnsi"/>
          <w:color w:val="333333"/>
          <w:sz w:val="24"/>
          <w:szCs w:val="24"/>
          <w:shd w:val="clear" w:color="auto" w:fill="FFFFFF"/>
        </w:rPr>
        <w:t>S</w:t>
      </w:r>
      <w:r w:rsidR="006A5FC7" w:rsidRPr="00400868">
        <w:rPr>
          <w:rFonts w:asciiTheme="minorHAnsi" w:hAnsiTheme="minorHAnsi"/>
          <w:color w:val="333333"/>
          <w:sz w:val="24"/>
          <w:szCs w:val="24"/>
          <w:shd w:val="clear" w:color="auto" w:fill="FFFFFF"/>
        </w:rPr>
        <w:t>trengthen the local public health workforce and ensure training of the next generation of local public health professionals, including l</w:t>
      </w:r>
      <w:r w:rsidR="00755078" w:rsidRPr="00400868">
        <w:rPr>
          <w:rFonts w:asciiTheme="minorHAnsi" w:hAnsiTheme="minorHAnsi"/>
          <w:color w:val="333333"/>
          <w:sz w:val="24"/>
          <w:szCs w:val="24"/>
          <w:shd w:val="clear" w:color="auto" w:fill="FFFFFF"/>
        </w:rPr>
        <w:t>everaging academic partnerships</w:t>
      </w:r>
      <w:r>
        <w:rPr>
          <w:rFonts w:asciiTheme="minorHAnsi" w:hAnsiTheme="minorHAnsi"/>
          <w:color w:val="333333"/>
          <w:sz w:val="24"/>
          <w:szCs w:val="24"/>
          <w:shd w:val="clear" w:color="auto" w:fill="FFFFFF"/>
        </w:rPr>
        <w:t>.</w:t>
      </w:r>
      <w:r w:rsidR="006A5FC7" w:rsidRPr="00400868">
        <w:rPr>
          <w:rFonts w:asciiTheme="minorHAnsi" w:hAnsiTheme="minorHAnsi"/>
          <w:b/>
          <w:color w:val="333333"/>
          <w:sz w:val="24"/>
          <w:szCs w:val="24"/>
          <w:shd w:val="clear" w:color="auto" w:fill="FFFFFF"/>
        </w:rPr>
        <w:t> </w:t>
      </w:r>
    </w:p>
    <w:p w:rsidR="00FE5B23" w:rsidRDefault="00FE5B23">
      <w:pPr>
        <w:spacing w:after="200" w:line="276" w:lineRule="auto"/>
        <w:rPr>
          <w:rFonts w:asciiTheme="minorHAnsi" w:hAnsiTheme="minorHAnsi"/>
          <w:b/>
          <w:color w:val="333333"/>
          <w:sz w:val="24"/>
          <w:szCs w:val="24"/>
          <w:shd w:val="clear" w:color="auto" w:fill="FFFFFF"/>
        </w:rPr>
      </w:pPr>
      <w:r>
        <w:rPr>
          <w:rFonts w:asciiTheme="minorHAnsi" w:hAnsiTheme="minorHAnsi"/>
          <w:b/>
          <w:color w:val="333333"/>
          <w:sz w:val="24"/>
          <w:szCs w:val="24"/>
          <w:shd w:val="clear" w:color="auto" w:fill="FFFFFF"/>
        </w:rPr>
        <w:br w:type="page"/>
      </w:r>
    </w:p>
    <w:p w:rsidR="00A9674A" w:rsidRDefault="00FE5B23" w:rsidP="00A9674A">
      <w:pPr>
        <w:pStyle w:val="Heading1"/>
      </w:pPr>
      <w:bookmarkStart w:id="8" w:name="_Toc514334037"/>
      <w:r>
        <w:lastRenderedPageBreak/>
        <w:t>References</w:t>
      </w:r>
      <w:r w:rsidR="00950E4B">
        <w:t xml:space="preserve"> Cited</w:t>
      </w:r>
      <w:bookmarkEnd w:id="8"/>
    </w:p>
    <w:p w:rsidR="00A9674A" w:rsidRDefault="00A9674A" w:rsidP="00FE5B23"/>
    <w:p w:rsidR="00782F9A" w:rsidRPr="00E94B65" w:rsidRDefault="00782F9A" w:rsidP="00782F9A">
      <w:pPr>
        <w:pStyle w:val="ListParagraph"/>
        <w:numPr>
          <w:ilvl w:val="0"/>
          <w:numId w:val="29"/>
        </w:numPr>
        <w:spacing w:after="200" w:line="276" w:lineRule="auto"/>
        <w:contextualSpacing/>
        <w:rPr>
          <w:rStyle w:val="Hyperlink"/>
          <w:color w:val="auto"/>
          <w:sz w:val="24"/>
          <w:szCs w:val="24"/>
          <w:u w:val="none"/>
        </w:rPr>
      </w:pPr>
      <w:proofErr w:type="spellStart"/>
      <w:r w:rsidRPr="00C338EC">
        <w:rPr>
          <w:sz w:val="24"/>
          <w:szCs w:val="24"/>
          <w:shd w:val="clear" w:color="auto" w:fill="FFFFFF"/>
        </w:rPr>
        <w:t>DeSalvo</w:t>
      </w:r>
      <w:proofErr w:type="spellEnd"/>
      <w:r w:rsidRPr="00C338EC">
        <w:rPr>
          <w:sz w:val="24"/>
          <w:szCs w:val="24"/>
          <w:shd w:val="clear" w:color="auto" w:fill="FFFFFF"/>
        </w:rPr>
        <w:t xml:space="preserve"> KB, Wang YC, Harris A, </w:t>
      </w:r>
      <w:proofErr w:type="spellStart"/>
      <w:r w:rsidRPr="00C338EC">
        <w:rPr>
          <w:sz w:val="24"/>
          <w:szCs w:val="24"/>
          <w:shd w:val="clear" w:color="auto" w:fill="FFFFFF"/>
        </w:rPr>
        <w:t>Auerbach</w:t>
      </w:r>
      <w:proofErr w:type="spellEnd"/>
      <w:r w:rsidRPr="00C338EC">
        <w:rPr>
          <w:sz w:val="24"/>
          <w:szCs w:val="24"/>
          <w:shd w:val="clear" w:color="auto" w:fill="FFFFFF"/>
        </w:rPr>
        <w:t xml:space="preserve"> J, </w:t>
      </w:r>
      <w:proofErr w:type="gramStart"/>
      <w:r w:rsidRPr="00C338EC">
        <w:rPr>
          <w:sz w:val="24"/>
          <w:szCs w:val="24"/>
          <w:shd w:val="clear" w:color="auto" w:fill="FFFFFF"/>
        </w:rPr>
        <w:t>Koo</w:t>
      </w:r>
      <w:proofErr w:type="gramEnd"/>
      <w:r w:rsidRPr="00C338EC">
        <w:rPr>
          <w:sz w:val="24"/>
          <w:szCs w:val="24"/>
          <w:shd w:val="clear" w:color="auto" w:fill="FFFFFF"/>
        </w:rPr>
        <w:t xml:space="preserve"> D, O’Carroll P. Public Health 3.0: A Call to Action for Public Health to Meet the Challenges of the 21st Century</w:t>
      </w:r>
      <w:r w:rsidRPr="00434071">
        <w:rPr>
          <w:i/>
          <w:sz w:val="24"/>
          <w:szCs w:val="24"/>
          <w:shd w:val="clear" w:color="auto" w:fill="FFFFFF"/>
        </w:rPr>
        <w:t xml:space="preserve">. </w:t>
      </w:r>
      <w:proofErr w:type="spellStart"/>
      <w:r w:rsidRPr="00434071">
        <w:rPr>
          <w:i/>
          <w:sz w:val="24"/>
          <w:szCs w:val="24"/>
          <w:shd w:val="clear" w:color="auto" w:fill="FFFFFF"/>
        </w:rPr>
        <w:t>Prev</w:t>
      </w:r>
      <w:proofErr w:type="spellEnd"/>
      <w:r w:rsidRPr="00434071">
        <w:rPr>
          <w:i/>
          <w:sz w:val="24"/>
          <w:szCs w:val="24"/>
          <w:shd w:val="clear" w:color="auto" w:fill="FFFFFF"/>
        </w:rPr>
        <w:t xml:space="preserve"> Chronic Dis</w:t>
      </w:r>
      <w:r w:rsidRPr="00C338EC">
        <w:rPr>
          <w:sz w:val="24"/>
          <w:szCs w:val="24"/>
          <w:shd w:val="clear" w:color="auto" w:fill="FFFFFF"/>
        </w:rPr>
        <w:t xml:space="preserve"> 2017</w:t>
      </w:r>
      <w:proofErr w:type="gramStart"/>
      <w:r w:rsidRPr="00C338EC">
        <w:rPr>
          <w:sz w:val="24"/>
          <w:szCs w:val="24"/>
          <w:shd w:val="clear" w:color="auto" w:fill="FFFFFF"/>
        </w:rPr>
        <w:t>;14:170017</w:t>
      </w:r>
      <w:proofErr w:type="gramEnd"/>
      <w:r w:rsidRPr="00C338EC">
        <w:rPr>
          <w:sz w:val="24"/>
          <w:szCs w:val="24"/>
          <w:shd w:val="clear" w:color="auto" w:fill="FFFFFF"/>
        </w:rPr>
        <w:t>. DOI: </w:t>
      </w:r>
      <w:hyperlink r:id="rId13" w:tgtFrame="_self" w:history="1">
        <w:r w:rsidR="00DC06BE">
          <w:rPr>
            <w:rStyle w:val="Hyperlink"/>
            <w:sz w:val="24"/>
            <w:szCs w:val="24"/>
            <w:shd w:val="clear" w:color="auto" w:fill="FFFFFF"/>
          </w:rPr>
          <w:t>Public Health 3.0: A Call to Action for Public Health to Meet the Challenges of the 21st Century</w:t>
        </w:r>
      </w:hyperlink>
    </w:p>
    <w:p w:rsidR="00E94B65" w:rsidRPr="00E94B65" w:rsidRDefault="00E94B65" w:rsidP="00E94B65">
      <w:pPr>
        <w:pStyle w:val="ListParagraph"/>
        <w:numPr>
          <w:ilvl w:val="0"/>
          <w:numId w:val="29"/>
        </w:numPr>
        <w:rPr>
          <w:rStyle w:val="Hyperlink"/>
          <w:rFonts w:asciiTheme="minorHAnsi" w:eastAsia="Times New Roman" w:hAnsiTheme="minorHAnsi"/>
          <w:color w:val="auto"/>
          <w:sz w:val="24"/>
          <w:szCs w:val="24"/>
          <w:u w:val="none"/>
        </w:rPr>
      </w:pPr>
      <w:r w:rsidRPr="00E94B65">
        <w:rPr>
          <w:rFonts w:asciiTheme="minorHAnsi" w:eastAsia="Times New Roman" w:hAnsiTheme="minorHAnsi"/>
          <w:sz w:val="24"/>
          <w:szCs w:val="24"/>
        </w:rPr>
        <w:t>Karen B. </w:t>
      </w:r>
      <w:proofErr w:type="spellStart"/>
      <w:r w:rsidRPr="00E94B65">
        <w:rPr>
          <w:rFonts w:asciiTheme="minorHAnsi" w:eastAsia="Times New Roman" w:hAnsiTheme="minorHAnsi"/>
          <w:sz w:val="24"/>
          <w:szCs w:val="24"/>
        </w:rPr>
        <w:t>DeSalvo</w:t>
      </w:r>
      <w:proofErr w:type="spellEnd"/>
      <w:r w:rsidRPr="00E94B65">
        <w:rPr>
          <w:rFonts w:asciiTheme="minorHAnsi" w:eastAsia="Times New Roman" w:hAnsiTheme="minorHAnsi"/>
          <w:sz w:val="24"/>
          <w:szCs w:val="24"/>
        </w:rPr>
        <w:t xml:space="preserve">, Patrick W. O’Carroll, Denise Koo, John </w:t>
      </w:r>
      <w:proofErr w:type="spellStart"/>
      <w:r w:rsidRPr="00E94B65">
        <w:rPr>
          <w:rFonts w:asciiTheme="minorHAnsi" w:eastAsia="Times New Roman" w:hAnsiTheme="minorHAnsi"/>
          <w:sz w:val="24"/>
          <w:szCs w:val="24"/>
        </w:rPr>
        <w:t>M.Auerbach</w:t>
      </w:r>
      <w:proofErr w:type="spellEnd"/>
      <w:r w:rsidRPr="00E94B65">
        <w:rPr>
          <w:rFonts w:asciiTheme="minorHAnsi" w:eastAsia="Times New Roman" w:hAnsiTheme="minorHAnsi"/>
          <w:sz w:val="24"/>
          <w:szCs w:val="24"/>
        </w:rPr>
        <w:t>, Judith A. Monroe, </w:t>
      </w:r>
      <w:r w:rsidRPr="00E94B65">
        <w:rPr>
          <w:rFonts w:asciiTheme="minorHAnsi" w:eastAsia="Times New Roman" w:hAnsiTheme="minorHAnsi" w:cs="Arial"/>
          <w:sz w:val="24"/>
          <w:szCs w:val="24"/>
        </w:rPr>
        <w:t>“Public Health 3.0: Time for an Upgrade”, </w:t>
      </w:r>
      <w:r w:rsidRPr="00E94B65">
        <w:rPr>
          <w:rFonts w:asciiTheme="minorHAnsi" w:eastAsia="Times New Roman" w:hAnsiTheme="minorHAnsi" w:cs="Arial"/>
          <w:i/>
          <w:iCs/>
          <w:sz w:val="24"/>
          <w:szCs w:val="24"/>
        </w:rPr>
        <w:t>American Journal of Public Health</w:t>
      </w:r>
      <w:r w:rsidRPr="00E94B65">
        <w:rPr>
          <w:rFonts w:asciiTheme="minorHAnsi" w:eastAsia="Times New Roman" w:hAnsiTheme="minorHAnsi" w:cs="Arial"/>
          <w:sz w:val="24"/>
          <w:szCs w:val="24"/>
        </w:rPr>
        <w:t> 106, no. 4 (April 1, 2016): pp. 621-622.</w:t>
      </w:r>
      <w:r>
        <w:rPr>
          <w:rFonts w:asciiTheme="minorHAnsi" w:eastAsia="Times New Roman" w:hAnsiTheme="minorHAnsi" w:cs="Arial"/>
          <w:sz w:val="24"/>
          <w:szCs w:val="24"/>
        </w:rPr>
        <w:t xml:space="preserve"> </w:t>
      </w:r>
      <w:r w:rsidRPr="00E94B65">
        <w:rPr>
          <w:rFonts w:asciiTheme="minorHAnsi" w:eastAsia="Times New Roman" w:hAnsiTheme="minorHAnsi" w:cs="Arial"/>
          <w:sz w:val="24"/>
          <w:szCs w:val="24"/>
        </w:rPr>
        <w:t xml:space="preserve">DOI: </w:t>
      </w:r>
      <w:hyperlink r:id="rId14" w:history="1">
        <w:r w:rsidR="006A07D6">
          <w:rPr>
            <w:rStyle w:val="Hyperlink"/>
            <w:rFonts w:asciiTheme="minorHAnsi" w:eastAsia="Times New Roman" w:hAnsiTheme="minorHAnsi" w:cs="Arial"/>
            <w:sz w:val="24"/>
            <w:szCs w:val="24"/>
          </w:rPr>
          <w:t>Public Health 3.0: Time for an Upgrade</w:t>
        </w:r>
      </w:hyperlink>
    </w:p>
    <w:p w:rsidR="00782F9A" w:rsidRPr="00E075FA" w:rsidRDefault="00434071" w:rsidP="00782F9A">
      <w:pPr>
        <w:pStyle w:val="ListParagraph"/>
        <w:numPr>
          <w:ilvl w:val="0"/>
          <w:numId w:val="29"/>
        </w:numPr>
        <w:spacing w:after="200" w:line="276" w:lineRule="auto"/>
        <w:contextualSpacing/>
        <w:rPr>
          <w:sz w:val="24"/>
          <w:szCs w:val="24"/>
        </w:rPr>
      </w:pPr>
      <w:proofErr w:type="spellStart"/>
      <w:r>
        <w:rPr>
          <w:rStyle w:val="Hyperlink"/>
          <w:color w:val="auto"/>
          <w:sz w:val="24"/>
          <w:szCs w:val="24"/>
          <w:u w:val="none"/>
          <w:shd w:val="clear" w:color="auto" w:fill="FFFFFF"/>
        </w:rPr>
        <w:t>Kittross</w:t>
      </w:r>
      <w:proofErr w:type="spellEnd"/>
      <w:r>
        <w:rPr>
          <w:rStyle w:val="Hyperlink"/>
          <w:color w:val="auto"/>
          <w:sz w:val="24"/>
          <w:szCs w:val="24"/>
          <w:u w:val="none"/>
          <w:shd w:val="clear" w:color="auto" w:fill="FFFFFF"/>
        </w:rPr>
        <w:t>, Laura.</w:t>
      </w:r>
      <w:r w:rsidR="00782F9A" w:rsidRPr="00E075FA">
        <w:rPr>
          <w:rStyle w:val="Hyperlink"/>
          <w:color w:val="auto"/>
          <w:sz w:val="24"/>
          <w:szCs w:val="24"/>
          <w:u w:val="none"/>
          <w:shd w:val="clear" w:color="auto" w:fill="FFFFFF"/>
        </w:rPr>
        <w:t xml:space="preserve"> </w:t>
      </w:r>
      <w:r w:rsidR="00782F9A" w:rsidRPr="00434071">
        <w:rPr>
          <w:rStyle w:val="Hyperlink"/>
          <w:i/>
          <w:color w:val="auto"/>
          <w:sz w:val="24"/>
          <w:szCs w:val="24"/>
          <w:u w:val="none"/>
          <w:shd w:val="clear" w:color="auto" w:fill="FFFFFF"/>
        </w:rPr>
        <w:t>Public</w:t>
      </w:r>
      <w:r w:rsidRPr="00434071">
        <w:rPr>
          <w:rStyle w:val="Hyperlink"/>
          <w:i/>
          <w:color w:val="auto"/>
          <w:sz w:val="24"/>
          <w:szCs w:val="24"/>
          <w:u w:val="none"/>
          <w:shd w:val="clear" w:color="auto" w:fill="FFFFFF"/>
        </w:rPr>
        <w:t xml:space="preserve"> Health History and Challenges</w:t>
      </w:r>
      <w:r>
        <w:rPr>
          <w:rStyle w:val="Hyperlink"/>
          <w:color w:val="auto"/>
          <w:sz w:val="24"/>
          <w:szCs w:val="24"/>
          <w:u w:val="none"/>
          <w:shd w:val="clear" w:color="auto" w:fill="FFFFFF"/>
        </w:rPr>
        <w:t>.</w:t>
      </w:r>
      <w:r w:rsidR="00782F9A">
        <w:rPr>
          <w:rStyle w:val="Hyperlink"/>
          <w:color w:val="auto"/>
          <w:sz w:val="24"/>
          <w:szCs w:val="24"/>
          <w:u w:val="none"/>
          <w:shd w:val="clear" w:color="auto" w:fill="FFFFFF"/>
        </w:rPr>
        <w:t xml:space="preserve"> Presentation at Special Commission on Local and Regional Public Health</w:t>
      </w:r>
      <w:proofErr w:type="gramStart"/>
      <w:r w:rsidR="00782F9A">
        <w:rPr>
          <w:rStyle w:val="Hyperlink"/>
          <w:color w:val="auto"/>
          <w:sz w:val="24"/>
          <w:szCs w:val="24"/>
          <w:u w:val="none"/>
          <w:shd w:val="clear" w:color="auto" w:fill="FFFFFF"/>
        </w:rPr>
        <w:t xml:space="preserve">.  </w:t>
      </w:r>
      <w:proofErr w:type="gramEnd"/>
      <w:r w:rsidR="00782F9A">
        <w:rPr>
          <w:rStyle w:val="Hyperlink"/>
          <w:color w:val="auto"/>
          <w:sz w:val="24"/>
          <w:szCs w:val="24"/>
          <w:u w:val="none"/>
          <w:shd w:val="clear" w:color="auto" w:fill="FFFFFF"/>
        </w:rPr>
        <w:t>January 12, 2018</w:t>
      </w:r>
    </w:p>
    <w:p w:rsidR="00782F9A" w:rsidRDefault="00782F9A" w:rsidP="00782F9A">
      <w:pPr>
        <w:pStyle w:val="ListParagraph"/>
        <w:numPr>
          <w:ilvl w:val="0"/>
          <w:numId w:val="29"/>
        </w:numPr>
        <w:spacing w:after="200" w:line="276" w:lineRule="auto"/>
        <w:contextualSpacing/>
        <w:rPr>
          <w:sz w:val="24"/>
          <w:szCs w:val="24"/>
        </w:rPr>
      </w:pPr>
      <w:r w:rsidRPr="00C338EC">
        <w:rPr>
          <w:sz w:val="24"/>
          <w:szCs w:val="24"/>
        </w:rPr>
        <w:t xml:space="preserve">Institute of Medicine. 2012. </w:t>
      </w:r>
      <w:proofErr w:type="gramStart"/>
      <w:r w:rsidRPr="00434071">
        <w:rPr>
          <w:i/>
          <w:sz w:val="24"/>
          <w:szCs w:val="24"/>
        </w:rPr>
        <w:t>For</w:t>
      </w:r>
      <w:proofErr w:type="gramEnd"/>
      <w:r w:rsidRPr="00434071">
        <w:rPr>
          <w:i/>
          <w:sz w:val="24"/>
          <w:szCs w:val="24"/>
        </w:rPr>
        <w:t xml:space="preserve"> the Public's Health: Investing in a Healthier Future</w:t>
      </w:r>
      <w:r w:rsidRPr="00C338EC">
        <w:rPr>
          <w:sz w:val="24"/>
          <w:szCs w:val="24"/>
        </w:rPr>
        <w:t xml:space="preserve">. Washington, DC: The National Academies Press. </w:t>
      </w:r>
      <w:hyperlink r:id="rId15" w:history="1">
        <w:r w:rsidR="00DC06BE">
          <w:rPr>
            <w:rStyle w:val="Hyperlink"/>
            <w:sz w:val="24"/>
            <w:szCs w:val="24"/>
          </w:rPr>
          <w:t>Public Health History and Challenges</w:t>
        </w:r>
      </w:hyperlink>
      <w:r w:rsidR="00966AED">
        <w:rPr>
          <w:sz w:val="24"/>
          <w:szCs w:val="24"/>
        </w:rPr>
        <w:t>.</w:t>
      </w:r>
    </w:p>
    <w:p w:rsidR="00782F9A" w:rsidRPr="00253E89" w:rsidRDefault="00782F9A" w:rsidP="00782F9A">
      <w:pPr>
        <w:pStyle w:val="ListParagraph"/>
        <w:numPr>
          <w:ilvl w:val="0"/>
          <w:numId w:val="29"/>
        </w:numPr>
        <w:spacing w:after="200" w:line="276" w:lineRule="auto"/>
        <w:contextualSpacing/>
        <w:rPr>
          <w:rStyle w:val="Hyperlink"/>
          <w:color w:val="auto"/>
          <w:sz w:val="24"/>
          <w:szCs w:val="24"/>
          <w:u w:val="none"/>
        </w:rPr>
      </w:pPr>
      <w:r w:rsidRPr="00C338EC">
        <w:rPr>
          <w:sz w:val="24"/>
          <w:szCs w:val="24"/>
        </w:rPr>
        <w:t xml:space="preserve">RESOLVE – </w:t>
      </w:r>
      <w:r w:rsidRPr="00434071">
        <w:rPr>
          <w:i/>
          <w:sz w:val="24"/>
          <w:szCs w:val="24"/>
        </w:rPr>
        <w:t>Public Health Leadership Forum, Defining and Constituting Foundational “</w:t>
      </w:r>
      <w:proofErr w:type="gramStart"/>
      <w:r w:rsidRPr="00434071">
        <w:rPr>
          <w:i/>
          <w:sz w:val="24"/>
          <w:szCs w:val="24"/>
        </w:rPr>
        <w:t>Capabilities”</w:t>
      </w:r>
      <w:proofErr w:type="gramEnd"/>
      <w:r w:rsidRPr="00434071">
        <w:rPr>
          <w:i/>
          <w:sz w:val="24"/>
          <w:szCs w:val="24"/>
        </w:rPr>
        <w:t xml:space="preserve"> and “Areas” Version 1 (V-1)</w:t>
      </w:r>
      <w:r w:rsidR="00434071">
        <w:rPr>
          <w:sz w:val="24"/>
          <w:szCs w:val="24"/>
        </w:rPr>
        <w:t xml:space="preserve">. </w:t>
      </w:r>
      <w:r w:rsidRPr="00C338EC">
        <w:rPr>
          <w:sz w:val="24"/>
          <w:szCs w:val="24"/>
        </w:rPr>
        <w:t>March 2014</w:t>
      </w:r>
      <w:proofErr w:type="gramStart"/>
      <w:r w:rsidRPr="00C338EC">
        <w:rPr>
          <w:sz w:val="24"/>
          <w:szCs w:val="24"/>
        </w:rPr>
        <w:t xml:space="preserve">.  </w:t>
      </w:r>
      <w:proofErr w:type="gramEnd"/>
      <w:r w:rsidR="001F11B2">
        <w:fldChar w:fldCharType="begin"/>
      </w:r>
      <w:r w:rsidR="001F11B2">
        <w:instrText xml:space="preserve"> HYPERLINK "http://www.resolv.org/site-foundational-ph-services/" </w:instrText>
      </w:r>
      <w:r w:rsidR="001F11B2">
        <w:fldChar w:fldCharType="separate"/>
      </w:r>
      <w:r w:rsidR="00DC06BE">
        <w:rPr>
          <w:rStyle w:val="Hyperlink"/>
          <w:sz w:val="24"/>
          <w:szCs w:val="24"/>
        </w:rPr>
        <w:t xml:space="preserve">Public Health Leadership Forum, Defining and Constituting Foundational “Capabilities” and “Areas” Version 1 </w:t>
      </w:r>
      <w:r w:rsidR="001F11B2">
        <w:rPr>
          <w:rStyle w:val="Hyperlink"/>
          <w:sz w:val="24"/>
          <w:szCs w:val="24"/>
        </w:rPr>
        <w:fldChar w:fldCharType="end"/>
      </w:r>
    </w:p>
    <w:p w:rsidR="00782F9A" w:rsidRPr="00C338EC" w:rsidRDefault="00782F9A" w:rsidP="00782F9A">
      <w:pPr>
        <w:pStyle w:val="ListParagraph"/>
        <w:numPr>
          <w:ilvl w:val="0"/>
          <w:numId w:val="29"/>
        </w:numPr>
        <w:spacing w:after="200" w:line="276" w:lineRule="auto"/>
        <w:contextualSpacing/>
        <w:rPr>
          <w:sz w:val="24"/>
          <w:szCs w:val="24"/>
        </w:rPr>
      </w:pPr>
      <w:r>
        <w:rPr>
          <w:sz w:val="24"/>
          <w:szCs w:val="24"/>
        </w:rPr>
        <w:t>Public Heal</w:t>
      </w:r>
      <w:r w:rsidR="00434071">
        <w:rPr>
          <w:sz w:val="24"/>
          <w:szCs w:val="24"/>
        </w:rPr>
        <w:t xml:space="preserve">th Accreditation Board (PHAB). </w:t>
      </w:r>
      <w:r w:rsidRPr="00434071">
        <w:rPr>
          <w:i/>
          <w:sz w:val="24"/>
          <w:szCs w:val="24"/>
        </w:rPr>
        <w:t>Standards and Measures version 1.5</w:t>
      </w:r>
      <w:r w:rsidR="00434071">
        <w:rPr>
          <w:sz w:val="24"/>
          <w:szCs w:val="24"/>
        </w:rPr>
        <w:t>. (2015).</w:t>
      </w:r>
      <w:r>
        <w:rPr>
          <w:sz w:val="24"/>
          <w:szCs w:val="24"/>
        </w:rPr>
        <w:t xml:space="preserve"> </w:t>
      </w:r>
      <w:hyperlink r:id="rId16" w:history="1">
        <w:r w:rsidR="00DC06BE" w:rsidRPr="00DC06BE">
          <w:rPr>
            <w:rStyle w:val="Hyperlink"/>
            <w:sz w:val="24"/>
            <w:szCs w:val="24"/>
          </w:rPr>
          <w:t>Public Health Accreditation Board (PHAB). Standards and Measures version 1.5</w:t>
        </w:r>
      </w:hyperlink>
      <w:r>
        <w:rPr>
          <w:sz w:val="24"/>
          <w:szCs w:val="24"/>
        </w:rPr>
        <w:t>.</w:t>
      </w:r>
    </w:p>
    <w:p w:rsidR="00782F9A" w:rsidRPr="00253E89" w:rsidRDefault="00782F9A" w:rsidP="00782F9A">
      <w:pPr>
        <w:pStyle w:val="ListParagraph"/>
        <w:numPr>
          <w:ilvl w:val="0"/>
          <w:numId w:val="29"/>
        </w:numPr>
        <w:spacing w:after="200" w:line="276" w:lineRule="auto"/>
        <w:contextualSpacing/>
        <w:rPr>
          <w:rStyle w:val="Hyperlink"/>
          <w:color w:val="auto"/>
          <w:sz w:val="24"/>
          <w:szCs w:val="24"/>
          <w:u w:val="none"/>
        </w:rPr>
      </w:pPr>
      <w:r w:rsidRPr="00C338EC">
        <w:rPr>
          <w:sz w:val="24"/>
          <w:szCs w:val="24"/>
        </w:rPr>
        <w:t xml:space="preserve">Association of State and Territorial Health Officials. </w:t>
      </w:r>
      <w:r w:rsidRPr="00434071">
        <w:rPr>
          <w:i/>
          <w:sz w:val="24"/>
          <w:szCs w:val="24"/>
        </w:rPr>
        <w:t>State and Local Health Department Governance Classification System.</w:t>
      </w:r>
      <w:r w:rsidRPr="00C338EC">
        <w:rPr>
          <w:sz w:val="24"/>
          <w:szCs w:val="24"/>
        </w:rPr>
        <w:t xml:space="preserve"> June 2012</w:t>
      </w:r>
      <w:proofErr w:type="gramStart"/>
      <w:r w:rsidRPr="00C338EC">
        <w:rPr>
          <w:sz w:val="24"/>
          <w:szCs w:val="24"/>
        </w:rPr>
        <w:t xml:space="preserve">.  </w:t>
      </w:r>
      <w:proofErr w:type="gramEnd"/>
      <w:r w:rsidR="001F11B2">
        <w:fldChar w:fldCharType="begin"/>
      </w:r>
      <w:r w:rsidR="001F11B2">
        <w:instrText xml:space="preserve"> HYPERLINK "http://www.astho.org/Research/Data-and-Analysis/State-and-Local-Governance-Classification-Tree/" </w:instrText>
      </w:r>
      <w:r w:rsidR="001F11B2">
        <w:fldChar w:fldCharType="separate"/>
      </w:r>
      <w:r w:rsidR="00DC06BE">
        <w:rPr>
          <w:rStyle w:val="Hyperlink"/>
          <w:sz w:val="24"/>
          <w:szCs w:val="24"/>
        </w:rPr>
        <w:t>Association of State and Territorial Health Officials. State and Local Health Department Governance Classification System</w:t>
      </w:r>
      <w:r w:rsidR="001F11B2">
        <w:rPr>
          <w:rStyle w:val="Hyperlink"/>
          <w:sz w:val="24"/>
          <w:szCs w:val="24"/>
        </w:rPr>
        <w:fldChar w:fldCharType="end"/>
      </w:r>
    </w:p>
    <w:p w:rsidR="00782F9A" w:rsidRDefault="00782F9A" w:rsidP="00782F9A">
      <w:pPr>
        <w:pStyle w:val="ListParagraph"/>
        <w:numPr>
          <w:ilvl w:val="0"/>
          <w:numId w:val="29"/>
        </w:numPr>
        <w:spacing w:after="200" w:line="276" w:lineRule="auto"/>
        <w:contextualSpacing/>
        <w:rPr>
          <w:sz w:val="24"/>
          <w:szCs w:val="24"/>
        </w:rPr>
      </w:pPr>
      <w:r w:rsidRPr="00C338EC">
        <w:rPr>
          <w:sz w:val="24"/>
          <w:szCs w:val="24"/>
        </w:rPr>
        <w:t>Massachusetts Association of Health Boards</w:t>
      </w:r>
      <w:r>
        <w:rPr>
          <w:sz w:val="24"/>
          <w:szCs w:val="24"/>
        </w:rPr>
        <w:t xml:space="preserve">. </w:t>
      </w:r>
      <w:r w:rsidRPr="00434071">
        <w:rPr>
          <w:i/>
          <w:sz w:val="24"/>
          <w:szCs w:val="24"/>
        </w:rPr>
        <w:t>Manual of Laws and Regulations Relating to Boards of Health</w:t>
      </w:r>
      <w:r w:rsidRPr="00C338EC">
        <w:rPr>
          <w:sz w:val="24"/>
          <w:szCs w:val="24"/>
        </w:rPr>
        <w:t xml:space="preserve">. 2016.  </w:t>
      </w:r>
      <w:hyperlink r:id="rId17" w:history="1">
        <w:r w:rsidR="00DC06BE">
          <w:rPr>
            <w:rStyle w:val="Hyperlink"/>
            <w:sz w:val="24"/>
            <w:szCs w:val="24"/>
          </w:rPr>
          <w:t>Manual of Laws and Regulations</w:t>
        </w:r>
      </w:hyperlink>
    </w:p>
    <w:p w:rsidR="00782F9A" w:rsidRPr="00C338EC" w:rsidRDefault="00D61AE3" w:rsidP="00782F9A">
      <w:pPr>
        <w:pStyle w:val="ListParagraph"/>
        <w:numPr>
          <w:ilvl w:val="0"/>
          <w:numId w:val="29"/>
        </w:numPr>
        <w:spacing w:after="200" w:line="276" w:lineRule="auto"/>
        <w:contextualSpacing/>
        <w:rPr>
          <w:sz w:val="24"/>
          <w:szCs w:val="24"/>
        </w:rPr>
      </w:pPr>
      <w:r>
        <w:rPr>
          <w:sz w:val="24"/>
          <w:szCs w:val="24"/>
        </w:rPr>
        <w:t xml:space="preserve">Massachusetts Public Health </w:t>
      </w:r>
      <w:r w:rsidR="00782F9A">
        <w:rPr>
          <w:sz w:val="24"/>
          <w:szCs w:val="24"/>
        </w:rPr>
        <w:t>Re</w:t>
      </w:r>
      <w:r w:rsidR="00434071">
        <w:rPr>
          <w:sz w:val="24"/>
          <w:szCs w:val="24"/>
        </w:rPr>
        <w:t xml:space="preserve">gionalization Working Group. </w:t>
      </w:r>
      <w:r w:rsidRPr="00434071">
        <w:rPr>
          <w:i/>
          <w:sz w:val="24"/>
          <w:szCs w:val="24"/>
        </w:rPr>
        <w:t>Massachusetts</w:t>
      </w:r>
      <w:r w:rsidR="00782F9A" w:rsidRPr="00434071">
        <w:rPr>
          <w:i/>
          <w:sz w:val="24"/>
          <w:szCs w:val="24"/>
        </w:rPr>
        <w:t xml:space="preserve"> Public Health Regionalization Project Principles and Critical Elements.</w:t>
      </w:r>
      <w:r w:rsidR="00434071">
        <w:rPr>
          <w:sz w:val="24"/>
          <w:szCs w:val="24"/>
        </w:rPr>
        <w:t xml:space="preserve"> </w:t>
      </w:r>
      <w:r w:rsidR="00782F9A">
        <w:rPr>
          <w:sz w:val="24"/>
          <w:szCs w:val="24"/>
        </w:rPr>
        <w:t xml:space="preserve">Retrieved 4/20/18 from </w:t>
      </w:r>
      <w:hyperlink r:id="rId18" w:history="1">
        <w:r w:rsidR="00DC06BE">
          <w:rPr>
            <w:rStyle w:val="Hyperlink"/>
            <w:sz w:val="24"/>
            <w:szCs w:val="24"/>
          </w:rPr>
          <w:t>Massachusetts Public Health Regionalization Project Principles and Critical Elements</w:t>
        </w:r>
      </w:hyperlink>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t xml:space="preserve">Institute of Medicine. 1988. </w:t>
      </w:r>
      <w:r w:rsidRPr="00434071">
        <w:rPr>
          <w:i/>
          <w:sz w:val="24"/>
          <w:szCs w:val="24"/>
        </w:rPr>
        <w:t>The Future of Public Health</w:t>
      </w:r>
      <w:r w:rsidRPr="00C338EC">
        <w:rPr>
          <w:sz w:val="24"/>
          <w:szCs w:val="24"/>
        </w:rPr>
        <w:t xml:space="preserve">. Washington, DC: The National Academies Press. </w:t>
      </w:r>
      <w:hyperlink r:id="rId19" w:history="1">
        <w:r w:rsidR="00DC06BE">
          <w:rPr>
            <w:rStyle w:val="Hyperlink"/>
            <w:sz w:val="24"/>
            <w:szCs w:val="24"/>
          </w:rPr>
          <w:t>The Future of Public Health</w:t>
        </w:r>
      </w:hyperlink>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t xml:space="preserve">Centers for Disease Control and Prevention, Core Public Health Functions Steering Committee. </w:t>
      </w:r>
      <w:r w:rsidRPr="00434071">
        <w:rPr>
          <w:i/>
          <w:sz w:val="24"/>
          <w:szCs w:val="24"/>
        </w:rPr>
        <w:t>Ten Ess</w:t>
      </w:r>
      <w:r w:rsidR="00D61AE3" w:rsidRPr="00434071">
        <w:rPr>
          <w:i/>
          <w:sz w:val="24"/>
          <w:szCs w:val="24"/>
        </w:rPr>
        <w:t>ential Public Health Services</w:t>
      </w:r>
      <w:r w:rsidR="00D61AE3">
        <w:rPr>
          <w:sz w:val="24"/>
          <w:szCs w:val="24"/>
        </w:rPr>
        <w:t xml:space="preserve">. </w:t>
      </w:r>
      <w:r w:rsidRPr="00C338EC">
        <w:rPr>
          <w:sz w:val="24"/>
          <w:szCs w:val="24"/>
        </w:rPr>
        <w:t xml:space="preserve">1994.  </w:t>
      </w:r>
      <w:hyperlink r:id="rId20" w:history="1">
        <w:r w:rsidR="00DC06BE" w:rsidRPr="00DC06BE">
          <w:rPr>
            <w:rStyle w:val="Hyperlink"/>
            <w:sz w:val="24"/>
            <w:szCs w:val="24"/>
          </w:rPr>
          <w:t>Ten Essential Public Health Services</w:t>
        </w:r>
      </w:hyperlink>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t xml:space="preserve">National Association of City and County Health Officials (NACCHO). </w:t>
      </w:r>
      <w:r w:rsidRPr="00434071">
        <w:rPr>
          <w:i/>
          <w:sz w:val="24"/>
          <w:szCs w:val="24"/>
        </w:rPr>
        <w:t>Operational Definition of a Funct</w:t>
      </w:r>
      <w:r w:rsidR="00D61AE3" w:rsidRPr="00434071">
        <w:rPr>
          <w:i/>
          <w:sz w:val="24"/>
          <w:szCs w:val="24"/>
        </w:rPr>
        <w:t>ional Local Health Department</w:t>
      </w:r>
      <w:r w:rsidR="00D61AE3">
        <w:rPr>
          <w:sz w:val="24"/>
          <w:szCs w:val="24"/>
        </w:rPr>
        <w:t xml:space="preserve">. </w:t>
      </w:r>
      <w:r w:rsidRPr="00C338EC">
        <w:rPr>
          <w:sz w:val="24"/>
          <w:szCs w:val="24"/>
        </w:rPr>
        <w:t xml:space="preserve">2005.  </w:t>
      </w:r>
      <w:hyperlink r:id="rId21" w:history="1">
        <w:r w:rsidR="00DC06BE">
          <w:rPr>
            <w:rStyle w:val="Hyperlink"/>
            <w:sz w:val="24"/>
            <w:szCs w:val="24"/>
          </w:rPr>
          <w:t>Operational Definition of a Functional Local Health Department</w:t>
        </w:r>
      </w:hyperlink>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t>Publ</w:t>
      </w:r>
      <w:r w:rsidR="00434071">
        <w:rPr>
          <w:sz w:val="24"/>
          <w:szCs w:val="24"/>
        </w:rPr>
        <w:t xml:space="preserve">ic Health Accreditation Board. </w:t>
      </w:r>
      <w:r w:rsidRPr="00434071">
        <w:rPr>
          <w:i/>
          <w:sz w:val="24"/>
          <w:szCs w:val="24"/>
        </w:rPr>
        <w:t>Standards and Measures version 1.5</w:t>
      </w:r>
      <w:r w:rsidR="00434071">
        <w:rPr>
          <w:sz w:val="24"/>
          <w:szCs w:val="24"/>
        </w:rPr>
        <w:t xml:space="preserve">. </w:t>
      </w:r>
      <w:r w:rsidRPr="00C338EC">
        <w:rPr>
          <w:sz w:val="24"/>
          <w:szCs w:val="24"/>
        </w:rPr>
        <w:t xml:space="preserve">2013.  </w:t>
      </w:r>
      <w:hyperlink r:id="rId22" w:history="1">
        <w:r w:rsidR="00DC06BE">
          <w:rPr>
            <w:rStyle w:val="Hyperlink"/>
            <w:sz w:val="24"/>
            <w:szCs w:val="24"/>
          </w:rPr>
          <w:t>Standards and Measures version 1.5</w:t>
        </w:r>
      </w:hyperlink>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lastRenderedPageBreak/>
        <w:t xml:space="preserve">RESOLVE – Public Health Leadership Forum, </w:t>
      </w:r>
      <w:r w:rsidRPr="00434071">
        <w:rPr>
          <w:i/>
          <w:sz w:val="24"/>
          <w:szCs w:val="24"/>
        </w:rPr>
        <w:t>Defining and Constituting Foundational “</w:t>
      </w:r>
      <w:proofErr w:type="gramStart"/>
      <w:r w:rsidRPr="00434071">
        <w:rPr>
          <w:i/>
          <w:sz w:val="24"/>
          <w:szCs w:val="24"/>
        </w:rPr>
        <w:t>Capabilities”</w:t>
      </w:r>
      <w:proofErr w:type="gramEnd"/>
      <w:r w:rsidRPr="00434071">
        <w:rPr>
          <w:i/>
          <w:sz w:val="24"/>
          <w:szCs w:val="24"/>
        </w:rPr>
        <w:t xml:space="preserve"> and “Areas” Version 1 (V-1)</w:t>
      </w:r>
      <w:r w:rsidR="00434071">
        <w:rPr>
          <w:sz w:val="24"/>
          <w:szCs w:val="24"/>
        </w:rPr>
        <w:t xml:space="preserve">. </w:t>
      </w:r>
      <w:r w:rsidRPr="00C338EC">
        <w:rPr>
          <w:sz w:val="24"/>
          <w:szCs w:val="24"/>
        </w:rPr>
        <w:t>March 2014</w:t>
      </w:r>
      <w:proofErr w:type="gramStart"/>
      <w:r w:rsidRPr="00C338EC">
        <w:rPr>
          <w:sz w:val="24"/>
          <w:szCs w:val="24"/>
        </w:rPr>
        <w:t xml:space="preserve">.  </w:t>
      </w:r>
      <w:proofErr w:type="gramEnd"/>
      <w:r w:rsidR="001F11B2">
        <w:fldChar w:fldCharType="begin"/>
      </w:r>
      <w:r w:rsidR="001F11B2">
        <w:instrText xml:space="preserve"> HYPERLINK "http://www.resolv.o</w:instrText>
      </w:r>
      <w:r w:rsidR="001F11B2">
        <w:instrText xml:space="preserve">rg/site-foundational-ph-services/" </w:instrText>
      </w:r>
      <w:r w:rsidR="001F11B2">
        <w:fldChar w:fldCharType="separate"/>
      </w:r>
      <w:r w:rsidR="00DC06BE">
        <w:rPr>
          <w:rStyle w:val="Hyperlink"/>
          <w:sz w:val="24"/>
          <w:szCs w:val="24"/>
        </w:rPr>
        <w:t>Defining and Constituting Foundational "Capabilities" and "Areas" Version 1</w:t>
      </w:r>
      <w:r w:rsidR="001F11B2">
        <w:rPr>
          <w:rStyle w:val="Hyperlink"/>
          <w:sz w:val="24"/>
          <w:szCs w:val="24"/>
        </w:rPr>
        <w:fldChar w:fldCharType="end"/>
      </w:r>
      <w:r w:rsidR="00D61AE3">
        <w:rPr>
          <w:sz w:val="24"/>
          <w:szCs w:val="24"/>
        </w:rPr>
        <w:t xml:space="preserve"> </w:t>
      </w:r>
    </w:p>
    <w:p w:rsidR="00782F9A" w:rsidRPr="00C338EC" w:rsidRDefault="00782F9A" w:rsidP="00782F9A">
      <w:pPr>
        <w:pStyle w:val="ListParagraph"/>
        <w:numPr>
          <w:ilvl w:val="0"/>
          <w:numId w:val="29"/>
        </w:numPr>
        <w:spacing w:after="200" w:line="276" w:lineRule="auto"/>
        <w:contextualSpacing/>
        <w:rPr>
          <w:sz w:val="24"/>
          <w:szCs w:val="24"/>
        </w:rPr>
      </w:pPr>
      <w:r w:rsidRPr="00C338EC">
        <w:rPr>
          <w:sz w:val="24"/>
          <w:szCs w:val="24"/>
        </w:rPr>
        <w:t xml:space="preserve">Coalition for Local Public </w:t>
      </w:r>
      <w:r w:rsidR="00D61AE3">
        <w:rPr>
          <w:sz w:val="24"/>
          <w:szCs w:val="24"/>
        </w:rPr>
        <w:t xml:space="preserve">Health (CLPH). </w:t>
      </w:r>
      <w:r w:rsidRPr="00434071">
        <w:rPr>
          <w:i/>
          <w:sz w:val="24"/>
          <w:szCs w:val="24"/>
        </w:rPr>
        <w:t>A Case for Improving Massachusetts Local</w:t>
      </w:r>
      <w:r w:rsidR="00D61AE3" w:rsidRPr="00434071">
        <w:rPr>
          <w:i/>
          <w:sz w:val="24"/>
          <w:szCs w:val="24"/>
        </w:rPr>
        <w:t xml:space="preserve"> Public Health Infrastructure.</w:t>
      </w:r>
      <w:r w:rsidR="00D61AE3">
        <w:rPr>
          <w:sz w:val="24"/>
          <w:szCs w:val="24"/>
        </w:rPr>
        <w:t xml:space="preserve"> </w:t>
      </w:r>
      <w:r w:rsidRPr="00C338EC">
        <w:rPr>
          <w:sz w:val="24"/>
          <w:szCs w:val="24"/>
        </w:rPr>
        <w:t xml:space="preserve">2003.  </w:t>
      </w:r>
      <w:hyperlink r:id="rId23" w:history="1">
        <w:r w:rsidR="00DC06BE">
          <w:rPr>
            <w:rStyle w:val="Hyperlink"/>
            <w:sz w:val="24"/>
            <w:szCs w:val="24"/>
          </w:rPr>
          <w:t>A Case for Improving Massachusetts Local Public Health Infrastructure</w:t>
        </w:r>
      </w:hyperlink>
    </w:p>
    <w:p w:rsidR="00782F9A" w:rsidRPr="001C6657" w:rsidRDefault="00782F9A" w:rsidP="00782F9A">
      <w:pPr>
        <w:pStyle w:val="ListParagraph"/>
        <w:numPr>
          <w:ilvl w:val="0"/>
          <w:numId w:val="29"/>
        </w:numPr>
        <w:spacing w:after="200" w:line="276" w:lineRule="auto"/>
        <w:contextualSpacing/>
        <w:rPr>
          <w:rStyle w:val="Hyperlink"/>
          <w:color w:val="auto"/>
          <w:sz w:val="24"/>
          <w:szCs w:val="24"/>
          <w:u w:val="none"/>
        </w:rPr>
      </w:pPr>
      <w:r w:rsidRPr="00C338EC">
        <w:rPr>
          <w:sz w:val="24"/>
          <w:szCs w:val="24"/>
        </w:rPr>
        <w:t xml:space="preserve">Hyde, </w:t>
      </w:r>
      <w:proofErr w:type="spellStart"/>
      <w:r w:rsidRPr="00C338EC">
        <w:rPr>
          <w:sz w:val="24"/>
          <w:szCs w:val="24"/>
        </w:rPr>
        <w:t>Justeen</w:t>
      </w:r>
      <w:proofErr w:type="spellEnd"/>
      <w:r w:rsidRPr="00C338EC">
        <w:rPr>
          <w:sz w:val="24"/>
          <w:szCs w:val="24"/>
        </w:rPr>
        <w:t xml:space="preserve"> &amp; Tovar, Alison. </w:t>
      </w:r>
      <w:r w:rsidRPr="00434071">
        <w:rPr>
          <w:i/>
          <w:sz w:val="24"/>
          <w:szCs w:val="24"/>
        </w:rPr>
        <w:t xml:space="preserve">Strengthening Local Public Health in Massachusetts, </w:t>
      </w:r>
      <w:proofErr w:type="gramStart"/>
      <w:r w:rsidRPr="00434071">
        <w:rPr>
          <w:i/>
          <w:sz w:val="24"/>
          <w:szCs w:val="24"/>
        </w:rPr>
        <w:t>A</w:t>
      </w:r>
      <w:proofErr w:type="gramEnd"/>
      <w:r w:rsidRPr="00434071">
        <w:rPr>
          <w:i/>
          <w:sz w:val="24"/>
          <w:szCs w:val="24"/>
        </w:rPr>
        <w:t xml:space="preserve"> Call To Action.</w:t>
      </w:r>
      <w:r w:rsidR="00434071">
        <w:rPr>
          <w:sz w:val="24"/>
          <w:szCs w:val="24"/>
        </w:rPr>
        <w:t xml:space="preserve"> </w:t>
      </w:r>
      <w:r w:rsidRPr="00C338EC">
        <w:rPr>
          <w:sz w:val="24"/>
          <w:szCs w:val="24"/>
        </w:rPr>
        <w:t xml:space="preserve">Institute for Community Health. 2006.  </w:t>
      </w:r>
      <w:hyperlink r:id="rId24" w:history="1">
        <w:r w:rsidR="00DC06BE">
          <w:rPr>
            <w:rStyle w:val="Hyperlink"/>
            <w:sz w:val="24"/>
            <w:szCs w:val="24"/>
          </w:rPr>
          <w:t>Strengthening-Local-Public-Health-in-Massachusetts</w:t>
        </w:r>
      </w:hyperlink>
    </w:p>
    <w:p w:rsidR="00782F9A" w:rsidRDefault="00782F9A" w:rsidP="00782F9A">
      <w:pPr>
        <w:pStyle w:val="ListParagraph"/>
        <w:numPr>
          <w:ilvl w:val="0"/>
          <w:numId w:val="29"/>
        </w:numPr>
        <w:spacing w:after="200" w:line="276" w:lineRule="auto"/>
        <w:contextualSpacing/>
        <w:rPr>
          <w:rStyle w:val="Hyperlink"/>
          <w:color w:val="auto"/>
          <w:sz w:val="24"/>
          <w:szCs w:val="24"/>
          <w:u w:val="none"/>
        </w:rPr>
      </w:pPr>
      <w:r>
        <w:rPr>
          <w:rStyle w:val="Hyperlink"/>
          <w:color w:val="auto"/>
          <w:sz w:val="24"/>
          <w:szCs w:val="24"/>
          <w:u w:val="none"/>
        </w:rPr>
        <w:t>Center for Sharing Public Health Services</w:t>
      </w:r>
      <w:proofErr w:type="gramStart"/>
      <w:r>
        <w:rPr>
          <w:rStyle w:val="Hyperlink"/>
          <w:color w:val="auto"/>
          <w:sz w:val="24"/>
          <w:szCs w:val="24"/>
          <w:u w:val="none"/>
        </w:rPr>
        <w:t xml:space="preserve">.  </w:t>
      </w:r>
      <w:proofErr w:type="gramEnd"/>
      <w:r>
        <w:rPr>
          <w:rStyle w:val="Hyperlink"/>
          <w:color w:val="auto"/>
          <w:sz w:val="24"/>
          <w:szCs w:val="24"/>
          <w:u w:val="none"/>
        </w:rPr>
        <w:t xml:space="preserve">Retrieved 04/20/18  from </w:t>
      </w:r>
      <w:hyperlink r:id="rId25" w:history="1">
        <w:r w:rsidR="00DC06BE">
          <w:rPr>
            <w:rStyle w:val="Hyperlink"/>
            <w:sz w:val="24"/>
            <w:szCs w:val="24"/>
          </w:rPr>
          <w:t>Center for Sharing Public Health Services</w:t>
        </w:r>
      </w:hyperlink>
    </w:p>
    <w:p w:rsidR="00782F9A" w:rsidRPr="00C338EC" w:rsidRDefault="00782F9A" w:rsidP="00782F9A">
      <w:pPr>
        <w:pStyle w:val="ListParagraph"/>
        <w:numPr>
          <w:ilvl w:val="0"/>
          <w:numId w:val="29"/>
        </w:numPr>
        <w:spacing w:after="200" w:line="276" w:lineRule="auto"/>
        <w:contextualSpacing/>
        <w:rPr>
          <w:sz w:val="24"/>
          <w:szCs w:val="24"/>
        </w:rPr>
      </w:pPr>
      <w:r>
        <w:rPr>
          <w:rStyle w:val="Hyperlink"/>
          <w:color w:val="auto"/>
          <w:sz w:val="24"/>
          <w:szCs w:val="24"/>
          <w:u w:val="none"/>
        </w:rPr>
        <w:t xml:space="preserve">Massachusetts Regionalization Advisory Commission. Report of the Regionalization Advisory Commission. 2010.  </w:t>
      </w:r>
      <w:hyperlink r:id="rId26" w:history="1">
        <w:r w:rsidR="00DC06BE">
          <w:rPr>
            <w:rStyle w:val="Hyperlink"/>
            <w:sz w:val="24"/>
            <w:szCs w:val="24"/>
          </w:rPr>
          <w:t>Report of the Regionalization Advisory Commission</w:t>
        </w:r>
      </w:hyperlink>
    </w:p>
    <w:p w:rsidR="00FE5B23" w:rsidRPr="00FE5B23" w:rsidRDefault="00FE5B23" w:rsidP="00FE5B23"/>
    <w:p w:rsidR="00170E99" w:rsidRDefault="00170E99" w:rsidP="00170E99">
      <w:pPr>
        <w:spacing w:line="276" w:lineRule="auto"/>
        <w:rPr>
          <w:rFonts w:asciiTheme="minorHAnsi" w:hAnsiTheme="minorHAnsi" w:cs="Calibri"/>
          <w:b/>
          <w:spacing w:val="5"/>
          <w:kern w:val="28"/>
          <w:sz w:val="24"/>
          <w:szCs w:val="24"/>
        </w:rPr>
      </w:pPr>
    </w:p>
    <w:p w:rsidR="00EE285C" w:rsidRDefault="00EE285C" w:rsidP="002020C1">
      <w:pPr>
        <w:spacing w:line="276" w:lineRule="auto"/>
        <w:rPr>
          <w:rFonts w:asciiTheme="minorHAnsi" w:hAnsiTheme="minorHAnsi" w:cs="Calibri"/>
          <w:b/>
          <w:spacing w:val="5"/>
          <w:kern w:val="28"/>
          <w:szCs w:val="24"/>
        </w:rPr>
      </w:pPr>
    </w:p>
    <w:p w:rsidR="00EE285C" w:rsidRPr="00EE285C" w:rsidRDefault="00EE285C" w:rsidP="002020C1">
      <w:pPr>
        <w:spacing w:line="276" w:lineRule="auto"/>
        <w:rPr>
          <w:rFonts w:asciiTheme="minorHAnsi" w:hAnsiTheme="minorHAnsi" w:cs="Calibri"/>
          <w:b/>
          <w:spacing w:val="5"/>
          <w:kern w:val="28"/>
          <w:szCs w:val="24"/>
        </w:rPr>
      </w:pPr>
    </w:p>
    <w:p w:rsidR="002020C1" w:rsidRDefault="002020C1" w:rsidP="002020C1">
      <w:pPr>
        <w:spacing w:line="276" w:lineRule="auto"/>
        <w:rPr>
          <w:rFonts w:asciiTheme="minorHAnsi" w:eastAsia="Times New Roman" w:hAnsiTheme="minorHAnsi" w:cs="Calibri"/>
          <w:spacing w:val="5"/>
          <w:kern w:val="28"/>
          <w:sz w:val="24"/>
          <w:szCs w:val="24"/>
        </w:rPr>
      </w:pPr>
    </w:p>
    <w:p w:rsidR="005230C3" w:rsidRDefault="005230C3">
      <w:pPr>
        <w:spacing w:after="200" w:line="276" w:lineRule="auto"/>
        <w:rPr>
          <w:rFonts w:asciiTheme="minorHAnsi" w:hAnsiTheme="minorHAnsi" w:cs="Calibri"/>
          <w:b/>
          <w:spacing w:val="5"/>
          <w:kern w:val="28"/>
          <w:szCs w:val="24"/>
          <w:u w:val="single"/>
        </w:rPr>
      </w:pPr>
      <w:r>
        <w:rPr>
          <w:rFonts w:asciiTheme="minorHAnsi" w:hAnsiTheme="minorHAnsi" w:cs="Calibri"/>
          <w:b/>
          <w:spacing w:val="5"/>
          <w:kern w:val="28"/>
          <w:szCs w:val="24"/>
          <w:u w:val="single"/>
        </w:rPr>
        <w:br w:type="page"/>
      </w:r>
    </w:p>
    <w:p w:rsidR="007E01B3" w:rsidRDefault="007E01B3" w:rsidP="007E01B3">
      <w:pPr>
        <w:spacing w:after="200" w:line="276" w:lineRule="auto"/>
        <w:jc w:val="center"/>
        <w:rPr>
          <w:rFonts w:asciiTheme="minorHAnsi" w:hAnsiTheme="minorHAnsi"/>
          <w:b/>
          <w:sz w:val="28"/>
          <w:szCs w:val="24"/>
        </w:rPr>
      </w:pPr>
      <w:bookmarkStart w:id="9" w:name="_Toc514334038"/>
    </w:p>
    <w:p w:rsidR="007E01B3" w:rsidRDefault="007E01B3" w:rsidP="007E01B3">
      <w:pPr>
        <w:spacing w:after="200" w:line="276" w:lineRule="auto"/>
        <w:jc w:val="center"/>
        <w:rPr>
          <w:rFonts w:asciiTheme="minorHAnsi" w:hAnsiTheme="minorHAnsi"/>
          <w:b/>
          <w:sz w:val="28"/>
          <w:szCs w:val="24"/>
        </w:rPr>
      </w:pPr>
    </w:p>
    <w:p w:rsidR="007E01B3" w:rsidRDefault="007E01B3" w:rsidP="007E01B3">
      <w:pPr>
        <w:spacing w:after="200" w:line="276" w:lineRule="auto"/>
        <w:jc w:val="center"/>
        <w:rPr>
          <w:rFonts w:asciiTheme="minorHAnsi" w:hAnsiTheme="minorHAnsi"/>
          <w:b/>
          <w:sz w:val="28"/>
          <w:szCs w:val="24"/>
        </w:rPr>
      </w:pPr>
    </w:p>
    <w:p w:rsidR="007E01B3" w:rsidRDefault="007E01B3" w:rsidP="007E01B3">
      <w:pPr>
        <w:spacing w:after="200" w:line="276" w:lineRule="auto"/>
        <w:jc w:val="center"/>
        <w:rPr>
          <w:rFonts w:asciiTheme="minorHAnsi" w:hAnsiTheme="minorHAnsi"/>
          <w:b/>
          <w:sz w:val="28"/>
          <w:szCs w:val="24"/>
        </w:rPr>
      </w:pPr>
    </w:p>
    <w:p w:rsidR="007E01B3" w:rsidRPr="00F57938" w:rsidRDefault="007E01B3" w:rsidP="007E01B3">
      <w:pPr>
        <w:spacing w:after="200" w:line="276" w:lineRule="auto"/>
        <w:jc w:val="center"/>
        <w:rPr>
          <w:rFonts w:asciiTheme="minorHAnsi" w:hAnsiTheme="minorHAnsi"/>
          <w:b/>
          <w:sz w:val="28"/>
          <w:szCs w:val="24"/>
        </w:rPr>
      </w:pPr>
      <w:r w:rsidRPr="00F57938">
        <w:rPr>
          <w:rFonts w:asciiTheme="minorHAnsi" w:hAnsiTheme="minorHAnsi"/>
          <w:b/>
          <w:sz w:val="28"/>
          <w:szCs w:val="24"/>
        </w:rPr>
        <w:t>Page intentionally left blank</w:t>
      </w:r>
    </w:p>
    <w:p w:rsidR="007E01B3" w:rsidRDefault="007E01B3">
      <w:pPr>
        <w:spacing w:after="200" w:line="276" w:lineRule="auto"/>
        <w:rPr>
          <w:rFonts w:asciiTheme="majorHAnsi" w:eastAsiaTheme="majorEastAsia" w:hAnsiTheme="majorHAnsi" w:cstheme="majorBidi"/>
          <w:b/>
          <w:bCs/>
          <w:color w:val="365F91" w:themeColor="accent1" w:themeShade="BF"/>
          <w:sz w:val="28"/>
          <w:szCs w:val="28"/>
        </w:rPr>
      </w:pPr>
      <w:r>
        <w:br w:type="page"/>
      </w:r>
    </w:p>
    <w:p w:rsidR="002020C1" w:rsidRDefault="002020C1" w:rsidP="00950E4B">
      <w:pPr>
        <w:pStyle w:val="Heading1"/>
      </w:pPr>
      <w:r w:rsidRPr="009C5900">
        <w:lastRenderedPageBreak/>
        <w:t>Appendices</w:t>
      </w:r>
      <w:bookmarkEnd w:id="9"/>
    </w:p>
    <w:p w:rsidR="007E01B3" w:rsidRDefault="007E01B3" w:rsidP="007E01B3"/>
    <w:p w:rsidR="007E01B3" w:rsidRPr="007E01B3" w:rsidRDefault="007E01B3" w:rsidP="007E01B3"/>
    <w:p w:rsidR="002020C1" w:rsidRDefault="002020C1" w:rsidP="002020C1">
      <w:pPr>
        <w:spacing w:line="276" w:lineRule="auto"/>
        <w:rPr>
          <w:rFonts w:asciiTheme="minorHAnsi" w:hAnsiTheme="minorHAnsi" w:cs="Calibri"/>
          <w:spacing w:val="5"/>
          <w:kern w:val="28"/>
          <w:szCs w:val="24"/>
        </w:rPr>
      </w:pPr>
    </w:p>
    <w:p w:rsidR="002020C1" w:rsidRPr="00DB1779" w:rsidRDefault="002020C1" w:rsidP="000A0AB7">
      <w:pPr>
        <w:pStyle w:val="ListParagraph"/>
        <w:numPr>
          <w:ilvl w:val="0"/>
          <w:numId w:val="26"/>
        </w:numPr>
        <w:spacing w:line="480" w:lineRule="auto"/>
        <w:rPr>
          <w:rFonts w:asciiTheme="minorHAnsi" w:eastAsia="Times New Roman" w:hAnsiTheme="minorHAnsi" w:cs="Calibri"/>
          <w:spacing w:val="5"/>
          <w:kern w:val="28"/>
          <w:sz w:val="24"/>
          <w:szCs w:val="24"/>
        </w:rPr>
      </w:pPr>
      <w:r w:rsidRPr="00DB1779">
        <w:rPr>
          <w:rFonts w:asciiTheme="minorHAnsi" w:eastAsia="Times New Roman" w:hAnsiTheme="minorHAnsi" w:cs="Calibri"/>
          <w:spacing w:val="5"/>
          <w:kern w:val="28"/>
          <w:sz w:val="24"/>
          <w:szCs w:val="24"/>
        </w:rPr>
        <w:t>Chapter 3 of the Resolves of 2016</w:t>
      </w:r>
    </w:p>
    <w:p w:rsidR="002020C1" w:rsidRDefault="002020C1" w:rsidP="000A0AB7">
      <w:pPr>
        <w:pStyle w:val="ListParagraph"/>
        <w:numPr>
          <w:ilvl w:val="0"/>
          <w:numId w:val="26"/>
        </w:numPr>
        <w:spacing w:line="480" w:lineRule="auto"/>
        <w:rPr>
          <w:rFonts w:asciiTheme="minorHAnsi" w:eastAsia="Times New Roman" w:hAnsiTheme="minorHAnsi" w:cs="Calibri"/>
          <w:spacing w:val="5"/>
          <w:kern w:val="28"/>
          <w:sz w:val="24"/>
          <w:szCs w:val="24"/>
        </w:rPr>
      </w:pPr>
      <w:r>
        <w:rPr>
          <w:rFonts w:asciiTheme="minorHAnsi" w:eastAsia="Times New Roman" w:hAnsiTheme="minorHAnsi" w:cs="Calibri"/>
          <w:spacing w:val="5"/>
          <w:kern w:val="28"/>
          <w:sz w:val="24"/>
          <w:szCs w:val="24"/>
        </w:rPr>
        <w:t>Special Commission on Local and Regional Public Health (SCLRPH) Meetings List</w:t>
      </w:r>
    </w:p>
    <w:p w:rsidR="003A6EC9" w:rsidRDefault="002020C1" w:rsidP="000A0AB7">
      <w:pPr>
        <w:pStyle w:val="ListParagraph"/>
        <w:numPr>
          <w:ilvl w:val="0"/>
          <w:numId w:val="26"/>
        </w:numPr>
        <w:spacing w:line="480" w:lineRule="auto"/>
        <w:rPr>
          <w:rFonts w:asciiTheme="minorHAnsi" w:eastAsia="Times New Roman" w:hAnsiTheme="minorHAnsi" w:cs="Calibri"/>
          <w:spacing w:val="5"/>
          <w:kern w:val="28"/>
          <w:sz w:val="24"/>
          <w:szCs w:val="24"/>
        </w:rPr>
      </w:pPr>
      <w:r w:rsidRPr="003A6EC9">
        <w:rPr>
          <w:rFonts w:asciiTheme="minorHAnsi" w:eastAsia="Times New Roman" w:hAnsiTheme="minorHAnsi" w:cs="Calibri"/>
          <w:spacing w:val="5"/>
          <w:kern w:val="28"/>
          <w:sz w:val="24"/>
          <w:szCs w:val="24"/>
        </w:rPr>
        <w:t>SCLRPH Subcommitte</w:t>
      </w:r>
      <w:r w:rsidR="00400868" w:rsidRPr="003A6EC9">
        <w:rPr>
          <w:rFonts w:asciiTheme="minorHAnsi" w:eastAsia="Times New Roman" w:hAnsiTheme="minorHAnsi" w:cs="Calibri"/>
          <w:spacing w:val="5"/>
          <w:kern w:val="28"/>
          <w:sz w:val="24"/>
          <w:szCs w:val="24"/>
        </w:rPr>
        <w:t xml:space="preserve">e </w:t>
      </w:r>
      <w:r w:rsidR="003A6EC9">
        <w:rPr>
          <w:rFonts w:asciiTheme="minorHAnsi" w:eastAsia="Times New Roman" w:hAnsiTheme="minorHAnsi" w:cs="Calibri"/>
          <w:spacing w:val="5"/>
          <w:kern w:val="28"/>
          <w:sz w:val="24"/>
          <w:szCs w:val="24"/>
        </w:rPr>
        <w:t>Members List and Descriptions</w:t>
      </w:r>
    </w:p>
    <w:p w:rsidR="00DB1779" w:rsidRPr="003A6EC9" w:rsidRDefault="00DB1779" w:rsidP="000A0AB7">
      <w:pPr>
        <w:pStyle w:val="ListParagraph"/>
        <w:numPr>
          <w:ilvl w:val="0"/>
          <w:numId w:val="26"/>
        </w:numPr>
        <w:spacing w:line="480" w:lineRule="auto"/>
        <w:rPr>
          <w:rFonts w:asciiTheme="minorHAnsi" w:eastAsia="Times New Roman" w:hAnsiTheme="minorHAnsi" w:cs="Calibri"/>
          <w:spacing w:val="5"/>
          <w:kern w:val="28"/>
          <w:sz w:val="24"/>
          <w:szCs w:val="24"/>
        </w:rPr>
      </w:pPr>
      <w:r w:rsidRPr="003A6EC9">
        <w:rPr>
          <w:rFonts w:asciiTheme="minorHAnsi" w:eastAsia="Times New Roman" w:hAnsiTheme="minorHAnsi" w:cs="Calibri"/>
          <w:spacing w:val="5"/>
          <w:kern w:val="28"/>
          <w:sz w:val="24"/>
          <w:szCs w:val="24"/>
        </w:rPr>
        <w:t>Stakeholder Listening Sessions Schedule</w:t>
      </w:r>
      <w:r w:rsidR="007E01B3">
        <w:rPr>
          <w:rFonts w:asciiTheme="minorHAnsi" w:eastAsia="Times New Roman" w:hAnsiTheme="minorHAnsi" w:cs="Calibri"/>
          <w:spacing w:val="5"/>
          <w:kern w:val="28"/>
          <w:sz w:val="24"/>
          <w:szCs w:val="24"/>
        </w:rPr>
        <w:t xml:space="preserve"> and Location</w:t>
      </w:r>
      <w:r w:rsidR="00FA1B9E">
        <w:rPr>
          <w:rFonts w:asciiTheme="minorHAnsi" w:eastAsia="Times New Roman" w:hAnsiTheme="minorHAnsi" w:cs="Calibri"/>
          <w:spacing w:val="5"/>
          <w:kern w:val="28"/>
          <w:sz w:val="24"/>
          <w:szCs w:val="24"/>
        </w:rPr>
        <w:t>s</w:t>
      </w:r>
      <w:r w:rsidR="007E01B3">
        <w:rPr>
          <w:rFonts w:asciiTheme="minorHAnsi" w:eastAsia="Times New Roman" w:hAnsiTheme="minorHAnsi" w:cs="Calibri"/>
          <w:spacing w:val="5"/>
          <w:kern w:val="28"/>
          <w:sz w:val="24"/>
          <w:szCs w:val="24"/>
        </w:rPr>
        <w:t xml:space="preserve"> Details</w:t>
      </w:r>
    </w:p>
    <w:p w:rsidR="005B10E3" w:rsidRDefault="00DD19EE" w:rsidP="005B10E3">
      <w:pPr>
        <w:pStyle w:val="ListParagraph"/>
        <w:numPr>
          <w:ilvl w:val="0"/>
          <w:numId w:val="26"/>
        </w:numPr>
        <w:rPr>
          <w:rFonts w:asciiTheme="minorHAnsi" w:eastAsia="Times New Roman" w:hAnsiTheme="minorHAnsi" w:cs="Calibri"/>
          <w:spacing w:val="5"/>
          <w:kern w:val="28"/>
          <w:sz w:val="24"/>
          <w:szCs w:val="24"/>
        </w:rPr>
      </w:pPr>
      <w:r w:rsidRPr="000C2DBE">
        <w:rPr>
          <w:rFonts w:asciiTheme="minorHAnsi" w:eastAsia="Times New Roman" w:hAnsiTheme="minorHAnsi" w:cs="Calibri"/>
          <w:spacing w:val="5"/>
          <w:kern w:val="28"/>
          <w:sz w:val="24"/>
          <w:szCs w:val="24"/>
        </w:rPr>
        <w:t xml:space="preserve">Workforce Credentials Subcommittee: </w:t>
      </w:r>
      <w:r w:rsidR="005B10E3">
        <w:rPr>
          <w:rFonts w:asciiTheme="minorHAnsi" w:eastAsia="Times New Roman" w:hAnsiTheme="minorHAnsi" w:cs="Calibri"/>
          <w:spacing w:val="5"/>
          <w:kern w:val="28"/>
          <w:sz w:val="24"/>
          <w:szCs w:val="24"/>
        </w:rPr>
        <w:t>Draft Education</w:t>
      </w:r>
      <w:r w:rsidRPr="000C2DBE">
        <w:rPr>
          <w:rFonts w:asciiTheme="minorHAnsi" w:eastAsia="Times New Roman" w:hAnsiTheme="minorHAnsi" w:cs="Calibri"/>
          <w:spacing w:val="5"/>
          <w:kern w:val="28"/>
          <w:sz w:val="24"/>
          <w:szCs w:val="24"/>
        </w:rPr>
        <w:t>, Training</w:t>
      </w:r>
      <w:r w:rsidR="005B10E3">
        <w:rPr>
          <w:rFonts w:asciiTheme="minorHAnsi" w:eastAsia="Times New Roman" w:hAnsiTheme="minorHAnsi" w:cs="Calibri"/>
          <w:spacing w:val="5"/>
          <w:kern w:val="28"/>
          <w:sz w:val="24"/>
          <w:szCs w:val="24"/>
        </w:rPr>
        <w:t>,</w:t>
      </w:r>
      <w:r w:rsidRPr="000C2DBE">
        <w:rPr>
          <w:rFonts w:asciiTheme="minorHAnsi" w:eastAsia="Times New Roman" w:hAnsiTheme="minorHAnsi" w:cs="Calibri"/>
          <w:spacing w:val="5"/>
          <w:kern w:val="28"/>
          <w:sz w:val="24"/>
          <w:szCs w:val="24"/>
        </w:rPr>
        <w:t xml:space="preserve"> and Credentialing Recommendations</w:t>
      </w:r>
      <w:r w:rsidR="005B10E3">
        <w:rPr>
          <w:rFonts w:asciiTheme="minorHAnsi" w:eastAsia="Times New Roman" w:hAnsiTheme="minorHAnsi" w:cs="Calibri"/>
          <w:spacing w:val="5"/>
          <w:kern w:val="28"/>
          <w:sz w:val="24"/>
          <w:szCs w:val="24"/>
        </w:rPr>
        <w:t xml:space="preserve"> (April 23, 2018)</w:t>
      </w:r>
    </w:p>
    <w:p w:rsidR="005B10E3" w:rsidRPr="005B10E3" w:rsidRDefault="005B10E3" w:rsidP="005B10E3">
      <w:pPr>
        <w:pStyle w:val="ListParagraph"/>
        <w:ind w:left="360"/>
        <w:rPr>
          <w:rFonts w:asciiTheme="minorHAnsi" w:eastAsia="Times New Roman" w:hAnsiTheme="minorHAnsi" w:cs="Calibri"/>
          <w:spacing w:val="5"/>
          <w:kern w:val="28"/>
          <w:sz w:val="24"/>
          <w:szCs w:val="24"/>
        </w:rPr>
      </w:pPr>
    </w:p>
    <w:p w:rsidR="005230C3" w:rsidRDefault="005230C3" w:rsidP="005B10E3">
      <w:pPr>
        <w:pStyle w:val="ListParagraph"/>
        <w:numPr>
          <w:ilvl w:val="0"/>
          <w:numId w:val="26"/>
        </w:numPr>
        <w:spacing w:line="480" w:lineRule="auto"/>
        <w:rPr>
          <w:rFonts w:asciiTheme="minorHAnsi" w:eastAsia="Times New Roman" w:hAnsiTheme="minorHAnsi" w:cs="Calibri"/>
          <w:spacing w:val="5"/>
          <w:kern w:val="28"/>
          <w:sz w:val="24"/>
          <w:szCs w:val="24"/>
        </w:rPr>
      </w:pPr>
      <w:r>
        <w:rPr>
          <w:rFonts w:asciiTheme="minorHAnsi" w:eastAsia="Times New Roman" w:hAnsiTheme="minorHAnsi" w:cs="Calibri"/>
          <w:spacing w:val="5"/>
          <w:kern w:val="28"/>
          <w:sz w:val="24"/>
          <w:szCs w:val="24"/>
        </w:rPr>
        <w:t>Glossary of terms</w:t>
      </w:r>
    </w:p>
    <w:p w:rsidR="00577713" w:rsidRDefault="005230C3" w:rsidP="000A0AB7">
      <w:pPr>
        <w:pStyle w:val="ListParagraph"/>
        <w:numPr>
          <w:ilvl w:val="0"/>
          <w:numId w:val="26"/>
        </w:numPr>
        <w:spacing w:line="480" w:lineRule="auto"/>
        <w:rPr>
          <w:rFonts w:asciiTheme="minorHAnsi" w:eastAsia="Times New Roman" w:hAnsiTheme="minorHAnsi" w:cs="Calibri"/>
          <w:spacing w:val="5"/>
          <w:kern w:val="28"/>
          <w:sz w:val="24"/>
          <w:szCs w:val="24"/>
        </w:rPr>
      </w:pPr>
      <w:r>
        <w:rPr>
          <w:rFonts w:asciiTheme="minorHAnsi" w:eastAsia="Times New Roman" w:hAnsiTheme="minorHAnsi" w:cs="Calibri"/>
          <w:spacing w:val="5"/>
          <w:kern w:val="28"/>
          <w:sz w:val="24"/>
          <w:szCs w:val="24"/>
        </w:rPr>
        <w:t>Acronyms</w:t>
      </w:r>
    </w:p>
    <w:p w:rsidR="00577713" w:rsidRDefault="00577713">
      <w:pPr>
        <w:spacing w:after="200" w:line="276" w:lineRule="auto"/>
        <w:rPr>
          <w:rFonts w:asciiTheme="minorHAnsi" w:eastAsia="Times New Roman" w:hAnsiTheme="minorHAnsi" w:cs="Calibri"/>
          <w:spacing w:val="5"/>
          <w:kern w:val="28"/>
          <w:sz w:val="24"/>
          <w:szCs w:val="24"/>
        </w:rPr>
      </w:pPr>
      <w:r>
        <w:rPr>
          <w:rFonts w:asciiTheme="minorHAnsi" w:eastAsia="Times New Roman" w:hAnsiTheme="minorHAnsi" w:cs="Calibri"/>
          <w:spacing w:val="5"/>
          <w:kern w:val="28"/>
          <w:sz w:val="24"/>
          <w:szCs w:val="24"/>
        </w:rPr>
        <w:br w:type="page"/>
      </w:r>
    </w:p>
    <w:p w:rsidR="003A6EC9" w:rsidRDefault="003A6EC9" w:rsidP="00734D36">
      <w:pPr>
        <w:pStyle w:val="Heading1"/>
        <w:rPr>
          <w:rFonts w:eastAsia="Times New Roman"/>
        </w:rPr>
      </w:pPr>
      <w:bookmarkStart w:id="10" w:name="_Toc514334039"/>
      <w:r w:rsidRPr="003A6EC9">
        <w:rPr>
          <w:rFonts w:eastAsia="Times New Roman"/>
        </w:rPr>
        <w:lastRenderedPageBreak/>
        <w:t>Appendix A</w:t>
      </w:r>
      <w:bookmarkEnd w:id="10"/>
    </w:p>
    <w:p w:rsidR="005F2CCD" w:rsidRPr="005F2CCD" w:rsidRDefault="005F2CCD" w:rsidP="005F2CCD"/>
    <w:p w:rsidR="00712DC4" w:rsidRPr="00230605" w:rsidRDefault="00712DC4" w:rsidP="005F2CCD">
      <w:pPr>
        <w:rPr>
          <w:b/>
        </w:rPr>
      </w:pPr>
      <w:r w:rsidRPr="00230605">
        <w:rPr>
          <w:b/>
        </w:rPr>
        <w:t>RESOLVE ESTABLISHING THE SPECIAL COMMISSION ON LOCAL AND REGIONAL PUBLIC HEALTH</w:t>
      </w:r>
    </w:p>
    <w:p w:rsidR="00230605" w:rsidRDefault="00230605" w:rsidP="00577713">
      <w:pPr>
        <w:shd w:val="clear" w:color="auto" w:fill="FFFFFF"/>
        <w:spacing w:after="150"/>
        <w:rPr>
          <w:rFonts w:ascii="Helvetica" w:eastAsia="Times New Roman" w:hAnsi="Helvetica"/>
          <w:i/>
          <w:iCs/>
          <w:color w:val="333333"/>
          <w:sz w:val="21"/>
          <w:szCs w:val="21"/>
        </w:rPr>
      </w:pPr>
    </w:p>
    <w:p w:rsidR="00577713" w:rsidRPr="00577713" w:rsidRDefault="00E5320D" w:rsidP="00577713">
      <w:pPr>
        <w:shd w:val="clear" w:color="auto" w:fill="FFFFFF"/>
        <w:spacing w:after="150"/>
        <w:rPr>
          <w:rFonts w:asciiTheme="minorHAnsi" w:eastAsia="Times New Roman" w:hAnsiTheme="minorHAnsi"/>
          <w:color w:val="333333"/>
          <w:sz w:val="24"/>
          <w:szCs w:val="24"/>
        </w:rPr>
      </w:pPr>
      <w:r>
        <w:rPr>
          <w:rFonts w:ascii="Helvetica" w:eastAsia="Times New Roman" w:hAnsi="Helvetica"/>
          <w:i/>
          <w:iCs/>
          <w:color w:val="333333"/>
          <w:sz w:val="21"/>
          <w:szCs w:val="21"/>
        </w:rPr>
        <w:t xml:space="preserve">  </w:t>
      </w:r>
      <w:r w:rsidR="00577713" w:rsidRPr="00577713">
        <w:rPr>
          <w:rFonts w:ascii="Helvetica" w:eastAsia="Times New Roman" w:hAnsi="Helvetica"/>
          <w:i/>
          <w:iCs/>
          <w:color w:val="333333"/>
          <w:sz w:val="21"/>
          <w:szCs w:val="21"/>
        </w:rPr>
        <w:t> </w:t>
      </w:r>
      <w:r w:rsidR="00577713" w:rsidRPr="00577713">
        <w:rPr>
          <w:rFonts w:asciiTheme="minorHAnsi" w:eastAsia="Times New Roman" w:hAnsiTheme="minorHAnsi"/>
          <w:i/>
          <w:iCs/>
          <w:color w:val="333333"/>
          <w:sz w:val="24"/>
          <w:szCs w:val="24"/>
        </w:rPr>
        <w:t>Resolved,</w:t>
      </w:r>
      <w:r w:rsidR="00FE3340">
        <w:rPr>
          <w:rFonts w:asciiTheme="minorHAnsi" w:eastAsia="Times New Roman" w:hAnsiTheme="minorHAnsi"/>
          <w:i/>
          <w:iCs/>
          <w:color w:val="333333"/>
          <w:sz w:val="24"/>
          <w:szCs w:val="24"/>
        </w:rPr>
        <w:t xml:space="preserve"> </w:t>
      </w:r>
      <w:r w:rsidR="00577713" w:rsidRPr="00577713">
        <w:rPr>
          <w:rFonts w:asciiTheme="minorHAnsi" w:eastAsia="Times New Roman" w:hAnsiTheme="minorHAnsi"/>
          <w:color w:val="333333"/>
          <w:sz w:val="24"/>
          <w:szCs w:val="24"/>
        </w:rPr>
        <w:t>that there shall be a special commission on local and regional public health to assess the effectiveness and efficiency of municipal and regional public health systems and to make recommendations regarding how to strengthen the delivery of public health services and preventive measures.</w:t>
      </w:r>
      <w:r w:rsidR="00577713" w:rsidRPr="00577713">
        <w:rPr>
          <w:rFonts w:asciiTheme="minorHAnsi" w:eastAsia="Times New Roman" w:hAnsiTheme="minorHAnsi"/>
          <w:color w:val="333333"/>
          <w:sz w:val="24"/>
          <w:szCs w:val="24"/>
        </w:rPr>
        <w:br/>
      </w:r>
      <w:proofErr w:type="gramStart"/>
      <w:r>
        <w:rPr>
          <w:rFonts w:asciiTheme="minorHAnsi" w:eastAsia="Times New Roman" w:hAnsiTheme="minorHAnsi"/>
          <w:i/>
          <w:iCs/>
          <w:color w:val="333333"/>
          <w:sz w:val="24"/>
          <w:szCs w:val="24"/>
        </w:rPr>
        <w:t xml:space="preserve">  </w:t>
      </w:r>
      <w:r w:rsidR="00577713" w:rsidRPr="00577713">
        <w:rPr>
          <w:rFonts w:asciiTheme="minorHAnsi" w:eastAsia="Times New Roman" w:hAnsiTheme="minorHAnsi"/>
          <w:i/>
          <w:iCs/>
          <w:color w:val="333333"/>
          <w:sz w:val="24"/>
          <w:szCs w:val="24"/>
        </w:rPr>
        <w:t> </w:t>
      </w:r>
      <w:proofErr w:type="gramEnd"/>
      <w:r w:rsidR="00577713" w:rsidRPr="00577713">
        <w:rPr>
          <w:rFonts w:asciiTheme="minorHAnsi" w:eastAsia="Times New Roman" w:hAnsiTheme="minorHAnsi"/>
          <w:color w:val="333333"/>
          <w:sz w:val="24"/>
          <w:szCs w:val="24"/>
        </w:rPr>
        <w:t>The commission shall consist of the following persons, or their designees: the secretary of</w:t>
      </w:r>
      <w:r>
        <w:rPr>
          <w:rFonts w:asciiTheme="minorHAnsi" w:eastAsia="Times New Roman" w:hAnsiTheme="minorHAnsi"/>
          <w:color w:val="333333"/>
          <w:sz w:val="24"/>
          <w:szCs w:val="24"/>
        </w:rPr>
        <w:t xml:space="preserve"> </w:t>
      </w:r>
      <w:r w:rsidR="00577713" w:rsidRPr="00577713">
        <w:rPr>
          <w:rFonts w:asciiTheme="minorHAnsi" w:eastAsia="Times New Roman" w:hAnsiTheme="minorHAnsi"/>
          <w:color w:val="333333"/>
          <w:sz w:val="24"/>
          <w:szCs w:val="24"/>
        </w:rPr>
        <w:t>administration and finance; the commissioner of public health, who shall serve as chair; the commissioner of environmental protection; the commissioner of agricultural resources; 2 members of the house of representatives, 1 of whom shall be appointed by the speaker of the house and 1 of whom shall be appointed by the house minority leader; 2 members of senate, 1 of whom shall be appointed by the senate president and 1 of whom shall be appointed by the senate minority leader; a representative of the Massachusetts Municipal Association; a representative of the Massachusetts Taxpayers Foundation; a representative of the Massachusetts Public Health Association; a representative of the Massachusetts Health Officers Association; a representative of the Massachusetts Association of Health Boards; a representative of the Massachusetts Environmental Health Association; a representative of the Massachusetts Association of Public Health Nurses; a representative of the Western Massachusetts Public Health Association; a representative of the Massachusetts Public Health Regionalization Project working group at Boston University School of Public Health; and 8 persons to be appointed by the governor, 1 of whom shall be a representative of a research or academic institution with experience in public health data collection and analysis; 1 of whom shall be a representative of a community health center; 1 of whom shall be a representative of a hospital system; 1 of whom shall have expertise in public health workforce development; 1 of whom shall be a public health representative of a municipality with a population greater than 50,000; 1 of whom shall be a public health representative of a municipality with a population between 5,000 and 50,000; and 1 of whom shall be a public health representative of a regional service model that includes at least 1 town with a population of less than 5,000.</w:t>
      </w:r>
      <w:r w:rsidR="00577713" w:rsidRPr="00577713">
        <w:rPr>
          <w:rFonts w:asciiTheme="minorHAnsi" w:eastAsia="Times New Roman" w:hAnsiTheme="minorHAnsi"/>
          <w:color w:val="333333"/>
          <w:sz w:val="24"/>
          <w:szCs w:val="24"/>
        </w:rPr>
        <w:br/>
      </w:r>
      <w:r>
        <w:rPr>
          <w:rFonts w:asciiTheme="minorHAnsi" w:eastAsia="Times New Roman" w:hAnsiTheme="minorHAnsi"/>
          <w:i/>
          <w:iCs/>
          <w:color w:val="333333"/>
          <w:sz w:val="24"/>
          <w:szCs w:val="24"/>
        </w:rPr>
        <w:t xml:space="preserve">  </w:t>
      </w:r>
      <w:r w:rsidR="00577713" w:rsidRPr="00577713">
        <w:rPr>
          <w:rFonts w:asciiTheme="minorHAnsi" w:eastAsia="Times New Roman" w:hAnsiTheme="minorHAnsi"/>
          <w:i/>
          <w:iCs/>
          <w:color w:val="333333"/>
          <w:sz w:val="24"/>
          <w:szCs w:val="24"/>
        </w:rPr>
        <w:t> </w:t>
      </w:r>
      <w:r w:rsidR="00577713" w:rsidRPr="00577713">
        <w:rPr>
          <w:rFonts w:asciiTheme="minorHAnsi" w:eastAsia="Times New Roman" w:hAnsiTheme="minorHAnsi"/>
          <w:color w:val="333333"/>
          <w:sz w:val="24"/>
          <w:szCs w:val="24"/>
        </w:rPr>
        <w:t>The commission shall: (</w:t>
      </w:r>
      <w:proofErr w:type="spellStart"/>
      <w:r w:rsidR="00577713" w:rsidRPr="00577713">
        <w:rPr>
          <w:rFonts w:asciiTheme="minorHAnsi" w:eastAsia="Times New Roman" w:hAnsiTheme="minorHAnsi"/>
          <w:color w:val="333333"/>
          <w:sz w:val="24"/>
          <w:szCs w:val="24"/>
        </w:rPr>
        <w:t>i</w:t>
      </w:r>
      <w:proofErr w:type="spellEnd"/>
      <w:r w:rsidR="00577713" w:rsidRPr="00577713">
        <w:rPr>
          <w:rFonts w:asciiTheme="minorHAnsi" w:eastAsia="Times New Roman" w:hAnsiTheme="minorHAnsi"/>
          <w:color w:val="333333"/>
          <w:sz w:val="24"/>
          <w:szCs w:val="24"/>
        </w:rPr>
        <w:t>) examine the capacity of local and regional public health authorities in comparison to national public health standards and recommendations from the Centers for Disease Control and Prevention, the Public Health Accreditation Board, the National Association of County and City Health Officials, the National Association of Local Boards of Health, the Association of State and Territorial Health Officials and other relevant organizations; (ii) assess the capacity of local public health authorities to carry out their statutory powers and duties; (iii) evaluate existing municipal and state resources for local health and assess per capita funding levels within municipalities for local health; (iv) evaluate the workforce credentials of the current and future public health workforce as to educational standards, credentialing and training; (v) assess the current capacity of the</w:t>
      </w:r>
      <w:r>
        <w:rPr>
          <w:rFonts w:asciiTheme="minorHAnsi" w:eastAsia="Times New Roman" w:hAnsiTheme="minorHAnsi"/>
          <w:color w:val="333333"/>
          <w:sz w:val="24"/>
          <w:szCs w:val="24"/>
        </w:rPr>
        <w:t xml:space="preserve"> </w:t>
      </w:r>
      <w:r w:rsidR="00577713" w:rsidRPr="00577713">
        <w:rPr>
          <w:rFonts w:asciiTheme="minorHAnsi" w:eastAsia="Times New Roman" w:hAnsiTheme="minorHAnsi"/>
          <w:color w:val="333333"/>
          <w:sz w:val="24"/>
          <w:szCs w:val="24"/>
        </w:rPr>
        <w:t xml:space="preserve">office of local and regional health within the department of public health; (vi) evaluate existing regional collaboration and various models of service delivery across the commonwealth, including stand-alone, shared service and fully comprehensive regional districts; and (vii) determine the commonwealth’s progress towards </w:t>
      </w:r>
      <w:r w:rsidR="00577713" w:rsidRPr="00577713">
        <w:rPr>
          <w:rFonts w:asciiTheme="minorHAnsi" w:eastAsia="Times New Roman" w:hAnsiTheme="minorHAnsi"/>
          <w:color w:val="333333"/>
          <w:sz w:val="24"/>
          <w:szCs w:val="24"/>
        </w:rPr>
        <w:lastRenderedPageBreak/>
        <w:t>achieving recommendations made by the Massachusetts regionalization advisory commission pursuant to chapter 60 of the acts of 2009.</w:t>
      </w:r>
      <w:r w:rsidR="00577713" w:rsidRPr="00577713">
        <w:rPr>
          <w:rFonts w:asciiTheme="minorHAnsi" w:eastAsia="Times New Roman" w:hAnsiTheme="minorHAnsi"/>
          <w:color w:val="333333"/>
          <w:sz w:val="24"/>
          <w:szCs w:val="24"/>
        </w:rPr>
        <w:br/>
      </w:r>
      <w:r>
        <w:rPr>
          <w:rFonts w:asciiTheme="minorHAnsi" w:eastAsia="Times New Roman" w:hAnsiTheme="minorHAnsi"/>
          <w:i/>
          <w:iCs/>
          <w:color w:val="333333"/>
          <w:sz w:val="24"/>
          <w:szCs w:val="24"/>
        </w:rPr>
        <w:t xml:space="preserve">  </w:t>
      </w:r>
      <w:r w:rsidR="00577713" w:rsidRPr="00577713">
        <w:rPr>
          <w:rFonts w:asciiTheme="minorHAnsi" w:eastAsia="Times New Roman" w:hAnsiTheme="minorHAnsi"/>
          <w:i/>
          <w:iCs/>
          <w:color w:val="333333"/>
          <w:sz w:val="24"/>
          <w:szCs w:val="24"/>
        </w:rPr>
        <w:t> </w:t>
      </w:r>
      <w:r w:rsidR="00577713" w:rsidRPr="00577713">
        <w:rPr>
          <w:rFonts w:asciiTheme="minorHAnsi" w:eastAsia="Times New Roman" w:hAnsiTheme="minorHAnsi"/>
          <w:color w:val="333333"/>
          <w:sz w:val="24"/>
          <w:szCs w:val="24"/>
        </w:rPr>
        <w:t>The commission may solicit public input through public hearings and testimony.</w:t>
      </w:r>
      <w:r w:rsidR="00577713" w:rsidRPr="00577713">
        <w:rPr>
          <w:rFonts w:asciiTheme="minorHAnsi" w:eastAsia="Times New Roman" w:hAnsiTheme="minorHAnsi"/>
          <w:color w:val="333333"/>
          <w:sz w:val="24"/>
          <w:szCs w:val="24"/>
        </w:rPr>
        <w:br/>
      </w:r>
      <w:proofErr w:type="gramStart"/>
      <w:r>
        <w:rPr>
          <w:rFonts w:asciiTheme="minorHAnsi" w:eastAsia="Times New Roman" w:hAnsiTheme="minorHAnsi"/>
          <w:i/>
          <w:iCs/>
          <w:color w:val="333333"/>
          <w:sz w:val="24"/>
          <w:szCs w:val="24"/>
        </w:rPr>
        <w:t xml:space="preserve">  </w:t>
      </w:r>
      <w:r w:rsidR="00577713" w:rsidRPr="00577713">
        <w:rPr>
          <w:rFonts w:asciiTheme="minorHAnsi" w:eastAsia="Times New Roman" w:hAnsiTheme="minorHAnsi"/>
          <w:i/>
          <w:iCs/>
          <w:color w:val="333333"/>
          <w:sz w:val="24"/>
          <w:szCs w:val="24"/>
        </w:rPr>
        <w:t> </w:t>
      </w:r>
      <w:proofErr w:type="gramEnd"/>
      <w:r w:rsidR="00577713" w:rsidRPr="00577713">
        <w:rPr>
          <w:rFonts w:asciiTheme="minorHAnsi" w:eastAsia="Times New Roman" w:hAnsiTheme="minorHAnsi"/>
          <w:color w:val="333333"/>
          <w:sz w:val="24"/>
          <w:szCs w:val="24"/>
        </w:rPr>
        <w:t>The commission shall prepare and submit to the governor, the joint committee on public health and the house and senate committee on ways and means a report that includes: (</w:t>
      </w:r>
      <w:proofErr w:type="spellStart"/>
      <w:r w:rsidR="00577713" w:rsidRPr="00577713">
        <w:rPr>
          <w:rFonts w:asciiTheme="minorHAnsi" w:eastAsia="Times New Roman" w:hAnsiTheme="minorHAnsi"/>
          <w:color w:val="333333"/>
          <w:sz w:val="24"/>
          <w:szCs w:val="24"/>
        </w:rPr>
        <w:t>i</w:t>
      </w:r>
      <w:proofErr w:type="spellEnd"/>
      <w:r w:rsidR="00577713" w:rsidRPr="00577713">
        <w:rPr>
          <w:rFonts w:asciiTheme="minorHAnsi" w:eastAsia="Times New Roman" w:hAnsiTheme="minorHAnsi"/>
          <w:color w:val="333333"/>
          <w:sz w:val="24"/>
          <w:szCs w:val="24"/>
        </w:rPr>
        <w:t>) a summary of the commission’s findings; (ii) a review of local public health organization and financing in other states; (iii) a review of the strengths and weaknesses of the local public health system as it currently exists in the commonwealth, with particular emphasis on capacity, functionality and efficiency; (iv) recommendations on organizational and fiscal models that would work to ensure capacity across municipalities; (v) recommendations on the sharing of resources across municipalities, including regionalization; (vi) recommendations to strengthen</w:t>
      </w:r>
      <w:r>
        <w:rPr>
          <w:rFonts w:asciiTheme="minorHAnsi" w:eastAsia="Times New Roman" w:hAnsiTheme="minorHAnsi"/>
          <w:color w:val="333333"/>
          <w:sz w:val="24"/>
          <w:szCs w:val="24"/>
        </w:rPr>
        <w:t xml:space="preserve"> </w:t>
      </w:r>
      <w:r w:rsidR="00577713" w:rsidRPr="00577713">
        <w:rPr>
          <w:rFonts w:asciiTheme="minorHAnsi" w:eastAsia="Times New Roman" w:hAnsiTheme="minorHAnsi"/>
          <w:color w:val="333333"/>
          <w:sz w:val="24"/>
          <w:szCs w:val="24"/>
        </w:rPr>
        <w:t>public health data reporting, gathering and analysis, including any recommendations on mandatory reporting of local health authorities to the department; (vii) recommendations on resources needed to effectively meet statutory responsibilities at the state and local level; and (viii) recommendations to strengthen the local public health workforce and ensure training of the next generation of local public health professionals, including leveraging academic partnerships</w:t>
      </w:r>
      <w:r>
        <w:rPr>
          <w:rFonts w:asciiTheme="minorHAnsi" w:eastAsia="Times New Roman" w:hAnsiTheme="minorHAnsi"/>
          <w:color w:val="333333"/>
          <w:sz w:val="24"/>
          <w:szCs w:val="24"/>
        </w:rPr>
        <w:t xml:space="preserve">. </w:t>
      </w:r>
      <w:r w:rsidR="00577713" w:rsidRPr="00577713">
        <w:rPr>
          <w:rFonts w:asciiTheme="minorHAnsi" w:eastAsia="Times New Roman" w:hAnsiTheme="minorHAnsi"/>
          <w:color w:val="333333"/>
          <w:sz w:val="24"/>
          <w:szCs w:val="24"/>
        </w:rPr>
        <w:t>The commission shall submit its final report by July 31, 2017.</w:t>
      </w:r>
    </w:p>
    <w:p w:rsidR="003A6EC9" w:rsidRDefault="00577713" w:rsidP="00577713">
      <w:pPr>
        <w:shd w:val="clear" w:color="auto" w:fill="FFFFFF"/>
        <w:spacing w:after="150"/>
        <w:jc w:val="center"/>
        <w:rPr>
          <w:rFonts w:asciiTheme="minorHAnsi" w:eastAsia="Times New Roman" w:hAnsiTheme="minorHAnsi"/>
          <w:i/>
          <w:iCs/>
          <w:color w:val="333333"/>
          <w:sz w:val="24"/>
          <w:szCs w:val="24"/>
        </w:rPr>
      </w:pPr>
      <w:proofErr w:type="gramStart"/>
      <w:r w:rsidRPr="00577713">
        <w:rPr>
          <w:rFonts w:asciiTheme="minorHAnsi" w:eastAsia="Times New Roman" w:hAnsiTheme="minorHAnsi"/>
          <w:i/>
          <w:iCs/>
          <w:color w:val="333333"/>
          <w:sz w:val="24"/>
          <w:szCs w:val="24"/>
        </w:rPr>
        <w:t>Approved August 12, 2016.</w:t>
      </w:r>
      <w:proofErr w:type="gramEnd"/>
    </w:p>
    <w:p w:rsidR="003A6EC9" w:rsidRDefault="003A6EC9">
      <w:pPr>
        <w:spacing w:after="200" w:line="276" w:lineRule="auto"/>
        <w:rPr>
          <w:rFonts w:asciiTheme="minorHAnsi" w:eastAsia="Times New Roman" w:hAnsiTheme="minorHAnsi"/>
          <w:i/>
          <w:iCs/>
          <w:color w:val="333333"/>
          <w:sz w:val="24"/>
          <w:szCs w:val="24"/>
        </w:rPr>
      </w:pPr>
      <w:r>
        <w:rPr>
          <w:rFonts w:asciiTheme="minorHAnsi" w:eastAsia="Times New Roman" w:hAnsiTheme="minorHAnsi"/>
          <w:i/>
          <w:iCs/>
          <w:color w:val="333333"/>
          <w:sz w:val="24"/>
          <w:szCs w:val="24"/>
        </w:rPr>
        <w:br w:type="page"/>
      </w:r>
    </w:p>
    <w:p w:rsidR="003A6EC9" w:rsidRDefault="003A6EC9" w:rsidP="003A6EC9">
      <w:pPr>
        <w:jc w:val="center"/>
        <w:rPr>
          <w:i/>
        </w:rPr>
      </w:pPr>
    </w:p>
    <w:p w:rsidR="003A6EC9" w:rsidRPr="003A6EC9" w:rsidRDefault="003A6EC9" w:rsidP="00734D36">
      <w:pPr>
        <w:pStyle w:val="Heading1"/>
      </w:pPr>
      <w:bookmarkStart w:id="11" w:name="_Toc514334040"/>
      <w:r w:rsidRPr="003A6EC9">
        <w:t xml:space="preserve">Appendix </w:t>
      </w:r>
      <w:r w:rsidR="003F1D59">
        <w:t>B</w:t>
      </w:r>
      <w:bookmarkEnd w:id="11"/>
    </w:p>
    <w:p w:rsidR="003A6EC9" w:rsidRDefault="003A6EC9" w:rsidP="002E7D08">
      <w:pPr>
        <w:autoSpaceDE w:val="0"/>
        <w:autoSpaceDN w:val="0"/>
        <w:adjustRightInd w:val="0"/>
        <w:jc w:val="center"/>
        <w:rPr>
          <w:rFonts w:cs="Calibri"/>
          <w:color w:val="000000"/>
          <w:sz w:val="24"/>
          <w:szCs w:val="32"/>
        </w:rPr>
      </w:pPr>
    </w:p>
    <w:p w:rsidR="003A6EC9" w:rsidRDefault="003A6EC9" w:rsidP="002E7D08">
      <w:pPr>
        <w:autoSpaceDE w:val="0"/>
        <w:autoSpaceDN w:val="0"/>
        <w:adjustRightInd w:val="0"/>
        <w:jc w:val="center"/>
        <w:rPr>
          <w:rFonts w:cs="Calibri"/>
          <w:color w:val="000000"/>
          <w:sz w:val="24"/>
          <w:szCs w:val="32"/>
        </w:rPr>
      </w:pPr>
      <w:r>
        <w:rPr>
          <w:rFonts w:cs="Calibri"/>
          <w:color w:val="000000"/>
          <w:sz w:val="24"/>
          <w:szCs w:val="32"/>
        </w:rPr>
        <w:t>Special Commission on Local and Regional Public Health</w:t>
      </w:r>
    </w:p>
    <w:p w:rsidR="002E7D08" w:rsidRPr="002E7D08" w:rsidRDefault="002E7D08" w:rsidP="002E7D08">
      <w:pPr>
        <w:autoSpaceDE w:val="0"/>
        <w:autoSpaceDN w:val="0"/>
        <w:adjustRightInd w:val="0"/>
        <w:jc w:val="center"/>
        <w:rPr>
          <w:rFonts w:cs="Calibri"/>
          <w:color w:val="000000"/>
          <w:sz w:val="24"/>
          <w:szCs w:val="32"/>
        </w:rPr>
      </w:pPr>
      <w:r w:rsidRPr="002E7D08">
        <w:rPr>
          <w:rFonts w:cs="Calibri"/>
          <w:color w:val="000000"/>
          <w:sz w:val="24"/>
          <w:szCs w:val="32"/>
        </w:rPr>
        <w:t>Year-to-Date and Planned Meetings</w:t>
      </w:r>
    </w:p>
    <w:p w:rsidR="002E7D08" w:rsidRPr="002E7D08" w:rsidRDefault="002E7D08" w:rsidP="002E7D08">
      <w:pPr>
        <w:autoSpaceDE w:val="0"/>
        <w:autoSpaceDN w:val="0"/>
        <w:adjustRightInd w:val="0"/>
        <w:jc w:val="center"/>
        <w:rPr>
          <w:rFonts w:cs="Calibri"/>
          <w:color w:val="000000"/>
          <w:sz w:val="24"/>
          <w:szCs w:val="32"/>
        </w:rPr>
      </w:pPr>
      <w:r w:rsidRPr="002E7D08">
        <w:rPr>
          <w:rFonts w:cs="Calibri"/>
          <w:color w:val="000000"/>
          <w:sz w:val="24"/>
          <w:szCs w:val="32"/>
        </w:rPr>
        <w:t xml:space="preserve">Updated – </w:t>
      </w:r>
      <w:r w:rsidR="00D57E23">
        <w:rPr>
          <w:rFonts w:cs="Calibri"/>
          <w:color w:val="000000"/>
          <w:sz w:val="24"/>
          <w:szCs w:val="32"/>
        </w:rPr>
        <w:t xml:space="preserve">May </w:t>
      </w:r>
      <w:r w:rsidR="000C2DBE">
        <w:rPr>
          <w:rFonts w:cs="Calibri"/>
          <w:color w:val="000000"/>
          <w:sz w:val="24"/>
          <w:szCs w:val="32"/>
        </w:rPr>
        <w:t>15</w:t>
      </w:r>
      <w:r w:rsidRPr="002E7D08">
        <w:rPr>
          <w:rFonts w:cs="Calibri"/>
          <w:color w:val="000000"/>
          <w:sz w:val="24"/>
          <w:szCs w:val="32"/>
        </w:rPr>
        <w:t>, 2018</w:t>
      </w:r>
    </w:p>
    <w:p w:rsidR="002E7D08" w:rsidRDefault="002E7D08" w:rsidP="002E7D08">
      <w:pPr>
        <w:autoSpaceDE w:val="0"/>
        <w:autoSpaceDN w:val="0"/>
        <w:adjustRightInd w:val="0"/>
        <w:jc w:val="center"/>
        <w:rPr>
          <w:rFonts w:cs="Calibri"/>
          <w:color w:val="000000"/>
          <w:sz w:val="28"/>
          <w:szCs w:val="32"/>
        </w:rPr>
      </w:pPr>
    </w:p>
    <w:p w:rsidR="002E7D08" w:rsidRPr="009A08BA" w:rsidRDefault="002E7D08" w:rsidP="002E7D08">
      <w:pPr>
        <w:autoSpaceDE w:val="0"/>
        <w:autoSpaceDN w:val="0"/>
        <w:adjustRightInd w:val="0"/>
        <w:rPr>
          <w:rFonts w:cs="Calibri"/>
          <w:b/>
          <w:color w:val="000000"/>
          <w:sz w:val="24"/>
          <w:szCs w:val="24"/>
        </w:rPr>
      </w:pPr>
      <w:r w:rsidRPr="009A08BA">
        <w:rPr>
          <w:rFonts w:cs="Calibri"/>
          <w:b/>
          <w:color w:val="000000"/>
          <w:sz w:val="24"/>
          <w:szCs w:val="24"/>
        </w:rPr>
        <w:t>Meeting</w:t>
      </w:r>
      <w:r w:rsidRPr="009A08BA">
        <w:rPr>
          <w:rFonts w:cs="Calibri"/>
          <w:b/>
          <w:color w:val="000000"/>
          <w:sz w:val="24"/>
          <w:szCs w:val="24"/>
        </w:rPr>
        <w:tab/>
      </w:r>
      <w:r w:rsidRPr="009A08BA">
        <w:rPr>
          <w:rFonts w:cs="Calibri"/>
          <w:b/>
          <w:color w:val="000000"/>
          <w:sz w:val="24"/>
          <w:szCs w:val="24"/>
        </w:rPr>
        <w:tab/>
      </w:r>
      <w:r w:rsidRPr="009A08BA">
        <w:rPr>
          <w:rFonts w:cs="Calibri"/>
          <w:b/>
          <w:color w:val="000000"/>
          <w:sz w:val="24"/>
          <w:szCs w:val="24"/>
        </w:rPr>
        <w:tab/>
      </w:r>
      <w:r w:rsidRPr="009A08BA">
        <w:rPr>
          <w:rFonts w:cs="Calibri"/>
          <w:b/>
          <w:color w:val="000000"/>
          <w:sz w:val="24"/>
          <w:szCs w:val="24"/>
        </w:rPr>
        <w:tab/>
      </w:r>
      <w:r w:rsidRPr="009A08BA">
        <w:rPr>
          <w:rFonts w:cs="Calibri"/>
          <w:b/>
          <w:color w:val="000000"/>
          <w:sz w:val="24"/>
          <w:szCs w:val="24"/>
        </w:rPr>
        <w:tab/>
        <w:t>Date (Location)</w:t>
      </w:r>
    </w:p>
    <w:p w:rsidR="002E7D08" w:rsidRDefault="002E7D08" w:rsidP="002E7D08">
      <w:pPr>
        <w:autoSpaceDE w:val="0"/>
        <w:autoSpaceDN w:val="0"/>
        <w:adjustRightInd w:val="0"/>
        <w:spacing w:line="360" w:lineRule="auto"/>
        <w:rPr>
          <w:rFonts w:cs="Calibri"/>
          <w:color w:val="000000"/>
          <w:sz w:val="24"/>
          <w:szCs w:val="24"/>
        </w:rPr>
      </w:pP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Commission</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June 23, 2017 (Westborough)</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Commission</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September 15, 2017 (Framingham) #1</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Commission</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September 15, 2017 (Framingham) #2</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Data</w:t>
      </w:r>
      <w:r>
        <w:rPr>
          <w:rFonts w:cs="Calibri"/>
          <w:color w:val="000000"/>
          <w:sz w:val="24"/>
          <w:szCs w:val="24"/>
        </w:rPr>
        <w:t xml:space="preserve"> Subcommittee</w:t>
      </w:r>
      <w:r w:rsidRPr="00390DA9">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September 15, 2017 (Framingham)</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Workforce</w:t>
      </w:r>
      <w:r>
        <w:rPr>
          <w:rFonts w:cs="Calibri"/>
          <w:color w:val="000000"/>
          <w:sz w:val="24"/>
          <w:szCs w:val="24"/>
        </w:rPr>
        <w:t xml:space="preserve"> Credentials Subcommittee</w:t>
      </w:r>
      <w:r w:rsidRPr="00390DA9">
        <w:rPr>
          <w:rFonts w:cs="Calibri"/>
          <w:color w:val="000000"/>
          <w:sz w:val="24"/>
          <w:szCs w:val="24"/>
        </w:rPr>
        <w:tab/>
        <w:t>September 15, 2017 (Framingham)</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 xml:space="preserve">Structure </w:t>
      </w:r>
      <w:r>
        <w:rPr>
          <w:rFonts w:cs="Calibri"/>
          <w:color w:val="000000"/>
          <w:sz w:val="24"/>
          <w:szCs w:val="24"/>
        </w:rPr>
        <w:t>Subcommittee</w:t>
      </w:r>
      <w:r w:rsidRPr="00390DA9">
        <w:rPr>
          <w:rFonts w:cs="Calibri"/>
          <w:color w:val="000000"/>
          <w:sz w:val="24"/>
          <w:szCs w:val="24"/>
        </w:rPr>
        <w:tab/>
      </w:r>
      <w:r w:rsidRPr="00390DA9">
        <w:rPr>
          <w:rFonts w:cs="Calibri"/>
          <w:color w:val="000000"/>
          <w:sz w:val="24"/>
          <w:szCs w:val="24"/>
        </w:rPr>
        <w:tab/>
      </w:r>
      <w:r>
        <w:rPr>
          <w:rFonts w:cs="Calibri"/>
          <w:color w:val="000000"/>
          <w:sz w:val="24"/>
          <w:szCs w:val="24"/>
        </w:rPr>
        <w:tab/>
      </w:r>
      <w:r w:rsidRPr="00390DA9">
        <w:rPr>
          <w:rFonts w:cs="Calibri"/>
          <w:color w:val="000000"/>
          <w:sz w:val="24"/>
          <w:szCs w:val="24"/>
        </w:rPr>
        <w:t>September 15, 2017 (Framingham)</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Finance</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September 15, 2017 (Framingham)</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Workforce</w:t>
      </w:r>
      <w:r>
        <w:rPr>
          <w:rFonts w:cs="Calibri"/>
          <w:color w:val="000000"/>
          <w:sz w:val="24"/>
          <w:szCs w:val="24"/>
        </w:rPr>
        <w:t xml:space="preserve"> Credentials Subcommittee</w:t>
      </w:r>
      <w:r w:rsidRPr="00390DA9">
        <w:rPr>
          <w:rFonts w:cs="Calibri"/>
          <w:color w:val="000000"/>
          <w:sz w:val="24"/>
          <w:szCs w:val="24"/>
        </w:rPr>
        <w:tab/>
        <w:t>October 23, 2017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Standards</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October 23, 2017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Data</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October 31, 2017 (West Boylston)</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Commission</w:t>
      </w:r>
      <w:r>
        <w:rPr>
          <w:rFonts w:cs="Calibri"/>
          <w:color w:val="000000"/>
          <w:sz w:val="24"/>
          <w:szCs w:val="24"/>
        </w:rPr>
        <w:tab/>
      </w:r>
      <w:r>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November 3, 2017 (Westborough)</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Structure</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November 3, 3017 (Westborough)</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Standards</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November 3, 2017 (Westborough)</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 xml:space="preserve">Workforce </w:t>
      </w:r>
      <w:r>
        <w:rPr>
          <w:rFonts w:cs="Calibri"/>
          <w:color w:val="000000"/>
          <w:sz w:val="24"/>
          <w:szCs w:val="24"/>
        </w:rPr>
        <w:t>Credentials Subcommittee</w:t>
      </w:r>
      <w:r w:rsidRPr="00390DA9">
        <w:rPr>
          <w:rFonts w:cs="Calibri"/>
          <w:color w:val="000000"/>
          <w:sz w:val="24"/>
          <w:szCs w:val="24"/>
        </w:rPr>
        <w:tab/>
        <w:t>December 8, 2017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 xml:space="preserve">Standards </w:t>
      </w:r>
      <w:r>
        <w:rPr>
          <w:rFonts w:cs="Calibri"/>
          <w:color w:val="000000"/>
          <w:sz w:val="24"/>
          <w:szCs w:val="24"/>
        </w:rPr>
        <w:t>Subcommittee</w:t>
      </w:r>
      <w:r>
        <w:rPr>
          <w:rFonts w:cs="Calibri"/>
          <w:color w:val="000000"/>
          <w:sz w:val="24"/>
          <w:szCs w:val="24"/>
        </w:rPr>
        <w:tab/>
      </w:r>
      <w:r>
        <w:rPr>
          <w:rFonts w:cs="Calibri"/>
          <w:color w:val="000000"/>
          <w:sz w:val="24"/>
          <w:szCs w:val="24"/>
        </w:rPr>
        <w:tab/>
      </w:r>
      <w:r w:rsidRPr="00390DA9">
        <w:rPr>
          <w:rFonts w:cs="Calibri"/>
          <w:color w:val="000000"/>
          <w:sz w:val="24"/>
          <w:szCs w:val="24"/>
        </w:rPr>
        <w:tab/>
        <w:t>December 8, 2017 (Worcester)</w:t>
      </w:r>
    </w:p>
    <w:p w:rsidR="002E7D08" w:rsidRPr="00390DA9"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Data Subcommittee</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 xml:space="preserve">December 11, 2017 </w:t>
      </w:r>
      <w:r w:rsidRPr="00390DA9">
        <w:rPr>
          <w:rFonts w:cs="Calibri"/>
          <w:color w:val="000000"/>
          <w:sz w:val="24"/>
          <w:szCs w:val="24"/>
        </w:rPr>
        <w:t>(Boston)</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Structure</w:t>
      </w:r>
      <w:r>
        <w:rPr>
          <w:rFonts w:cs="Calibri"/>
          <w:color w:val="000000"/>
          <w:sz w:val="24"/>
          <w:szCs w:val="24"/>
        </w:rPr>
        <w:t xml:space="preserve"> Subcommittee</w:t>
      </w:r>
      <w:r>
        <w:rPr>
          <w:rFonts w:cs="Calibri"/>
          <w:color w:val="000000"/>
          <w:sz w:val="24"/>
          <w:szCs w:val="24"/>
        </w:rPr>
        <w:tab/>
      </w:r>
      <w:r w:rsidRPr="00390DA9">
        <w:rPr>
          <w:rFonts w:cs="Calibri"/>
          <w:color w:val="000000"/>
          <w:sz w:val="24"/>
          <w:szCs w:val="24"/>
        </w:rPr>
        <w:tab/>
      </w:r>
      <w:r w:rsidRPr="00390DA9">
        <w:rPr>
          <w:rFonts w:cs="Calibri"/>
          <w:color w:val="000000"/>
          <w:sz w:val="24"/>
          <w:szCs w:val="24"/>
        </w:rPr>
        <w:tab/>
        <w:t>December 12, 2017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Data</w:t>
      </w:r>
      <w:r>
        <w:rPr>
          <w:rFonts w:cs="Calibri"/>
          <w:color w:val="000000"/>
          <w:sz w:val="24"/>
          <w:szCs w:val="24"/>
        </w:rPr>
        <w:t xml:space="preserve"> Subcommittee</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t>January 3, 2018 – with Standards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Standards</w:t>
      </w:r>
      <w:r>
        <w:rPr>
          <w:rFonts w:cs="Calibri"/>
          <w:color w:val="000000"/>
          <w:sz w:val="24"/>
          <w:szCs w:val="24"/>
        </w:rPr>
        <w:t xml:space="preserve"> Subcommittee</w:t>
      </w:r>
      <w:r w:rsidRPr="00390DA9">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January 3, 2018 – with Data (Worcester)</w:t>
      </w:r>
    </w:p>
    <w:p w:rsidR="002E7D08" w:rsidRPr="00390DA9"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Commission</w:t>
      </w:r>
      <w:r w:rsidRPr="00390DA9">
        <w:rPr>
          <w:rFonts w:cs="Calibri"/>
          <w:color w:val="000000"/>
          <w:sz w:val="24"/>
          <w:szCs w:val="24"/>
        </w:rPr>
        <w:tab/>
      </w:r>
      <w:r w:rsidRPr="00390DA9">
        <w:rPr>
          <w:rFonts w:cs="Calibri"/>
          <w:color w:val="000000"/>
          <w:sz w:val="24"/>
          <w:szCs w:val="24"/>
        </w:rPr>
        <w:tab/>
      </w:r>
      <w:r w:rsidRPr="00390DA9">
        <w:rPr>
          <w:rFonts w:cs="Calibri"/>
          <w:color w:val="000000"/>
          <w:sz w:val="24"/>
          <w:szCs w:val="24"/>
        </w:rPr>
        <w:tab/>
      </w:r>
      <w:r>
        <w:rPr>
          <w:rFonts w:cs="Calibri"/>
          <w:color w:val="000000"/>
          <w:sz w:val="24"/>
          <w:szCs w:val="24"/>
        </w:rPr>
        <w:tab/>
      </w:r>
      <w:r>
        <w:rPr>
          <w:rFonts w:cs="Calibri"/>
          <w:color w:val="000000"/>
          <w:sz w:val="24"/>
          <w:szCs w:val="24"/>
        </w:rPr>
        <w:tab/>
      </w:r>
      <w:r w:rsidRPr="00390DA9">
        <w:rPr>
          <w:rFonts w:cs="Calibri"/>
          <w:color w:val="000000"/>
          <w:sz w:val="24"/>
          <w:szCs w:val="24"/>
        </w:rPr>
        <w:t>January 12, 2018 (Westborough)</w:t>
      </w:r>
    </w:p>
    <w:p w:rsidR="002E7D08" w:rsidRDefault="002E7D08" w:rsidP="002E7D08">
      <w:pPr>
        <w:autoSpaceDE w:val="0"/>
        <w:autoSpaceDN w:val="0"/>
        <w:adjustRightInd w:val="0"/>
        <w:spacing w:line="360" w:lineRule="auto"/>
        <w:rPr>
          <w:rFonts w:cs="Calibri"/>
          <w:color w:val="000000"/>
          <w:sz w:val="24"/>
          <w:szCs w:val="24"/>
        </w:rPr>
      </w:pPr>
      <w:r w:rsidRPr="00390DA9">
        <w:rPr>
          <w:rFonts w:cs="Calibri"/>
          <w:color w:val="000000"/>
          <w:sz w:val="24"/>
          <w:szCs w:val="24"/>
        </w:rPr>
        <w:t>Workforce</w:t>
      </w:r>
      <w:r>
        <w:rPr>
          <w:rFonts w:cs="Calibri"/>
          <w:color w:val="000000"/>
          <w:sz w:val="24"/>
          <w:szCs w:val="24"/>
        </w:rPr>
        <w:t xml:space="preserve"> Credentials Subcommittee</w:t>
      </w:r>
      <w:r>
        <w:rPr>
          <w:rFonts w:cs="Calibri"/>
          <w:color w:val="000000"/>
          <w:sz w:val="24"/>
          <w:szCs w:val="24"/>
        </w:rPr>
        <w:tab/>
        <w:t>January 24, 2018 (Worcester</w:t>
      </w:r>
      <w:r w:rsidRPr="00390DA9">
        <w:rPr>
          <w:rFonts w:cs="Calibri"/>
          <w:color w:val="000000"/>
          <w:sz w:val="24"/>
          <w:szCs w:val="24"/>
        </w:rPr>
        <w:t>)</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Commission</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February 16, 2018 (Westborough)</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lastRenderedPageBreak/>
        <w:t>Workforce Credentials Subcommittee</w:t>
      </w:r>
      <w:r>
        <w:rPr>
          <w:rFonts w:cs="Calibri"/>
          <w:color w:val="000000"/>
          <w:sz w:val="24"/>
          <w:szCs w:val="24"/>
        </w:rPr>
        <w:tab/>
        <w:t>February 27, 2018 (Worcester)</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Structure Subcommittee</w:t>
      </w:r>
      <w:r>
        <w:rPr>
          <w:rFonts w:cs="Calibri"/>
          <w:color w:val="000000"/>
          <w:sz w:val="24"/>
          <w:szCs w:val="24"/>
        </w:rPr>
        <w:tab/>
      </w:r>
      <w:r>
        <w:rPr>
          <w:rFonts w:cs="Calibri"/>
          <w:color w:val="000000"/>
          <w:sz w:val="24"/>
          <w:szCs w:val="24"/>
        </w:rPr>
        <w:tab/>
      </w:r>
      <w:r>
        <w:rPr>
          <w:rFonts w:cs="Calibri"/>
          <w:color w:val="000000"/>
          <w:sz w:val="24"/>
          <w:szCs w:val="24"/>
        </w:rPr>
        <w:tab/>
        <w:t>March 9, 2018 (Shrewsbury)</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Workforce Credentials Subcommittee</w:t>
      </w:r>
      <w:r>
        <w:rPr>
          <w:rFonts w:cs="Calibri"/>
          <w:color w:val="000000"/>
          <w:sz w:val="24"/>
          <w:szCs w:val="24"/>
        </w:rPr>
        <w:tab/>
        <w:t>March 19, 2018 (Worcester)</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Data Subcommittee</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March 23, 2018 (West Boylston)</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Commission</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April 6, 2018 (Westborough)</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Workforce Credentials Subcommittee</w:t>
      </w:r>
      <w:r>
        <w:rPr>
          <w:rFonts w:cs="Calibri"/>
          <w:color w:val="000000"/>
          <w:sz w:val="24"/>
          <w:szCs w:val="24"/>
        </w:rPr>
        <w:tab/>
        <w:t>April 30, 2018 (Worcester)</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Commission</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May 4, 2018 (</w:t>
      </w:r>
      <w:r w:rsidR="008A13BD">
        <w:rPr>
          <w:rFonts w:cs="Calibri"/>
          <w:color w:val="000000"/>
          <w:sz w:val="24"/>
          <w:szCs w:val="24"/>
        </w:rPr>
        <w:t>Framingham</w:t>
      </w:r>
      <w:r>
        <w:rPr>
          <w:rFonts w:cs="Calibri"/>
          <w:color w:val="000000"/>
          <w:sz w:val="24"/>
          <w:szCs w:val="24"/>
        </w:rPr>
        <w:t>)</w:t>
      </w:r>
    </w:p>
    <w:p w:rsidR="000C2DBE" w:rsidRDefault="000C2DBE" w:rsidP="002E7D08">
      <w:pPr>
        <w:autoSpaceDE w:val="0"/>
        <w:autoSpaceDN w:val="0"/>
        <w:adjustRightInd w:val="0"/>
        <w:spacing w:line="360" w:lineRule="auto"/>
        <w:rPr>
          <w:rFonts w:cs="Calibri"/>
          <w:color w:val="000000"/>
          <w:sz w:val="24"/>
          <w:szCs w:val="24"/>
        </w:rPr>
      </w:pPr>
      <w:r>
        <w:rPr>
          <w:rFonts w:cs="Calibri"/>
          <w:color w:val="000000"/>
          <w:sz w:val="24"/>
          <w:szCs w:val="24"/>
        </w:rPr>
        <w:t>Workforce Credentials Subcommittee</w:t>
      </w:r>
      <w:r>
        <w:rPr>
          <w:rFonts w:cs="Calibri"/>
          <w:color w:val="000000"/>
          <w:sz w:val="24"/>
          <w:szCs w:val="24"/>
        </w:rPr>
        <w:tab/>
        <w:t>May 21, 2018 (Worcester)</w:t>
      </w:r>
    </w:p>
    <w:p w:rsidR="002E7D08" w:rsidRDefault="002E7D08" w:rsidP="002E7D08">
      <w:pPr>
        <w:autoSpaceDE w:val="0"/>
        <w:autoSpaceDN w:val="0"/>
        <w:adjustRightInd w:val="0"/>
        <w:spacing w:line="360" w:lineRule="auto"/>
        <w:rPr>
          <w:rFonts w:cs="Calibri"/>
          <w:color w:val="000000"/>
          <w:sz w:val="24"/>
          <w:szCs w:val="24"/>
        </w:rPr>
      </w:pPr>
      <w:r>
        <w:rPr>
          <w:rFonts w:cs="Calibri"/>
          <w:color w:val="000000"/>
          <w:sz w:val="24"/>
          <w:szCs w:val="24"/>
        </w:rPr>
        <w:t>Commission (to be confirmed)</w:t>
      </w:r>
      <w:r>
        <w:rPr>
          <w:rFonts w:cs="Calibri"/>
          <w:color w:val="000000"/>
          <w:sz w:val="24"/>
          <w:szCs w:val="24"/>
        </w:rPr>
        <w:tab/>
      </w:r>
      <w:r>
        <w:rPr>
          <w:rFonts w:cs="Calibri"/>
          <w:color w:val="000000"/>
          <w:sz w:val="24"/>
          <w:szCs w:val="24"/>
        </w:rPr>
        <w:tab/>
      </w:r>
      <w:r w:rsidRPr="000C2DBE">
        <w:rPr>
          <w:rFonts w:cs="Calibri"/>
          <w:color w:val="000000"/>
          <w:sz w:val="24"/>
          <w:szCs w:val="24"/>
        </w:rPr>
        <w:t>J</w:t>
      </w:r>
      <w:r w:rsidR="00D24412" w:rsidRPr="000C2DBE">
        <w:rPr>
          <w:rFonts w:cs="Calibri"/>
          <w:color w:val="000000"/>
          <w:sz w:val="24"/>
          <w:szCs w:val="24"/>
        </w:rPr>
        <w:t>uly</w:t>
      </w:r>
      <w:r w:rsidRPr="000C2DBE">
        <w:rPr>
          <w:rFonts w:cs="Calibri"/>
          <w:color w:val="000000"/>
          <w:sz w:val="24"/>
          <w:szCs w:val="24"/>
        </w:rPr>
        <w:t xml:space="preserve"> 2</w:t>
      </w:r>
      <w:r w:rsidR="00A775C3" w:rsidRPr="000C2DBE">
        <w:rPr>
          <w:rFonts w:cs="Calibri"/>
          <w:color w:val="000000"/>
          <w:sz w:val="24"/>
          <w:szCs w:val="24"/>
        </w:rPr>
        <w:t>7</w:t>
      </w:r>
      <w:r w:rsidRPr="000C2DBE">
        <w:rPr>
          <w:rFonts w:cs="Calibri"/>
          <w:color w:val="000000"/>
          <w:sz w:val="24"/>
          <w:szCs w:val="24"/>
        </w:rPr>
        <w:t xml:space="preserve">, 2018 </w:t>
      </w:r>
      <w:r w:rsidR="00A775C3" w:rsidRPr="000C2DBE">
        <w:rPr>
          <w:rFonts w:cs="Calibri"/>
          <w:color w:val="000000"/>
          <w:sz w:val="24"/>
          <w:szCs w:val="24"/>
        </w:rPr>
        <w:t>(to be determined)</w:t>
      </w:r>
    </w:p>
    <w:p w:rsidR="000C2DBE" w:rsidRDefault="000C2DBE" w:rsidP="002E7D08">
      <w:pPr>
        <w:autoSpaceDE w:val="0"/>
        <w:autoSpaceDN w:val="0"/>
        <w:adjustRightInd w:val="0"/>
        <w:spacing w:line="360" w:lineRule="auto"/>
        <w:rPr>
          <w:rFonts w:cs="Calibri"/>
          <w:color w:val="000000"/>
          <w:sz w:val="24"/>
          <w:szCs w:val="24"/>
        </w:rPr>
      </w:pPr>
    </w:p>
    <w:p w:rsidR="000C2DBE" w:rsidRDefault="000C2DBE" w:rsidP="000C2DBE">
      <w:pPr>
        <w:autoSpaceDE w:val="0"/>
        <w:autoSpaceDN w:val="0"/>
        <w:adjustRightInd w:val="0"/>
        <w:spacing w:line="276" w:lineRule="auto"/>
        <w:rPr>
          <w:rFonts w:cs="Calibri"/>
          <w:color w:val="000000"/>
          <w:sz w:val="24"/>
          <w:szCs w:val="24"/>
        </w:rPr>
      </w:pPr>
      <w:r>
        <w:rPr>
          <w:rFonts w:cs="Calibri"/>
          <w:color w:val="000000"/>
          <w:sz w:val="24"/>
          <w:szCs w:val="24"/>
        </w:rPr>
        <w:t>Meetings of the Special Commission on Local and Regional Public Health and its subcommittees are posted on the Massachusetts Department of Public Health Open Meeting Notices page</w:t>
      </w:r>
    </w:p>
    <w:p w:rsidR="000C2DBE" w:rsidRDefault="000C2DBE" w:rsidP="000C2DBE">
      <w:pPr>
        <w:autoSpaceDE w:val="0"/>
        <w:autoSpaceDN w:val="0"/>
        <w:adjustRightInd w:val="0"/>
        <w:spacing w:line="276" w:lineRule="auto"/>
        <w:rPr>
          <w:rFonts w:cs="Calibri"/>
          <w:color w:val="000000"/>
          <w:sz w:val="24"/>
          <w:szCs w:val="24"/>
        </w:rPr>
      </w:pPr>
    </w:p>
    <w:p w:rsidR="000C2DBE" w:rsidRDefault="001F11B2" w:rsidP="000C2DBE">
      <w:pPr>
        <w:autoSpaceDE w:val="0"/>
        <w:autoSpaceDN w:val="0"/>
        <w:adjustRightInd w:val="0"/>
        <w:spacing w:line="276" w:lineRule="auto"/>
        <w:rPr>
          <w:rFonts w:cs="Calibri"/>
          <w:color w:val="000000"/>
          <w:sz w:val="24"/>
          <w:szCs w:val="24"/>
        </w:rPr>
      </w:pPr>
      <w:hyperlink r:id="rId27" w:history="1">
        <w:r w:rsidR="0076695B">
          <w:rPr>
            <w:rStyle w:val="Hyperlink"/>
            <w:rFonts w:cs="Calibri"/>
            <w:sz w:val="24"/>
            <w:szCs w:val="24"/>
          </w:rPr>
          <w:t>Special Commission for Local and Regional Public Health Open Meeting Notices</w:t>
        </w:r>
      </w:hyperlink>
      <w:r w:rsidR="000C2DBE">
        <w:rPr>
          <w:rFonts w:cs="Calibri"/>
          <w:color w:val="000000"/>
          <w:sz w:val="24"/>
          <w:szCs w:val="24"/>
        </w:rPr>
        <w:t xml:space="preserve"> </w:t>
      </w:r>
    </w:p>
    <w:p w:rsidR="00577713" w:rsidRPr="00577713" w:rsidRDefault="00577713" w:rsidP="000C2DBE">
      <w:pPr>
        <w:shd w:val="clear" w:color="auto" w:fill="FFFFFF"/>
        <w:spacing w:line="276" w:lineRule="auto"/>
        <w:jc w:val="center"/>
        <w:rPr>
          <w:rFonts w:asciiTheme="minorHAnsi" w:eastAsia="Times New Roman" w:hAnsiTheme="minorHAnsi"/>
          <w:color w:val="333333"/>
          <w:sz w:val="24"/>
          <w:szCs w:val="24"/>
        </w:rPr>
      </w:pPr>
    </w:p>
    <w:p w:rsidR="005230C3" w:rsidRDefault="000C2DBE" w:rsidP="000C2DBE">
      <w:pPr>
        <w:spacing w:line="276" w:lineRule="auto"/>
        <w:rPr>
          <w:rFonts w:asciiTheme="minorHAnsi" w:eastAsia="Times New Roman" w:hAnsiTheme="minorHAnsi" w:cs="Calibri"/>
          <w:spacing w:val="5"/>
          <w:kern w:val="28"/>
          <w:sz w:val="24"/>
          <w:szCs w:val="24"/>
        </w:rPr>
      </w:pPr>
      <w:r>
        <w:rPr>
          <w:rFonts w:asciiTheme="minorHAnsi" w:eastAsia="Times New Roman" w:hAnsiTheme="minorHAnsi" w:cs="Calibri"/>
          <w:spacing w:val="5"/>
          <w:kern w:val="28"/>
          <w:sz w:val="24"/>
          <w:szCs w:val="24"/>
        </w:rPr>
        <w:t>A compilation of agendas and approved minutes of the Special Commission on Local and Regional Public Health and its subcommittees is available</w:t>
      </w:r>
    </w:p>
    <w:p w:rsidR="000C2DBE" w:rsidRDefault="001F11B2" w:rsidP="000C2DBE">
      <w:pPr>
        <w:spacing w:line="276" w:lineRule="auto"/>
        <w:rPr>
          <w:rFonts w:asciiTheme="minorHAnsi" w:eastAsia="Times New Roman" w:hAnsiTheme="minorHAnsi" w:cs="Calibri"/>
          <w:spacing w:val="5"/>
          <w:kern w:val="28"/>
          <w:sz w:val="24"/>
          <w:szCs w:val="24"/>
        </w:rPr>
      </w:pPr>
      <w:hyperlink r:id="rId28" w:history="1">
        <w:r w:rsidR="0076695B">
          <w:rPr>
            <w:rStyle w:val="Hyperlink"/>
            <w:rFonts w:asciiTheme="minorHAnsi" w:eastAsia="Times New Roman" w:hAnsiTheme="minorHAnsi" w:cs="Calibri"/>
            <w:spacing w:val="5"/>
            <w:kern w:val="28"/>
            <w:sz w:val="24"/>
            <w:szCs w:val="24"/>
          </w:rPr>
          <w:t>Compilation of Agendas and Approved Minutes of the Special Commission on Local and Regional Public Health and its Subcommittees</w:t>
        </w:r>
      </w:hyperlink>
    </w:p>
    <w:p w:rsidR="000C2DBE" w:rsidRPr="000C2DBE" w:rsidRDefault="000C2DBE" w:rsidP="000C2DBE">
      <w:pPr>
        <w:spacing w:line="480" w:lineRule="auto"/>
        <w:rPr>
          <w:rFonts w:asciiTheme="minorHAnsi" w:eastAsia="Times New Roman" w:hAnsiTheme="minorHAnsi" w:cs="Calibri"/>
          <w:spacing w:val="5"/>
          <w:kern w:val="28"/>
          <w:sz w:val="24"/>
          <w:szCs w:val="24"/>
        </w:rPr>
      </w:pPr>
    </w:p>
    <w:p w:rsidR="00577713" w:rsidRDefault="002020C1">
      <w:pPr>
        <w:spacing w:after="200" w:line="276" w:lineRule="auto"/>
        <w:rPr>
          <w:rFonts w:asciiTheme="minorHAnsi" w:hAnsiTheme="minorHAnsi"/>
          <w:sz w:val="24"/>
          <w:szCs w:val="24"/>
        </w:rPr>
      </w:pPr>
      <w:r w:rsidRPr="00297BFF">
        <w:rPr>
          <w:rFonts w:asciiTheme="minorHAnsi" w:hAnsiTheme="minorHAnsi"/>
          <w:sz w:val="24"/>
          <w:szCs w:val="24"/>
        </w:rPr>
        <w:t xml:space="preserve"> </w:t>
      </w:r>
    </w:p>
    <w:p w:rsidR="00577713" w:rsidRDefault="00577713">
      <w:pPr>
        <w:spacing w:after="200" w:line="276" w:lineRule="auto"/>
        <w:rPr>
          <w:rFonts w:asciiTheme="minorHAnsi" w:hAnsiTheme="minorHAnsi"/>
          <w:sz w:val="24"/>
          <w:szCs w:val="24"/>
        </w:rPr>
      </w:pPr>
      <w:r>
        <w:rPr>
          <w:rFonts w:asciiTheme="minorHAnsi" w:hAnsiTheme="minorHAnsi"/>
          <w:sz w:val="24"/>
          <w:szCs w:val="24"/>
        </w:rPr>
        <w:br w:type="page"/>
      </w:r>
    </w:p>
    <w:p w:rsidR="003A6EC9" w:rsidRDefault="003A6EC9" w:rsidP="00734D36">
      <w:pPr>
        <w:pStyle w:val="Heading1"/>
      </w:pPr>
      <w:bookmarkStart w:id="12" w:name="_Toc514334041"/>
      <w:r>
        <w:lastRenderedPageBreak/>
        <w:t xml:space="preserve">Appendix </w:t>
      </w:r>
      <w:r w:rsidR="003F1D59">
        <w:t>C</w:t>
      </w:r>
      <w:bookmarkEnd w:id="12"/>
    </w:p>
    <w:p w:rsidR="003A6EC9" w:rsidRDefault="003A6EC9" w:rsidP="00577713">
      <w:pPr>
        <w:jc w:val="center"/>
        <w:rPr>
          <w:b/>
          <w:sz w:val="24"/>
        </w:rPr>
      </w:pPr>
    </w:p>
    <w:p w:rsidR="003A6EC9" w:rsidRDefault="003A6EC9" w:rsidP="00577713">
      <w:pPr>
        <w:jc w:val="center"/>
        <w:rPr>
          <w:b/>
          <w:sz w:val="24"/>
        </w:rPr>
      </w:pPr>
      <w:r>
        <w:rPr>
          <w:b/>
          <w:sz w:val="24"/>
        </w:rPr>
        <w:t>Special Commission on Local and Regional Public Health</w:t>
      </w:r>
    </w:p>
    <w:p w:rsidR="00577713" w:rsidRDefault="00577713" w:rsidP="00577713">
      <w:pPr>
        <w:jc w:val="center"/>
        <w:rPr>
          <w:b/>
          <w:sz w:val="24"/>
        </w:rPr>
      </w:pPr>
      <w:r>
        <w:rPr>
          <w:b/>
          <w:sz w:val="24"/>
        </w:rPr>
        <w:t xml:space="preserve">Subcommittee Membership </w:t>
      </w:r>
      <w:r w:rsidR="003A6EC9">
        <w:rPr>
          <w:b/>
          <w:sz w:val="24"/>
        </w:rPr>
        <w:t xml:space="preserve">and Descriptions </w:t>
      </w:r>
      <w:r>
        <w:rPr>
          <w:b/>
          <w:sz w:val="24"/>
        </w:rPr>
        <w:t xml:space="preserve">(As of </w:t>
      </w:r>
      <w:r w:rsidR="00D57E23">
        <w:rPr>
          <w:b/>
          <w:sz w:val="24"/>
        </w:rPr>
        <w:t xml:space="preserve">May </w:t>
      </w:r>
      <w:r w:rsidR="00C02C95">
        <w:rPr>
          <w:b/>
          <w:sz w:val="24"/>
        </w:rPr>
        <w:t>4</w:t>
      </w:r>
      <w:r>
        <w:rPr>
          <w:b/>
          <w:sz w:val="24"/>
        </w:rPr>
        <w:t>, 2018</w:t>
      </w:r>
      <w:r w:rsidRPr="00DB311D">
        <w:rPr>
          <w:b/>
          <w:sz w:val="24"/>
        </w:rPr>
        <w:t>)</w:t>
      </w:r>
    </w:p>
    <w:p w:rsidR="00577713" w:rsidRDefault="00577713" w:rsidP="00577713">
      <w:pPr>
        <w:jc w:val="center"/>
        <w:rPr>
          <w:b/>
          <w:sz w:val="24"/>
        </w:rPr>
      </w:pPr>
    </w:p>
    <w:tbl>
      <w:tblPr>
        <w:tblStyle w:val="LightShading-Accent5"/>
        <w:tblW w:w="9576" w:type="dxa"/>
        <w:tblLook w:val="04A0" w:firstRow="1" w:lastRow="0" w:firstColumn="1" w:lastColumn="0" w:noHBand="0" w:noVBand="1"/>
      </w:tblPr>
      <w:tblGrid>
        <w:gridCol w:w="2967"/>
        <w:gridCol w:w="813"/>
        <w:gridCol w:w="1218"/>
        <w:gridCol w:w="1149"/>
        <w:gridCol w:w="1343"/>
        <w:gridCol w:w="1069"/>
        <w:gridCol w:w="1017"/>
      </w:tblGrid>
      <w:tr w:rsidR="00577713" w:rsidTr="00A14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rPr>
                <w:b w:val="0"/>
                <w:sz w:val="24"/>
                <w:szCs w:val="24"/>
              </w:rPr>
            </w:pPr>
            <w:r w:rsidRPr="005520B4">
              <w:rPr>
                <w:sz w:val="24"/>
                <w:szCs w:val="24"/>
              </w:rPr>
              <w:t>Member</w:t>
            </w:r>
          </w:p>
        </w:tc>
        <w:tc>
          <w:tcPr>
            <w:tcW w:w="813"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FF1F41">
              <w:rPr>
                <w:color w:val="auto"/>
                <w:sz w:val="24"/>
                <w:szCs w:val="24"/>
              </w:rPr>
              <w:t>Data</w:t>
            </w:r>
          </w:p>
        </w:tc>
        <w:tc>
          <w:tcPr>
            <w:tcW w:w="1218"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FF1F41">
              <w:rPr>
                <w:color w:val="auto"/>
                <w:sz w:val="24"/>
                <w:szCs w:val="24"/>
              </w:rPr>
              <w:t>Standards</w:t>
            </w:r>
          </w:p>
        </w:tc>
        <w:tc>
          <w:tcPr>
            <w:tcW w:w="1149"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FF1F41">
              <w:rPr>
                <w:color w:val="auto"/>
                <w:sz w:val="24"/>
                <w:szCs w:val="24"/>
              </w:rPr>
              <w:t>Structure</w:t>
            </w:r>
          </w:p>
        </w:tc>
        <w:tc>
          <w:tcPr>
            <w:tcW w:w="1343"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FF1F41">
              <w:rPr>
                <w:color w:val="auto"/>
                <w:sz w:val="24"/>
                <w:szCs w:val="24"/>
              </w:rPr>
              <w:t>Credentials</w:t>
            </w:r>
          </w:p>
        </w:tc>
        <w:tc>
          <w:tcPr>
            <w:tcW w:w="1069"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FF1F41">
              <w:rPr>
                <w:color w:val="auto"/>
                <w:sz w:val="24"/>
                <w:szCs w:val="24"/>
              </w:rPr>
              <w:t>Finance</w:t>
            </w:r>
          </w:p>
        </w:tc>
        <w:tc>
          <w:tcPr>
            <w:tcW w:w="1017" w:type="dxa"/>
            <w:tcBorders>
              <w:top w:val="single" w:sz="4" w:space="0" w:color="auto"/>
              <w:left w:val="single" w:sz="4" w:space="0" w:color="auto"/>
              <w:bottom w:val="single" w:sz="4" w:space="0" w:color="auto"/>
              <w:right w:val="single" w:sz="4" w:space="0" w:color="auto"/>
            </w:tcBorders>
          </w:tcPr>
          <w:p w:rsidR="00577713" w:rsidRPr="00FF1F41" w:rsidRDefault="00577713" w:rsidP="00577713">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6C01">
              <w:rPr>
                <w:color w:val="auto"/>
                <w:sz w:val="24"/>
                <w:szCs w:val="24"/>
              </w:rPr>
              <w:t>Total</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Cameron, Sharon</w:t>
            </w:r>
          </w:p>
        </w:tc>
        <w:tc>
          <w:tcPr>
            <w:tcW w:w="813" w:type="dxa"/>
            <w:tcBorders>
              <w:top w:val="single" w:sz="4" w:space="0" w:color="auto"/>
              <w:left w:val="single" w:sz="4" w:space="0" w:color="auto"/>
              <w:bottom w:val="single" w:sz="4" w:space="0" w:color="auto"/>
              <w:right w:val="single" w:sz="4" w:space="0" w:color="auto"/>
            </w:tcBorders>
          </w:tcPr>
          <w:p w:rsidR="00577713" w:rsidRPr="0025209C" w:rsidRDefault="00577713" w:rsidP="00577713">
            <w:pPr>
              <w:jc w:val="center"/>
              <w:cnfStyle w:val="000000100000" w:firstRow="0" w:lastRow="0" w:firstColumn="0" w:lastColumn="0" w:oddVBand="0" w:evenVBand="0" w:oddHBand="1" w:evenHBand="0" w:firstRowFirstColumn="0" w:firstRowLastColumn="0" w:lastRowFirstColumn="0" w:lastRowLastColumn="0"/>
              <w:rPr>
                <w:sz w:val="20"/>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8E343C"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43C">
              <w:rPr>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8E343C"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8E343C"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43C">
              <w:rPr>
                <w:sz w:val="24"/>
                <w:szCs w:val="24"/>
              </w:rPr>
              <w:t>X</w:t>
            </w:r>
          </w:p>
        </w:tc>
        <w:tc>
          <w:tcPr>
            <w:tcW w:w="1069" w:type="dxa"/>
            <w:tcBorders>
              <w:top w:val="single" w:sz="4" w:space="0" w:color="auto"/>
              <w:left w:val="single" w:sz="4" w:space="0" w:color="auto"/>
              <w:bottom w:val="single" w:sz="4" w:space="0" w:color="auto"/>
              <w:right w:val="single" w:sz="4" w:space="0" w:color="auto"/>
            </w:tcBorders>
          </w:tcPr>
          <w:p w:rsidR="00577713" w:rsidRPr="0025209C" w:rsidRDefault="00577713" w:rsidP="00577713">
            <w:pPr>
              <w:jc w:val="center"/>
              <w:cnfStyle w:val="000000100000" w:firstRow="0" w:lastRow="0" w:firstColumn="0" w:lastColumn="0" w:oddVBand="0" w:evenVBand="0" w:oddHBand="1" w:evenHBand="0" w:firstRowFirstColumn="0" w:firstRowLastColumn="0" w:lastRowFirstColumn="0" w:lastRowLastColumn="0"/>
              <w:rPr>
                <w:sz w:val="20"/>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25209C" w:rsidRDefault="00577713" w:rsidP="00577713">
            <w:pPr>
              <w:jc w:val="center"/>
              <w:cnfStyle w:val="000000100000" w:firstRow="0" w:lastRow="0" w:firstColumn="0" w:lastColumn="0" w:oddVBand="0" w:evenVBand="0" w:oddHBand="1" w:evenHBand="0" w:firstRowFirstColumn="0" w:firstRowLastColumn="0" w:lastRowFirstColumn="0" w:lastRowLastColumn="0"/>
              <w:rPr>
                <w:sz w:val="20"/>
                <w:szCs w:val="24"/>
              </w:rPr>
            </w:pPr>
            <w:r>
              <w:rPr>
                <w:sz w:val="20"/>
                <w:szCs w:val="24"/>
              </w:rPr>
              <w:t>2</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Cox, Harold</w:t>
            </w:r>
          </w:p>
        </w:tc>
        <w:tc>
          <w:tcPr>
            <w:tcW w:w="813"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464337" w:rsidRDefault="00577713"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r>
      <w:tr w:rsidR="00A775C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A775C3" w:rsidRPr="009628E0" w:rsidRDefault="00A775C3" w:rsidP="00577713">
            <w:pPr>
              <w:rPr>
                <w:b w:val="0"/>
                <w:sz w:val="24"/>
                <w:szCs w:val="24"/>
              </w:rPr>
            </w:pPr>
            <w:r w:rsidRPr="006503AD">
              <w:rPr>
                <w:b w:val="0"/>
                <w:sz w:val="24"/>
                <w:szCs w:val="24"/>
              </w:rPr>
              <w:t>Sean Cronin</w:t>
            </w:r>
          </w:p>
        </w:tc>
        <w:tc>
          <w:tcPr>
            <w:tcW w:w="813" w:type="dxa"/>
            <w:tcBorders>
              <w:top w:val="single" w:sz="4" w:space="0" w:color="auto"/>
              <w:left w:val="single" w:sz="4" w:space="0" w:color="auto"/>
              <w:bottom w:val="single" w:sz="4" w:space="0" w:color="auto"/>
              <w:right w:val="single" w:sz="4" w:space="0" w:color="auto"/>
            </w:tcBorders>
          </w:tcPr>
          <w:p w:rsidR="00A775C3" w:rsidRPr="00464337"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218" w:type="dxa"/>
            <w:tcBorders>
              <w:top w:val="single" w:sz="4" w:space="0" w:color="auto"/>
              <w:left w:val="single" w:sz="4" w:space="0" w:color="auto"/>
              <w:bottom w:val="single" w:sz="4" w:space="0" w:color="auto"/>
              <w:right w:val="single" w:sz="4" w:space="0" w:color="auto"/>
            </w:tcBorders>
          </w:tcPr>
          <w:p w:rsidR="00A775C3" w:rsidRPr="00464337"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49" w:type="dxa"/>
            <w:tcBorders>
              <w:top w:val="single" w:sz="4" w:space="0" w:color="auto"/>
              <w:left w:val="single" w:sz="4" w:space="0" w:color="auto"/>
              <w:bottom w:val="single" w:sz="4" w:space="0" w:color="auto"/>
              <w:right w:val="single" w:sz="4" w:space="0" w:color="auto"/>
            </w:tcBorders>
          </w:tcPr>
          <w:p w:rsidR="00A775C3"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A775C3" w:rsidRPr="00464337"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A775C3" w:rsidRPr="00464337"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A775C3" w:rsidRDefault="00A775C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 xml:space="preserve">Hyde, </w:t>
            </w:r>
            <w:proofErr w:type="spellStart"/>
            <w:r w:rsidRPr="009628E0">
              <w:rPr>
                <w:b w:val="0"/>
                <w:sz w:val="24"/>
                <w:szCs w:val="24"/>
              </w:rPr>
              <w:t>Justeen</w:t>
            </w:r>
            <w:proofErr w:type="spellEnd"/>
          </w:p>
        </w:tc>
        <w:tc>
          <w:tcPr>
            <w:tcW w:w="813" w:type="dxa"/>
            <w:tcBorders>
              <w:top w:val="single" w:sz="4" w:space="0" w:color="auto"/>
              <w:left w:val="single" w:sz="4" w:space="0" w:color="auto"/>
              <w:bottom w:val="single" w:sz="4" w:space="0" w:color="auto"/>
              <w:right w:val="single" w:sz="4" w:space="0" w:color="auto"/>
            </w:tcBorders>
          </w:tcPr>
          <w:p w:rsidR="00577713" w:rsidRPr="00211356" w:rsidRDefault="00577713" w:rsidP="00577713">
            <w:pPr>
              <w:jc w:val="center"/>
              <w:cnfStyle w:val="000000000000" w:firstRow="0" w:lastRow="0" w:firstColumn="0" w:lastColumn="0" w:oddVBand="0" w:evenVBand="0" w:oddHBand="0" w:evenHBand="0" w:firstRowFirstColumn="0" w:firstRowLastColumn="0" w:lastRowFirstColumn="0" w:lastRowLastColumn="0"/>
              <w:rPr>
                <w:b/>
                <w:caps/>
                <w:sz w:val="24"/>
                <w:szCs w:val="24"/>
              </w:rPr>
            </w:pPr>
            <w:r w:rsidRPr="00211356">
              <w:rPr>
                <w:b/>
                <w:caps/>
                <w:color w:val="FF0000"/>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Kane, Rep. Hannah</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1</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Kaniecki, Charlie</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8E343C"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8"/>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2</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Khoury, Terri</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2</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proofErr w:type="spellStart"/>
            <w:r w:rsidRPr="009628E0">
              <w:rPr>
                <w:b w:val="0"/>
                <w:sz w:val="24"/>
                <w:szCs w:val="24"/>
              </w:rPr>
              <w:t>Kittross</w:t>
            </w:r>
            <w:proofErr w:type="spellEnd"/>
            <w:r w:rsidRPr="009628E0">
              <w:rPr>
                <w:b w:val="0"/>
                <w:sz w:val="24"/>
                <w:szCs w:val="24"/>
              </w:rPr>
              <w:t>, Laura</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211356" w:rsidRDefault="00577713" w:rsidP="00577713">
            <w:pPr>
              <w:jc w:val="center"/>
              <w:cnfStyle w:val="000000000000" w:firstRow="0" w:lastRow="0" w:firstColumn="0" w:lastColumn="0" w:oddVBand="0" w:evenVBand="0" w:oddHBand="0" w:evenHBand="0" w:firstRowFirstColumn="0" w:firstRowLastColumn="0" w:lastRowFirstColumn="0" w:lastRowLastColumn="0"/>
              <w:rPr>
                <w:b/>
                <w:caps/>
                <w:sz w:val="24"/>
                <w:szCs w:val="24"/>
              </w:rPr>
            </w:pPr>
            <w:r w:rsidRPr="00211356">
              <w:rPr>
                <w:b/>
                <w:caps/>
                <w:color w:val="FF0000"/>
                <w:sz w:val="24"/>
                <w:szCs w:val="24"/>
              </w:rPr>
              <w:t>X</w:t>
            </w: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2</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Lewis, Sen. Jason</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1</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Mancini, Carmela</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proofErr w:type="spellStart"/>
            <w:r w:rsidRPr="009628E0">
              <w:rPr>
                <w:b w:val="0"/>
                <w:sz w:val="24"/>
                <w:szCs w:val="24"/>
              </w:rPr>
              <w:t>McAnneny</w:t>
            </w:r>
            <w:proofErr w:type="spellEnd"/>
            <w:r w:rsidRPr="009628E0">
              <w:rPr>
                <w:b w:val="0"/>
                <w:sz w:val="24"/>
                <w:szCs w:val="24"/>
              </w:rPr>
              <w:t>, Eileen</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577713"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1</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McCready, David</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Mizikar, Kevin</w:t>
            </w:r>
          </w:p>
        </w:tc>
        <w:tc>
          <w:tcPr>
            <w:tcW w:w="813"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3C3A23" w:rsidRDefault="00577713" w:rsidP="0057771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O’Connor, Lorraine</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Pelletier, Maria</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2</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Ross, Sen. Richard</w:t>
            </w:r>
          </w:p>
        </w:tc>
        <w:tc>
          <w:tcPr>
            <w:tcW w:w="5592" w:type="dxa"/>
            <w:gridSpan w:val="5"/>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sz w:val="20"/>
                <w:szCs w:val="24"/>
              </w:rPr>
              <w:t>Subcommittee membership</w:t>
            </w:r>
            <w:r w:rsidRPr="0025209C">
              <w:rPr>
                <w:sz w:val="20"/>
                <w:szCs w:val="24"/>
              </w:rPr>
              <w:t xml:space="preserve"> to be determined</w:t>
            </w:r>
          </w:p>
        </w:tc>
        <w:tc>
          <w:tcPr>
            <w:tcW w:w="1017" w:type="dxa"/>
            <w:tcBorders>
              <w:top w:val="single" w:sz="4" w:space="0" w:color="auto"/>
              <w:left w:val="single" w:sz="4" w:space="0" w:color="auto"/>
              <w:bottom w:val="single" w:sz="4" w:space="0" w:color="auto"/>
              <w:right w:val="single" w:sz="4" w:space="0" w:color="auto"/>
            </w:tcBorders>
          </w:tcPr>
          <w:p w:rsidR="00577713" w:rsidRDefault="00577713" w:rsidP="00577713">
            <w:pPr>
              <w:jc w:val="center"/>
              <w:cnfStyle w:val="000000000000" w:firstRow="0" w:lastRow="0" w:firstColumn="0" w:lastColumn="0" w:oddVBand="0" w:evenVBand="0" w:oddHBand="0" w:evenHBand="0" w:firstRowFirstColumn="0" w:firstRowLastColumn="0" w:lastRowFirstColumn="0" w:lastRowLastColumn="0"/>
              <w:rPr>
                <w:sz w:val="20"/>
                <w:szCs w:val="24"/>
              </w:rPr>
            </w:pP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Sbarra, Cheryl</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4F6C01" w:rsidRDefault="00577713" w:rsidP="00577713">
            <w:pPr>
              <w:jc w:val="center"/>
              <w:cnfStyle w:val="000000100000" w:firstRow="0" w:lastRow="0" w:firstColumn="0" w:lastColumn="0" w:oddVBand="0" w:evenVBand="0" w:oddHBand="1" w:evenHBand="0" w:firstRowFirstColumn="0" w:firstRowLastColumn="0" w:lastRowFirstColumn="0" w:lastRowLastColumn="0"/>
              <w:rPr>
                <w:b/>
                <w:caps/>
                <w:sz w:val="24"/>
                <w:szCs w:val="24"/>
              </w:rPr>
            </w:pPr>
            <w:r w:rsidRPr="004F6C01">
              <w:rPr>
                <w:b/>
                <w:caps/>
                <w:color w:val="FF0000"/>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3</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Smith, Mark</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Sullivan, Bernie</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211356" w:rsidRDefault="00577713" w:rsidP="00577713">
            <w:pPr>
              <w:jc w:val="center"/>
              <w:cnfStyle w:val="000000100000" w:firstRow="0" w:lastRow="0" w:firstColumn="0" w:lastColumn="0" w:oddVBand="0" w:evenVBand="0" w:oddHBand="1" w:evenHBand="0" w:firstRowFirstColumn="0" w:firstRowLastColumn="0" w:lastRowFirstColumn="0" w:lastRowLastColumn="0"/>
              <w:rPr>
                <w:b/>
                <w:caps/>
                <w:sz w:val="24"/>
                <w:szCs w:val="24"/>
              </w:rPr>
            </w:pPr>
            <w:r w:rsidRPr="00211356">
              <w:rPr>
                <w:b/>
                <w:caps/>
                <w:color w:val="FF0000"/>
                <w:sz w:val="24"/>
                <w:szCs w:val="24"/>
              </w:rPr>
              <w:t>x</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2</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Ultrino, Rep. Steven</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1</w:t>
            </w:r>
          </w:p>
        </w:tc>
      </w:tr>
      <w:tr w:rsidR="00577713" w:rsidTr="009628E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Walker, Phoebe</w:t>
            </w:r>
          </w:p>
        </w:tc>
        <w:tc>
          <w:tcPr>
            <w:tcW w:w="813" w:type="dxa"/>
            <w:tcBorders>
              <w:top w:val="single" w:sz="4" w:space="0" w:color="auto"/>
              <w:left w:val="single" w:sz="4" w:space="0" w:color="auto"/>
              <w:bottom w:val="single" w:sz="4" w:space="0" w:color="auto"/>
              <w:right w:val="single" w:sz="4" w:space="0" w:color="auto"/>
            </w:tcBorders>
          </w:tcPr>
          <w:p w:rsidR="00577713" w:rsidRPr="00211356" w:rsidRDefault="00577713" w:rsidP="00577713">
            <w:pPr>
              <w:jc w:val="center"/>
              <w:cnfStyle w:val="000000100000" w:firstRow="0" w:lastRow="0" w:firstColumn="0" w:lastColumn="0" w:oddVBand="0" w:evenVBand="0" w:oddHBand="1" w:evenHBand="0" w:firstRowFirstColumn="0" w:firstRowLastColumn="0" w:lastRowFirstColumn="0" w:lastRowLastColumn="0"/>
              <w:rPr>
                <w:b/>
                <w:caps/>
                <w:sz w:val="24"/>
                <w:szCs w:val="24"/>
              </w:rPr>
            </w:pPr>
            <w:r w:rsidRPr="00211356">
              <w:rPr>
                <w:b/>
                <w:caps/>
                <w:color w:val="FF0000"/>
                <w:sz w:val="24"/>
                <w:szCs w:val="24"/>
              </w:rPr>
              <w:t>X</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2</w:t>
            </w:r>
          </w:p>
        </w:tc>
      </w:tr>
      <w:tr w:rsidR="00577713" w:rsidTr="009628E0">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Ward, Steven</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sidRPr="005520B4">
              <w:rPr>
                <w:caps/>
                <w:sz w:val="24"/>
                <w:szCs w:val="24"/>
              </w:rPr>
              <w:t>X</w:t>
            </w: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000000" w:firstRow="0" w:lastRow="0" w:firstColumn="0" w:lastColumn="0" w:oddVBand="0" w:evenVBand="0" w:oddHBand="0" w:evenHBand="0" w:firstRowFirstColumn="0" w:firstRowLastColumn="0" w:lastRowFirstColumn="0" w:lastRowLastColumn="0"/>
              <w:rPr>
                <w:caps/>
                <w:sz w:val="24"/>
                <w:szCs w:val="24"/>
              </w:rPr>
            </w:pPr>
            <w:r>
              <w:rPr>
                <w:caps/>
                <w:sz w:val="24"/>
                <w:szCs w:val="24"/>
              </w:rPr>
              <w:t>2</w:t>
            </w:r>
          </w:p>
        </w:tc>
      </w:tr>
      <w:tr w:rsidR="00577713" w:rsidTr="006503A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9628E0" w:rsidRDefault="00577713" w:rsidP="00577713">
            <w:pPr>
              <w:rPr>
                <w:b w:val="0"/>
                <w:sz w:val="24"/>
                <w:szCs w:val="24"/>
              </w:rPr>
            </w:pPr>
            <w:r w:rsidRPr="009628E0">
              <w:rPr>
                <w:b w:val="0"/>
                <w:sz w:val="24"/>
                <w:szCs w:val="24"/>
              </w:rPr>
              <w:t>Wong, Sam</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sidRPr="005520B4">
              <w:rPr>
                <w:caps/>
                <w:sz w:val="24"/>
                <w:szCs w:val="24"/>
              </w:rPr>
              <w:t>X</w:t>
            </w:r>
          </w:p>
        </w:tc>
        <w:tc>
          <w:tcPr>
            <w:tcW w:w="101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1</w:t>
            </w:r>
          </w:p>
        </w:tc>
      </w:tr>
      <w:tr w:rsidR="006503AD" w:rsidTr="0076695B">
        <w:trPr>
          <w:trHeight w:val="36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6503AD" w:rsidRPr="006503AD" w:rsidRDefault="006503AD" w:rsidP="00577713">
            <w:pPr>
              <w:rPr>
                <w:b w:val="0"/>
                <w:sz w:val="24"/>
                <w:szCs w:val="24"/>
              </w:rPr>
            </w:pPr>
            <w:r w:rsidRPr="006503AD">
              <w:rPr>
                <w:b w:val="0"/>
                <w:sz w:val="24"/>
                <w:szCs w:val="24"/>
              </w:rPr>
              <w:t>Municipality 5,000-50,000</w:t>
            </w:r>
          </w:p>
        </w:tc>
        <w:tc>
          <w:tcPr>
            <w:tcW w:w="6609" w:type="dxa"/>
            <w:gridSpan w:val="6"/>
            <w:tcBorders>
              <w:top w:val="single" w:sz="4" w:space="0" w:color="auto"/>
              <w:left w:val="single" w:sz="4" w:space="0" w:color="auto"/>
              <w:bottom w:val="single" w:sz="4" w:space="0" w:color="auto"/>
              <w:right w:val="single" w:sz="4" w:space="0" w:color="auto"/>
            </w:tcBorders>
          </w:tcPr>
          <w:p w:rsidR="006503AD" w:rsidRPr="006503AD" w:rsidRDefault="006503AD" w:rsidP="00577713">
            <w:pPr>
              <w:jc w:val="center"/>
              <w:cnfStyle w:val="000000000000" w:firstRow="0" w:lastRow="0" w:firstColumn="0" w:lastColumn="0" w:oddVBand="0" w:evenVBand="0" w:oddHBand="0" w:evenHBand="0" w:firstRowFirstColumn="0" w:firstRowLastColumn="0" w:lastRowFirstColumn="0" w:lastRowLastColumn="0"/>
              <w:rPr>
                <w:sz w:val="24"/>
                <w:szCs w:val="24"/>
              </w:rPr>
            </w:pPr>
            <w:r w:rsidRPr="006503AD">
              <w:rPr>
                <w:sz w:val="24"/>
                <w:szCs w:val="24"/>
              </w:rPr>
              <w:t>Pending</w:t>
            </w:r>
          </w:p>
        </w:tc>
      </w:tr>
      <w:tr w:rsidR="00577713" w:rsidTr="006503A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rPr>
                <w:sz w:val="24"/>
                <w:szCs w:val="24"/>
              </w:rPr>
            </w:pPr>
            <w:r>
              <w:rPr>
                <w:sz w:val="24"/>
                <w:szCs w:val="24"/>
              </w:rPr>
              <w:t>Total (quorum)</w:t>
            </w:r>
          </w:p>
        </w:tc>
        <w:tc>
          <w:tcPr>
            <w:tcW w:w="81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6 (4)</w:t>
            </w:r>
          </w:p>
        </w:tc>
        <w:tc>
          <w:tcPr>
            <w:tcW w:w="1218"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7 (4)</w:t>
            </w:r>
          </w:p>
        </w:tc>
        <w:tc>
          <w:tcPr>
            <w:tcW w:w="1149"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7 (4)</w:t>
            </w:r>
          </w:p>
        </w:tc>
        <w:tc>
          <w:tcPr>
            <w:tcW w:w="1343" w:type="dxa"/>
            <w:tcBorders>
              <w:top w:val="single" w:sz="4" w:space="0" w:color="auto"/>
              <w:left w:val="single" w:sz="4" w:space="0" w:color="auto"/>
              <w:bottom w:val="single" w:sz="4" w:space="0" w:color="auto"/>
              <w:right w:val="single" w:sz="4" w:space="0" w:color="auto"/>
            </w:tcBorders>
          </w:tcPr>
          <w:p w:rsidR="00577713" w:rsidRPr="005520B4"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5 (3)</w:t>
            </w:r>
          </w:p>
        </w:tc>
        <w:tc>
          <w:tcPr>
            <w:tcW w:w="1069" w:type="dxa"/>
            <w:tcBorders>
              <w:top w:val="single" w:sz="4" w:space="0" w:color="auto"/>
              <w:left w:val="single" w:sz="4" w:space="0" w:color="auto"/>
              <w:bottom w:val="single" w:sz="4" w:space="0" w:color="auto"/>
              <w:right w:val="single" w:sz="4" w:space="0" w:color="auto"/>
            </w:tcBorders>
          </w:tcPr>
          <w:p w:rsidR="00577713" w:rsidRPr="005520B4" w:rsidRDefault="00A775C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r>
              <w:rPr>
                <w:caps/>
                <w:sz w:val="24"/>
                <w:szCs w:val="24"/>
              </w:rPr>
              <w:t>6</w:t>
            </w:r>
            <w:r w:rsidR="00577713">
              <w:rPr>
                <w:caps/>
                <w:sz w:val="24"/>
                <w:szCs w:val="24"/>
              </w:rPr>
              <w:t xml:space="preserve"> (</w:t>
            </w:r>
            <w:r>
              <w:rPr>
                <w:caps/>
                <w:sz w:val="24"/>
                <w:szCs w:val="24"/>
              </w:rPr>
              <w:t>4</w:t>
            </w:r>
            <w:r w:rsidR="00577713">
              <w:rPr>
                <w:caps/>
                <w:sz w:val="24"/>
                <w:szCs w:val="24"/>
              </w:rPr>
              <w:t>)</w:t>
            </w:r>
          </w:p>
        </w:tc>
        <w:tc>
          <w:tcPr>
            <w:tcW w:w="1017" w:type="dxa"/>
            <w:tcBorders>
              <w:top w:val="single" w:sz="4" w:space="0" w:color="auto"/>
              <w:left w:val="single" w:sz="4" w:space="0" w:color="auto"/>
              <w:bottom w:val="single" w:sz="4" w:space="0" w:color="auto"/>
              <w:right w:val="single" w:sz="4" w:space="0" w:color="auto"/>
            </w:tcBorders>
          </w:tcPr>
          <w:p w:rsidR="00577713" w:rsidRDefault="00577713" w:rsidP="00577713">
            <w:pPr>
              <w:jc w:val="center"/>
              <w:cnfStyle w:val="000000100000" w:firstRow="0" w:lastRow="0" w:firstColumn="0" w:lastColumn="0" w:oddVBand="0" w:evenVBand="0" w:oddHBand="1" w:evenHBand="0" w:firstRowFirstColumn="0" w:firstRowLastColumn="0" w:lastRowFirstColumn="0" w:lastRowLastColumn="0"/>
              <w:rPr>
                <w:caps/>
                <w:sz w:val="24"/>
                <w:szCs w:val="24"/>
              </w:rPr>
            </w:pPr>
          </w:p>
        </w:tc>
      </w:tr>
    </w:tbl>
    <w:p w:rsidR="00577713" w:rsidRDefault="00577713" w:rsidP="00577713">
      <w:pPr>
        <w:rPr>
          <w:rFonts w:ascii="Garamond" w:eastAsiaTheme="majorEastAsia" w:hAnsi="Garamond" w:cs="Calibri"/>
          <w:b/>
          <w:smallCaps/>
          <w:color w:val="17365D" w:themeColor="text2" w:themeShade="BF"/>
          <w:spacing w:val="5"/>
          <w:kern w:val="28"/>
          <w:sz w:val="32"/>
          <w:szCs w:val="36"/>
        </w:rPr>
      </w:pPr>
    </w:p>
    <w:p w:rsidR="00577713" w:rsidRDefault="00577713" w:rsidP="00577713">
      <w:pPr>
        <w:rPr>
          <w:rFonts w:eastAsiaTheme="majorEastAsia" w:cs="Calibri"/>
          <w:spacing w:val="5"/>
          <w:kern w:val="28"/>
          <w:sz w:val="24"/>
          <w:szCs w:val="36"/>
        </w:rPr>
      </w:pPr>
      <w:r w:rsidRPr="00211356">
        <w:rPr>
          <w:rFonts w:eastAsiaTheme="majorEastAsia" w:cs="Calibri"/>
          <w:b/>
          <w:smallCaps/>
          <w:color w:val="FF0000"/>
          <w:spacing w:val="5"/>
          <w:kern w:val="28"/>
          <w:sz w:val="24"/>
          <w:szCs w:val="36"/>
        </w:rPr>
        <w:t xml:space="preserve">X </w:t>
      </w:r>
      <w:r w:rsidRPr="00211356">
        <w:rPr>
          <w:rFonts w:eastAsiaTheme="majorEastAsia" w:cs="Calibri"/>
          <w:b/>
          <w:smallCaps/>
          <w:spacing w:val="5"/>
          <w:kern w:val="28"/>
          <w:sz w:val="24"/>
          <w:szCs w:val="36"/>
        </w:rPr>
        <w:t xml:space="preserve">– </w:t>
      </w:r>
      <w:r w:rsidRPr="00211356">
        <w:rPr>
          <w:rFonts w:eastAsiaTheme="majorEastAsia" w:cs="Calibri"/>
          <w:spacing w:val="5"/>
          <w:kern w:val="28"/>
          <w:sz w:val="24"/>
          <w:szCs w:val="36"/>
        </w:rPr>
        <w:t>Subcommittee chair/co-chair</w:t>
      </w:r>
    </w:p>
    <w:p w:rsidR="00577713" w:rsidRDefault="00577713" w:rsidP="00577713">
      <w:r>
        <w:br w:type="page"/>
      </w:r>
    </w:p>
    <w:p w:rsidR="00577713" w:rsidRDefault="00577713" w:rsidP="00577713">
      <w:pPr>
        <w:rPr>
          <w:rFonts w:eastAsia="Times New Roman"/>
          <w:color w:val="000000"/>
        </w:rPr>
      </w:pPr>
    </w:p>
    <w:p w:rsidR="00577713" w:rsidRPr="00DA5F7E" w:rsidRDefault="00577713" w:rsidP="00577713">
      <w:pPr>
        <w:pStyle w:val="Default"/>
        <w:jc w:val="center"/>
        <w:rPr>
          <w:sz w:val="28"/>
          <w:szCs w:val="28"/>
        </w:rPr>
      </w:pPr>
      <w:r>
        <w:rPr>
          <w:sz w:val="28"/>
          <w:szCs w:val="28"/>
        </w:rPr>
        <w:t xml:space="preserve">Descriptions of </w:t>
      </w:r>
      <w:r w:rsidRPr="00573A66">
        <w:rPr>
          <w:sz w:val="28"/>
          <w:szCs w:val="28"/>
        </w:rPr>
        <w:t>Subcommittee</w:t>
      </w:r>
      <w:r>
        <w:rPr>
          <w:sz w:val="28"/>
          <w:szCs w:val="28"/>
        </w:rPr>
        <w:t>s</w:t>
      </w:r>
    </w:p>
    <w:p w:rsidR="00577713" w:rsidRDefault="00577713" w:rsidP="00577713">
      <w:pPr>
        <w:pStyle w:val="Default"/>
        <w:rPr>
          <w:szCs w:val="22"/>
        </w:rPr>
      </w:pPr>
    </w:p>
    <w:p w:rsidR="00577713" w:rsidRPr="00FB63B5" w:rsidRDefault="00577713" w:rsidP="00577713">
      <w:pPr>
        <w:pStyle w:val="Default"/>
        <w:rPr>
          <w:rFonts w:asciiTheme="minorHAnsi" w:hAnsiTheme="minorHAnsi"/>
          <w:b/>
          <w:u w:val="single"/>
        </w:rPr>
      </w:pPr>
      <w:r w:rsidRPr="00FB63B5">
        <w:rPr>
          <w:rFonts w:asciiTheme="minorHAnsi" w:hAnsiTheme="minorHAnsi"/>
          <w:b/>
          <w:u w:val="single"/>
        </w:rPr>
        <w:t>Data Subcommittee</w:t>
      </w:r>
    </w:p>
    <w:p w:rsidR="00577713" w:rsidRPr="00FB63B5" w:rsidRDefault="00577713" w:rsidP="00577713">
      <w:pPr>
        <w:pStyle w:val="Default"/>
        <w:rPr>
          <w:rFonts w:asciiTheme="minorHAnsi" w:hAnsiTheme="minorHAnsi"/>
        </w:rPr>
      </w:pPr>
    </w:p>
    <w:p w:rsidR="00577713" w:rsidRPr="009F585B" w:rsidRDefault="00577713" w:rsidP="00577713">
      <w:pPr>
        <w:ind w:left="1440" w:hanging="1440"/>
        <w:rPr>
          <w:sz w:val="24"/>
          <w:szCs w:val="24"/>
        </w:rPr>
      </w:pPr>
      <w:r w:rsidRPr="009F585B">
        <w:rPr>
          <w:sz w:val="24"/>
          <w:szCs w:val="24"/>
        </w:rPr>
        <w:t>Members:</w:t>
      </w:r>
      <w:r w:rsidRPr="009F585B">
        <w:rPr>
          <w:sz w:val="24"/>
          <w:szCs w:val="24"/>
        </w:rPr>
        <w:tab/>
      </w:r>
      <w:proofErr w:type="spellStart"/>
      <w:r>
        <w:rPr>
          <w:sz w:val="24"/>
          <w:szCs w:val="24"/>
        </w:rPr>
        <w:t>Justeen</w:t>
      </w:r>
      <w:proofErr w:type="spellEnd"/>
      <w:r>
        <w:rPr>
          <w:sz w:val="24"/>
          <w:szCs w:val="24"/>
        </w:rPr>
        <w:t xml:space="preserve"> Hyde (Co-chair), </w:t>
      </w:r>
      <w:r w:rsidRPr="009F585B">
        <w:rPr>
          <w:sz w:val="24"/>
          <w:szCs w:val="24"/>
        </w:rPr>
        <w:t>Phoebe Walker</w:t>
      </w:r>
      <w:r>
        <w:rPr>
          <w:sz w:val="24"/>
          <w:szCs w:val="24"/>
        </w:rPr>
        <w:t xml:space="preserve"> (Co-chair), </w:t>
      </w:r>
      <w:r w:rsidRPr="009F585B">
        <w:rPr>
          <w:sz w:val="24"/>
          <w:szCs w:val="24"/>
        </w:rPr>
        <w:t>Cheryl Sba</w:t>
      </w:r>
      <w:r w:rsidR="006503AD">
        <w:rPr>
          <w:sz w:val="24"/>
          <w:szCs w:val="24"/>
        </w:rPr>
        <w:t>rra, Mark Smith, Carmela Mancini</w:t>
      </w:r>
      <w:r w:rsidRPr="009F585B">
        <w:rPr>
          <w:sz w:val="24"/>
          <w:szCs w:val="24"/>
        </w:rPr>
        <w:t>, David McCready</w:t>
      </w:r>
    </w:p>
    <w:p w:rsidR="00577713" w:rsidRPr="009F585B" w:rsidRDefault="00577713" w:rsidP="00577713">
      <w:pPr>
        <w:rPr>
          <w:sz w:val="24"/>
          <w:szCs w:val="24"/>
        </w:rPr>
      </w:pPr>
      <w:r w:rsidRPr="009F585B">
        <w:rPr>
          <w:sz w:val="24"/>
          <w:szCs w:val="24"/>
        </w:rPr>
        <w:t>OLRH Staff:</w:t>
      </w:r>
      <w:r w:rsidRPr="009F585B">
        <w:rPr>
          <w:sz w:val="24"/>
          <w:szCs w:val="24"/>
        </w:rPr>
        <w:tab/>
        <w:t>Shelly Yarnie</w:t>
      </w:r>
    </w:p>
    <w:p w:rsidR="00577713" w:rsidRPr="00FB63B5" w:rsidRDefault="00577713" w:rsidP="00577713">
      <w:pPr>
        <w:pStyle w:val="Default"/>
        <w:rPr>
          <w:rFonts w:asciiTheme="minorHAnsi" w:hAnsiTheme="minorHAnsi"/>
        </w:rPr>
      </w:pPr>
    </w:p>
    <w:p w:rsidR="00577713" w:rsidRPr="00FB63B5" w:rsidRDefault="00577713" w:rsidP="00577713">
      <w:pPr>
        <w:rPr>
          <w:b/>
          <w:sz w:val="24"/>
          <w:szCs w:val="24"/>
        </w:rPr>
      </w:pPr>
      <w:r w:rsidRPr="00FB63B5">
        <w:rPr>
          <w:b/>
          <w:sz w:val="24"/>
          <w:szCs w:val="24"/>
        </w:rPr>
        <w:t xml:space="preserve">Relevant language from Commission charge </w:t>
      </w:r>
    </w:p>
    <w:p w:rsidR="00577713" w:rsidRPr="00FB63B5" w:rsidRDefault="00577713" w:rsidP="00577713">
      <w:pPr>
        <w:rPr>
          <w:sz w:val="24"/>
          <w:szCs w:val="24"/>
        </w:rPr>
      </w:pPr>
    </w:p>
    <w:p w:rsidR="00577713" w:rsidRPr="00FB63B5" w:rsidRDefault="00577713" w:rsidP="00577713">
      <w:pPr>
        <w:rPr>
          <w:sz w:val="24"/>
          <w:szCs w:val="24"/>
        </w:rPr>
      </w:pPr>
      <w:r w:rsidRPr="00FB63B5">
        <w:rPr>
          <w:sz w:val="24"/>
          <w:szCs w:val="24"/>
        </w:rPr>
        <w:t>Entire Commission Charge</w:t>
      </w:r>
    </w:p>
    <w:p w:rsidR="00577713" w:rsidRPr="00FB63B5" w:rsidRDefault="00577713" w:rsidP="00577713">
      <w:pPr>
        <w:rPr>
          <w:sz w:val="24"/>
          <w:szCs w:val="24"/>
        </w:rPr>
      </w:pPr>
    </w:p>
    <w:p w:rsidR="00577713" w:rsidRPr="00FB63B5" w:rsidRDefault="00577713" w:rsidP="00577713">
      <w:pPr>
        <w:rPr>
          <w:b/>
          <w:sz w:val="24"/>
          <w:szCs w:val="24"/>
        </w:rPr>
      </w:pPr>
      <w:r w:rsidRPr="00FB63B5">
        <w:rPr>
          <w:b/>
          <w:sz w:val="24"/>
          <w:szCs w:val="24"/>
        </w:rPr>
        <w:t>Tasks</w:t>
      </w:r>
    </w:p>
    <w:p w:rsidR="00577713" w:rsidRPr="00FB63B5" w:rsidRDefault="00577713" w:rsidP="00577713">
      <w:pPr>
        <w:rPr>
          <w:b/>
          <w:sz w:val="24"/>
          <w:szCs w:val="24"/>
        </w:rPr>
      </w:pPr>
    </w:p>
    <w:p w:rsidR="00577713" w:rsidRPr="00FB63B5" w:rsidRDefault="00577713" w:rsidP="000A0AB7">
      <w:pPr>
        <w:pStyle w:val="ListParagraph"/>
        <w:numPr>
          <w:ilvl w:val="0"/>
          <w:numId w:val="24"/>
        </w:numPr>
        <w:contextualSpacing/>
        <w:rPr>
          <w:sz w:val="24"/>
          <w:szCs w:val="24"/>
        </w:rPr>
      </w:pPr>
      <w:r w:rsidRPr="00FB63B5">
        <w:rPr>
          <w:sz w:val="24"/>
          <w:szCs w:val="24"/>
        </w:rPr>
        <w:t xml:space="preserve">Review information about resources, staffing, credentials, and capacity to meet standards listed in the charge. </w:t>
      </w:r>
    </w:p>
    <w:p w:rsidR="00577713" w:rsidRPr="00FB63B5" w:rsidRDefault="00577713" w:rsidP="000A0AB7">
      <w:pPr>
        <w:pStyle w:val="ListParagraph"/>
        <w:numPr>
          <w:ilvl w:val="0"/>
          <w:numId w:val="24"/>
        </w:numPr>
        <w:contextualSpacing/>
        <w:rPr>
          <w:sz w:val="24"/>
          <w:szCs w:val="24"/>
        </w:rPr>
      </w:pPr>
      <w:r w:rsidRPr="00FB63B5">
        <w:rPr>
          <w:sz w:val="24"/>
          <w:szCs w:val="24"/>
        </w:rPr>
        <w:t>Explore DPH and DEP data</w:t>
      </w:r>
    </w:p>
    <w:p w:rsidR="00577713" w:rsidRPr="00FB63B5" w:rsidRDefault="00577713" w:rsidP="000A0AB7">
      <w:pPr>
        <w:pStyle w:val="ListParagraph"/>
        <w:numPr>
          <w:ilvl w:val="0"/>
          <w:numId w:val="24"/>
        </w:numPr>
        <w:contextualSpacing/>
        <w:rPr>
          <w:sz w:val="24"/>
          <w:szCs w:val="24"/>
        </w:rPr>
      </w:pPr>
      <w:r w:rsidRPr="00FB63B5">
        <w:rPr>
          <w:sz w:val="24"/>
          <w:szCs w:val="24"/>
        </w:rPr>
        <w:t>Consider a new data collection effort</w:t>
      </w:r>
    </w:p>
    <w:p w:rsidR="00577713" w:rsidRDefault="00577713" w:rsidP="00577713">
      <w:pPr>
        <w:pStyle w:val="Default"/>
        <w:ind w:left="360"/>
        <w:rPr>
          <w:rFonts w:asciiTheme="minorHAnsi" w:hAnsiTheme="minorHAnsi"/>
        </w:rPr>
      </w:pPr>
    </w:p>
    <w:p w:rsidR="00577713" w:rsidRPr="00FB63B5" w:rsidRDefault="00577713" w:rsidP="00577713">
      <w:pPr>
        <w:pStyle w:val="Default"/>
        <w:ind w:left="360"/>
        <w:rPr>
          <w:rFonts w:asciiTheme="minorHAnsi" w:hAnsiTheme="minorHAnsi"/>
        </w:rPr>
      </w:pPr>
    </w:p>
    <w:p w:rsidR="00577713" w:rsidRPr="00E93EF2" w:rsidRDefault="00577713" w:rsidP="00577713">
      <w:pPr>
        <w:rPr>
          <w:rFonts w:cs="Calibri"/>
          <w:b/>
          <w:sz w:val="24"/>
          <w:szCs w:val="24"/>
          <w:u w:val="single"/>
        </w:rPr>
      </w:pPr>
      <w:r w:rsidRPr="00E93EF2">
        <w:rPr>
          <w:rFonts w:cs="Calibri"/>
          <w:b/>
          <w:sz w:val="24"/>
          <w:szCs w:val="24"/>
          <w:u w:val="single"/>
        </w:rPr>
        <w:t>Finance Subcommittee</w:t>
      </w:r>
    </w:p>
    <w:p w:rsidR="00577713" w:rsidRDefault="00577713" w:rsidP="00577713">
      <w:pPr>
        <w:rPr>
          <w:b/>
          <w:sz w:val="24"/>
          <w:szCs w:val="24"/>
        </w:rPr>
      </w:pPr>
    </w:p>
    <w:p w:rsidR="00577713" w:rsidRPr="007C6C18" w:rsidRDefault="00577713" w:rsidP="00577713">
      <w:pPr>
        <w:ind w:left="1440" w:hanging="1440"/>
        <w:rPr>
          <w:sz w:val="24"/>
        </w:rPr>
      </w:pPr>
      <w:r>
        <w:rPr>
          <w:sz w:val="24"/>
          <w:szCs w:val="24"/>
        </w:rPr>
        <w:t>Members:</w:t>
      </w:r>
      <w:r>
        <w:rPr>
          <w:sz w:val="24"/>
          <w:szCs w:val="24"/>
        </w:rPr>
        <w:tab/>
      </w:r>
      <w:r w:rsidRPr="00C011FF">
        <w:rPr>
          <w:sz w:val="24"/>
        </w:rPr>
        <w:t xml:space="preserve">Sen. Jason Lewis, Rep. Steven Ultrino, </w:t>
      </w:r>
      <w:r w:rsidR="006503AD" w:rsidRPr="006503AD">
        <w:rPr>
          <w:sz w:val="24"/>
        </w:rPr>
        <w:t xml:space="preserve">Sean </w:t>
      </w:r>
      <w:proofErr w:type="gramStart"/>
      <w:r w:rsidR="006503AD" w:rsidRPr="006503AD">
        <w:rPr>
          <w:sz w:val="24"/>
        </w:rPr>
        <w:t>Cronin</w:t>
      </w:r>
      <w:r w:rsidR="006503AD">
        <w:rPr>
          <w:sz w:val="24"/>
        </w:rPr>
        <w:t xml:space="preserve"> ,</w:t>
      </w:r>
      <w:proofErr w:type="gramEnd"/>
      <w:r w:rsidR="006503AD">
        <w:rPr>
          <w:sz w:val="24"/>
        </w:rPr>
        <w:t xml:space="preserve"> </w:t>
      </w:r>
      <w:r w:rsidRPr="00C011FF">
        <w:rPr>
          <w:sz w:val="24"/>
        </w:rPr>
        <w:t xml:space="preserve">Eileen </w:t>
      </w:r>
      <w:proofErr w:type="spellStart"/>
      <w:r w:rsidRPr="00C011FF">
        <w:rPr>
          <w:sz w:val="24"/>
        </w:rPr>
        <w:t>McAnneny</w:t>
      </w:r>
      <w:proofErr w:type="spellEnd"/>
      <w:r w:rsidRPr="00C011FF">
        <w:rPr>
          <w:sz w:val="24"/>
        </w:rPr>
        <w:t xml:space="preserve">, </w:t>
      </w:r>
      <w:r w:rsidR="006503AD">
        <w:rPr>
          <w:sz w:val="24"/>
        </w:rPr>
        <w:t>Cheryl Sbarra, Sam Wong</w:t>
      </w:r>
      <w:r>
        <w:rPr>
          <w:sz w:val="24"/>
        </w:rPr>
        <w:t xml:space="preserve"> </w:t>
      </w:r>
      <w:r>
        <w:t>[</w:t>
      </w:r>
      <w:r w:rsidRPr="00C011FF">
        <w:rPr>
          <w:i/>
          <w:sz w:val="24"/>
          <w:szCs w:val="24"/>
        </w:rPr>
        <w:t>Chair to be determined</w:t>
      </w:r>
      <w:r>
        <w:rPr>
          <w:sz w:val="24"/>
          <w:szCs w:val="24"/>
        </w:rPr>
        <w:t>]</w:t>
      </w:r>
    </w:p>
    <w:p w:rsidR="00577713" w:rsidRPr="009F585B" w:rsidRDefault="00577713" w:rsidP="00577713">
      <w:pPr>
        <w:rPr>
          <w:sz w:val="24"/>
          <w:szCs w:val="24"/>
        </w:rPr>
      </w:pPr>
      <w:r w:rsidRPr="009F585B">
        <w:rPr>
          <w:sz w:val="24"/>
          <w:szCs w:val="24"/>
        </w:rPr>
        <w:t>OLRH Staff:</w:t>
      </w:r>
      <w:r w:rsidRPr="009F585B">
        <w:rPr>
          <w:sz w:val="24"/>
          <w:szCs w:val="24"/>
        </w:rPr>
        <w:tab/>
        <w:t>Ron O’Connor</w:t>
      </w:r>
    </w:p>
    <w:p w:rsidR="00577713" w:rsidRPr="00FB63B5" w:rsidRDefault="00577713" w:rsidP="00577713">
      <w:pPr>
        <w:rPr>
          <w:b/>
          <w:sz w:val="24"/>
          <w:szCs w:val="24"/>
        </w:rPr>
      </w:pPr>
    </w:p>
    <w:p w:rsidR="00577713" w:rsidRPr="00FB63B5" w:rsidRDefault="00577713" w:rsidP="00577713">
      <w:pPr>
        <w:rPr>
          <w:sz w:val="24"/>
          <w:szCs w:val="24"/>
        </w:rPr>
      </w:pPr>
      <w:r w:rsidRPr="00FB63B5">
        <w:rPr>
          <w:b/>
          <w:sz w:val="24"/>
          <w:szCs w:val="24"/>
        </w:rPr>
        <w:t>Relevant language from Commission charge</w:t>
      </w:r>
    </w:p>
    <w:p w:rsidR="00577713" w:rsidRPr="00FB63B5" w:rsidRDefault="00577713" w:rsidP="00577713">
      <w:pPr>
        <w:rPr>
          <w:sz w:val="24"/>
          <w:szCs w:val="24"/>
        </w:rPr>
      </w:pPr>
    </w:p>
    <w:p w:rsidR="00577713" w:rsidRPr="00FB63B5" w:rsidRDefault="00577713" w:rsidP="00577713">
      <w:pPr>
        <w:rPr>
          <w:sz w:val="24"/>
          <w:szCs w:val="24"/>
        </w:rPr>
      </w:pPr>
      <w:r w:rsidRPr="00FB63B5">
        <w:rPr>
          <w:sz w:val="24"/>
          <w:szCs w:val="24"/>
        </w:rPr>
        <w:t>Evaluate existing municipal and state resources for local health and assess per capita funding levels within municipalities for local health.</w:t>
      </w:r>
    </w:p>
    <w:p w:rsidR="00577713" w:rsidRPr="00FB63B5" w:rsidRDefault="00577713" w:rsidP="00577713">
      <w:pPr>
        <w:rPr>
          <w:b/>
          <w:sz w:val="24"/>
          <w:szCs w:val="24"/>
        </w:rPr>
      </w:pPr>
    </w:p>
    <w:p w:rsidR="00577713" w:rsidRPr="00FB63B5" w:rsidRDefault="00577713" w:rsidP="00577713">
      <w:pPr>
        <w:rPr>
          <w:b/>
          <w:sz w:val="24"/>
          <w:szCs w:val="24"/>
        </w:rPr>
      </w:pPr>
      <w:r w:rsidRPr="00FB63B5">
        <w:rPr>
          <w:b/>
          <w:sz w:val="24"/>
          <w:szCs w:val="24"/>
        </w:rPr>
        <w:t>Tasks</w:t>
      </w:r>
    </w:p>
    <w:p w:rsidR="00577713" w:rsidRPr="00FB63B5" w:rsidRDefault="00577713" w:rsidP="00577713">
      <w:pPr>
        <w:rPr>
          <w:sz w:val="24"/>
          <w:szCs w:val="24"/>
        </w:rPr>
      </w:pPr>
    </w:p>
    <w:p w:rsidR="00577713" w:rsidRPr="00FB63B5" w:rsidRDefault="00577713" w:rsidP="000A0AB7">
      <w:pPr>
        <w:pStyle w:val="ListParagraph"/>
        <w:numPr>
          <w:ilvl w:val="0"/>
          <w:numId w:val="21"/>
        </w:numPr>
        <w:contextualSpacing/>
        <w:rPr>
          <w:sz w:val="24"/>
          <w:szCs w:val="24"/>
        </w:rPr>
      </w:pPr>
      <w:r w:rsidRPr="00FB63B5">
        <w:rPr>
          <w:sz w:val="24"/>
          <w:szCs w:val="24"/>
        </w:rPr>
        <w:t>Examine variation in current per capita spending across the state</w:t>
      </w:r>
    </w:p>
    <w:p w:rsidR="00577713" w:rsidRPr="00FB63B5" w:rsidRDefault="00577713" w:rsidP="000A0AB7">
      <w:pPr>
        <w:pStyle w:val="ListParagraph"/>
        <w:numPr>
          <w:ilvl w:val="0"/>
          <w:numId w:val="21"/>
        </w:numPr>
        <w:contextualSpacing/>
        <w:rPr>
          <w:sz w:val="24"/>
          <w:szCs w:val="24"/>
        </w:rPr>
      </w:pPr>
      <w:r w:rsidRPr="00FB63B5">
        <w:rPr>
          <w:sz w:val="24"/>
          <w:szCs w:val="24"/>
        </w:rPr>
        <w:t>Explore funding models from other states without county taxation structure (CT, NJ?)</w:t>
      </w:r>
    </w:p>
    <w:p w:rsidR="00577713" w:rsidRPr="00FB63B5" w:rsidRDefault="00577713" w:rsidP="000A0AB7">
      <w:pPr>
        <w:pStyle w:val="ListParagraph"/>
        <w:numPr>
          <w:ilvl w:val="0"/>
          <w:numId w:val="21"/>
        </w:numPr>
        <w:contextualSpacing/>
        <w:rPr>
          <w:sz w:val="24"/>
          <w:szCs w:val="24"/>
        </w:rPr>
      </w:pPr>
      <w:r w:rsidRPr="00FB63B5">
        <w:rPr>
          <w:sz w:val="24"/>
          <w:szCs w:val="24"/>
        </w:rPr>
        <w:t>Later: Evaluate costs of Commission’s recommendations and explore sources of funding to meet them.</w:t>
      </w:r>
    </w:p>
    <w:p w:rsidR="00577713" w:rsidRPr="00FB63B5" w:rsidRDefault="00577713" w:rsidP="00577713">
      <w:pPr>
        <w:pStyle w:val="ListParagraph"/>
        <w:ind w:left="360"/>
        <w:rPr>
          <w:sz w:val="24"/>
          <w:szCs w:val="24"/>
        </w:rPr>
      </w:pPr>
    </w:p>
    <w:p w:rsidR="00577713" w:rsidRDefault="00577713" w:rsidP="00577713">
      <w:pPr>
        <w:rPr>
          <w:b/>
          <w:sz w:val="24"/>
          <w:szCs w:val="24"/>
          <w:u w:val="single"/>
        </w:rPr>
      </w:pPr>
      <w:r>
        <w:rPr>
          <w:b/>
          <w:sz w:val="24"/>
          <w:szCs w:val="24"/>
          <w:u w:val="single"/>
        </w:rPr>
        <w:br w:type="page"/>
      </w:r>
    </w:p>
    <w:p w:rsidR="00577713" w:rsidRPr="00FB63B5" w:rsidRDefault="00577713" w:rsidP="00577713">
      <w:pPr>
        <w:rPr>
          <w:b/>
          <w:sz w:val="24"/>
          <w:szCs w:val="24"/>
          <w:u w:val="single"/>
        </w:rPr>
      </w:pPr>
      <w:r w:rsidRPr="00FB63B5">
        <w:rPr>
          <w:b/>
          <w:sz w:val="24"/>
          <w:szCs w:val="24"/>
          <w:u w:val="single"/>
        </w:rPr>
        <w:lastRenderedPageBreak/>
        <w:t>Structure Subcommittee</w:t>
      </w:r>
    </w:p>
    <w:p w:rsidR="00577713" w:rsidRPr="00FB63B5" w:rsidRDefault="00577713" w:rsidP="00577713">
      <w:pPr>
        <w:rPr>
          <w:b/>
          <w:sz w:val="24"/>
          <w:szCs w:val="24"/>
        </w:rPr>
      </w:pPr>
    </w:p>
    <w:p w:rsidR="00577713" w:rsidRPr="00C011FF" w:rsidRDefault="00577713" w:rsidP="00577713">
      <w:pPr>
        <w:ind w:left="1440" w:hanging="1440"/>
        <w:rPr>
          <w:sz w:val="28"/>
          <w:szCs w:val="24"/>
        </w:rPr>
      </w:pPr>
      <w:r w:rsidRPr="00C011FF">
        <w:rPr>
          <w:sz w:val="24"/>
        </w:rPr>
        <w:t>Members:</w:t>
      </w:r>
      <w:r w:rsidRPr="00C011FF">
        <w:rPr>
          <w:sz w:val="24"/>
        </w:rPr>
        <w:tab/>
        <w:t>Bernie Sullivan (</w:t>
      </w:r>
      <w:r>
        <w:rPr>
          <w:sz w:val="24"/>
        </w:rPr>
        <w:t>C</w:t>
      </w:r>
      <w:r w:rsidRPr="00C011FF">
        <w:rPr>
          <w:sz w:val="24"/>
        </w:rPr>
        <w:t xml:space="preserve">hair), Rep. Hannah Kane, Harold Cox, Kevin Mizikar, Charlie Kaniecki, Terri Khoury, </w:t>
      </w:r>
      <w:r>
        <w:rPr>
          <w:sz w:val="24"/>
        </w:rPr>
        <w:t>Lorraine O’Connor</w:t>
      </w:r>
    </w:p>
    <w:p w:rsidR="00577713" w:rsidRPr="009F585B" w:rsidRDefault="00577713" w:rsidP="00577713">
      <w:pPr>
        <w:rPr>
          <w:sz w:val="24"/>
          <w:szCs w:val="24"/>
        </w:rPr>
      </w:pPr>
      <w:r w:rsidRPr="009F585B">
        <w:rPr>
          <w:sz w:val="24"/>
          <w:szCs w:val="24"/>
        </w:rPr>
        <w:t>OLRH Staff:</w:t>
      </w:r>
      <w:r w:rsidRPr="009F585B">
        <w:rPr>
          <w:sz w:val="24"/>
          <w:szCs w:val="24"/>
        </w:rPr>
        <w:tab/>
      </w:r>
      <w:r>
        <w:rPr>
          <w:sz w:val="24"/>
          <w:szCs w:val="24"/>
        </w:rPr>
        <w:t>Michael Coughlin, Ron O’Connor</w:t>
      </w:r>
    </w:p>
    <w:p w:rsidR="00577713" w:rsidRPr="00FB63B5" w:rsidRDefault="00577713" w:rsidP="00577713">
      <w:pPr>
        <w:rPr>
          <w:b/>
          <w:sz w:val="24"/>
          <w:szCs w:val="24"/>
        </w:rPr>
      </w:pPr>
    </w:p>
    <w:p w:rsidR="00577713" w:rsidRPr="00FB63B5" w:rsidRDefault="00577713" w:rsidP="00577713">
      <w:pPr>
        <w:rPr>
          <w:b/>
          <w:sz w:val="24"/>
          <w:szCs w:val="24"/>
        </w:rPr>
      </w:pPr>
      <w:r w:rsidRPr="00FB63B5">
        <w:rPr>
          <w:b/>
          <w:sz w:val="24"/>
          <w:szCs w:val="24"/>
        </w:rPr>
        <w:t>Relevant language from Commission charge</w:t>
      </w:r>
    </w:p>
    <w:p w:rsidR="00577713" w:rsidRPr="00FB63B5" w:rsidRDefault="00577713" w:rsidP="00577713">
      <w:pPr>
        <w:rPr>
          <w:sz w:val="24"/>
          <w:szCs w:val="24"/>
        </w:rPr>
      </w:pPr>
    </w:p>
    <w:p w:rsidR="00577713" w:rsidRPr="00FB63B5" w:rsidRDefault="00577713" w:rsidP="00577713">
      <w:pPr>
        <w:rPr>
          <w:sz w:val="24"/>
          <w:szCs w:val="24"/>
        </w:rPr>
      </w:pPr>
      <w:r w:rsidRPr="00FB63B5">
        <w:rPr>
          <w:sz w:val="24"/>
          <w:szCs w:val="24"/>
        </w:rPr>
        <w:t>Evaluate existing regional collaboration and various models of service delivery across the commonwealth, including stand-alone, shared service and fully comprehensive regional districts.</w:t>
      </w:r>
    </w:p>
    <w:p w:rsidR="00577713" w:rsidRPr="00FB63B5" w:rsidRDefault="00577713" w:rsidP="00577713">
      <w:pPr>
        <w:rPr>
          <w:b/>
          <w:sz w:val="24"/>
          <w:szCs w:val="24"/>
        </w:rPr>
      </w:pPr>
    </w:p>
    <w:p w:rsidR="00577713" w:rsidRPr="00FB63B5" w:rsidRDefault="00577713" w:rsidP="00577713">
      <w:pPr>
        <w:rPr>
          <w:b/>
          <w:sz w:val="24"/>
          <w:szCs w:val="24"/>
        </w:rPr>
      </w:pPr>
      <w:r w:rsidRPr="00FB63B5">
        <w:rPr>
          <w:b/>
          <w:sz w:val="24"/>
          <w:szCs w:val="24"/>
        </w:rPr>
        <w:t>Tasks</w:t>
      </w:r>
    </w:p>
    <w:p w:rsidR="00577713" w:rsidRPr="00FB63B5" w:rsidRDefault="00577713" w:rsidP="00577713">
      <w:pPr>
        <w:rPr>
          <w:b/>
          <w:sz w:val="24"/>
          <w:szCs w:val="24"/>
        </w:rPr>
      </w:pPr>
    </w:p>
    <w:p w:rsidR="00577713" w:rsidRPr="00FB63B5" w:rsidRDefault="00577713" w:rsidP="00577713">
      <w:pPr>
        <w:rPr>
          <w:sz w:val="24"/>
          <w:szCs w:val="24"/>
        </w:rPr>
      </w:pPr>
      <w:r w:rsidRPr="00FB63B5">
        <w:rPr>
          <w:sz w:val="24"/>
          <w:szCs w:val="24"/>
        </w:rPr>
        <w:t xml:space="preserve">Compile a list of regional public health structures in Massachusetts and other states, including their governance systems, any evaluation data, and any details on funding systems and requirements. </w:t>
      </w:r>
    </w:p>
    <w:p w:rsidR="00577713" w:rsidRDefault="00577713" w:rsidP="00577713">
      <w:pPr>
        <w:rPr>
          <w:sz w:val="24"/>
          <w:szCs w:val="24"/>
        </w:rPr>
      </w:pPr>
    </w:p>
    <w:p w:rsidR="00577713" w:rsidRPr="00FB63B5" w:rsidRDefault="00577713" w:rsidP="00577713">
      <w:pPr>
        <w:rPr>
          <w:sz w:val="24"/>
          <w:szCs w:val="24"/>
        </w:rPr>
      </w:pPr>
    </w:p>
    <w:p w:rsidR="00577713" w:rsidRPr="00FB63B5" w:rsidRDefault="00577713" w:rsidP="00577713">
      <w:pPr>
        <w:rPr>
          <w:b/>
          <w:sz w:val="24"/>
          <w:szCs w:val="24"/>
          <w:u w:val="single"/>
        </w:rPr>
      </w:pPr>
      <w:r w:rsidRPr="00FB63B5">
        <w:rPr>
          <w:rFonts w:cs="Calibri"/>
          <w:b/>
          <w:sz w:val="24"/>
          <w:szCs w:val="24"/>
          <w:u w:val="single"/>
        </w:rPr>
        <w:t>Workforce Credentials Subcommittee</w:t>
      </w:r>
    </w:p>
    <w:p w:rsidR="00577713" w:rsidRDefault="00577713" w:rsidP="00577713">
      <w:pPr>
        <w:rPr>
          <w:b/>
          <w:sz w:val="24"/>
          <w:szCs w:val="24"/>
        </w:rPr>
      </w:pPr>
    </w:p>
    <w:p w:rsidR="00577713" w:rsidRDefault="00577713" w:rsidP="00577713">
      <w:r>
        <w:rPr>
          <w:sz w:val="24"/>
          <w:szCs w:val="24"/>
        </w:rPr>
        <w:t>Members:</w:t>
      </w:r>
      <w:r>
        <w:rPr>
          <w:sz w:val="24"/>
          <w:szCs w:val="24"/>
        </w:rPr>
        <w:tab/>
      </w:r>
      <w:r>
        <w:t xml:space="preserve">Laura </w:t>
      </w:r>
      <w:proofErr w:type="spellStart"/>
      <w:r>
        <w:t>Kittross</w:t>
      </w:r>
      <w:proofErr w:type="spellEnd"/>
      <w:r>
        <w:t xml:space="preserve"> (Chair), Sharon Cameron, Charlie Kaniecki, Maria Pelletier, Steven Ward</w:t>
      </w:r>
    </w:p>
    <w:p w:rsidR="00577713" w:rsidRPr="009F585B" w:rsidRDefault="00577713" w:rsidP="00577713">
      <w:pPr>
        <w:rPr>
          <w:sz w:val="24"/>
          <w:szCs w:val="24"/>
        </w:rPr>
      </w:pPr>
      <w:r w:rsidRPr="009F585B">
        <w:rPr>
          <w:sz w:val="24"/>
          <w:szCs w:val="24"/>
        </w:rPr>
        <w:t>OLRH Staff:</w:t>
      </w:r>
      <w:r w:rsidRPr="009F585B">
        <w:rPr>
          <w:sz w:val="24"/>
          <w:szCs w:val="24"/>
        </w:rPr>
        <w:tab/>
        <w:t>Erica Piedade</w:t>
      </w:r>
    </w:p>
    <w:p w:rsidR="00577713" w:rsidRPr="00FB63B5" w:rsidRDefault="00577713" w:rsidP="00577713">
      <w:pPr>
        <w:rPr>
          <w:b/>
          <w:sz w:val="24"/>
          <w:szCs w:val="24"/>
        </w:rPr>
      </w:pPr>
    </w:p>
    <w:p w:rsidR="00577713" w:rsidRPr="00FB63B5" w:rsidRDefault="00577713" w:rsidP="00577713">
      <w:pPr>
        <w:rPr>
          <w:b/>
          <w:sz w:val="24"/>
          <w:szCs w:val="24"/>
        </w:rPr>
      </w:pPr>
      <w:r w:rsidRPr="00FB63B5">
        <w:rPr>
          <w:b/>
          <w:sz w:val="24"/>
          <w:szCs w:val="24"/>
        </w:rPr>
        <w:t>Relevant language from Commission charge</w:t>
      </w:r>
    </w:p>
    <w:p w:rsidR="00577713" w:rsidRPr="00FB63B5" w:rsidRDefault="00577713" w:rsidP="00577713">
      <w:pPr>
        <w:rPr>
          <w:sz w:val="24"/>
          <w:szCs w:val="24"/>
        </w:rPr>
      </w:pPr>
    </w:p>
    <w:p w:rsidR="00577713" w:rsidRPr="00FB63B5" w:rsidRDefault="00577713" w:rsidP="00577713">
      <w:pPr>
        <w:rPr>
          <w:sz w:val="24"/>
          <w:szCs w:val="24"/>
        </w:rPr>
      </w:pPr>
      <w:r w:rsidRPr="00FB63B5">
        <w:rPr>
          <w:sz w:val="24"/>
          <w:szCs w:val="24"/>
        </w:rPr>
        <w:t>Evaluate the workforce credentials of the current and future public health workforce as to educational standards, credentialing, and training.</w:t>
      </w:r>
    </w:p>
    <w:p w:rsidR="00577713" w:rsidRPr="00FB63B5" w:rsidRDefault="00577713" w:rsidP="00577713">
      <w:pPr>
        <w:rPr>
          <w:sz w:val="24"/>
          <w:szCs w:val="24"/>
        </w:rPr>
      </w:pPr>
    </w:p>
    <w:p w:rsidR="00577713" w:rsidRPr="00FB63B5" w:rsidRDefault="00577713" w:rsidP="00577713">
      <w:pPr>
        <w:rPr>
          <w:b/>
          <w:sz w:val="24"/>
          <w:szCs w:val="24"/>
        </w:rPr>
      </w:pPr>
      <w:r w:rsidRPr="00FB63B5">
        <w:rPr>
          <w:b/>
          <w:sz w:val="24"/>
          <w:szCs w:val="24"/>
        </w:rPr>
        <w:t>Subcommittee Tasks</w:t>
      </w:r>
    </w:p>
    <w:p w:rsidR="00577713" w:rsidRPr="00FB63B5" w:rsidRDefault="00577713" w:rsidP="00577713">
      <w:pPr>
        <w:rPr>
          <w:sz w:val="24"/>
          <w:szCs w:val="24"/>
        </w:rPr>
      </w:pPr>
    </w:p>
    <w:p w:rsidR="00577713" w:rsidRPr="00FB63B5" w:rsidRDefault="00577713" w:rsidP="000A0AB7">
      <w:pPr>
        <w:pStyle w:val="ListParagraph"/>
        <w:numPr>
          <w:ilvl w:val="0"/>
          <w:numId w:val="20"/>
        </w:numPr>
        <w:contextualSpacing/>
        <w:rPr>
          <w:sz w:val="24"/>
          <w:szCs w:val="24"/>
        </w:rPr>
      </w:pPr>
      <w:r w:rsidRPr="00FB63B5">
        <w:rPr>
          <w:sz w:val="24"/>
          <w:szCs w:val="24"/>
        </w:rPr>
        <w:t>Review existing credential requirements in Massachusetts and compare to requirements of other states</w:t>
      </w:r>
    </w:p>
    <w:p w:rsidR="00577713" w:rsidRPr="00FB63B5" w:rsidRDefault="00577713" w:rsidP="000A0AB7">
      <w:pPr>
        <w:pStyle w:val="ListParagraph"/>
        <w:numPr>
          <w:ilvl w:val="0"/>
          <w:numId w:val="20"/>
        </w:numPr>
        <w:contextualSpacing/>
        <w:rPr>
          <w:sz w:val="24"/>
          <w:szCs w:val="24"/>
        </w:rPr>
      </w:pPr>
      <w:r w:rsidRPr="00FB63B5">
        <w:rPr>
          <w:sz w:val="24"/>
          <w:szCs w:val="24"/>
        </w:rPr>
        <w:t xml:space="preserve">Identify the systems in place in states with mandated credentials to manage their requirements </w:t>
      </w:r>
    </w:p>
    <w:p w:rsidR="00577713" w:rsidRPr="00FB63B5" w:rsidRDefault="00577713" w:rsidP="000A0AB7">
      <w:pPr>
        <w:pStyle w:val="ListParagraph"/>
        <w:numPr>
          <w:ilvl w:val="0"/>
          <w:numId w:val="20"/>
        </w:numPr>
        <w:contextualSpacing/>
        <w:rPr>
          <w:sz w:val="24"/>
          <w:szCs w:val="24"/>
        </w:rPr>
      </w:pPr>
      <w:r w:rsidRPr="00FB63B5">
        <w:rPr>
          <w:sz w:val="24"/>
          <w:szCs w:val="24"/>
        </w:rPr>
        <w:t>Review data on current credentials of the local public health workforce (once it becomes available)</w:t>
      </w:r>
    </w:p>
    <w:p w:rsidR="00577713" w:rsidRPr="00FB63B5" w:rsidRDefault="00577713" w:rsidP="000A0AB7">
      <w:pPr>
        <w:pStyle w:val="ListParagraph"/>
        <w:numPr>
          <w:ilvl w:val="0"/>
          <w:numId w:val="20"/>
        </w:numPr>
        <w:contextualSpacing/>
        <w:rPr>
          <w:sz w:val="24"/>
          <w:szCs w:val="24"/>
        </w:rPr>
      </w:pPr>
      <w:r w:rsidRPr="00FB63B5">
        <w:rPr>
          <w:sz w:val="24"/>
          <w:szCs w:val="24"/>
        </w:rPr>
        <w:t>Research process of changing mandated credentials in Massachusetts (Veterans Agent, Animal Control Officer, Building Commissioner, etc.)</w:t>
      </w:r>
    </w:p>
    <w:p w:rsidR="00577713" w:rsidRPr="00FB63B5" w:rsidRDefault="00577713" w:rsidP="000A0AB7">
      <w:pPr>
        <w:pStyle w:val="ListParagraph"/>
        <w:numPr>
          <w:ilvl w:val="0"/>
          <w:numId w:val="20"/>
        </w:numPr>
        <w:contextualSpacing/>
        <w:rPr>
          <w:sz w:val="24"/>
          <w:szCs w:val="24"/>
        </w:rPr>
      </w:pPr>
      <w:r w:rsidRPr="00FB63B5">
        <w:rPr>
          <w:sz w:val="24"/>
          <w:szCs w:val="24"/>
        </w:rPr>
        <w:t>Prepare draft credential requirements for review by full Commission</w:t>
      </w:r>
    </w:p>
    <w:p w:rsidR="00577713" w:rsidRPr="00FB63B5" w:rsidRDefault="00577713" w:rsidP="00577713">
      <w:pPr>
        <w:rPr>
          <w:rFonts w:cs="Calibri"/>
          <w:b/>
          <w:smallCaps/>
          <w:sz w:val="24"/>
          <w:szCs w:val="24"/>
        </w:rPr>
      </w:pPr>
    </w:p>
    <w:p w:rsidR="00577713" w:rsidRDefault="00577713" w:rsidP="00577713">
      <w:pPr>
        <w:rPr>
          <w:rFonts w:cs="Calibri"/>
          <w:b/>
          <w:sz w:val="24"/>
          <w:szCs w:val="24"/>
          <w:u w:val="single"/>
        </w:rPr>
      </w:pPr>
      <w:r>
        <w:rPr>
          <w:rFonts w:cs="Calibri"/>
          <w:b/>
          <w:sz w:val="24"/>
          <w:szCs w:val="24"/>
          <w:u w:val="single"/>
        </w:rPr>
        <w:br w:type="page"/>
      </w:r>
    </w:p>
    <w:p w:rsidR="00577713" w:rsidRPr="00FB63B5" w:rsidRDefault="00577713" w:rsidP="00577713">
      <w:pPr>
        <w:rPr>
          <w:rFonts w:cs="Calibri"/>
          <w:b/>
          <w:sz w:val="24"/>
          <w:szCs w:val="24"/>
          <w:u w:val="single"/>
        </w:rPr>
      </w:pPr>
      <w:r w:rsidRPr="00FB63B5">
        <w:rPr>
          <w:rFonts w:cs="Calibri"/>
          <w:b/>
          <w:sz w:val="24"/>
          <w:szCs w:val="24"/>
          <w:u w:val="single"/>
        </w:rPr>
        <w:lastRenderedPageBreak/>
        <w:t>Standards Subcommittee</w:t>
      </w:r>
    </w:p>
    <w:p w:rsidR="00577713" w:rsidRDefault="00577713" w:rsidP="00577713">
      <w:pPr>
        <w:rPr>
          <w:b/>
          <w:sz w:val="24"/>
          <w:szCs w:val="24"/>
        </w:rPr>
      </w:pPr>
    </w:p>
    <w:p w:rsidR="00577713" w:rsidRPr="00C011FF" w:rsidRDefault="00577713" w:rsidP="00577713">
      <w:pPr>
        <w:ind w:left="1440" w:hanging="1440"/>
        <w:rPr>
          <w:sz w:val="24"/>
          <w:szCs w:val="24"/>
        </w:rPr>
      </w:pPr>
      <w:r w:rsidRPr="00C011FF">
        <w:rPr>
          <w:sz w:val="24"/>
          <w:szCs w:val="24"/>
        </w:rPr>
        <w:t>Members:</w:t>
      </w:r>
      <w:r w:rsidRPr="00C011FF">
        <w:rPr>
          <w:sz w:val="24"/>
          <w:szCs w:val="24"/>
        </w:rPr>
        <w:tab/>
        <w:t xml:space="preserve">Cheryl Sbarra </w:t>
      </w:r>
      <w:r>
        <w:rPr>
          <w:sz w:val="24"/>
          <w:szCs w:val="24"/>
        </w:rPr>
        <w:t xml:space="preserve">(Chair), </w:t>
      </w:r>
      <w:r w:rsidRPr="00C011FF">
        <w:rPr>
          <w:sz w:val="24"/>
          <w:szCs w:val="24"/>
        </w:rPr>
        <w:t xml:space="preserve">Sharon Cameron, Terri Khoury, Laura </w:t>
      </w:r>
      <w:proofErr w:type="spellStart"/>
      <w:r w:rsidRPr="00C011FF">
        <w:rPr>
          <w:sz w:val="24"/>
          <w:szCs w:val="24"/>
        </w:rPr>
        <w:t>Kittross</w:t>
      </w:r>
      <w:proofErr w:type="spellEnd"/>
      <w:r w:rsidRPr="00C011FF">
        <w:rPr>
          <w:sz w:val="24"/>
          <w:szCs w:val="24"/>
        </w:rPr>
        <w:t xml:space="preserve">, Maria Pelletier, </w:t>
      </w:r>
      <w:r>
        <w:rPr>
          <w:sz w:val="24"/>
          <w:szCs w:val="24"/>
        </w:rPr>
        <w:t>Phoebe Walker, Steven Ward</w:t>
      </w:r>
    </w:p>
    <w:p w:rsidR="00577713" w:rsidRPr="009F585B" w:rsidRDefault="00577713" w:rsidP="00577713">
      <w:pPr>
        <w:rPr>
          <w:sz w:val="24"/>
          <w:szCs w:val="24"/>
        </w:rPr>
      </w:pPr>
      <w:r w:rsidRPr="009F585B">
        <w:rPr>
          <w:sz w:val="24"/>
          <w:szCs w:val="24"/>
        </w:rPr>
        <w:t>OLRH Staff:</w:t>
      </w:r>
      <w:r w:rsidRPr="009F585B">
        <w:rPr>
          <w:sz w:val="24"/>
          <w:szCs w:val="24"/>
        </w:rPr>
        <w:tab/>
        <w:t xml:space="preserve">Ron O’Connor </w:t>
      </w:r>
    </w:p>
    <w:p w:rsidR="00577713" w:rsidRPr="00FB63B5" w:rsidRDefault="00577713" w:rsidP="00577713">
      <w:pPr>
        <w:pStyle w:val="Default"/>
        <w:rPr>
          <w:rFonts w:asciiTheme="minorHAnsi" w:hAnsiTheme="minorHAnsi"/>
        </w:rPr>
      </w:pPr>
    </w:p>
    <w:p w:rsidR="00577713" w:rsidRPr="00FB63B5" w:rsidRDefault="00577713" w:rsidP="00577713">
      <w:pPr>
        <w:rPr>
          <w:b/>
          <w:sz w:val="24"/>
          <w:szCs w:val="24"/>
        </w:rPr>
      </w:pPr>
      <w:r w:rsidRPr="00FB63B5">
        <w:rPr>
          <w:b/>
          <w:sz w:val="24"/>
          <w:szCs w:val="24"/>
        </w:rPr>
        <w:t>Relevant language from Commission charge</w:t>
      </w:r>
    </w:p>
    <w:p w:rsidR="00577713" w:rsidRPr="00FB63B5" w:rsidRDefault="00577713" w:rsidP="00577713">
      <w:pPr>
        <w:pStyle w:val="NoSpacing"/>
        <w:rPr>
          <w:b/>
          <w:sz w:val="24"/>
          <w:szCs w:val="24"/>
        </w:rPr>
      </w:pPr>
    </w:p>
    <w:p w:rsidR="00577713" w:rsidRPr="00FB63B5" w:rsidRDefault="00577713" w:rsidP="000A0AB7">
      <w:pPr>
        <w:pStyle w:val="NoSpacing"/>
        <w:numPr>
          <w:ilvl w:val="0"/>
          <w:numId w:val="22"/>
        </w:numPr>
        <w:rPr>
          <w:sz w:val="24"/>
          <w:szCs w:val="24"/>
        </w:rPr>
      </w:pPr>
      <w:r w:rsidRPr="00FB63B5">
        <w:rPr>
          <w:sz w:val="24"/>
          <w:szCs w:val="24"/>
        </w:rPr>
        <w:t>Assess the capacity of local public health authorities to carry out their statutory powers and duties.</w:t>
      </w:r>
    </w:p>
    <w:p w:rsidR="00577713" w:rsidRPr="00FB63B5" w:rsidRDefault="00577713" w:rsidP="000A0AB7">
      <w:pPr>
        <w:pStyle w:val="NoSpacing"/>
        <w:numPr>
          <w:ilvl w:val="0"/>
          <w:numId w:val="22"/>
        </w:numPr>
        <w:rPr>
          <w:sz w:val="24"/>
          <w:szCs w:val="24"/>
        </w:rPr>
      </w:pPr>
      <w:r w:rsidRPr="00FB63B5">
        <w:rPr>
          <w:sz w:val="24"/>
          <w:szCs w:val="24"/>
        </w:rPr>
        <w:t>Examine the capacity of local and regional public health authorities in comparison to national public health standards and recommendations.</w:t>
      </w:r>
    </w:p>
    <w:p w:rsidR="00577713" w:rsidRPr="00FB63B5" w:rsidRDefault="00577713" w:rsidP="00577713">
      <w:pPr>
        <w:pStyle w:val="NoSpacing"/>
        <w:rPr>
          <w:b/>
          <w:sz w:val="24"/>
          <w:szCs w:val="24"/>
        </w:rPr>
      </w:pPr>
    </w:p>
    <w:p w:rsidR="00577713" w:rsidRPr="00FB63B5" w:rsidRDefault="00577713" w:rsidP="00577713">
      <w:pPr>
        <w:pStyle w:val="NoSpacing"/>
        <w:rPr>
          <w:b/>
          <w:sz w:val="24"/>
          <w:szCs w:val="24"/>
        </w:rPr>
      </w:pPr>
      <w:r w:rsidRPr="00FB63B5">
        <w:rPr>
          <w:b/>
          <w:sz w:val="24"/>
          <w:szCs w:val="24"/>
        </w:rPr>
        <w:t>Subcommittee Tasks</w:t>
      </w:r>
    </w:p>
    <w:p w:rsidR="00577713" w:rsidRPr="00FB63B5" w:rsidRDefault="00577713" w:rsidP="00577713">
      <w:pPr>
        <w:pStyle w:val="NoSpacing"/>
        <w:rPr>
          <w:b/>
          <w:sz w:val="24"/>
          <w:szCs w:val="24"/>
        </w:rPr>
      </w:pPr>
    </w:p>
    <w:p w:rsidR="00577713" w:rsidRPr="00E93EF2" w:rsidRDefault="00577713" w:rsidP="000A0AB7">
      <w:pPr>
        <w:pStyle w:val="NoSpacing"/>
        <w:numPr>
          <w:ilvl w:val="0"/>
          <w:numId w:val="23"/>
        </w:numPr>
        <w:rPr>
          <w:sz w:val="24"/>
          <w:szCs w:val="24"/>
        </w:rPr>
      </w:pPr>
      <w:r>
        <w:rPr>
          <w:sz w:val="24"/>
          <w:szCs w:val="24"/>
        </w:rPr>
        <w:t>M</w:t>
      </w:r>
      <w:r w:rsidRPr="00E93EF2">
        <w:rPr>
          <w:sz w:val="24"/>
          <w:szCs w:val="24"/>
        </w:rPr>
        <w:t xml:space="preserve">ake recommendations to the Special Commission </w:t>
      </w:r>
      <w:r>
        <w:rPr>
          <w:sz w:val="24"/>
          <w:szCs w:val="24"/>
        </w:rPr>
        <w:t xml:space="preserve">on Local and Regional Public Health </w:t>
      </w:r>
      <w:r w:rsidRPr="00E93EF2">
        <w:rPr>
          <w:sz w:val="24"/>
          <w:szCs w:val="24"/>
        </w:rPr>
        <w:t xml:space="preserve">on expectations for a minimum set of services to be provided by local public health authorities </w:t>
      </w:r>
    </w:p>
    <w:p w:rsidR="00577713" w:rsidRPr="00E93EF2" w:rsidRDefault="00577713" w:rsidP="000A0AB7">
      <w:pPr>
        <w:pStyle w:val="NoSpacing"/>
        <w:numPr>
          <w:ilvl w:val="0"/>
          <w:numId w:val="23"/>
        </w:numPr>
        <w:rPr>
          <w:sz w:val="24"/>
          <w:szCs w:val="24"/>
        </w:rPr>
      </w:pPr>
      <w:r w:rsidRPr="00E93EF2">
        <w:rPr>
          <w:sz w:val="24"/>
          <w:szCs w:val="24"/>
        </w:rPr>
        <w:t>Review available studies which provide information on the capacity of local public health authorities to carry out their statutory powers and duties</w:t>
      </w:r>
    </w:p>
    <w:p w:rsidR="00577713" w:rsidRDefault="00577713" w:rsidP="000A0AB7">
      <w:pPr>
        <w:pStyle w:val="NoSpacing"/>
        <w:numPr>
          <w:ilvl w:val="0"/>
          <w:numId w:val="23"/>
        </w:numPr>
        <w:rPr>
          <w:sz w:val="24"/>
          <w:szCs w:val="24"/>
        </w:rPr>
      </w:pPr>
      <w:r w:rsidRPr="00E93EF2">
        <w:rPr>
          <w:sz w:val="24"/>
          <w:szCs w:val="24"/>
        </w:rPr>
        <w:t>Review national performance standards for local and regional public health authorities</w:t>
      </w:r>
    </w:p>
    <w:p w:rsidR="005B23E6" w:rsidRDefault="00577713" w:rsidP="000A0AB7">
      <w:pPr>
        <w:pStyle w:val="NoSpacing"/>
        <w:numPr>
          <w:ilvl w:val="0"/>
          <w:numId w:val="23"/>
        </w:numPr>
        <w:rPr>
          <w:sz w:val="24"/>
          <w:szCs w:val="24"/>
        </w:rPr>
      </w:pPr>
      <w:r w:rsidRPr="00ED3928">
        <w:rPr>
          <w:sz w:val="24"/>
          <w:szCs w:val="24"/>
        </w:rPr>
        <w:t>Compare the capacity of local and regional public health authorities against performance standards and recommendations of national organizations including U.S. Centers for Disease Control, National Association of County and City Health Officials, Public Health Accreditation Board, National Association of Local Boards of Health, Association of State and Territorial Health Officials, and American Public Health Ass</w:t>
      </w:r>
      <w:r>
        <w:rPr>
          <w:sz w:val="24"/>
          <w:szCs w:val="24"/>
        </w:rPr>
        <w:t>ociation</w:t>
      </w:r>
    </w:p>
    <w:p w:rsidR="005B23E6" w:rsidRDefault="005B23E6">
      <w:pPr>
        <w:spacing w:after="200" w:line="276" w:lineRule="auto"/>
        <w:rPr>
          <w:rFonts w:asciiTheme="minorHAnsi" w:hAnsiTheme="minorHAnsi" w:cstheme="minorBidi"/>
          <w:sz w:val="24"/>
          <w:szCs w:val="24"/>
        </w:rPr>
      </w:pPr>
      <w:r>
        <w:rPr>
          <w:sz w:val="24"/>
          <w:szCs w:val="24"/>
        </w:rPr>
        <w:br w:type="page"/>
      </w:r>
    </w:p>
    <w:p w:rsidR="00577713" w:rsidRDefault="005B23E6" w:rsidP="00734D36">
      <w:pPr>
        <w:pStyle w:val="Heading1"/>
      </w:pPr>
      <w:bookmarkStart w:id="13" w:name="_Toc514334042"/>
      <w:r>
        <w:lastRenderedPageBreak/>
        <w:t xml:space="preserve">Appendix </w:t>
      </w:r>
      <w:r w:rsidR="003F1D59">
        <w:t>D</w:t>
      </w:r>
      <w:bookmarkEnd w:id="13"/>
    </w:p>
    <w:p w:rsidR="005B23E6" w:rsidRDefault="005B23E6" w:rsidP="005B23E6">
      <w:pPr>
        <w:pStyle w:val="NoSpacing"/>
        <w:jc w:val="center"/>
        <w:rPr>
          <w:sz w:val="24"/>
          <w:szCs w:val="24"/>
        </w:rPr>
      </w:pPr>
    </w:p>
    <w:p w:rsidR="005B23E6" w:rsidRPr="00967945" w:rsidRDefault="005B23E6" w:rsidP="005B23E6">
      <w:pPr>
        <w:pStyle w:val="NoSpacing"/>
        <w:jc w:val="center"/>
        <w:rPr>
          <w:b/>
          <w:sz w:val="24"/>
          <w:szCs w:val="24"/>
        </w:rPr>
      </w:pPr>
      <w:r w:rsidRPr="00967945">
        <w:rPr>
          <w:b/>
          <w:sz w:val="24"/>
          <w:szCs w:val="24"/>
        </w:rPr>
        <w:t>Special Commission on Local and Regional Public Health</w:t>
      </w:r>
    </w:p>
    <w:p w:rsidR="005B23E6" w:rsidRDefault="005B23E6" w:rsidP="005B23E6">
      <w:pPr>
        <w:pStyle w:val="NoSpacing"/>
        <w:jc w:val="center"/>
        <w:rPr>
          <w:b/>
          <w:sz w:val="24"/>
          <w:szCs w:val="24"/>
        </w:rPr>
      </w:pPr>
      <w:r w:rsidRPr="00967945">
        <w:rPr>
          <w:b/>
          <w:sz w:val="24"/>
          <w:szCs w:val="24"/>
        </w:rPr>
        <w:t>Schedule of Listening Sessions</w:t>
      </w:r>
    </w:p>
    <w:p w:rsidR="00314BD6" w:rsidRPr="00967945" w:rsidRDefault="00314BD6" w:rsidP="005B23E6">
      <w:pPr>
        <w:pStyle w:val="NoSpacing"/>
        <w:jc w:val="center"/>
        <w:rPr>
          <w:b/>
          <w:sz w:val="24"/>
          <w:szCs w:val="24"/>
        </w:rPr>
      </w:pPr>
      <w:r>
        <w:rPr>
          <w:b/>
          <w:sz w:val="24"/>
          <w:szCs w:val="24"/>
        </w:rPr>
        <w:t>(Revised June 1, 2018)</w:t>
      </w:r>
      <w:bookmarkStart w:id="14" w:name="_GoBack"/>
      <w:bookmarkEnd w:id="14"/>
    </w:p>
    <w:p w:rsidR="005B23E6" w:rsidRDefault="005B23E6" w:rsidP="005B23E6">
      <w:pPr>
        <w:pStyle w:val="NoSpacing"/>
        <w:jc w:val="center"/>
        <w:rPr>
          <w:sz w:val="24"/>
          <w:szCs w:val="24"/>
        </w:rPr>
      </w:pPr>
    </w:p>
    <w:p w:rsidR="00592C58" w:rsidRPr="00592C58" w:rsidRDefault="00592C58" w:rsidP="00AB2FFF">
      <w:pPr>
        <w:spacing w:line="276" w:lineRule="auto"/>
        <w:rPr>
          <w:b/>
          <w:sz w:val="24"/>
          <w:szCs w:val="24"/>
        </w:rPr>
      </w:pPr>
      <w:proofErr w:type="gramStart"/>
      <w:r w:rsidRPr="00592C58">
        <w:rPr>
          <w:b/>
          <w:sz w:val="24"/>
          <w:szCs w:val="24"/>
        </w:rPr>
        <w:t>Monday, June 4, 2018</w:t>
      </w:r>
      <w:r>
        <w:rPr>
          <w:b/>
          <w:sz w:val="24"/>
          <w:szCs w:val="24"/>
        </w:rPr>
        <w:t xml:space="preserve"> | </w:t>
      </w:r>
      <w:r w:rsidR="00D43BD2">
        <w:rPr>
          <w:b/>
          <w:sz w:val="24"/>
          <w:szCs w:val="24"/>
        </w:rPr>
        <w:t>2:00 p.m. to 4:00 p.m.</w:t>
      </w:r>
      <w:proofErr w:type="gramEnd"/>
    </w:p>
    <w:p w:rsidR="00BE2E19" w:rsidRDefault="00BE2E19" w:rsidP="00AB2FFF">
      <w:pPr>
        <w:spacing w:line="276" w:lineRule="auto"/>
        <w:rPr>
          <w:sz w:val="24"/>
          <w:szCs w:val="24"/>
        </w:rPr>
      </w:pPr>
      <w:r>
        <w:rPr>
          <w:sz w:val="24"/>
          <w:szCs w:val="24"/>
        </w:rPr>
        <w:t>Franklin Regional Council of Governments</w:t>
      </w:r>
    </w:p>
    <w:p w:rsidR="00BE2E19" w:rsidRPr="00CC5C71" w:rsidRDefault="00592C58" w:rsidP="00AB2FFF">
      <w:pPr>
        <w:spacing w:line="276" w:lineRule="auto"/>
        <w:rPr>
          <w:sz w:val="28"/>
          <w:szCs w:val="24"/>
        </w:rPr>
      </w:pPr>
      <w:r w:rsidRPr="00CC5C71">
        <w:rPr>
          <w:sz w:val="24"/>
        </w:rPr>
        <w:t xml:space="preserve">12 Olive Street #2, </w:t>
      </w:r>
      <w:r w:rsidRPr="00CC5C71">
        <w:rPr>
          <w:sz w:val="28"/>
          <w:szCs w:val="24"/>
        </w:rPr>
        <w:t>Greenfield</w:t>
      </w:r>
    </w:p>
    <w:p w:rsidR="00592C58" w:rsidRDefault="00592C58" w:rsidP="00AB2FFF">
      <w:pPr>
        <w:spacing w:line="276" w:lineRule="auto"/>
        <w:rPr>
          <w:sz w:val="24"/>
          <w:szCs w:val="24"/>
        </w:rPr>
      </w:pPr>
    </w:p>
    <w:p w:rsidR="00592C58" w:rsidRPr="00592C58" w:rsidRDefault="00BE2E19" w:rsidP="00AB2FFF">
      <w:pPr>
        <w:spacing w:line="276" w:lineRule="auto"/>
        <w:rPr>
          <w:b/>
          <w:sz w:val="24"/>
          <w:szCs w:val="24"/>
        </w:rPr>
      </w:pPr>
      <w:r w:rsidRPr="00592C58">
        <w:rPr>
          <w:b/>
          <w:sz w:val="24"/>
          <w:szCs w:val="24"/>
        </w:rPr>
        <w:t>Tuesday, June 5, 2018</w:t>
      </w:r>
      <w:r w:rsidR="00967945">
        <w:rPr>
          <w:b/>
          <w:sz w:val="24"/>
          <w:szCs w:val="24"/>
        </w:rPr>
        <w:t xml:space="preserve"> | 10:00</w:t>
      </w:r>
      <w:r w:rsidR="00592C58">
        <w:rPr>
          <w:b/>
          <w:sz w:val="24"/>
          <w:szCs w:val="24"/>
        </w:rPr>
        <w:t xml:space="preserve"> a.m. to </w:t>
      </w:r>
      <w:r w:rsidR="00967945">
        <w:rPr>
          <w:b/>
          <w:sz w:val="24"/>
          <w:szCs w:val="24"/>
        </w:rPr>
        <w:t>Noon</w:t>
      </w:r>
    </w:p>
    <w:p w:rsidR="00BE2E19" w:rsidRDefault="00BE2E19" w:rsidP="00AB2FFF">
      <w:pPr>
        <w:spacing w:line="276" w:lineRule="auto"/>
        <w:rPr>
          <w:sz w:val="24"/>
          <w:szCs w:val="24"/>
        </w:rPr>
      </w:pPr>
      <w:r>
        <w:rPr>
          <w:sz w:val="24"/>
          <w:szCs w:val="24"/>
        </w:rPr>
        <w:t>Massachusetts Division of Fisheries and Wildlife</w:t>
      </w:r>
    </w:p>
    <w:p w:rsidR="00592C58" w:rsidRDefault="00592C58" w:rsidP="00AB2FFF">
      <w:pPr>
        <w:spacing w:line="276" w:lineRule="auto"/>
        <w:rPr>
          <w:sz w:val="24"/>
          <w:szCs w:val="24"/>
        </w:rPr>
      </w:pPr>
      <w:r>
        <w:rPr>
          <w:sz w:val="24"/>
          <w:szCs w:val="24"/>
        </w:rPr>
        <w:t>1 Rabbit Hill Road, Westborough</w:t>
      </w:r>
    </w:p>
    <w:p w:rsidR="00BE2E19" w:rsidRDefault="00BE2E19" w:rsidP="00AB2FFF">
      <w:pPr>
        <w:spacing w:line="276" w:lineRule="auto"/>
        <w:rPr>
          <w:sz w:val="24"/>
          <w:szCs w:val="24"/>
        </w:rPr>
      </w:pPr>
    </w:p>
    <w:p w:rsidR="00BE2E19" w:rsidRPr="00592C58" w:rsidRDefault="00BE2E19" w:rsidP="00AB2FFF">
      <w:pPr>
        <w:spacing w:line="276" w:lineRule="auto"/>
        <w:rPr>
          <w:b/>
          <w:sz w:val="24"/>
          <w:szCs w:val="24"/>
        </w:rPr>
      </w:pPr>
      <w:r w:rsidRPr="00592C58">
        <w:rPr>
          <w:b/>
          <w:sz w:val="24"/>
          <w:szCs w:val="24"/>
        </w:rPr>
        <w:t>Friday, June 8, 2018</w:t>
      </w:r>
      <w:r w:rsidR="00592C58">
        <w:rPr>
          <w:b/>
          <w:sz w:val="24"/>
          <w:szCs w:val="24"/>
        </w:rPr>
        <w:t xml:space="preserve"> | 10:00 a.m. to Noon</w:t>
      </w:r>
    </w:p>
    <w:p w:rsidR="00BE2E19" w:rsidRDefault="00CC5C71" w:rsidP="00AB2FFF">
      <w:pPr>
        <w:spacing w:line="276" w:lineRule="auto"/>
        <w:rPr>
          <w:sz w:val="24"/>
          <w:szCs w:val="24"/>
        </w:rPr>
      </w:pPr>
      <w:r>
        <w:rPr>
          <w:sz w:val="24"/>
          <w:szCs w:val="24"/>
        </w:rPr>
        <w:t>Waltham Public Library</w:t>
      </w:r>
    </w:p>
    <w:p w:rsidR="00BE2E19" w:rsidRPr="00CC5C71" w:rsidRDefault="00CC5C71" w:rsidP="00AB2FFF">
      <w:pPr>
        <w:spacing w:line="276" w:lineRule="auto"/>
        <w:rPr>
          <w:sz w:val="28"/>
          <w:szCs w:val="24"/>
        </w:rPr>
      </w:pPr>
      <w:r w:rsidRPr="00CC5C71">
        <w:rPr>
          <w:rFonts w:cs="Arial"/>
          <w:sz w:val="24"/>
        </w:rPr>
        <w:t>735 Main Street, Waltham</w:t>
      </w:r>
    </w:p>
    <w:p w:rsidR="00592C58" w:rsidRDefault="00592C58" w:rsidP="00AB2FFF">
      <w:pPr>
        <w:spacing w:line="276" w:lineRule="auto"/>
        <w:rPr>
          <w:sz w:val="24"/>
          <w:szCs w:val="24"/>
        </w:rPr>
      </w:pPr>
    </w:p>
    <w:p w:rsidR="00BE2E19" w:rsidRDefault="00BE2E19" w:rsidP="00AB2FFF">
      <w:pPr>
        <w:spacing w:line="276" w:lineRule="auto"/>
        <w:rPr>
          <w:sz w:val="24"/>
          <w:szCs w:val="24"/>
        </w:rPr>
      </w:pPr>
      <w:proofErr w:type="gramStart"/>
      <w:r w:rsidRPr="00592C58">
        <w:rPr>
          <w:b/>
          <w:sz w:val="24"/>
          <w:szCs w:val="24"/>
        </w:rPr>
        <w:t>Monday, June 11, 2018</w:t>
      </w:r>
      <w:r w:rsidR="00592C58">
        <w:rPr>
          <w:b/>
          <w:sz w:val="24"/>
          <w:szCs w:val="24"/>
        </w:rPr>
        <w:t xml:space="preserve"> | </w:t>
      </w:r>
      <w:r w:rsidR="00967945">
        <w:rPr>
          <w:b/>
          <w:sz w:val="24"/>
          <w:szCs w:val="24"/>
        </w:rPr>
        <w:t>2:00 p.m. to 4:00</w:t>
      </w:r>
      <w:r w:rsidR="00D43BD2">
        <w:rPr>
          <w:b/>
          <w:sz w:val="24"/>
          <w:szCs w:val="24"/>
        </w:rPr>
        <w:t xml:space="preserve"> p.m.</w:t>
      </w:r>
      <w:proofErr w:type="gramEnd"/>
    </w:p>
    <w:p w:rsidR="00592C58" w:rsidRDefault="00592C58" w:rsidP="00AB2FFF">
      <w:pPr>
        <w:spacing w:line="276" w:lineRule="auto"/>
        <w:rPr>
          <w:sz w:val="24"/>
          <w:szCs w:val="24"/>
        </w:rPr>
      </w:pPr>
      <w:r>
        <w:rPr>
          <w:sz w:val="24"/>
          <w:szCs w:val="24"/>
        </w:rPr>
        <w:t>Peabody Municipal Light Plant</w:t>
      </w:r>
    </w:p>
    <w:p w:rsidR="00BE2E19" w:rsidRPr="00CC5C71" w:rsidRDefault="00592C58" w:rsidP="00AB2FFF">
      <w:pPr>
        <w:spacing w:line="276" w:lineRule="auto"/>
        <w:rPr>
          <w:sz w:val="24"/>
          <w:szCs w:val="24"/>
        </w:rPr>
      </w:pPr>
      <w:r w:rsidRPr="00CC5C71">
        <w:rPr>
          <w:sz w:val="24"/>
          <w:szCs w:val="24"/>
        </w:rPr>
        <w:t>201 Warren Street Extension, Peabody</w:t>
      </w:r>
    </w:p>
    <w:p w:rsidR="00BE2E19" w:rsidRDefault="00BE2E19" w:rsidP="00AB2FFF">
      <w:pPr>
        <w:spacing w:line="276" w:lineRule="auto"/>
        <w:rPr>
          <w:sz w:val="24"/>
          <w:szCs w:val="24"/>
        </w:rPr>
      </w:pPr>
    </w:p>
    <w:p w:rsidR="00BE2E19" w:rsidRPr="00592C58" w:rsidRDefault="00BE2E19" w:rsidP="00AB2FFF">
      <w:pPr>
        <w:spacing w:line="276" w:lineRule="auto"/>
        <w:rPr>
          <w:b/>
          <w:sz w:val="24"/>
          <w:szCs w:val="24"/>
        </w:rPr>
      </w:pPr>
      <w:proofErr w:type="gramStart"/>
      <w:r w:rsidRPr="00592C58">
        <w:rPr>
          <w:b/>
          <w:sz w:val="24"/>
          <w:szCs w:val="24"/>
        </w:rPr>
        <w:t>Wednesday, June 13, 2018</w:t>
      </w:r>
      <w:r w:rsidR="00967945">
        <w:rPr>
          <w:b/>
          <w:sz w:val="24"/>
          <w:szCs w:val="24"/>
        </w:rPr>
        <w:t xml:space="preserve"> | 2</w:t>
      </w:r>
      <w:r w:rsidR="00D43BD2">
        <w:rPr>
          <w:b/>
          <w:sz w:val="24"/>
          <w:szCs w:val="24"/>
        </w:rPr>
        <w:t>:0</w:t>
      </w:r>
      <w:r w:rsidR="00592C58">
        <w:rPr>
          <w:b/>
          <w:sz w:val="24"/>
          <w:szCs w:val="24"/>
        </w:rPr>
        <w:t xml:space="preserve">0 p.m. to </w:t>
      </w:r>
      <w:r w:rsidR="00967945">
        <w:rPr>
          <w:b/>
          <w:sz w:val="24"/>
          <w:szCs w:val="24"/>
        </w:rPr>
        <w:t>4</w:t>
      </w:r>
      <w:r w:rsidR="00D43BD2">
        <w:rPr>
          <w:b/>
          <w:sz w:val="24"/>
          <w:szCs w:val="24"/>
        </w:rPr>
        <w:t>:0</w:t>
      </w:r>
      <w:r w:rsidR="00592C58">
        <w:rPr>
          <w:b/>
          <w:sz w:val="24"/>
          <w:szCs w:val="24"/>
        </w:rPr>
        <w:t>0 p.m.</w:t>
      </w:r>
      <w:proofErr w:type="gramEnd"/>
    </w:p>
    <w:p w:rsidR="00592C58" w:rsidRDefault="00592C58" w:rsidP="00AB2FFF">
      <w:pPr>
        <w:spacing w:line="276" w:lineRule="auto"/>
        <w:rPr>
          <w:sz w:val="24"/>
          <w:szCs w:val="24"/>
        </w:rPr>
      </w:pPr>
      <w:r>
        <w:rPr>
          <w:sz w:val="24"/>
          <w:szCs w:val="24"/>
        </w:rPr>
        <w:t>Lakeville Public Library</w:t>
      </w:r>
    </w:p>
    <w:p w:rsidR="00BE2E19" w:rsidRPr="00CC5C71" w:rsidRDefault="00592C58" w:rsidP="00AB2FFF">
      <w:pPr>
        <w:spacing w:line="276" w:lineRule="auto"/>
        <w:rPr>
          <w:sz w:val="28"/>
          <w:szCs w:val="24"/>
        </w:rPr>
      </w:pPr>
      <w:r w:rsidRPr="00CC5C71">
        <w:rPr>
          <w:sz w:val="24"/>
        </w:rPr>
        <w:t>4 Precinct Street, Lakeville</w:t>
      </w:r>
      <w:r w:rsidRPr="00CC5C71">
        <w:rPr>
          <w:sz w:val="28"/>
          <w:szCs w:val="24"/>
        </w:rPr>
        <w:t xml:space="preserve"> </w:t>
      </w:r>
    </w:p>
    <w:p w:rsidR="00BE2E19" w:rsidRDefault="00BE2E19" w:rsidP="00AB2FFF">
      <w:pPr>
        <w:spacing w:line="276" w:lineRule="auto"/>
        <w:rPr>
          <w:sz w:val="24"/>
          <w:szCs w:val="24"/>
        </w:rPr>
      </w:pPr>
    </w:p>
    <w:p w:rsidR="00BE2E19" w:rsidRPr="00592C58" w:rsidRDefault="00BE2E19" w:rsidP="00AB2FFF">
      <w:pPr>
        <w:spacing w:line="276" w:lineRule="auto"/>
        <w:rPr>
          <w:b/>
          <w:sz w:val="24"/>
          <w:szCs w:val="24"/>
        </w:rPr>
      </w:pPr>
      <w:r w:rsidRPr="00592C58">
        <w:rPr>
          <w:b/>
          <w:sz w:val="24"/>
          <w:szCs w:val="24"/>
        </w:rPr>
        <w:t>Friday, June 15, 2018</w:t>
      </w:r>
      <w:r w:rsidR="00592C58">
        <w:rPr>
          <w:b/>
          <w:sz w:val="24"/>
          <w:szCs w:val="24"/>
        </w:rPr>
        <w:t xml:space="preserve"> | 10:00 a.m. to Noon</w:t>
      </w:r>
    </w:p>
    <w:p w:rsidR="00592C58" w:rsidRDefault="00592C58" w:rsidP="00AB2FFF">
      <w:pPr>
        <w:spacing w:line="276" w:lineRule="auto"/>
        <w:rPr>
          <w:sz w:val="24"/>
          <w:szCs w:val="24"/>
        </w:rPr>
      </w:pPr>
      <w:r>
        <w:rPr>
          <w:sz w:val="24"/>
          <w:szCs w:val="24"/>
        </w:rPr>
        <w:t>Western Massachusetts Hospital</w:t>
      </w:r>
    </w:p>
    <w:p w:rsidR="00D43BD2" w:rsidRPr="00CC5C71" w:rsidRDefault="00592C58" w:rsidP="00AB2FFF">
      <w:pPr>
        <w:spacing w:line="276" w:lineRule="auto"/>
        <w:rPr>
          <w:sz w:val="28"/>
          <w:szCs w:val="24"/>
        </w:rPr>
      </w:pPr>
      <w:r w:rsidRPr="00CC5C71">
        <w:rPr>
          <w:sz w:val="24"/>
        </w:rPr>
        <w:t>91 East Mountain Road</w:t>
      </w:r>
      <w:r w:rsidRPr="00CC5C71">
        <w:rPr>
          <w:sz w:val="28"/>
          <w:szCs w:val="24"/>
        </w:rPr>
        <w:t>, Westfield</w:t>
      </w:r>
    </w:p>
    <w:p w:rsidR="00D43BD2" w:rsidRDefault="00D43BD2" w:rsidP="00AB2FFF">
      <w:pPr>
        <w:spacing w:line="276" w:lineRule="auto"/>
        <w:rPr>
          <w:sz w:val="24"/>
          <w:szCs w:val="24"/>
        </w:rPr>
      </w:pPr>
    </w:p>
    <w:p w:rsidR="00D43BD2" w:rsidRDefault="00D43BD2" w:rsidP="00AB2FFF">
      <w:pPr>
        <w:spacing w:line="276" w:lineRule="auto"/>
        <w:rPr>
          <w:sz w:val="24"/>
          <w:szCs w:val="24"/>
        </w:rPr>
      </w:pPr>
      <w:r>
        <w:rPr>
          <w:sz w:val="24"/>
          <w:szCs w:val="24"/>
        </w:rPr>
        <w:t>Written comments may be submitted until 5:00 p</w:t>
      </w:r>
      <w:r w:rsidR="00924DE8">
        <w:rPr>
          <w:sz w:val="24"/>
          <w:szCs w:val="24"/>
        </w:rPr>
        <w:t xml:space="preserve">.m. on Wednesday, June 20, 2018 to </w:t>
      </w:r>
    </w:p>
    <w:p w:rsidR="006503AD" w:rsidRDefault="006503AD" w:rsidP="006503AD">
      <w:pPr>
        <w:spacing w:line="276" w:lineRule="auto"/>
        <w:jc w:val="center"/>
        <w:rPr>
          <w:sz w:val="28"/>
          <w:szCs w:val="24"/>
        </w:rPr>
      </w:pPr>
    </w:p>
    <w:p w:rsidR="006503AD" w:rsidRDefault="001F11B2" w:rsidP="006503AD">
      <w:pPr>
        <w:spacing w:line="276" w:lineRule="auto"/>
        <w:jc w:val="center"/>
        <w:rPr>
          <w:sz w:val="28"/>
          <w:szCs w:val="24"/>
        </w:rPr>
      </w:pPr>
      <w:hyperlink r:id="rId29" w:history="1">
        <w:r w:rsidR="004E3FD3" w:rsidRPr="00407352">
          <w:rPr>
            <w:rStyle w:val="Hyperlink"/>
            <w:sz w:val="28"/>
            <w:szCs w:val="24"/>
          </w:rPr>
          <w:t>LocalRegionalPublicHealth@massmail.state.ma.us</w:t>
        </w:r>
      </w:hyperlink>
    </w:p>
    <w:p w:rsidR="006503AD" w:rsidRDefault="006503AD" w:rsidP="006503AD">
      <w:pPr>
        <w:spacing w:line="276" w:lineRule="auto"/>
        <w:jc w:val="center"/>
        <w:rPr>
          <w:rStyle w:val="Hyperlink"/>
          <w:sz w:val="28"/>
          <w:szCs w:val="24"/>
        </w:rPr>
      </w:pPr>
    </w:p>
    <w:p w:rsidR="005A08AD" w:rsidRPr="005A08AD" w:rsidRDefault="005A08AD" w:rsidP="005A08AD">
      <w:pPr>
        <w:spacing w:line="276" w:lineRule="auto"/>
        <w:rPr>
          <w:rStyle w:val="Hyperlink"/>
          <w:color w:val="auto"/>
          <w:sz w:val="28"/>
          <w:szCs w:val="24"/>
          <w:u w:val="none"/>
        </w:rPr>
      </w:pPr>
      <w:r w:rsidRPr="005A08AD">
        <w:rPr>
          <w:rStyle w:val="Hyperlink"/>
          <w:color w:val="auto"/>
          <w:sz w:val="28"/>
          <w:szCs w:val="24"/>
          <w:u w:val="none"/>
        </w:rPr>
        <w:t>Please see listening sessions location</w:t>
      </w:r>
      <w:r w:rsidR="00F40C56">
        <w:rPr>
          <w:rStyle w:val="Hyperlink"/>
          <w:color w:val="auto"/>
          <w:sz w:val="28"/>
          <w:szCs w:val="24"/>
          <w:u w:val="none"/>
        </w:rPr>
        <w:t>s</w:t>
      </w:r>
      <w:r w:rsidRPr="005A08AD">
        <w:rPr>
          <w:rStyle w:val="Hyperlink"/>
          <w:color w:val="auto"/>
          <w:sz w:val="28"/>
          <w:szCs w:val="24"/>
          <w:u w:val="none"/>
        </w:rPr>
        <w:t xml:space="preserve"> details on the next page.</w:t>
      </w:r>
    </w:p>
    <w:p w:rsidR="005A08AD" w:rsidRDefault="005A08AD" w:rsidP="005A08AD">
      <w:pPr>
        <w:spacing w:after="200" w:line="276" w:lineRule="auto"/>
        <w:rPr>
          <w:rStyle w:val="Hyperlink"/>
          <w:color w:val="auto"/>
          <w:sz w:val="24"/>
          <w:szCs w:val="24"/>
          <w:u w:val="none"/>
        </w:rPr>
      </w:pPr>
      <w:r>
        <w:rPr>
          <w:rStyle w:val="Hyperlink"/>
          <w:color w:val="auto"/>
          <w:sz w:val="24"/>
          <w:szCs w:val="24"/>
          <w:u w:val="none"/>
        </w:rPr>
        <w:br w:type="page"/>
      </w:r>
    </w:p>
    <w:p w:rsidR="005A08AD" w:rsidRDefault="005A08AD" w:rsidP="005A08AD">
      <w:pPr>
        <w:widowControl w:val="0"/>
        <w:jc w:val="center"/>
        <w:rPr>
          <w:b/>
          <w:bCs/>
          <w:caps/>
          <w:color w:val="000080"/>
          <w:sz w:val="24"/>
          <w:szCs w:val="24"/>
        </w:rPr>
      </w:pPr>
      <w:r>
        <w:rPr>
          <w:b/>
          <w:bCs/>
          <w:caps/>
          <w:color w:val="000080"/>
          <w:sz w:val="24"/>
          <w:szCs w:val="24"/>
        </w:rPr>
        <w:lastRenderedPageBreak/>
        <w:t>listening sessions location</w:t>
      </w:r>
      <w:r w:rsidR="00F40C56">
        <w:rPr>
          <w:b/>
          <w:bCs/>
          <w:caps/>
          <w:color w:val="000080"/>
          <w:sz w:val="24"/>
          <w:szCs w:val="24"/>
        </w:rPr>
        <w:t>s</w:t>
      </w:r>
      <w:r>
        <w:rPr>
          <w:b/>
          <w:bCs/>
          <w:caps/>
          <w:color w:val="000080"/>
          <w:sz w:val="24"/>
          <w:szCs w:val="24"/>
        </w:rPr>
        <w:t xml:space="preserve"> details</w:t>
      </w:r>
    </w:p>
    <w:p w:rsidR="005A08AD" w:rsidRDefault="005A08AD" w:rsidP="005A08AD">
      <w:pPr>
        <w:widowControl w:val="0"/>
        <w:rPr>
          <w:b/>
          <w:bCs/>
          <w:caps/>
          <w:color w:val="000080"/>
          <w:sz w:val="24"/>
          <w:szCs w:val="24"/>
        </w:rPr>
      </w:pPr>
    </w:p>
    <w:p w:rsidR="005A08AD" w:rsidRDefault="005A08AD" w:rsidP="005A08AD">
      <w:pPr>
        <w:widowControl w:val="0"/>
      </w:pPr>
      <w:r>
        <w:rPr>
          <w:b/>
          <w:bCs/>
          <w:caps/>
          <w:color w:val="000080"/>
          <w:sz w:val="24"/>
          <w:szCs w:val="24"/>
        </w:rPr>
        <w:t>Greenfield (june 4)</w:t>
      </w:r>
      <w:r>
        <w:t xml:space="preserve">. There is no on-site parking (other than accessible spaces) at the John W. </w:t>
      </w:r>
      <w:proofErr w:type="spellStart"/>
      <w:r>
        <w:t>Olver</w:t>
      </w:r>
      <w:proofErr w:type="spellEnd"/>
      <w:r>
        <w:t xml:space="preserve"> Transit Center. Parking is available at one of the pay-and-display lots in Greenfield or at metered spots on Bank Row. Please plan to arrive ten minutes early to park and walk to the transit center.</w:t>
      </w:r>
    </w:p>
    <w:p w:rsidR="005A08AD" w:rsidRDefault="005A08AD" w:rsidP="005A08AD">
      <w:pPr>
        <w:rPr>
          <w:sz w:val="20"/>
          <w:szCs w:val="20"/>
        </w:rPr>
      </w:pPr>
      <w:r>
        <w:t> </w:t>
      </w:r>
    </w:p>
    <w:p w:rsidR="005A08AD" w:rsidRDefault="005A08AD" w:rsidP="005A08AD">
      <w:pPr>
        <w:widowControl w:val="0"/>
        <w:rPr>
          <w:b/>
          <w:bCs/>
          <w:caps/>
          <w:color w:val="000080"/>
          <w:sz w:val="24"/>
          <w:szCs w:val="24"/>
        </w:rPr>
      </w:pPr>
      <w:r>
        <w:rPr>
          <w:b/>
          <w:bCs/>
          <w:caps/>
          <w:color w:val="000080"/>
          <w:sz w:val="24"/>
          <w:szCs w:val="24"/>
        </w:rPr>
        <w:t xml:space="preserve">Westborough (june 5). </w:t>
      </w:r>
      <w:r>
        <w:t>1 Rabbit Hill Road is off North Drive. There is a parking lot on site. Visitors are asked to carpool, if possible, because parking may be limited. Visitors can meet up at the park-and-ride at the corner of Oak and Milk Streets (right on Route 135) and ride up the hill in one car from there (2 minutes away). Please report to the reception desk upon arrival.</w:t>
      </w:r>
    </w:p>
    <w:p w:rsidR="005A08AD" w:rsidRDefault="005A08AD" w:rsidP="005A08AD">
      <w:pPr>
        <w:rPr>
          <w:color w:val="000000"/>
          <w:sz w:val="20"/>
          <w:szCs w:val="20"/>
        </w:rPr>
      </w:pPr>
      <w:r>
        <w:t> </w:t>
      </w:r>
    </w:p>
    <w:p w:rsidR="00CC5C71" w:rsidRPr="007F2EE6" w:rsidRDefault="00CC5C71" w:rsidP="00CC5C71">
      <w:pPr>
        <w:rPr>
          <w:sz w:val="32"/>
        </w:rPr>
      </w:pPr>
      <w:r>
        <w:rPr>
          <w:b/>
          <w:bCs/>
          <w:caps/>
          <w:color w:val="000080"/>
          <w:sz w:val="24"/>
          <w:szCs w:val="24"/>
        </w:rPr>
        <w:t>waltham</w:t>
      </w:r>
      <w:r w:rsidR="005A08AD">
        <w:rPr>
          <w:b/>
          <w:bCs/>
          <w:caps/>
          <w:color w:val="000080"/>
          <w:sz w:val="24"/>
          <w:szCs w:val="24"/>
        </w:rPr>
        <w:t xml:space="preserve"> (june 8). </w:t>
      </w:r>
      <w:r w:rsidRPr="007F2EE6">
        <w:rPr>
          <w:rFonts w:asciiTheme="minorHAnsi" w:hAnsiTheme="minorHAnsi"/>
          <w:szCs w:val="17"/>
        </w:rPr>
        <w:t>There is a metered parking lot behind the library and metered on-street parking. A metered municipal lot is located one block from the library off of Lexington Street between Main Street and School Street.</w:t>
      </w:r>
      <w:r>
        <w:rPr>
          <w:rFonts w:asciiTheme="minorHAnsi" w:hAnsiTheme="minorHAnsi"/>
          <w:szCs w:val="17"/>
        </w:rPr>
        <w:t xml:space="preserve"> </w:t>
      </w:r>
    </w:p>
    <w:p w:rsidR="005A08AD" w:rsidRDefault="005A08AD" w:rsidP="00CC5C71">
      <w:pPr>
        <w:widowControl w:val="0"/>
        <w:rPr>
          <w:sz w:val="20"/>
          <w:szCs w:val="20"/>
        </w:rPr>
      </w:pPr>
    </w:p>
    <w:p w:rsidR="005A08AD" w:rsidRDefault="005A08AD" w:rsidP="005A08AD">
      <w:pPr>
        <w:widowControl w:val="0"/>
      </w:pPr>
      <w:r>
        <w:rPr>
          <w:b/>
          <w:bCs/>
          <w:caps/>
          <w:color w:val="000080"/>
          <w:sz w:val="24"/>
          <w:szCs w:val="24"/>
        </w:rPr>
        <w:t>Peabody (june 11).</w:t>
      </w:r>
      <w:r>
        <w:t xml:space="preserve"> There is parking lot at the Peabody Municipal Light Plant (PMLP). PMLP staff will direct you to the meeting room.</w:t>
      </w:r>
    </w:p>
    <w:p w:rsidR="005A08AD" w:rsidRDefault="005A08AD" w:rsidP="005A08AD">
      <w:pPr>
        <w:rPr>
          <w:sz w:val="20"/>
          <w:szCs w:val="20"/>
        </w:rPr>
      </w:pPr>
      <w:r>
        <w:t> </w:t>
      </w:r>
    </w:p>
    <w:p w:rsidR="005A08AD" w:rsidRDefault="005A08AD" w:rsidP="005A08AD">
      <w:pPr>
        <w:widowControl w:val="0"/>
      </w:pPr>
      <w:r>
        <w:rPr>
          <w:b/>
          <w:bCs/>
          <w:caps/>
          <w:color w:val="000080"/>
          <w:sz w:val="24"/>
          <w:szCs w:val="24"/>
        </w:rPr>
        <w:t xml:space="preserve">Lakeville (june 13). </w:t>
      </w:r>
      <w:r>
        <w:t>Please park in the Old Town Hall parking lot (at the bottom of the driveway of the library) or church parking lot across the street. The event will be held in the Community Meeting Room—on your left after entering the library.</w:t>
      </w:r>
    </w:p>
    <w:p w:rsidR="005A08AD" w:rsidRDefault="005A08AD" w:rsidP="005A08AD">
      <w:pPr>
        <w:rPr>
          <w:sz w:val="20"/>
          <w:szCs w:val="20"/>
        </w:rPr>
      </w:pPr>
      <w:r>
        <w:t> </w:t>
      </w:r>
    </w:p>
    <w:p w:rsidR="005A08AD" w:rsidRDefault="005A08AD" w:rsidP="005A08AD">
      <w:pPr>
        <w:widowControl w:val="0"/>
      </w:pPr>
      <w:r>
        <w:rPr>
          <w:b/>
          <w:bCs/>
          <w:caps/>
          <w:color w:val="000080"/>
          <w:sz w:val="24"/>
          <w:szCs w:val="24"/>
        </w:rPr>
        <w:t>Westfield (june 15).</w:t>
      </w:r>
      <w:r>
        <w:t xml:space="preserve"> On-campus parking with ADA accessible entrances is available in the front, rear, and northern section of the main building. The event will be held in the Conference Center.</w:t>
      </w:r>
    </w:p>
    <w:p w:rsidR="005A08AD" w:rsidRDefault="005A08AD" w:rsidP="005A08AD">
      <w:r>
        <w:t xml:space="preserve">Public Transit: Onsite, public transportation pick-up is serviced by the Pioneer Valley Transit Authority (PVTA), route R10. Drop off, while not </w:t>
      </w:r>
      <w:proofErr w:type="gramStart"/>
      <w:r>
        <w:t>onsite,</w:t>
      </w:r>
      <w:proofErr w:type="gramEnd"/>
      <w:r>
        <w:t xml:space="preserve"> is proximate to the facility, approximately 200 yards away. The event will be held in the Conference Center.</w:t>
      </w:r>
    </w:p>
    <w:p w:rsidR="005A08AD" w:rsidRDefault="005A08AD" w:rsidP="005A08AD">
      <w:pPr>
        <w:widowControl w:val="0"/>
        <w:rPr>
          <w:sz w:val="20"/>
          <w:szCs w:val="20"/>
        </w:rPr>
      </w:pPr>
      <w:r>
        <w:t> </w:t>
      </w:r>
    </w:p>
    <w:p w:rsidR="002041B9" w:rsidRPr="006503AD" w:rsidRDefault="002041B9" w:rsidP="006503AD">
      <w:pPr>
        <w:spacing w:line="276" w:lineRule="auto"/>
        <w:jc w:val="center"/>
        <w:rPr>
          <w:sz w:val="24"/>
          <w:szCs w:val="24"/>
        </w:rPr>
        <w:sectPr w:rsidR="002041B9" w:rsidRPr="006503AD" w:rsidSect="000C2DB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60"/>
        </w:sectPr>
      </w:pPr>
    </w:p>
    <w:p w:rsidR="002041B9" w:rsidRPr="007F07A2" w:rsidRDefault="002041B9" w:rsidP="002041B9">
      <w:pPr>
        <w:jc w:val="center"/>
        <w:rPr>
          <w:b/>
          <w:sz w:val="24"/>
        </w:rPr>
      </w:pPr>
      <w:bookmarkStart w:id="15" w:name="_Toc514334043"/>
      <w:r w:rsidRPr="00C5085A">
        <w:rPr>
          <w:rStyle w:val="Heading1Char"/>
        </w:rPr>
        <w:lastRenderedPageBreak/>
        <w:t>Appendix E</w:t>
      </w:r>
      <w:bookmarkEnd w:id="15"/>
      <w:r w:rsidRPr="007F07A2">
        <w:rPr>
          <w:b/>
          <w:sz w:val="24"/>
        </w:rPr>
        <w:t xml:space="preserve"> – Status Report – Special Commission on Local and Regional Public Health</w:t>
      </w:r>
    </w:p>
    <w:p w:rsidR="00FC075F" w:rsidRDefault="002041B9" w:rsidP="002041B9">
      <w:pPr>
        <w:jc w:val="center"/>
        <w:rPr>
          <w:b/>
        </w:rPr>
      </w:pPr>
      <w:r>
        <w:rPr>
          <w:b/>
        </w:rPr>
        <w:t xml:space="preserve">Workforce Credentials Subcommittee </w:t>
      </w:r>
    </w:p>
    <w:p w:rsidR="002041B9" w:rsidRDefault="00254896" w:rsidP="002041B9">
      <w:pPr>
        <w:jc w:val="center"/>
        <w:rPr>
          <w:b/>
        </w:rPr>
      </w:pPr>
      <w:r>
        <w:rPr>
          <w:b/>
        </w:rPr>
        <w:t>Draft</w:t>
      </w:r>
      <w:r w:rsidR="00FC075F">
        <w:rPr>
          <w:b/>
        </w:rPr>
        <w:t xml:space="preserve"> </w:t>
      </w:r>
      <w:r>
        <w:rPr>
          <w:b/>
        </w:rPr>
        <w:t>Education</w:t>
      </w:r>
      <w:r w:rsidR="002041B9">
        <w:rPr>
          <w:b/>
        </w:rPr>
        <w:t>, Training, and Credentialing Recommendations</w:t>
      </w:r>
      <w:r>
        <w:rPr>
          <w:b/>
        </w:rPr>
        <w:t xml:space="preserve"> (April 23, 2018)</w:t>
      </w:r>
    </w:p>
    <w:p w:rsidR="00592C58" w:rsidRPr="00BF5B64" w:rsidRDefault="00592C58" w:rsidP="002041B9">
      <w:pPr>
        <w:jc w:val="center"/>
        <w:rPr>
          <w:b/>
        </w:rPr>
      </w:pPr>
    </w:p>
    <w:tbl>
      <w:tblPr>
        <w:tblStyle w:val="TableGrid"/>
        <w:tblW w:w="0" w:type="auto"/>
        <w:tblLook w:val="04A0" w:firstRow="1" w:lastRow="0" w:firstColumn="1" w:lastColumn="0" w:noHBand="0" w:noVBand="1"/>
      </w:tblPr>
      <w:tblGrid>
        <w:gridCol w:w="3123"/>
        <w:gridCol w:w="3031"/>
        <w:gridCol w:w="3057"/>
        <w:gridCol w:w="3965"/>
      </w:tblGrid>
      <w:tr w:rsidR="002041B9" w:rsidRPr="00592C58" w:rsidTr="007D46A6">
        <w:trPr>
          <w:tblHeader/>
        </w:trPr>
        <w:tc>
          <w:tcPr>
            <w:tcW w:w="3236" w:type="dxa"/>
          </w:tcPr>
          <w:p w:rsidR="002041B9" w:rsidRPr="00592C58" w:rsidRDefault="002041B9" w:rsidP="007D46A6">
            <w:pPr>
              <w:rPr>
                <w:b/>
                <w:sz w:val="20"/>
                <w:szCs w:val="20"/>
              </w:rPr>
            </w:pPr>
            <w:r w:rsidRPr="00592C58">
              <w:rPr>
                <w:b/>
                <w:sz w:val="20"/>
                <w:szCs w:val="20"/>
              </w:rPr>
              <w:t>POSITION</w:t>
            </w:r>
          </w:p>
        </w:tc>
        <w:tc>
          <w:tcPr>
            <w:tcW w:w="3238" w:type="dxa"/>
          </w:tcPr>
          <w:p w:rsidR="002041B9" w:rsidRPr="00592C58" w:rsidRDefault="002041B9" w:rsidP="007D46A6">
            <w:pPr>
              <w:rPr>
                <w:sz w:val="20"/>
                <w:szCs w:val="20"/>
              </w:rPr>
            </w:pPr>
            <w:r w:rsidRPr="00592C58">
              <w:rPr>
                <w:sz w:val="20"/>
                <w:szCs w:val="20"/>
              </w:rPr>
              <w:t>REQUIRED AT HIRE</w:t>
            </w:r>
          </w:p>
        </w:tc>
        <w:tc>
          <w:tcPr>
            <w:tcW w:w="3238" w:type="dxa"/>
          </w:tcPr>
          <w:p w:rsidR="002041B9" w:rsidRPr="00592C58" w:rsidRDefault="002041B9" w:rsidP="007D46A6">
            <w:pPr>
              <w:rPr>
                <w:sz w:val="20"/>
                <w:szCs w:val="20"/>
              </w:rPr>
            </w:pPr>
            <w:r w:rsidRPr="00592C58">
              <w:rPr>
                <w:sz w:val="20"/>
                <w:szCs w:val="20"/>
              </w:rPr>
              <w:t>REQUIRED AFTER HIRE</w:t>
            </w:r>
          </w:p>
        </w:tc>
        <w:tc>
          <w:tcPr>
            <w:tcW w:w="4256" w:type="dxa"/>
          </w:tcPr>
          <w:p w:rsidR="002041B9" w:rsidRPr="00592C58" w:rsidRDefault="002041B9" w:rsidP="007D46A6">
            <w:pPr>
              <w:rPr>
                <w:sz w:val="20"/>
                <w:szCs w:val="20"/>
              </w:rPr>
            </w:pPr>
            <w:r w:rsidRPr="00592C58">
              <w:rPr>
                <w:sz w:val="20"/>
                <w:szCs w:val="20"/>
              </w:rPr>
              <w:t>RECOMMENDED</w:t>
            </w:r>
          </w:p>
        </w:tc>
      </w:tr>
      <w:tr w:rsidR="002041B9" w:rsidRPr="00592C58" w:rsidTr="007D46A6">
        <w:tc>
          <w:tcPr>
            <w:tcW w:w="3236" w:type="dxa"/>
          </w:tcPr>
          <w:p w:rsidR="002041B9" w:rsidRPr="00592C58" w:rsidRDefault="002041B9" w:rsidP="007D46A6">
            <w:pPr>
              <w:rPr>
                <w:b/>
                <w:sz w:val="20"/>
                <w:szCs w:val="20"/>
              </w:rPr>
            </w:pPr>
            <w:r w:rsidRPr="00592C58">
              <w:rPr>
                <w:b/>
                <w:sz w:val="20"/>
                <w:szCs w:val="20"/>
              </w:rPr>
              <w:t>MANAGEMENT – e.g., Director, Assistant Director, Deputy Director*</w:t>
            </w:r>
          </w:p>
        </w:tc>
        <w:tc>
          <w:tcPr>
            <w:tcW w:w="3238" w:type="dxa"/>
          </w:tcPr>
          <w:p w:rsidR="002041B9" w:rsidRPr="00592C58" w:rsidRDefault="002041B9" w:rsidP="002041B9">
            <w:pPr>
              <w:pStyle w:val="ListParagraph"/>
              <w:numPr>
                <w:ilvl w:val="0"/>
                <w:numId w:val="32"/>
              </w:numPr>
              <w:contextualSpacing/>
              <w:rPr>
                <w:sz w:val="20"/>
                <w:szCs w:val="20"/>
              </w:rPr>
            </w:pPr>
            <w:r w:rsidRPr="00592C58">
              <w:rPr>
                <w:sz w:val="20"/>
                <w:szCs w:val="20"/>
              </w:rPr>
              <w:t>Registered Sanitarian (RS)</w:t>
            </w:r>
          </w:p>
          <w:p w:rsidR="002041B9" w:rsidRPr="00592C58" w:rsidRDefault="002041B9" w:rsidP="002041B9">
            <w:pPr>
              <w:pStyle w:val="ListParagraph"/>
              <w:numPr>
                <w:ilvl w:val="0"/>
                <w:numId w:val="32"/>
              </w:numPr>
              <w:contextualSpacing/>
              <w:rPr>
                <w:sz w:val="20"/>
                <w:szCs w:val="20"/>
              </w:rPr>
            </w:pPr>
            <w:r w:rsidRPr="00592C58">
              <w:rPr>
                <w:sz w:val="20"/>
                <w:szCs w:val="20"/>
              </w:rPr>
              <w:t xml:space="preserve">Master’s degree in relevant field </w:t>
            </w:r>
            <w:r w:rsidRPr="00592C58">
              <w:rPr>
                <w:b/>
                <w:sz w:val="20"/>
                <w:szCs w:val="20"/>
              </w:rPr>
              <w:t>OR</w:t>
            </w:r>
            <w:r w:rsidRPr="00592C58">
              <w:rPr>
                <w:sz w:val="20"/>
                <w:szCs w:val="20"/>
              </w:rPr>
              <w:t xml:space="preserve"> </w:t>
            </w:r>
          </w:p>
          <w:p w:rsidR="002041B9" w:rsidRPr="00592C58" w:rsidRDefault="002041B9" w:rsidP="007D46A6">
            <w:pPr>
              <w:pStyle w:val="ListParagraph"/>
              <w:ind w:left="360"/>
              <w:rPr>
                <w:sz w:val="20"/>
                <w:szCs w:val="20"/>
              </w:rPr>
            </w:pPr>
            <w:r w:rsidRPr="00592C58">
              <w:rPr>
                <w:sz w:val="20"/>
                <w:szCs w:val="20"/>
              </w:rPr>
              <w:t>BA/BS degree with 5 years of experience and with 16 graduate credits in relevant field</w:t>
            </w:r>
          </w:p>
          <w:p w:rsidR="002041B9" w:rsidRPr="00592C58" w:rsidRDefault="002041B9" w:rsidP="007D46A6">
            <w:pPr>
              <w:rPr>
                <w:sz w:val="20"/>
                <w:szCs w:val="20"/>
              </w:rPr>
            </w:pPr>
          </w:p>
          <w:p w:rsidR="002041B9" w:rsidRPr="00592C58" w:rsidRDefault="002041B9" w:rsidP="007D46A6">
            <w:pPr>
              <w:rPr>
                <w:sz w:val="20"/>
                <w:szCs w:val="20"/>
              </w:rPr>
            </w:pPr>
          </w:p>
        </w:tc>
        <w:tc>
          <w:tcPr>
            <w:tcW w:w="3238" w:type="dxa"/>
          </w:tcPr>
          <w:p w:rsidR="002041B9" w:rsidRPr="00592C58" w:rsidRDefault="002041B9" w:rsidP="002041B9">
            <w:pPr>
              <w:pStyle w:val="ListParagraph"/>
              <w:numPr>
                <w:ilvl w:val="0"/>
                <w:numId w:val="32"/>
              </w:numPr>
              <w:contextualSpacing/>
              <w:rPr>
                <w:sz w:val="20"/>
                <w:szCs w:val="20"/>
              </w:rPr>
            </w:pPr>
            <w:r w:rsidRPr="00592C58">
              <w:rPr>
                <w:sz w:val="20"/>
                <w:szCs w:val="20"/>
              </w:rPr>
              <w:t>Foundations for Local Public Health Practice (“Foundations”) course within one year of hire</w:t>
            </w:r>
          </w:p>
          <w:p w:rsidR="000D3140" w:rsidRDefault="002041B9" w:rsidP="002041B9">
            <w:pPr>
              <w:pStyle w:val="ListParagraph"/>
              <w:numPr>
                <w:ilvl w:val="0"/>
                <w:numId w:val="32"/>
              </w:numPr>
              <w:contextualSpacing/>
              <w:rPr>
                <w:sz w:val="20"/>
                <w:szCs w:val="20"/>
              </w:rPr>
            </w:pPr>
            <w:r w:rsidRPr="00592C58">
              <w:rPr>
                <w:sz w:val="20"/>
                <w:szCs w:val="20"/>
              </w:rPr>
              <w:t>Certified Health Office</w:t>
            </w:r>
            <w:r w:rsidR="000D3140">
              <w:rPr>
                <w:sz w:val="20"/>
                <w:szCs w:val="20"/>
              </w:rPr>
              <w:t>r (CHO) within 3 years of hire;</w:t>
            </w:r>
          </w:p>
          <w:p w:rsidR="002041B9" w:rsidRPr="00592C58" w:rsidRDefault="002041B9" w:rsidP="002041B9">
            <w:pPr>
              <w:pStyle w:val="ListParagraph"/>
              <w:numPr>
                <w:ilvl w:val="0"/>
                <w:numId w:val="32"/>
              </w:numPr>
              <w:contextualSpacing/>
              <w:rPr>
                <w:sz w:val="20"/>
                <w:szCs w:val="20"/>
              </w:rPr>
            </w:pPr>
            <w:r w:rsidRPr="00592C58">
              <w:rPr>
                <w:sz w:val="20"/>
                <w:szCs w:val="20"/>
              </w:rPr>
              <w:t>Complete master’s degree within 2 years</w:t>
            </w:r>
          </w:p>
        </w:tc>
        <w:tc>
          <w:tcPr>
            <w:tcW w:w="4256" w:type="dxa"/>
          </w:tcPr>
          <w:p w:rsidR="002041B9" w:rsidRPr="00592C58" w:rsidRDefault="002041B9" w:rsidP="002041B9">
            <w:pPr>
              <w:pStyle w:val="ListParagraph"/>
              <w:numPr>
                <w:ilvl w:val="0"/>
                <w:numId w:val="33"/>
              </w:numPr>
              <w:contextualSpacing/>
              <w:rPr>
                <w:sz w:val="20"/>
                <w:szCs w:val="20"/>
              </w:rPr>
            </w:pPr>
            <w:r w:rsidRPr="00592C58">
              <w:rPr>
                <w:sz w:val="20"/>
                <w:szCs w:val="20"/>
              </w:rPr>
              <w:t>Health association membership</w:t>
            </w:r>
          </w:p>
          <w:p w:rsidR="002041B9" w:rsidRPr="00592C58" w:rsidRDefault="002041B9" w:rsidP="002041B9">
            <w:pPr>
              <w:pStyle w:val="ListParagraph"/>
              <w:numPr>
                <w:ilvl w:val="0"/>
                <w:numId w:val="33"/>
              </w:numPr>
              <w:contextualSpacing/>
              <w:rPr>
                <w:sz w:val="20"/>
                <w:szCs w:val="20"/>
              </w:rPr>
            </w:pPr>
            <w:r w:rsidRPr="00592C58">
              <w:rPr>
                <w:sz w:val="20"/>
                <w:szCs w:val="20"/>
              </w:rPr>
              <w:t>Local Public Health Institute (LPHI) Managing Effectively in Today’s Public Health Environment (“Management”) course</w:t>
            </w:r>
          </w:p>
          <w:p w:rsidR="002041B9" w:rsidRPr="00592C58" w:rsidRDefault="002041B9" w:rsidP="002041B9">
            <w:pPr>
              <w:pStyle w:val="ListParagraph"/>
              <w:numPr>
                <w:ilvl w:val="0"/>
                <w:numId w:val="33"/>
              </w:numPr>
              <w:contextualSpacing/>
              <w:rPr>
                <w:sz w:val="20"/>
                <w:szCs w:val="20"/>
              </w:rPr>
            </w:pPr>
            <w:r w:rsidRPr="00592C58">
              <w:rPr>
                <w:sz w:val="20"/>
                <w:szCs w:val="20"/>
              </w:rPr>
              <w:t xml:space="preserve">Three years of experience in local or state public health </w:t>
            </w:r>
          </w:p>
          <w:p w:rsidR="002041B9" w:rsidRPr="00592C58" w:rsidRDefault="002041B9" w:rsidP="002041B9">
            <w:pPr>
              <w:pStyle w:val="ListParagraph"/>
              <w:numPr>
                <w:ilvl w:val="0"/>
                <w:numId w:val="33"/>
              </w:numPr>
              <w:contextualSpacing/>
              <w:rPr>
                <w:sz w:val="20"/>
                <w:szCs w:val="20"/>
              </w:rPr>
            </w:pPr>
            <w:r w:rsidRPr="00592C58">
              <w:rPr>
                <w:sz w:val="20"/>
                <w:szCs w:val="20"/>
              </w:rPr>
              <w:t xml:space="preserve">Massachusetts Virtual Epidemiologic Network (MAVEN) training within 1 year </w:t>
            </w:r>
          </w:p>
        </w:tc>
      </w:tr>
      <w:tr w:rsidR="002041B9" w:rsidRPr="00592C58" w:rsidTr="007D46A6">
        <w:tc>
          <w:tcPr>
            <w:tcW w:w="3236" w:type="dxa"/>
          </w:tcPr>
          <w:p w:rsidR="002041B9" w:rsidRPr="00592C58" w:rsidRDefault="002041B9" w:rsidP="007D46A6">
            <w:pPr>
              <w:rPr>
                <w:b/>
                <w:sz w:val="20"/>
                <w:szCs w:val="20"/>
              </w:rPr>
            </w:pPr>
            <w:r w:rsidRPr="00592C58">
              <w:rPr>
                <w:b/>
                <w:sz w:val="20"/>
                <w:szCs w:val="20"/>
              </w:rPr>
              <w:t>MANAGEMENT/AGENT</w:t>
            </w:r>
          </w:p>
        </w:tc>
        <w:tc>
          <w:tcPr>
            <w:tcW w:w="3238" w:type="dxa"/>
          </w:tcPr>
          <w:p w:rsidR="002041B9" w:rsidRPr="00592C58" w:rsidRDefault="002041B9" w:rsidP="002041B9">
            <w:pPr>
              <w:pStyle w:val="ListParagraph"/>
              <w:numPr>
                <w:ilvl w:val="0"/>
                <w:numId w:val="34"/>
              </w:numPr>
              <w:contextualSpacing/>
              <w:rPr>
                <w:sz w:val="20"/>
                <w:szCs w:val="20"/>
              </w:rPr>
            </w:pPr>
            <w:r w:rsidRPr="00592C58">
              <w:rPr>
                <w:sz w:val="20"/>
                <w:szCs w:val="20"/>
              </w:rPr>
              <w:t>Registered Sanitarian or Registered Sanitarian eligible</w:t>
            </w:r>
          </w:p>
          <w:p w:rsidR="002041B9" w:rsidRPr="00592C58" w:rsidRDefault="002041B9" w:rsidP="007D46A6">
            <w:pPr>
              <w:rPr>
                <w:sz w:val="20"/>
                <w:szCs w:val="20"/>
              </w:rPr>
            </w:pPr>
          </w:p>
        </w:tc>
        <w:tc>
          <w:tcPr>
            <w:tcW w:w="3238" w:type="dxa"/>
          </w:tcPr>
          <w:p w:rsidR="002041B9" w:rsidRPr="00592C58" w:rsidRDefault="002041B9" w:rsidP="002041B9">
            <w:pPr>
              <w:pStyle w:val="ListParagraph"/>
              <w:numPr>
                <w:ilvl w:val="0"/>
                <w:numId w:val="33"/>
              </w:numPr>
              <w:ind w:left="366"/>
              <w:contextualSpacing/>
              <w:rPr>
                <w:sz w:val="20"/>
                <w:szCs w:val="20"/>
              </w:rPr>
            </w:pPr>
            <w:r w:rsidRPr="00592C58">
              <w:rPr>
                <w:sz w:val="20"/>
                <w:szCs w:val="20"/>
              </w:rPr>
              <w:t>Foundations course within 18 months</w:t>
            </w:r>
          </w:p>
          <w:p w:rsidR="002041B9" w:rsidRPr="00592C58" w:rsidRDefault="002041B9" w:rsidP="002041B9">
            <w:pPr>
              <w:pStyle w:val="ListParagraph"/>
              <w:numPr>
                <w:ilvl w:val="0"/>
                <w:numId w:val="33"/>
              </w:numPr>
              <w:ind w:left="366"/>
              <w:contextualSpacing/>
              <w:rPr>
                <w:sz w:val="20"/>
                <w:szCs w:val="20"/>
              </w:rPr>
            </w:pPr>
            <w:r w:rsidRPr="00592C58">
              <w:rPr>
                <w:sz w:val="20"/>
                <w:szCs w:val="20"/>
              </w:rPr>
              <w:t>RS within 18 months of hire</w:t>
            </w:r>
          </w:p>
          <w:p w:rsidR="002041B9" w:rsidRPr="00592C58" w:rsidRDefault="002041B9" w:rsidP="002041B9">
            <w:pPr>
              <w:pStyle w:val="ListParagraph"/>
              <w:numPr>
                <w:ilvl w:val="0"/>
                <w:numId w:val="33"/>
              </w:numPr>
              <w:ind w:left="366"/>
              <w:contextualSpacing/>
              <w:rPr>
                <w:sz w:val="20"/>
                <w:szCs w:val="20"/>
              </w:rPr>
            </w:pPr>
            <w:r w:rsidRPr="00592C58">
              <w:rPr>
                <w:sz w:val="20"/>
                <w:szCs w:val="20"/>
              </w:rPr>
              <w:t xml:space="preserve">Specific certifications for inspections performed, such as soil evaluator, system inspector, food inspector training, housing inspection training, certified pool operator/certified pool inspector, lead </w:t>
            </w:r>
            <w:proofErr w:type="spellStart"/>
            <w:r w:rsidRPr="00592C58">
              <w:rPr>
                <w:sz w:val="20"/>
                <w:szCs w:val="20"/>
              </w:rPr>
              <w:t>determinator</w:t>
            </w:r>
            <w:proofErr w:type="spellEnd"/>
            <w:r w:rsidRPr="00592C58">
              <w:rPr>
                <w:sz w:val="20"/>
                <w:szCs w:val="20"/>
              </w:rPr>
              <w:t xml:space="preserve"> within one year of hire</w:t>
            </w:r>
          </w:p>
        </w:tc>
        <w:tc>
          <w:tcPr>
            <w:tcW w:w="4256" w:type="dxa"/>
          </w:tcPr>
          <w:p w:rsidR="002041B9" w:rsidRPr="00592C58" w:rsidRDefault="002041B9" w:rsidP="002041B9">
            <w:pPr>
              <w:pStyle w:val="ListParagraph"/>
              <w:numPr>
                <w:ilvl w:val="0"/>
                <w:numId w:val="33"/>
              </w:numPr>
              <w:contextualSpacing/>
              <w:rPr>
                <w:sz w:val="20"/>
                <w:szCs w:val="20"/>
              </w:rPr>
            </w:pPr>
            <w:r w:rsidRPr="00592C58">
              <w:rPr>
                <w:sz w:val="20"/>
                <w:szCs w:val="20"/>
              </w:rPr>
              <w:t>Health association membership</w:t>
            </w:r>
          </w:p>
          <w:p w:rsidR="002041B9" w:rsidRPr="00592C58" w:rsidRDefault="002041B9" w:rsidP="002041B9">
            <w:pPr>
              <w:pStyle w:val="ListParagraph"/>
              <w:numPr>
                <w:ilvl w:val="0"/>
                <w:numId w:val="33"/>
              </w:numPr>
              <w:contextualSpacing/>
              <w:rPr>
                <w:sz w:val="20"/>
                <w:szCs w:val="20"/>
              </w:rPr>
            </w:pPr>
            <w:r w:rsidRPr="00592C58">
              <w:rPr>
                <w:sz w:val="20"/>
                <w:szCs w:val="20"/>
              </w:rPr>
              <w:t>LPHI Management Course</w:t>
            </w:r>
          </w:p>
          <w:p w:rsidR="002041B9" w:rsidRPr="00592C58" w:rsidRDefault="002041B9" w:rsidP="002041B9">
            <w:pPr>
              <w:pStyle w:val="ListParagraph"/>
              <w:numPr>
                <w:ilvl w:val="0"/>
                <w:numId w:val="33"/>
              </w:numPr>
              <w:contextualSpacing/>
              <w:rPr>
                <w:sz w:val="20"/>
                <w:szCs w:val="20"/>
              </w:rPr>
            </w:pPr>
            <w:r w:rsidRPr="00592C58">
              <w:rPr>
                <w:sz w:val="20"/>
                <w:szCs w:val="20"/>
              </w:rPr>
              <w:t>CHO within 3 years of hire</w:t>
            </w:r>
          </w:p>
        </w:tc>
      </w:tr>
      <w:tr w:rsidR="002041B9" w:rsidRPr="00592C58" w:rsidTr="007D46A6">
        <w:tc>
          <w:tcPr>
            <w:tcW w:w="3236" w:type="dxa"/>
          </w:tcPr>
          <w:p w:rsidR="002041B9" w:rsidRPr="00592C58" w:rsidRDefault="002041B9" w:rsidP="007D46A6">
            <w:pPr>
              <w:rPr>
                <w:b/>
                <w:sz w:val="20"/>
                <w:szCs w:val="20"/>
              </w:rPr>
            </w:pPr>
            <w:r w:rsidRPr="00592C58">
              <w:rPr>
                <w:b/>
                <w:sz w:val="20"/>
                <w:szCs w:val="20"/>
              </w:rPr>
              <w:t>INSPECTOR/SANITARIAN</w:t>
            </w:r>
          </w:p>
        </w:tc>
        <w:tc>
          <w:tcPr>
            <w:tcW w:w="3238" w:type="dxa"/>
          </w:tcPr>
          <w:p w:rsidR="002041B9" w:rsidRPr="00592C58" w:rsidRDefault="002041B9" w:rsidP="002041B9">
            <w:pPr>
              <w:pStyle w:val="ListParagraph"/>
              <w:numPr>
                <w:ilvl w:val="0"/>
                <w:numId w:val="37"/>
              </w:numPr>
              <w:contextualSpacing/>
              <w:rPr>
                <w:sz w:val="20"/>
                <w:szCs w:val="20"/>
              </w:rPr>
            </w:pPr>
            <w:r w:rsidRPr="00592C58">
              <w:rPr>
                <w:sz w:val="20"/>
                <w:szCs w:val="20"/>
              </w:rPr>
              <w:t>High School Diploma</w:t>
            </w:r>
          </w:p>
        </w:tc>
        <w:tc>
          <w:tcPr>
            <w:tcW w:w="3238" w:type="dxa"/>
          </w:tcPr>
          <w:p w:rsidR="002041B9" w:rsidRPr="00592C58" w:rsidRDefault="002041B9" w:rsidP="002041B9">
            <w:pPr>
              <w:pStyle w:val="ListParagraph"/>
              <w:numPr>
                <w:ilvl w:val="0"/>
                <w:numId w:val="36"/>
              </w:numPr>
              <w:contextualSpacing/>
              <w:rPr>
                <w:sz w:val="20"/>
                <w:szCs w:val="20"/>
              </w:rPr>
            </w:pPr>
            <w:r w:rsidRPr="00592C58">
              <w:rPr>
                <w:sz w:val="20"/>
                <w:szCs w:val="20"/>
              </w:rPr>
              <w:t>RS within 6 years of hire</w:t>
            </w:r>
          </w:p>
          <w:p w:rsidR="002041B9" w:rsidRPr="00592C58" w:rsidRDefault="002041B9" w:rsidP="002041B9">
            <w:pPr>
              <w:pStyle w:val="ListParagraph"/>
              <w:numPr>
                <w:ilvl w:val="0"/>
                <w:numId w:val="36"/>
              </w:numPr>
              <w:contextualSpacing/>
              <w:rPr>
                <w:sz w:val="20"/>
                <w:szCs w:val="20"/>
              </w:rPr>
            </w:pPr>
            <w:r w:rsidRPr="00592C58">
              <w:rPr>
                <w:sz w:val="20"/>
                <w:szCs w:val="20"/>
              </w:rPr>
              <w:t xml:space="preserve">Foundations course within  18 months </w:t>
            </w:r>
          </w:p>
          <w:p w:rsidR="00592C58" w:rsidRPr="00FC075F" w:rsidRDefault="002041B9" w:rsidP="00FC075F">
            <w:pPr>
              <w:pStyle w:val="ListParagraph"/>
              <w:numPr>
                <w:ilvl w:val="0"/>
                <w:numId w:val="36"/>
              </w:numPr>
              <w:contextualSpacing/>
              <w:rPr>
                <w:sz w:val="20"/>
                <w:szCs w:val="20"/>
              </w:rPr>
            </w:pPr>
            <w:r w:rsidRPr="00592C58">
              <w:rPr>
                <w:sz w:val="20"/>
                <w:szCs w:val="20"/>
              </w:rPr>
              <w:t xml:space="preserve">Specific certifications for inspections performed, such as soil evaluator, system inspector, food inspector training, housing inspection training, certified pool operator/certified pool inspector, lead </w:t>
            </w:r>
            <w:proofErr w:type="spellStart"/>
            <w:r w:rsidRPr="00592C58">
              <w:rPr>
                <w:sz w:val="20"/>
                <w:szCs w:val="20"/>
              </w:rPr>
              <w:t>determinator</w:t>
            </w:r>
            <w:proofErr w:type="spellEnd"/>
            <w:r w:rsidRPr="00592C58">
              <w:rPr>
                <w:sz w:val="20"/>
                <w:szCs w:val="20"/>
              </w:rPr>
              <w:t xml:space="preserve"> within 1 year of hire</w:t>
            </w:r>
          </w:p>
        </w:tc>
        <w:tc>
          <w:tcPr>
            <w:tcW w:w="4256" w:type="dxa"/>
          </w:tcPr>
          <w:p w:rsidR="002041B9" w:rsidRPr="00592C58" w:rsidRDefault="002041B9" w:rsidP="002041B9">
            <w:pPr>
              <w:pStyle w:val="ListParagraph"/>
              <w:numPr>
                <w:ilvl w:val="0"/>
                <w:numId w:val="35"/>
              </w:numPr>
              <w:contextualSpacing/>
              <w:rPr>
                <w:sz w:val="20"/>
                <w:szCs w:val="20"/>
              </w:rPr>
            </w:pPr>
            <w:r w:rsidRPr="00592C58">
              <w:rPr>
                <w:sz w:val="20"/>
                <w:szCs w:val="20"/>
              </w:rPr>
              <w:t>Health association membership</w:t>
            </w:r>
          </w:p>
          <w:p w:rsidR="002041B9" w:rsidRPr="00592C58" w:rsidRDefault="002041B9" w:rsidP="002041B9">
            <w:pPr>
              <w:pStyle w:val="ListParagraph"/>
              <w:numPr>
                <w:ilvl w:val="0"/>
                <w:numId w:val="35"/>
              </w:numPr>
              <w:contextualSpacing/>
              <w:rPr>
                <w:sz w:val="20"/>
                <w:szCs w:val="20"/>
              </w:rPr>
            </w:pPr>
            <w:r w:rsidRPr="00592C58">
              <w:rPr>
                <w:sz w:val="20"/>
                <w:szCs w:val="20"/>
              </w:rPr>
              <w:t>Associate’s degree in science or public health at hire.</w:t>
            </w:r>
          </w:p>
          <w:p w:rsidR="002041B9" w:rsidRPr="00592C58" w:rsidRDefault="002041B9" w:rsidP="007D46A6">
            <w:pPr>
              <w:rPr>
                <w:sz w:val="20"/>
                <w:szCs w:val="20"/>
              </w:rPr>
            </w:pPr>
          </w:p>
        </w:tc>
      </w:tr>
      <w:tr w:rsidR="002041B9" w:rsidRPr="00592C58" w:rsidTr="007D46A6">
        <w:tc>
          <w:tcPr>
            <w:tcW w:w="3236" w:type="dxa"/>
          </w:tcPr>
          <w:p w:rsidR="002041B9" w:rsidRPr="00592C58" w:rsidRDefault="002041B9" w:rsidP="007D46A6">
            <w:pPr>
              <w:rPr>
                <w:b/>
                <w:sz w:val="20"/>
                <w:szCs w:val="20"/>
              </w:rPr>
            </w:pPr>
            <w:r w:rsidRPr="00592C58">
              <w:rPr>
                <w:b/>
                <w:sz w:val="20"/>
                <w:szCs w:val="20"/>
              </w:rPr>
              <w:lastRenderedPageBreak/>
              <w:t>CLERICAL STAFF</w:t>
            </w:r>
          </w:p>
        </w:tc>
        <w:tc>
          <w:tcPr>
            <w:tcW w:w="3238" w:type="dxa"/>
          </w:tcPr>
          <w:p w:rsidR="002041B9" w:rsidRPr="00592C58" w:rsidRDefault="002041B9" w:rsidP="002041B9">
            <w:pPr>
              <w:pStyle w:val="ListParagraph"/>
              <w:numPr>
                <w:ilvl w:val="0"/>
                <w:numId w:val="38"/>
              </w:numPr>
              <w:contextualSpacing/>
              <w:rPr>
                <w:sz w:val="20"/>
                <w:szCs w:val="20"/>
              </w:rPr>
            </w:pPr>
            <w:r w:rsidRPr="00592C58">
              <w:rPr>
                <w:sz w:val="20"/>
                <w:szCs w:val="20"/>
              </w:rPr>
              <w:t xml:space="preserve">Microsoft Office (or similar) applications </w:t>
            </w:r>
          </w:p>
        </w:tc>
        <w:tc>
          <w:tcPr>
            <w:tcW w:w="3238" w:type="dxa"/>
          </w:tcPr>
          <w:p w:rsidR="002041B9" w:rsidRPr="00592C58" w:rsidRDefault="002041B9" w:rsidP="002041B9">
            <w:pPr>
              <w:pStyle w:val="ListParagraph"/>
              <w:numPr>
                <w:ilvl w:val="0"/>
                <w:numId w:val="38"/>
              </w:numPr>
              <w:contextualSpacing/>
              <w:rPr>
                <w:sz w:val="20"/>
                <w:szCs w:val="20"/>
              </w:rPr>
            </w:pPr>
            <w:r w:rsidRPr="00592C58">
              <w:rPr>
                <w:sz w:val="20"/>
                <w:szCs w:val="20"/>
              </w:rPr>
              <w:t>Modified Foundations course (Foundations course for Clerical Workers) within one year of hire</w:t>
            </w:r>
          </w:p>
        </w:tc>
        <w:tc>
          <w:tcPr>
            <w:tcW w:w="4256" w:type="dxa"/>
          </w:tcPr>
          <w:p w:rsidR="002041B9" w:rsidRPr="00592C58" w:rsidRDefault="002041B9" w:rsidP="002041B9">
            <w:pPr>
              <w:pStyle w:val="ListParagraph"/>
              <w:numPr>
                <w:ilvl w:val="0"/>
                <w:numId w:val="38"/>
              </w:numPr>
              <w:contextualSpacing/>
              <w:rPr>
                <w:sz w:val="20"/>
                <w:szCs w:val="20"/>
              </w:rPr>
            </w:pPr>
            <w:r w:rsidRPr="00592C58">
              <w:rPr>
                <w:sz w:val="20"/>
                <w:szCs w:val="20"/>
              </w:rPr>
              <w:t xml:space="preserve">On-line permitting </w:t>
            </w:r>
          </w:p>
        </w:tc>
      </w:tr>
      <w:tr w:rsidR="002041B9" w:rsidRPr="00592C58" w:rsidTr="007D46A6">
        <w:tc>
          <w:tcPr>
            <w:tcW w:w="3236" w:type="dxa"/>
          </w:tcPr>
          <w:p w:rsidR="002041B9" w:rsidRPr="00592C58" w:rsidRDefault="002041B9" w:rsidP="007D46A6">
            <w:pPr>
              <w:rPr>
                <w:b/>
                <w:sz w:val="20"/>
                <w:szCs w:val="20"/>
              </w:rPr>
            </w:pPr>
            <w:r w:rsidRPr="00592C58">
              <w:rPr>
                <w:b/>
                <w:sz w:val="20"/>
                <w:szCs w:val="20"/>
              </w:rPr>
              <w:t>PUBLIC HEALTH NURSE</w:t>
            </w:r>
          </w:p>
        </w:tc>
        <w:tc>
          <w:tcPr>
            <w:tcW w:w="3238" w:type="dxa"/>
          </w:tcPr>
          <w:p w:rsidR="002041B9" w:rsidRPr="00592C58" w:rsidRDefault="002041B9" w:rsidP="002041B9">
            <w:pPr>
              <w:pStyle w:val="ListParagraph"/>
              <w:numPr>
                <w:ilvl w:val="0"/>
                <w:numId w:val="41"/>
              </w:numPr>
              <w:contextualSpacing/>
              <w:rPr>
                <w:sz w:val="20"/>
                <w:szCs w:val="20"/>
              </w:rPr>
            </w:pPr>
            <w:r w:rsidRPr="00592C58">
              <w:rPr>
                <w:sz w:val="20"/>
                <w:szCs w:val="20"/>
              </w:rPr>
              <w:t>Bachelor of Science in Nursing degree (BSN)</w:t>
            </w:r>
          </w:p>
          <w:p w:rsidR="002041B9" w:rsidRPr="00592C58" w:rsidRDefault="002041B9" w:rsidP="002041B9">
            <w:pPr>
              <w:pStyle w:val="ListParagraph"/>
              <w:numPr>
                <w:ilvl w:val="0"/>
                <w:numId w:val="41"/>
              </w:numPr>
              <w:contextualSpacing/>
              <w:rPr>
                <w:sz w:val="20"/>
                <w:szCs w:val="20"/>
              </w:rPr>
            </w:pPr>
            <w:r w:rsidRPr="00592C58">
              <w:rPr>
                <w:sz w:val="20"/>
                <w:szCs w:val="20"/>
              </w:rPr>
              <w:t>Registered Nurse (RN), current MA license</w:t>
            </w:r>
          </w:p>
        </w:tc>
        <w:tc>
          <w:tcPr>
            <w:tcW w:w="3238" w:type="dxa"/>
          </w:tcPr>
          <w:p w:rsidR="002041B9" w:rsidRPr="00592C58" w:rsidRDefault="002041B9" w:rsidP="002041B9">
            <w:pPr>
              <w:pStyle w:val="ListParagraph"/>
              <w:numPr>
                <w:ilvl w:val="0"/>
                <w:numId w:val="41"/>
              </w:numPr>
              <w:contextualSpacing/>
              <w:rPr>
                <w:sz w:val="20"/>
                <w:szCs w:val="20"/>
              </w:rPr>
            </w:pPr>
            <w:r w:rsidRPr="00592C58">
              <w:rPr>
                <w:sz w:val="20"/>
                <w:szCs w:val="20"/>
              </w:rPr>
              <w:t>MAVEN trained within 6 months</w:t>
            </w:r>
          </w:p>
          <w:p w:rsidR="002041B9" w:rsidRPr="00592C58" w:rsidRDefault="002041B9" w:rsidP="002041B9">
            <w:pPr>
              <w:pStyle w:val="ListParagraph"/>
              <w:numPr>
                <w:ilvl w:val="0"/>
                <w:numId w:val="41"/>
              </w:numPr>
              <w:contextualSpacing/>
              <w:rPr>
                <w:sz w:val="20"/>
                <w:szCs w:val="20"/>
              </w:rPr>
            </w:pPr>
            <w:r w:rsidRPr="00592C58">
              <w:rPr>
                <w:sz w:val="20"/>
                <w:szCs w:val="20"/>
              </w:rPr>
              <w:t>Foundations course within one year of hire</w:t>
            </w:r>
          </w:p>
        </w:tc>
        <w:tc>
          <w:tcPr>
            <w:tcW w:w="4256" w:type="dxa"/>
          </w:tcPr>
          <w:p w:rsidR="002041B9" w:rsidRPr="00592C58" w:rsidRDefault="002041B9" w:rsidP="002041B9">
            <w:pPr>
              <w:pStyle w:val="ListParagraph"/>
              <w:numPr>
                <w:ilvl w:val="0"/>
                <w:numId w:val="41"/>
              </w:numPr>
              <w:contextualSpacing/>
              <w:rPr>
                <w:sz w:val="20"/>
                <w:szCs w:val="20"/>
              </w:rPr>
            </w:pPr>
            <w:r w:rsidRPr="00592C58">
              <w:rPr>
                <w:sz w:val="20"/>
                <w:szCs w:val="20"/>
              </w:rPr>
              <w:t>MAPHN Membership</w:t>
            </w:r>
          </w:p>
        </w:tc>
      </w:tr>
      <w:tr w:rsidR="002041B9" w:rsidRPr="00592C58" w:rsidTr="007D46A6">
        <w:tc>
          <w:tcPr>
            <w:tcW w:w="3236" w:type="dxa"/>
          </w:tcPr>
          <w:p w:rsidR="002041B9" w:rsidRPr="00592C58" w:rsidRDefault="002041B9" w:rsidP="007D46A6">
            <w:pPr>
              <w:rPr>
                <w:b/>
                <w:sz w:val="20"/>
                <w:szCs w:val="20"/>
              </w:rPr>
            </w:pPr>
            <w:r w:rsidRPr="00592C58">
              <w:rPr>
                <w:b/>
                <w:sz w:val="20"/>
                <w:szCs w:val="20"/>
              </w:rPr>
              <w:t>BOH MEMBER (NOTE: IF DOING INSPECTIONS MUST MEET REQUIREMENTS ABOVE)</w:t>
            </w:r>
          </w:p>
        </w:tc>
        <w:tc>
          <w:tcPr>
            <w:tcW w:w="3238" w:type="dxa"/>
          </w:tcPr>
          <w:p w:rsidR="002041B9" w:rsidRPr="00592C58" w:rsidRDefault="002041B9" w:rsidP="007D46A6">
            <w:pPr>
              <w:rPr>
                <w:sz w:val="20"/>
                <w:szCs w:val="20"/>
              </w:rPr>
            </w:pPr>
          </w:p>
        </w:tc>
        <w:tc>
          <w:tcPr>
            <w:tcW w:w="3238" w:type="dxa"/>
          </w:tcPr>
          <w:p w:rsidR="002041B9" w:rsidRPr="00592C58" w:rsidRDefault="002041B9" w:rsidP="007D46A6">
            <w:pPr>
              <w:rPr>
                <w:sz w:val="20"/>
                <w:szCs w:val="20"/>
              </w:rPr>
            </w:pPr>
          </w:p>
        </w:tc>
        <w:tc>
          <w:tcPr>
            <w:tcW w:w="4256" w:type="dxa"/>
          </w:tcPr>
          <w:p w:rsidR="002041B9" w:rsidRPr="00592C58" w:rsidRDefault="002041B9" w:rsidP="002041B9">
            <w:pPr>
              <w:pStyle w:val="ListParagraph"/>
              <w:numPr>
                <w:ilvl w:val="0"/>
                <w:numId w:val="44"/>
              </w:numPr>
              <w:contextualSpacing/>
              <w:rPr>
                <w:sz w:val="20"/>
                <w:szCs w:val="20"/>
              </w:rPr>
            </w:pPr>
            <w:r w:rsidRPr="00592C58">
              <w:rPr>
                <w:sz w:val="20"/>
                <w:szCs w:val="20"/>
              </w:rPr>
              <w:t>Orientation to Public Health within 3 months</w:t>
            </w:r>
          </w:p>
          <w:p w:rsidR="002041B9" w:rsidRPr="00592C58" w:rsidRDefault="002041B9" w:rsidP="002041B9">
            <w:pPr>
              <w:pStyle w:val="ListParagraph"/>
              <w:numPr>
                <w:ilvl w:val="0"/>
                <w:numId w:val="44"/>
              </w:numPr>
              <w:contextualSpacing/>
              <w:rPr>
                <w:sz w:val="20"/>
                <w:szCs w:val="20"/>
              </w:rPr>
            </w:pPr>
            <w:r w:rsidRPr="00592C58">
              <w:rPr>
                <w:sz w:val="20"/>
                <w:szCs w:val="20"/>
              </w:rPr>
              <w:t>Foundations course within one year</w:t>
            </w:r>
          </w:p>
        </w:tc>
      </w:tr>
    </w:tbl>
    <w:p w:rsidR="002041B9" w:rsidRPr="00592C58" w:rsidRDefault="002041B9" w:rsidP="002041B9">
      <w:pPr>
        <w:rPr>
          <w:sz w:val="20"/>
          <w:szCs w:val="20"/>
        </w:rPr>
      </w:pPr>
    </w:p>
    <w:tbl>
      <w:tblPr>
        <w:tblStyle w:val="TableGrid"/>
        <w:tblW w:w="0" w:type="auto"/>
        <w:tblLook w:val="04A0" w:firstRow="1" w:lastRow="0" w:firstColumn="1" w:lastColumn="0" w:noHBand="0" w:noVBand="1"/>
      </w:tblPr>
      <w:tblGrid>
        <w:gridCol w:w="3192"/>
        <w:gridCol w:w="4977"/>
        <w:gridCol w:w="5007"/>
      </w:tblGrid>
      <w:tr w:rsidR="002041B9" w:rsidRPr="00592C58" w:rsidTr="00A14D58">
        <w:trPr>
          <w:tblHeader/>
        </w:trPr>
        <w:tc>
          <w:tcPr>
            <w:tcW w:w="3348" w:type="dxa"/>
          </w:tcPr>
          <w:p w:rsidR="002041B9" w:rsidRPr="00592C58" w:rsidRDefault="002041B9" w:rsidP="007D46A6">
            <w:pPr>
              <w:rPr>
                <w:b/>
                <w:sz w:val="20"/>
                <w:szCs w:val="20"/>
              </w:rPr>
            </w:pPr>
            <w:r w:rsidRPr="00592C58">
              <w:rPr>
                <w:b/>
                <w:sz w:val="20"/>
                <w:szCs w:val="20"/>
              </w:rPr>
              <w:t>INSPECTION TYPE</w:t>
            </w:r>
          </w:p>
        </w:tc>
        <w:tc>
          <w:tcPr>
            <w:tcW w:w="5285" w:type="dxa"/>
          </w:tcPr>
          <w:p w:rsidR="002041B9" w:rsidRPr="00592C58" w:rsidRDefault="002041B9" w:rsidP="007D46A6">
            <w:pPr>
              <w:rPr>
                <w:b/>
                <w:sz w:val="20"/>
                <w:szCs w:val="20"/>
              </w:rPr>
            </w:pPr>
            <w:r w:rsidRPr="00592C58">
              <w:rPr>
                <w:b/>
                <w:sz w:val="20"/>
                <w:szCs w:val="20"/>
              </w:rPr>
              <w:t>REQUIRED</w:t>
            </w:r>
          </w:p>
        </w:tc>
        <w:tc>
          <w:tcPr>
            <w:tcW w:w="5335" w:type="dxa"/>
          </w:tcPr>
          <w:p w:rsidR="002041B9" w:rsidRPr="00592C58" w:rsidRDefault="002041B9" w:rsidP="007D46A6">
            <w:pPr>
              <w:rPr>
                <w:b/>
                <w:sz w:val="20"/>
                <w:szCs w:val="20"/>
              </w:rPr>
            </w:pPr>
            <w:r w:rsidRPr="00592C58">
              <w:rPr>
                <w:b/>
                <w:sz w:val="20"/>
                <w:szCs w:val="20"/>
              </w:rPr>
              <w:t>RECOMMENDED</w:t>
            </w:r>
          </w:p>
        </w:tc>
      </w:tr>
      <w:tr w:rsidR="002041B9" w:rsidRPr="00592C58" w:rsidTr="007D46A6">
        <w:tc>
          <w:tcPr>
            <w:tcW w:w="3348" w:type="dxa"/>
          </w:tcPr>
          <w:p w:rsidR="002041B9" w:rsidRPr="008B5436" w:rsidRDefault="002041B9" w:rsidP="007D46A6">
            <w:pPr>
              <w:rPr>
                <w:b/>
                <w:sz w:val="20"/>
                <w:szCs w:val="20"/>
              </w:rPr>
            </w:pPr>
            <w:r w:rsidRPr="008B5436">
              <w:rPr>
                <w:b/>
                <w:sz w:val="20"/>
                <w:szCs w:val="20"/>
              </w:rPr>
              <w:t xml:space="preserve">FOOD PROTECTION </w:t>
            </w:r>
          </w:p>
        </w:tc>
        <w:tc>
          <w:tcPr>
            <w:tcW w:w="5285" w:type="dxa"/>
          </w:tcPr>
          <w:p w:rsidR="002041B9" w:rsidRPr="00592C58" w:rsidRDefault="002041B9" w:rsidP="002041B9">
            <w:pPr>
              <w:pStyle w:val="ListParagraph"/>
              <w:numPr>
                <w:ilvl w:val="0"/>
                <w:numId w:val="39"/>
              </w:numPr>
              <w:contextualSpacing/>
              <w:rPr>
                <w:sz w:val="20"/>
                <w:szCs w:val="20"/>
              </w:rPr>
            </w:pPr>
            <w:proofErr w:type="spellStart"/>
            <w:r w:rsidRPr="00592C58">
              <w:rPr>
                <w:sz w:val="20"/>
                <w:szCs w:val="20"/>
              </w:rPr>
              <w:t>ServeSafe</w:t>
            </w:r>
            <w:proofErr w:type="spellEnd"/>
            <w:r w:rsidRPr="00592C58">
              <w:rPr>
                <w:sz w:val="20"/>
                <w:szCs w:val="20"/>
              </w:rPr>
              <w:t xml:space="preserve"> or similar </w:t>
            </w:r>
          </w:p>
          <w:p w:rsidR="002041B9" w:rsidRPr="00592C58" w:rsidRDefault="002041B9" w:rsidP="002041B9">
            <w:pPr>
              <w:pStyle w:val="ListParagraph"/>
              <w:numPr>
                <w:ilvl w:val="0"/>
                <w:numId w:val="39"/>
              </w:numPr>
              <w:contextualSpacing/>
              <w:rPr>
                <w:sz w:val="20"/>
                <w:szCs w:val="20"/>
              </w:rPr>
            </w:pPr>
            <w:r w:rsidRPr="00592C58">
              <w:rPr>
                <w:sz w:val="20"/>
                <w:szCs w:val="20"/>
              </w:rPr>
              <w:t>Massachusetts  Public health Inspector Training  (MA PHIT) Food Inspection Class</w:t>
            </w:r>
          </w:p>
        </w:tc>
        <w:tc>
          <w:tcPr>
            <w:tcW w:w="5335" w:type="dxa"/>
          </w:tcPr>
          <w:p w:rsidR="002041B9" w:rsidRPr="00592C58" w:rsidRDefault="002041B9" w:rsidP="002041B9">
            <w:pPr>
              <w:pStyle w:val="ListParagraph"/>
              <w:numPr>
                <w:ilvl w:val="0"/>
                <w:numId w:val="39"/>
              </w:numPr>
              <w:contextualSpacing/>
              <w:rPr>
                <w:sz w:val="20"/>
                <w:szCs w:val="20"/>
              </w:rPr>
            </w:pPr>
            <w:r w:rsidRPr="00592C58">
              <w:rPr>
                <w:sz w:val="20"/>
                <w:szCs w:val="20"/>
              </w:rPr>
              <w:t>Food and Drug Administration</w:t>
            </w:r>
          </w:p>
          <w:p w:rsidR="002041B9" w:rsidRPr="00592C58" w:rsidRDefault="002041B9" w:rsidP="002041B9">
            <w:pPr>
              <w:pStyle w:val="ListParagraph"/>
              <w:numPr>
                <w:ilvl w:val="0"/>
                <w:numId w:val="39"/>
              </w:numPr>
              <w:contextualSpacing/>
              <w:rPr>
                <w:sz w:val="20"/>
                <w:szCs w:val="20"/>
              </w:rPr>
            </w:pPr>
            <w:r w:rsidRPr="00592C58">
              <w:rPr>
                <w:sz w:val="20"/>
                <w:szCs w:val="20"/>
              </w:rPr>
              <w:t>Oak Ridge Associated Universities</w:t>
            </w:r>
          </w:p>
        </w:tc>
      </w:tr>
      <w:tr w:rsidR="002041B9" w:rsidRPr="00592C58" w:rsidTr="007D46A6">
        <w:tc>
          <w:tcPr>
            <w:tcW w:w="3348" w:type="dxa"/>
          </w:tcPr>
          <w:p w:rsidR="002041B9" w:rsidRPr="008B5436" w:rsidRDefault="002041B9" w:rsidP="007D46A6">
            <w:pPr>
              <w:rPr>
                <w:b/>
                <w:sz w:val="20"/>
                <w:szCs w:val="20"/>
              </w:rPr>
            </w:pPr>
            <w:r w:rsidRPr="008B5436">
              <w:rPr>
                <w:b/>
                <w:sz w:val="20"/>
                <w:szCs w:val="20"/>
              </w:rPr>
              <w:t>HOUSING</w:t>
            </w:r>
          </w:p>
        </w:tc>
        <w:tc>
          <w:tcPr>
            <w:tcW w:w="5285" w:type="dxa"/>
          </w:tcPr>
          <w:p w:rsidR="002041B9" w:rsidRPr="00592C58" w:rsidRDefault="002041B9" w:rsidP="002041B9">
            <w:pPr>
              <w:pStyle w:val="ListParagraph"/>
              <w:numPr>
                <w:ilvl w:val="0"/>
                <w:numId w:val="40"/>
              </w:numPr>
              <w:contextualSpacing/>
              <w:rPr>
                <w:sz w:val="20"/>
                <w:szCs w:val="20"/>
              </w:rPr>
            </w:pPr>
            <w:r w:rsidRPr="00592C58">
              <w:rPr>
                <w:sz w:val="20"/>
                <w:szCs w:val="20"/>
              </w:rPr>
              <w:t xml:space="preserve">MA PHIT Housing Class </w:t>
            </w:r>
          </w:p>
          <w:p w:rsidR="002041B9" w:rsidRPr="00592C58" w:rsidRDefault="002041B9" w:rsidP="002041B9">
            <w:pPr>
              <w:pStyle w:val="ListParagraph"/>
              <w:numPr>
                <w:ilvl w:val="0"/>
                <w:numId w:val="40"/>
              </w:numPr>
              <w:contextualSpacing/>
              <w:rPr>
                <w:sz w:val="20"/>
                <w:szCs w:val="20"/>
              </w:rPr>
            </w:pPr>
            <w:r w:rsidRPr="00592C58">
              <w:rPr>
                <w:sz w:val="20"/>
                <w:szCs w:val="20"/>
              </w:rPr>
              <w:t>Housing Court training (TBD)</w:t>
            </w:r>
          </w:p>
          <w:p w:rsidR="002041B9" w:rsidRPr="00592C58" w:rsidRDefault="002041B9" w:rsidP="002041B9">
            <w:pPr>
              <w:pStyle w:val="ListParagraph"/>
              <w:numPr>
                <w:ilvl w:val="0"/>
                <w:numId w:val="40"/>
              </w:numPr>
              <w:contextualSpacing/>
              <w:rPr>
                <w:sz w:val="20"/>
                <w:szCs w:val="20"/>
              </w:rPr>
            </w:pPr>
            <w:r w:rsidRPr="00592C58">
              <w:rPr>
                <w:sz w:val="20"/>
                <w:szCs w:val="20"/>
              </w:rPr>
              <w:t xml:space="preserve">Lead </w:t>
            </w:r>
            <w:proofErr w:type="spellStart"/>
            <w:r w:rsidRPr="00592C58">
              <w:rPr>
                <w:sz w:val="20"/>
                <w:szCs w:val="20"/>
              </w:rPr>
              <w:t>Determinator</w:t>
            </w:r>
            <w:proofErr w:type="spellEnd"/>
          </w:p>
        </w:tc>
        <w:tc>
          <w:tcPr>
            <w:tcW w:w="5335" w:type="dxa"/>
          </w:tcPr>
          <w:p w:rsidR="002041B9" w:rsidRPr="00592C58" w:rsidRDefault="002041B9" w:rsidP="002041B9">
            <w:pPr>
              <w:pStyle w:val="ListParagraph"/>
              <w:numPr>
                <w:ilvl w:val="0"/>
                <w:numId w:val="40"/>
              </w:numPr>
              <w:contextualSpacing/>
              <w:rPr>
                <w:sz w:val="20"/>
                <w:szCs w:val="20"/>
              </w:rPr>
            </w:pPr>
            <w:r w:rsidRPr="00592C58">
              <w:rPr>
                <w:sz w:val="20"/>
                <w:szCs w:val="20"/>
              </w:rPr>
              <w:t>Relevant LPHI Modules</w:t>
            </w:r>
          </w:p>
        </w:tc>
      </w:tr>
      <w:tr w:rsidR="002041B9" w:rsidRPr="00592C58" w:rsidTr="007D46A6">
        <w:tc>
          <w:tcPr>
            <w:tcW w:w="3348" w:type="dxa"/>
          </w:tcPr>
          <w:p w:rsidR="002041B9" w:rsidRPr="008B5436" w:rsidRDefault="002041B9" w:rsidP="007D46A6">
            <w:pPr>
              <w:rPr>
                <w:b/>
                <w:sz w:val="20"/>
                <w:szCs w:val="20"/>
              </w:rPr>
            </w:pPr>
            <w:r w:rsidRPr="008B5436">
              <w:rPr>
                <w:b/>
                <w:sz w:val="20"/>
                <w:szCs w:val="20"/>
              </w:rPr>
              <w:t xml:space="preserve">TITLE 5 </w:t>
            </w:r>
          </w:p>
        </w:tc>
        <w:tc>
          <w:tcPr>
            <w:tcW w:w="5285" w:type="dxa"/>
          </w:tcPr>
          <w:p w:rsidR="002041B9" w:rsidRPr="00592C58" w:rsidRDefault="002041B9" w:rsidP="002041B9">
            <w:pPr>
              <w:pStyle w:val="ListParagraph"/>
              <w:numPr>
                <w:ilvl w:val="0"/>
                <w:numId w:val="42"/>
              </w:numPr>
              <w:contextualSpacing/>
              <w:rPr>
                <w:sz w:val="20"/>
                <w:szCs w:val="20"/>
              </w:rPr>
            </w:pPr>
            <w:r w:rsidRPr="00592C58">
              <w:rPr>
                <w:sz w:val="20"/>
                <w:szCs w:val="20"/>
              </w:rPr>
              <w:t>Soil Evaluator</w:t>
            </w:r>
          </w:p>
          <w:p w:rsidR="002041B9" w:rsidRPr="00592C58" w:rsidRDefault="002041B9" w:rsidP="002041B9">
            <w:pPr>
              <w:pStyle w:val="ListParagraph"/>
              <w:numPr>
                <w:ilvl w:val="0"/>
                <w:numId w:val="42"/>
              </w:numPr>
              <w:contextualSpacing/>
              <w:rPr>
                <w:sz w:val="20"/>
                <w:szCs w:val="20"/>
              </w:rPr>
            </w:pPr>
            <w:r w:rsidRPr="00592C58">
              <w:rPr>
                <w:sz w:val="20"/>
                <w:szCs w:val="20"/>
              </w:rPr>
              <w:t>System Inspector</w:t>
            </w:r>
          </w:p>
          <w:p w:rsidR="002041B9" w:rsidRPr="00592C58" w:rsidRDefault="002041B9" w:rsidP="002041B9">
            <w:pPr>
              <w:pStyle w:val="ListParagraph"/>
              <w:numPr>
                <w:ilvl w:val="0"/>
                <w:numId w:val="42"/>
              </w:numPr>
              <w:contextualSpacing/>
              <w:rPr>
                <w:sz w:val="20"/>
                <w:szCs w:val="20"/>
              </w:rPr>
            </w:pPr>
            <w:r w:rsidRPr="00592C58">
              <w:rPr>
                <w:sz w:val="20"/>
                <w:szCs w:val="20"/>
              </w:rPr>
              <w:t>MA PHIT Wastewater</w:t>
            </w:r>
          </w:p>
        </w:tc>
        <w:tc>
          <w:tcPr>
            <w:tcW w:w="5335" w:type="dxa"/>
          </w:tcPr>
          <w:p w:rsidR="002041B9" w:rsidRPr="00592C58" w:rsidRDefault="002041B9" w:rsidP="002041B9">
            <w:pPr>
              <w:pStyle w:val="ListParagraph"/>
              <w:numPr>
                <w:ilvl w:val="0"/>
                <w:numId w:val="42"/>
              </w:numPr>
              <w:contextualSpacing/>
              <w:rPr>
                <w:sz w:val="20"/>
                <w:szCs w:val="20"/>
              </w:rPr>
            </w:pPr>
            <w:r w:rsidRPr="00592C58">
              <w:rPr>
                <w:sz w:val="20"/>
                <w:szCs w:val="20"/>
              </w:rPr>
              <w:t>Relevant LPHI Modules</w:t>
            </w:r>
          </w:p>
        </w:tc>
      </w:tr>
      <w:tr w:rsidR="002041B9" w:rsidRPr="00592C58" w:rsidTr="007D46A6">
        <w:tc>
          <w:tcPr>
            <w:tcW w:w="3348" w:type="dxa"/>
          </w:tcPr>
          <w:p w:rsidR="002041B9" w:rsidRPr="008B5436" w:rsidRDefault="002041B9" w:rsidP="007D46A6">
            <w:pPr>
              <w:rPr>
                <w:b/>
                <w:sz w:val="20"/>
                <w:szCs w:val="20"/>
              </w:rPr>
            </w:pPr>
            <w:r w:rsidRPr="008B5436">
              <w:rPr>
                <w:b/>
                <w:sz w:val="20"/>
                <w:szCs w:val="20"/>
              </w:rPr>
              <w:t>POOLS</w:t>
            </w:r>
          </w:p>
        </w:tc>
        <w:tc>
          <w:tcPr>
            <w:tcW w:w="5285" w:type="dxa"/>
          </w:tcPr>
          <w:p w:rsidR="002041B9" w:rsidRPr="00592C58" w:rsidRDefault="002041B9" w:rsidP="002041B9">
            <w:pPr>
              <w:pStyle w:val="ListParagraph"/>
              <w:numPr>
                <w:ilvl w:val="0"/>
                <w:numId w:val="43"/>
              </w:numPr>
              <w:contextualSpacing/>
              <w:rPr>
                <w:sz w:val="20"/>
                <w:szCs w:val="20"/>
              </w:rPr>
            </w:pPr>
            <w:r w:rsidRPr="00592C58">
              <w:rPr>
                <w:sz w:val="20"/>
                <w:szCs w:val="20"/>
              </w:rPr>
              <w:t>Certified Pool Operator or Certified Pool Inspector</w:t>
            </w:r>
          </w:p>
        </w:tc>
        <w:tc>
          <w:tcPr>
            <w:tcW w:w="5335" w:type="dxa"/>
          </w:tcPr>
          <w:p w:rsidR="002041B9" w:rsidRPr="00592C58" w:rsidRDefault="002041B9" w:rsidP="002041B9">
            <w:pPr>
              <w:pStyle w:val="ListParagraph"/>
              <w:numPr>
                <w:ilvl w:val="0"/>
                <w:numId w:val="43"/>
              </w:numPr>
              <w:contextualSpacing/>
              <w:rPr>
                <w:sz w:val="20"/>
                <w:szCs w:val="20"/>
              </w:rPr>
            </w:pPr>
            <w:r w:rsidRPr="00592C58">
              <w:rPr>
                <w:sz w:val="20"/>
                <w:szCs w:val="20"/>
              </w:rPr>
              <w:t>Relevant LPHI Modules</w:t>
            </w:r>
          </w:p>
        </w:tc>
      </w:tr>
      <w:tr w:rsidR="002041B9" w:rsidRPr="00592C58" w:rsidTr="007D46A6">
        <w:tc>
          <w:tcPr>
            <w:tcW w:w="3348" w:type="dxa"/>
          </w:tcPr>
          <w:p w:rsidR="002041B9" w:rsidRPr="008B5436" w:rsidRDefault="002041B9" w:rsidP="007D46A6">
            <w:pPr>
              <w:rPr>
                <w:b/>
                <w:sz w:val="20"/>
                <w:szCs w:val="20"/>
              </w:rPr>
            </w:pPr>
            <w:r w:rsidRPr="008B5436">
              <w:rPr>
                <w:b/>
                <w:sz w:val="20"/>
                <w:szCs w:val="20"/>
              </w:rPr>
              <w:t>CAMPS</w:t>
            </w:r>
          </w:p>
        </w:tc>
        <w:tc>
          <w:tcPr>
            <w:tcW w:w="5285" w:type="dxa"/>
          </w:tcPr>
          <w:p w:rsidR="002041B9" w:rsidRPr="00592C58" w:rsidRDefault="002041B9" w:rsidP="002041B9">
            <w:pPr>
              <w:pStyle w:val="ListParagraph"/>
              <w:numPr>
                <w:ilvl w:val="0"/>
                <w:numId w:val="43"/>
              </w:numPr>
              <w:contextualSpacing/>
              <w:rPr>
                <w:sz w:val="20"/>
                <w:szCs w:val="20"/>
              </w:rPr>
            </w:pPr>
            <w:r w:rsidRPr="00592C58">
              <w:rPr>
                <w:sz w:val="20"/>
                <w:szCs w:val="20"/>
              </w:rPr>
              <w:t>MA PHIT Camps (TBD)</w:t>
            </w:r>
          </w:p>
        </w:tc>
        <w:tc>
          <w:tcPr>
            <w:tcW w:w="5335" w:type="dxa"/>
          </w:tcPr>
          <w:p w:rsidR="002041B9" w:rsidRPr="00592C58" w:rsidRDefault="002041B9" w:rsidP="002041B9">
            <w:pPr>
              <w:pStyle w:val="ListParagraph"/>
              <w:numPr>
                <w:ilvl w:val="0"/>
                <w:numId w:val="43"/>
              </w:numPr>
              <w:contextualSpacing/>
              <w:rPr>
                <w:sz w:val="20"/>
                <w:szCs w:val="20"/>
              </w:rPr>
            </w:pPr>
            <w:r w:rsidRPr="00592C58">
              <w:rPr>
                <w:sz w:val="20"/>
                <w:szCs w:val="20"/>
              </w:rPr>
              <w:t>Relevant LPHI Modules</w:t>
            </w:r>
          </w:p>
        </w:tc>
      </w:tr>
      <w:tr w:rsidR="002041B9" w:rsidRPr="00592C58" w:rsidTr="007D46A6">
        <w:tc>
          <w:tcPr>
            <w:tcW w:w="3348" w:type="dxa"/>
          </w:tcPr>
          <w:p w:rsidR="002041B9" w:rsidRPr="008B5436" w:rsidRDefault="002041B9" w:rsidP="007D46A6">
            <w:pPr>
              <w:rPr>
                <w:b/>
                <w:caps/>
                <w:sz w:val="20"/>
                <w:szCs w:val="20"/>
              </w:rPr>
            </w:pPr>
            <w:r w:rsidRPr="008B5436">
              <w:rPr>
                <w:b/>
                <w:caps/>
                <w:sz w:val="20"/>
                <w:szCs w:val="20"/>
              </w:rPr>
              <w:t>Tanning/Body Art</w:t>
            </w:r>
          </w:p>
        </w:tc>
        <w:tc>
          <w:tcPr>
            <w:tcW w:w="5285" w:type="dxa"/>
          </w:tcPr>
          <w:p w:rsidR="002041B9" w:rsidRPr="00592C58" w:rsidRDefault="002041B9" w:rsidP="002041B9">
            <w:pPr>
              <w:pStyle w:val="ListParagraph"/>
              <w:numPr>
                <w:ilvl w:val="0"/>
                <w:numId w:val="43"/>
              </w:numPr>
              <w:contextualSpacing/>
              <w:rPr>
                <w:sz w:val="20"/>
                <w:szCs w:val="20"/>
              </w:rPr>
            </w:pPr>
            <w:r w:rsidRPr="00592C58">
              <w:rPr>
                <w:sz w:val="20"/>
                <w:szCs w:val="20"/>
              </w:rPr>
              <w:t>MA PHIT (TBD)</w:t>
            </w:r>
          </w:p>
        </w:tc>
        <w:tc>
          <w:tcPr>
            <w:tcW w:w="5335" w:type="dxa"/>
          </w:tcPr>
          <w:p w:rsidR="002041B9" w:rsidRPr="00592C58" w:rsidRDefault="002041B9" w:rsidP="002041B9">
            <w:pPr>
              <w:pStyle w:val="ListParagraph"/>
              <w:numPr>
                <w:ilvl w:val="0"/>
                <w:numId w:val="43"/>
              </w:numPr>
              <w:contextualSpacing/>
              <w:rPr>
                <w:sz w:val="20"/>
                <w:szCs w:val="20"/>
              </w:rPr>
            </w:pPr>
            <w:r w:rsidRPr="00592C58">
              <w:rPr>
                <w:sz w:val="20"/>
                <w:szCs w:val="20"/>
              </w:rPr>
              <w:t>Relevant LPHI Modules</w:t>
            </w:r>
          </w:p>
        </w:tc>
      </w:tr>
    </w:tbl>
    <w:p w:rsidR="002041B9" w:rsidRPr="00592C58" w:rsidRDefault="002041B9" w:rsidP="002041B9">
      <w:pPr>
        <w:pStyle w:val="ListParagraph"/>
        <w:rPr>
          <w:sz w:val="20"/>
          <w:szCs w:val="20"/>
        </w:rPr>
      </w:pPr>
    </w:p>
    <w:p w:rsidR="002041B9" w:rsidRPr="00592C58" w:rsidRDefault="002041B9" w:rsidP="002041B9">
      <w:pPr>
        <w:pStyle w:val="ListParagraph"/>
        <w:numPr>
          <w:ilvl w:val="0"/>
          <w:numId w:val="31"/>
        </w:numPr>
        <w:spacing w:after="160" w:line="259" w:lineRule="auto"/>
        <w:contextualSpacing/>
        <w:rPr>
          <w:sz w:val="20"/>
          <w:szCs w:val="20"/>
        </w:rPr>
      </w:pPr>
      <w:r w:rsidRPr="00592C58">
        <w:rPr>
          <w:sz w:val="20"/>
          <w:szCs w:val="20"/>
        </w:rPr>
        <w:t>All personnel should have at least Incident Command System (ICS) 100/National Incident Management System (</w:t>
      </w:r>
      <w:proofErr w:type="gramStart"/>
      <w:r w:rsidRPr="00592C58">
        <w:rPr>
          <w:sz w:val="20"/>
          <w:szCs w:val="20"/>
        </w:rPr>
        <w:t>NIMS )700</w:t>
      </w:r>
      <w:proofErr w:type="gramEnd"/>
      <w:r w:rsidRPr="00592C58">
        <w:rPr>
          <w:sz w:val="20"/>
          <w:szCs w:val="20"/>
        </w:rPr>
        <w:t xml:space="preserve"> within one year of hire. </w:t>
      </w:r>
    </w:p>
    <w:p w:rsidR="002041B9" w:rsidRPr="00592C58" w:rsidRDefault="002041B9" w:rsidP="002041B9">
      <w:pPr>
        <w:pStyle w:val="ListParagraph"/>
        <w:rPr>
          <w:sz w:val="20"/>
          <w:szCs w:val="20"/>
        </w:rPr>
      </w:pPr>
      <w:r w:rsidRPr="00592C58">
        <w:rPr>
          <w:sz w:val="20"/>
          <w:szCs w:val="20"/>
        </w:rPr>
        <w:t xml:space="preserve">Those who might have a leadership role should have ICS 200 and above. </w:t>
      </w:r>
    </w:p>
    <w:p w:rsidR="002041B9" w:rsidRPr="00592C58" w:rsidRDefault="002041B9" w:rsidP="002041B9">
      <w:pPr>
        <w:pStyle w:val="ListParagraph"/>
        <w:numPr>
          <w:ilvl w:val="0"/>
          <w:numId w:val="31"/>
        </w:numPr>
        <w:spacing w:after="160" w:line="259" w:lineRule="auto"/>
        <w:contextualSpacing/>
        <w:rPr>
          <w:sz w:val="20"/>
          <w:szCs w:val="20"/>
        </w:rPr>
      </w:pPr>
      <w:r w:rsidRPr="00592C58">
        <w:rPr>
          <w:sz w:val="20"/>
          <w:szCs w:val="20"/>
        </w:rPr>
        <w:t>Municipalities may have stricter requirements, but must meet these requirements.</w:t>
      </w:r>
    </w:p>
    <w:p w:rsidR="002041B9" w:rsidRPr="00592C58" w:rsidRDefault="002041B9" w:rsidP="002041B9">
      <w:pPr>
        <w:pStyle w:val="ListParagraph"/>
        <w:numPr>
          <w:ilvl w:val="0"/>
          <w:numId w:val="31"/>
        </w:numPr>
        <w:spacing w:after="160" w:line="259" w:lineRule="auto"/>
        <w:contextualSpacing/>
        <w:rPr>
          <w:sz w:val="20"/>
          <w:szCs w:val="20"/>
        </w:rPr>
      </w:pPr>
      <w:r w:rsidRPr="00592C58">
        <w:rPr>
          <w:sz w:val="20"/>
          <w:szCs w:val="20"/>
        </w:rPr>
        <w:t xml:space="preserve">Municipalities with current staff who have worked for local or state public health for at least 10 years, but who do not meet these requirements, may request a waiver of the Registered Sanitarian or Certified Health Officer requirement.  </w:t>
      </w:r>
    </w:p>
    <w:p w:rsidR="002041B9" w:rsidRPr="00592C58" w:rsidRDefault="002041B9" w:rsidP="002041B9">
      <w:pPr>
        <w:rPr>
          <w:sz w:val="20"/>
          <w:szCs w:val="20"/>
        </w:rPr>
      </w:pPr>
      <w:r w:rsidRPr="00592C58">
        <w:rPr>
          <w:sz w:val="20"/>
          <w:szCs w:val="20"/>
        </w:rPr>
        <w:t>*Management position is defined as some</w:t>
      </w:r>
      <w:r w:rsidR="00B04C6A">
        <w:rPr>
          <w:sz w:val="20"/>
          <w:szCs w:val="20"/>
        </w:rPr>
        <w:t>one who does not do inspections</w:t>
      </w:r>
      <w:r w:rsidRPr="00592C58">
        <w:rPr>
          <w:sz w:val="20"/>
          <w:szCs w:val="20"/>
        </w:rPr>
        <w:t xml:space="preserve"> but supervises those who do.</w:t>
      </w:r>
    </w:p>
    <w:p w:rsidR="002041B9" w:rsidRPr="00592C58" w:rsidRDefault="002041B9" w:rsidP="002041B9">
      <w:pPr>
        <w:rPr>
          <w:sz w:val="20"/>
          <w:szCs w:val="20"/>
        </w:rPr>
      </w:pPr>
      <w:r w:rsidRPr="00592C58">
        <w:rPr>
          <w:sz w:val="20"/>
          <w:szCs w:val="20"/>
        </w:rPr>
        <w:t>REVISED: April 23, 2018</w:t>
      </w:r>
    </w:p>
    <w:p w:rsidR="002041B9" w:rsidRDefault="002041B9">
      <w:pPr>
        <w:spacing w:after="200" w:line="276" w:lineRule="auto"/>
        <w:rPr>
          <w:rFonts w:asciiTheme="majorHAnsi" w:eastAsiaTheme="majorEastAsia" w:hAnsiTheme="majorHAnsi" w:cstheme="majorBidi"/>
          <w:b/>
          <w:bCs/>
          <w:color w:val="365F91" w:themeColor="accent1" w:themeShade="BF"/>
          <w:sz w:val="28"/>
          <w:szCs w:val="28"/>
        </w:rPr>
      </w:pPr>
      <w:r>
        <w:br w:type="page"/>
      </w:r>
    </w:p>
    <w:p w:rsidR="002041B9" w:rsidRDefault="002041B9" w:rsidP="00734D36">
      <w:pPr>
        <w:pStyle w:val="Heading1"/>
        <w:sectPr w:rsidR="002041B9" w:rsidSect="002041B9">
          <w:pgSz w:w="15840" w:h="12240" w:orient="landscape"/>
          <w:pgMar w:top="360" w:right="1440" w:bottom="360" w:left="1440" w:header="720" w:footer="720" w:gutter="0"/>
          <w:cols w:space="720"/>
          <w:docGrid w:linePitch="360"/>
        </w:sectPr>
      </w:pPr>
    </w:p>
    <w:p w:rsidR="00B115BB" w:rsidRDefault="00B115BB" w:rsidP="00734D36">
      <w:pPr>
        <w:pStyle w:val="Heading1"/>
      </w:pPr>
      <w:bookmarkStart w:id="16" w:name="_Toc514334044"/>
      <w:r>
        <w:lastRenderedPageBreak/>
        <w:t xml:space="preserve">Appendix </w:t>
      </w:r>
      <w:r w:rsidR="002041B9">
        <w:t>F</w:t>
      </w:r>
      <w:bookmarkEnd w:id="16"/>
    </w:p>
    <w:p w:rsidR="00B115BB" w:rsidRDefault="00B115BB" w:rsidP="00B115BB">
      <w:pPr>
        <w:pStyle w:val="NoSpacing"/>
        <w:jc w:val="center"/>
        <w:rPr>
          <w:sz w:val="24"/>
          <w:szCs w:val="24"/>
        </w:rPr>
      </w:pPr>
    </w:p>
    <w:p w:rsidR="00B115BB" w:rsidRPr="00BD4BD3" w:rsidRDefault="00B115BB" w:rsidP="005B23E6">
      <w:pPr>
        <w:pStyle w:val="NoSpacing"/>
        <w:jc w:val="center"/>
        <w:rPr>
          <w:b/>
          <w:sz w:val="24"/>
          <w:szCs w:val="24"/>
        </w:rPr>
      </w:pPr>
      <w:r w:rsidRPr="00BD4BD3">
        <w:rPr>
          <w:b/>
          <w:sz w:val="24"/>
          <w:szCs w:val="24"/>
        </w:rPr>
        <w:t>Status Report Glossary</w:t>
      </w:r>
    </w:p>
    <w:p w:rsidR="008A13BD" w:rsidRPr="00BD4BD3" w:rsidRDefault="008A13BD" w:rsidP="008A13BD">
      <w:pPr>
        <w:rPr>
          <w:rFonts w:asciiTheme="minorHAnsi" w:hAnsiTheme="minorHAnsi" w:cstheme="minorHAnsi"/>
          <w:b/>
          <w:sz w:val="24"/>
          <w:szCs w:val="24"/>
        </w:rPr>
      </w:pPr>
    </w:p>
    <w:p w:rsidR="00290214" w:rsidRPr="006F4E0B" w:rsidRDefault="008A13BD" w:rsidP="00290214">
      <w:pPr>
        <w:rPr>
          <w:rFonts w:cstheme="minorHAnsi"/>
        </w:rPr>
      </w:pPr>
      <w:proofErr w:type="gramStart"/>
      <w:r w:rsidRPr="006503AD">
        <w:rPr>
          <w:rFonts w:asciiTheme="minorHAnsi" w:hAnsiTheme="minorHAnsi" w:cstheme="minorHAnsi"/>
          <w:b/>
          <w:sz w:val="24"/>
          <w:szCs w:val="24"/>
        </w:rPr>
        <w:t>Board of Health</w:t>
      </w:r>
      <w:r w:rsidR="00BD4BD3">
        <w:rPr>
          <w:rFonts w:asciiTheme="minorHAnsi" w:hAnsiTheme="minorHAnsi" w:cstheme="minorHAnsi"/>
          <w:b/>
          <w:sz w:val="24"/>
          <w:szCs w:val="24"/>
        </w:rPr>
        <w:t>.</w:t>
      </w:r>
      <w:proofErr w:type="gramEnd"/>
      <w:r w:rsidR="00BD4BD3">
        <w:rPr>
          <w:rFonts w:asciiTheme="minorHAnsi" w:hAnsiTheme="minorHAnsi" w:cstheme="minorHAnsi"/>
          <w:b/>
          <w:sz w:val="24"/>
          <w:szCs w:val="24"/>
        </w:rPr>
        <w:t xml:space="preserve"> </w:t>
      </w:r>
      <w:r w:rsidR="00290214">
        <w:rPr>
          <w:rFonts w:cstheme="minorHAnsi"/>
        </w:rPr>
        <w:t>“</w:t>
      </w:r>
      <w:r w:rsidR="00290214" w:rsidRPr="006F4E0B">
        <w:rPr>
          <w:rFonts w:cstheme="minorHAnsi"/>
        </w:rPr>
        <w:t>A board of health is a legally designated governing entity whose members are appointed or elected to</w:t>
      </w:r>
      <w:r w:rsidR="00BD4BD3">
        <w:rPr>
          <w:rFonts w:cstheme="minorHAnsi"/>
        </w:rPr>
        <w:t xml:space="preserve"> </w:t>
      </w:r>
      <w:r w:rsidR="00290214" w:rsidRPr="006F4E0B">
        <w:rPr>
          <w:rFonts w:cstheme="minorHAnsi"/>
        </w:rPr>
        <w:t>provide advisory functions and/or governing oversight of public health activities, including assessment,</w:t>
      </w:r>
      <w:r w:rsidR="00BD4BD3">
        <w:rPr>
          <w:rFonts w:cstheme="minorHAnsi"/>
        </w:rPr>
        <w:t xml:space="preserve"> </w:t>
      </w:r>
      <w:r w:rsidR="00290214" w:rsidRPr="006F4E0B">
        <w:rPr>
          <w:rFonts w:cstheme="minorHAnsi"/>
        </w:rPr>
        <w:t>assurance, and policy development, for the protection and promotion of health in their community.</w:t>
      </w:r>
      <w:r w:rsidR="00290214">
        <w:rPr>
          <w:rFonts w:cstheme="minorHAnsi"/>
        </w:rPr>
        <w:t>”</w:t>
      </w:r>
    </w:p>
    <w:p w:rsidR="00290214" w:rsidRPr="00290214" w:rsidRDefault="00290214" w:rsidP="00A622FD">
      <w:pPr>
        <w:ind w:left="720"/>
        <w:rPr>
          <w:rFonts w:cstheme="minorHAnsi"/>
          <w:i/>
        </w:rPr>
      </w:pPr>
      <w:r w:rsidRPr="00E67FC7">
        <w:rPr>
          <w:rFonts w:cstheme="minorHAnsi"/>
          <w:b/>
        </w:rPr>
        <w:t>Source</w:t>
      </w:r>
      <w:r>
        <w:rPr>
          <w:rFonts w:cstheme="minorHAnsi"/>
          <w:i/>
        </w:rPr>
        <w:t xml:space="preserve">: </w:t>
      </w:r>
      <w:r w:rsidRPr="006F4E0B">
        <w:rPr>
          <w:rFonts w:cstheme="minorHAnsi"/>
          <w:i/>
        </w:rPr>
        <w:t>National Public Health Performance Standards Program, Acronyms, Glossary, and Reference Terms,</w:t>
      </w:r>
      <w:r>
        <w:rPr>
          <w:rFonts w:cstheme="minorHAnsi"/>
          <w:i/>
        </w:rPr>
        <w:t xml:space="preserve"> </w:t>
      </w:r>
      <w:r w:rsidRPr="006F4E0B">
        <w:rPr>
          <w:rFonts w:cstheme="minorHAnsi"/>
          <w:i/>
        </w:rPr>
        <w:t xml:space="preserve">CDC, 2007. </w:t>
      </w:r>
      <w:hyperlink r:id="rId36" w:history="1">
        <w:r w:rsidR="00A14D58">
          <w:rPr>
            <w:rStyle w:val="Hyperlink"/>
            <w:rFonts w:cstheme="minorHAnsi"/>
            <w:i/>
          </w:rPr>
          <w:t>US Centers for Disease Control Glossary and Reference Terms</w:t>
        </w:r>
      </w:hyperlink>
    </w:p>
    <w:p w:rsidR="006503AD" w:rsidRPr="008A13BD" w:rsidRDefault="006503AD" w:rsidP="008A13BD">
      <w:pPr>
        <w:rPr>
          <w:rFonts w:asciiTheme="minorHAnsi" w:hAnsiTheme="minorHAnsi" w:cstheme="minorHAnsi"/>
          <w:sz w:val="24"/>
          <w:szCs w:val="24"/>
        </w:rPr>
      </w:pPr>
    </w:p>
    <w:p w:rsidR="00E67FC7" w:rsidRPr="00BD4BD3" w:rsidRDefault="008A13BD" w:rsidP="00290214">
      <w:pPr>
        <w:rPr>
          <w:rFonts w:asciiTheme="minorHAnsi" w:hAnsiTheme="minorHAnsi" w:cstheme="minorHAnsi"/>
          <w:b/>
          <w:sz w:val="24"/>
          <w:szCs w:val="24"/>
        </w:rPr>
      </w:pPr>
      <w:proofErr w:type="gramStart"/>
      <w:r w:rsidRPr="006503AD">
        <w:rPr>
          <w:rFonts w:asciiTheme="minorHAnsi" w:hAnsiTheme="minorHAnsi" w:cstheme="minorHAnsi"/>
          <w:b/>
          <w:sz w:val="24"/>
          <w:szCs w:val="24"/>
        </w:rPr>
        <w:t>Centralized</w:t>
      </w:r>
      <w:r w:rsidR="006503AD" w:rsidRPr="006503AD">
        <w:rPr>
          <w:rFonts w:asciiTheme="minorHAnsi" w:hAnsiTheme="minorHAnsi" w:cstheme="minorHAnsi"/>
          <w:b/>
          <w:sz w:val="24"/>
          <w:szCs w:val="24"/>
        </w:rPr>
        <w:t>/Decentralized</w:t>
      </w:r>
      <w:r w:rsidR="00BD4BD3">
        <w:rPr>
          <w:rFonts w:asciiTheme="minorHAnsi" w:hAnsiTheme="minorHAnsi" w:cstheme="minorHAnsi"/>
          <w:b/>
          <w:sz w:val="24"/>
          <w:szCs w:val="24"/>
        </w:rPr>
        <w:t xml:space="preserve"> Governance Structure.</w:t>
      </w:r>
      <w:proofErr w:type="gramEnd"/>
      <w:r w:rsidR="00BD4BD3">
        <w:rPr>
          <w:rFonts w:asciiTheme="minorHAnsi" w:hAnsiTheme="minorHAnsi" w:cstheme="minorHAnsi"/>
          <w:b/>
          <w:sz w:val="24"/>
          <w:szCs w:val="24"/>
        </w:rPr>
        <w:t xml:space="preserve"> </w:t>
      </w:r>
      <w:r w:rsidR="00290214">
        <w:rPr>
          <w:rFonts w:cstheme="minorHAnsi"/>
        </w:rPr>
        <w:t>“</w:t>
      </w:r>
      <w:r w:rsidR="00290214" w:rsidRPr="006F4E0B">
        <w:rPr>
          <w:rFonts w:cstheme="minorHAnsi"/>
        </w:rPr>
        <w:t xml:space="preserve">A centralized health department is defined, for the purposes of PHAB accreditation, as a state public health organizational structure that operates all or most of the local health departments. Centralized health departments have a central office that provides administrative, policy, managerial direction, and support. The local health departments in centralized states are organizationally a part of the state health department. Employees are state employees, except for those in independent local public health departments, usually in one or more major city or county in the state. Where the state or territorial health department operates local and/or regional health department(s), a single local or regional </w:t>
      </w:r>
      <w:proofErr w:type="gramStart"/>
      <w:r w:rsidR="00290214" w:rsidRPr="006F4E0B">
        <w:rPr>
          <w:rFonts w:cstheme="minorHAnsi"/>
        </w:rPr>
        <w:t>applicant</w:t>
      </w:r>
      <w:proofErr w:type="gramEnd"/>
      <w:r w:rsidR="00290214" w:rsidRPr="006F4E0B">
        <w:rPr>
          <w:rFonts w:cstheme="minorHAnsi"/>
        </w:rPr>
        <w:t xml:space="preserve"> or a number of individual applicants may choose to apply together. Compliance with local-level standards must be demonstrated for each local and/or regional unit.</w:t>
      </w:r>
      <w:r w:rsidR="00290214">
        <w:rPr>
          <w:rFonts w:cstheme="minorHAnsi"/>
        </w:rPr>
        <w:t>”</w:t>
      </w:r>
      <w:r w:rsidR="00290214" w:rsidRPr="006F4E0B">
        <w:rPr>
          <w:rFonts w:cstheme="minorHAnsi"/>
          <w:i/>
        </w:rPr>
        <w:t xml:space="preserve"> </w:t>
      </w:r>
    </w:p>
    <w:p w:rsidR="00290214" w:rsidRPr="006F4E0B" w:rsidRDefault="00E67FC7" w:rsidP="00A622FD">
      <w:pPr>
        <w:ind w:left="720"/>
        <w:rPr>
          <w:rFonts w:cstheme="minorHAnsi"/>
        </w:rPr>
      </w:pPr>
      <w:r w:rsidRPr="00E67FC7">
        <w:rPr>
          <w:rFonts w:cstheme="minorHAnsi"/>
          <w:b/>
        </w:rPr>
        <w:t>Source</w:t>
      </w:r>
      <w:r>
        <w:rPr>
          <w:rFonts w:cstheme="minorHAnsi"/>
          <w:i/>
        </w:rPr>
        <w:t xml:space="preserve">: </w:t>
      </w:r>
      <w:r w:rsidR="00290214" w:rsidRPr="006F4E0B">
        <w:rPr>
          <w:rFonts w:cstheme="minorHAnsi"/>
          <w:i/>
        </w:rPr>
        <w:t>Public Health Accreditation Board. Guide to National Public Health Department Accreditation Version 1.0. Alexandri</w:t>
      </w:r>
      <w:r>
        <w:rPr>
          <w:rFonts w:cstheme="minorHAnsi"/>
          <w:i/>
        </w:rPr>
        <w:t>a, VA, May 2011</w:t>
      </w:r>
    </w:p>
    <w:p w:rsidR="00290214" w:rsidRDefault="00290214" w:rsidP="008A13BD">
      <w:pPr>
        <w:rPr>
          <w:rFonts w:asciiTheme="minorHAnsi" w:hAnsiTheme="minorHAnsi" w:cstheme="minorHAnsi"/>
          <w:sz w:val="24"/>
          <w:szCs w:val="24"/>
        </w:rPr>
      </w:pPr>
    </w:p>
    <w:p w:rsidR="00E67FC7" w:rsidRDefault="00290214" w:rsidP="00290214">
      <w:pPr>
        <w:rPr>
          <w:rFonts w:cstheme="minorHAnsi"/>
        </w:rPr>
      </w:pPr>
      <w:r>
        <w:rPr>
          <w:rFonts w:cstheme="minorHAnsi"/>
        </w:rPr>
        <w:t>In a decentralized governance structure, “l</w:t>
      </w:r>
      <w:r w:rsidRPr="006F4E0B">
        <w:rPr>
          <w:rFonts w:cstheme="minorHAnsi"/>
        </w:rPr>
        <w:t>ocal health units are primarily led by employees of local governments and the local governments retain authority over most fiscal decisions.</w:t>
      </w:r>
      <w:r>
        <w:rPr>
          <w:rFonts w:cstheme="minorHAnsi"/>
        </w:rPr>
        <w:t>”</w:t>
      </w:r>
      <w:r w:rsidRPr="006F4E0B">
        <w:rPr>
          <w:rFonts w:cstheme="minorHAnsi"/>
        </w:rPr>
        <w:t xml:space="preserve"> </w:t>
      </w:r>
    </w:p>
    <w:p w:rsidR="00290214" w:rsidRPr="006F4E0B" w:rsidRDefault="00E67FC7" w:rsidP="00A622FD">
      <w:pPr>
        <w:ind w:left="720"/>
        <w:rPr>
          <w:rFonts w:cstheme="minorHAnsi"/>
        </w:rPr>
      </w:pPr>
      <w:r w:rsidRPr="00E67FC7">
        <w:rPr>
          <w:rFonts w:cstheme="minorHAnsi"/>
          <w:b/>
        </w:rPr>
        <w:t>Source</w:t>
      </w:r>
      <w:r>
        <w:rPr>
          <w:rFonts w:cstheme="minorHAnsi"/>
        </w:rPr>
        <w:t xml:space="preserve">: </w:t>
      </w:r>
      <w:r w:rsidR="00290214" w:rsidRPr="006F4E0B">
        <w:rPr>
          <w:rFonts w:cstheme="minorHAnsi"/>
          <w:i/>
        </w:rPr>
        <w:t>http://www.astho.org/Research/Data-and-Analysis/State-and-Local-</w:t>
      </w:r>
      <w:r>
        <w:rPr>
          <w:rFonts w:cstheme="minorHAnsi"/>
          <w:i/>
        </w:rPr>
        <w:t>Governance-Classification-Tree/</w:t>
      </w:r>
    </w:p>
    <w:p w:rsidR="00290214" w:rsidRDefault="00290214" w:rsidP="008A13BD">
      <w:pPr>
        <w:rPr>
          <w:rFonts w:asciiTheme="minorHAnsi" w:hAnsiTheme="minorHAnsi" w:cstheme="minorHAnsi"/>
          <w:sz w:val="24"/>
          <w:szCs w:val="24"/>
        </w:rPr>
      </w:pPr>
    </w:p>
    <w:p w:rsidR="00A622FD" w:rsidRPr="00A622FD" w:rsidRDefault="001579FB" w:rsidP="00A622FD">
      <w:pPr>
        <w:rPr>
          <w:rFonts w:asciiTheme="minorHAnsi" w:hAnsiTheme="minorHAnsi"/>
          <w:color w:val="000000"/>
        </w:rPr>
      </w:pPr>
      <w:proofErr w:type="gramStart"/>
      <w:r w:rsidRPr="006F4E0B">
        <w:rPr>
          <w:rFonts w:cstheme="minorHAnsi"/>
          <w:b/>
          <w:color w:val="000000" w:themeColor="text1"/>
        </w:rPr>
        <w:t>Cr</w:t>
      </w:r>
      <w:r w:rsidR="00A622FD">
        <w:rPr>
          <w:rFonts w:cstheme="minorHAnsi"/>
          <w:b/>
          <w:color w:val="000000" w:themeColor="text1"/>
        </w:rPr>
        <w:t>oss-</w:t>
      </w:r>
      <w:r>
        <w:rPr>
          <w:rFonts w:cstheme="minorHAnsi"/>
          <w:b/>
          <w:color w:val="000000" w:themeColor="text1"/>
        </w:rPr>
        <w:t>Jurisdictional Sharing</w:t>
      </w:r>
      <w:r w:rsidR="00A622FD">
        <w:rPr>
          <w:rFonts w:cstheme="minorHAnsi"/>
          <w:b/>
          <w:color w:val="000000" w:themeColor="text1"/>
        </w:rPr>
        <w:t>.</w:t>
      </w:r>
      <w:proofErr w:type="gramEnd"/>
      <w:r w:rsidR="00A622FD">
        <w:rPr>
          <w:rFonts w:cstheme="minorHAnsi"/>
          <w:b/>
          <w:color w:val="000000" w:themeColor="text1"/>
        </w:rPr>
        <w:t xml:space="preserve"> </w:t>
      </w:r>
      <w:r w:rsidR="00A622FD">
        <w:rPr>
          <w:rFonts w:asciiTheme="minorHAnsi" w:hAnsiTheme="minorHAnsi"/>
          <w:color w:val="000000"/>
        </w:rPr>
        <w:t>“</w:t>
      </w:r>
      <w:r w:rsidR="00A622FD" w:rsidRPr="00A622FD">
        <w:rPr>
          <w:rFonts w:asciiTheme="minorHAnsi" w:hAnsiTheme="minorHAnsi"/>
          <w:color w:val="000000"/>
        </w:rPr>
        <w:t>C</w:t>
      </w:r>
      <w:r w:rsidR="00A622FD">
        <w:rPr>
          <w:rFonts w:asciiTheme="minorHAnsi" w:hAnsiTheme="minorHAnsi"/>
          <w:color w:val="000000"/>
        </w:rPr>
        <w:t>ross-jurisdictional sharing is ‘</w:t>
      </w:r>
      <w:r w:rsidR="00A622FD" w:rsidRPr="00A622FD">
        <w:rPr>
          <w:rFonts w:asciiTheme="minorHAnsi" w:hAnsiTheme="minorHAnsi"/>
          <w:color w:val="000000"/>
        </w:rPr>
        <w:t>the deliberate exercise of public authority to enable collaboration across jurisdictional boundaries to deliver e</w:t>
      </w:r>
      <w:r w:rsidR="00A622FD">
        <w:rPr>
          <w:rFonts w:asciiTheme="minorHAnsi" w:hAnsiTheme="minorHAnsi"/>
          <w:color w:val="000000"/>
        </w:rPr>
        <w:t>ssential public health services’</w:t>
      </w:r>
      <w:r w:rsidR="00A622FD" w:rsidRPr="00A622FD">
        <w:rPr>
          <w:rFonts w:asciiTheme="minorHAnsi" w:hAnsiTheme="minorHAnsi"/>
          <w:color w:val="000000"/>
        </w:rPr>
        <w:t xml:space="preserve"> (Center for Sharing Public Health Services, 2013).</w:t>
      </w:r>
      <w:r w:rsidR="00A622FD">
        <w:rPr>
          <w:rFonts w:asciiTheme="minorHAnsi" w:hAnsiTheme="minorHAnsi"/>
          <w:color w:val="000000"/>
        </w:rPr>
        <w:t xml:space="preserve"> </w:t>
      </w:r>
      <w:r w:rsidR="00A622FD" w:rsidRPr="00A622FD">
        <w:rPr>
          <w:rFonts w:asciiTheme="minorHAnsi" w:hAnsiTheme="minorHAnsi"/>
          <w:color w:val="000000"/>
        </w:rPr>
        <w:t>Cross-jurisdictional sharing can range from supporting informal arrangements to more formal changes in structure. In public health, cross-jurisdictional sharing often occurs between health departments or agencies serving two or more jurisdictions. Collaboration allows communities to solve issues or problems that cannot be easily solved by a single organization or jurisdiction.</w:t>
      </w:r>
      <w:r w:rsidR="00A622FD" w:rsidRPr="00A622FD">
        <w:rPr>
          <w:rFonts w:asciiTheme="minorHAnsi" w:hAnsiTheme="minorHAnsi"/>
          <w:color w:val="000000"/>
        </w:rPr>
        <w:br/>
      </w:r>
      <w:r w:rsidR="00A622FD" w:rsidRPr="00A622FD">
        <w:rPr>
          <w:rFonts w:asciiTheme="minorHAnsi" w:hAnsiTheme="minorHAnsi"/>
          <w:color w:val="000000"/>
        </w:rPr>
        <w:br/>
        <w:t>Examples of cross-jurisdictional sharing include</w:t>
      </w:r>
    </w:p>
    <w:p w:rsidR="00A622FD" w:rsidRPr="00A622FD" w:rsidRDefault="00A622FD" w:rsidP="00A622FD">
      <w:pPr>
        <w:numPr>
          <w:ilvl w:val="0"/>
          <w:numId w:val="49"/>
        </w:numPr>
        <w:shd w:val="clear" w:color="auto" w:fill="FFFFFF"/>
        <w:spacing w:line="276" w:lineRule="auto"/>
        <w:ind w:left="375"/>
        <w:rPr>
          <w:rFonts w:asciiTheme="minorHAnsi" w:hAnsiTheme="minorHAnsi"/>
          <w:color w:val="000000"/>
        </w:rPr>
      </w:pPr>
      <w:r w:rsidRPr="00A622FD">
        <w:rPr>
          <w:rFonts w:asciiTheme="minorHAnsi" w:hAnsiTheme="minorHAnsi"/>
          <w:color w:val="000000"/>
        </w:rPr>
        <w:t>Regionalization of health departments, such as through the consolidation of two or more health departments</w:t>
      </w:r>
    </w:p>
    <w:p w:rsidR="00A622FD" w:rsidRPr="00A622FD" w:rsidRDefault="00A622FD" w:rsidP="00A622FD">
      <w:pPr>
        <w:numPr>
          <w:ilvl w:val="0"/>
          <w:numId w:val="49"/>
        </w:numPr>
        <w:shd w:val="clear" w:color="auto" w:fill="FFFFFF"/>
        <w:spacing w:line="276" w:lineRule="auto"/>
        <w:ind w:left="375"/>
        <w:rPr>
          <w:rFonts w:asciiTheme="minorHAnsi" w:hAnsiTheme="minorHAnsi"/>
          <w:color w:val="000000"/>
        </w:rPr>
      </w:pPr>
      <w:r w:rsidRPr="00A622FD">
        <w:rPr>
          <w:rFonts w:asciiTheme="minorHAnsi" w:hAnsiTheme="minorHAnsi"/>
          <w:color w:val="000000"/>
        </w:rPr>
        <w:t>Sharing staff between two or more health departments, such as an epidemiologist or sanitarian that supports multiple health department jurisdictions</w:t>
      </w:r>
    </w:p>
    <w:p w:rsidR="00A622FD" w:rsidRPr="00A622FD" w:rsidRDefault="00A622FD" w:rsidP="00A622FD">
      <w:pPr>
        <w:numPr>
          <w:ilvl w:val="0"/>
          <w:numId w:val="49"/>
        </w:numPr>
        <w:shd w:val="clear" w:color="auto" w:fill="FFFFFF"/>
        <w:spacing w:line="276" w:lineRule="auto"/>
        <w:ind w:left="375"/>
        <w:rPr>
          <w:rFonts w:asciiTheme="minorHAnsi" w:hAnsiTheme="minorHAnsi"/>
          <w:color w:val="000000"/>
        </w:rPr>
      </w:pPr>
      <w:r w:rsidRPr="00A622FD">
        <w:rPr>
          <w:rFonts w:asciiTheme="minorHAnsi" w:hAnsiTheme="minorHAnsi"/>
          <w:color w:val="000000"/>
        </w:rPr>
        <w:t>Sharing defined services, such as laboratory testing services or inspection services</w:t>
      </w:r>
    </w:p>
    <w:p w:rsidR="00A622FD" w:rsidRPr="00A622FD" w:rsidRDefault="00A622FD" w:rsidP="00A622FD">
      <w:pPr>
        <w:numPr>
          <w:ilvl w:val="0"/>
          <w:numId w:val="49"/>
        </w:numPr>
        <w:shd w:val="clear" w:color="auto" w:fill="FFFFFF"/>
        <w:spacing w:line="276" w:lineRule="auto"/>
        <w:ind w:left="375"/>
        <w:rPr>
          <w:rFonts w:asciiTheme="minorHAnsi" w:hAnsiTheme="minorHAnsi"/>
          <w:color w:val="000000"/>
        </w:rPr>
      </w:pPr>
      <w:r w:rsidRPr="00A622FD">
        <w:rPr>
          <w:rFonts w:asciiTheme="minorHAnsi" w:hAnsiTheme="minorHAnsi"/>
          <w:color w:val="000000"/>
        </w:rPr>
        <w:lastRenderedPageBreak/>
        <w:t>Collaborative assessment and planning processes that include two or more health departments and leads to shared priorities; examples might include regional preparedness plans, cross-border plans, or community health improvement plans</w:t>
      </w:r>
      <w:r>
        <w:rPr>
          <w:rFonts w:asciiTheme="minorHAnsi" w:hAnsiTheme="minorHAnsi"/>
          <w:color w:val="000000"/>
        </w:rPr>
        <w:t>”</w:t>
      </w:r>
    </w:p>
    <w:p w:rsidR="001579FB" w:rsidRPr="006F4E0B" w:rsidRDefault="00A622FD" w:rsidP="00A622FD">
      <w:pPr>
        <w:ind w:left="720"/>
        <w:rPr>
          <w:rFonts w:cstheme="minorHAnsi"/>
          <w:color w:val="000000" w:themeColor="text1"/>
        </w:rPr>
      </w:pPr>
      <w:r w:rsidRPr="00A622FD">
        <w:rPr>
          <w:rFonts w:cstheme="minorHAnsi"/>
          <w:b/>
          <w:color w:val="000000" w:themeColor="text1"/>
        </w:rPr>
        <w:t>Source</w:t>
      </w:r>
      <w:r>
        <w:rPr>
          <w:rFonts w:cstheme="minorHAnsi"/>
          <w:i/>
          <w:color w:val="000000" w:themeColor="text1"/>
        </w:rPr>
        <w:t xml:space="preserve">: </w:t>
      </w:r>
      <w:r w:rsidR="001579FB" w:rsidRPr="006F4E0B">
        <w:rPr>
          <w:rFonts w:cstheme="minorHAnsi"/>
          <w:i/>
          <w:color w:val="000000" w:themeColor="text1"/>
        </w:rPr>
        <w:t>Center for Sharing Public Health Services, 2013</w:t>
      </w:r>
      <w:r>
        <w:rPr>
          <w:rFonts w:cstheme="minorHAnsi"/>
          <w:i/>
          <w:color w:val="000000" w:themeColor="text1"/>
        </w:rPr>
        <w:t xml:space="preserve"> and </w:t>
      </w:r>
      <w:r w:rsidR="001579FB" w:rsidRPr="006F4E0B">
        <w:rPr>
          <w:rFonts w:cstheme="minorHAnsi"/>
          <w:i/>
          <w:color w:val="000000" w:themeColor="text1"/>
        </w:rPr>
        <w:t>https://www.cdc.gov/stltpublichealth/cjs/index.html</w:t>
      </w:r>
    </w:p>
    <w:p w:rsidR="008A13BD" w:rsidRPr="008A13BD" w:rsidRDefault="008A13BD" w:rsidP="008A13BD">
      <w:pPr>
        <w:rPr>
          <w:rFonts w:asciiTheme="minorHAnsi" w:hAnsiTheme="minorHAnsi" w:cstheme="minorHAnsi"/>
          <w:sz w:val="24"/>
          <w:szCs w:val="24"/>
        </w:rPr>
      </w:pPr>
    </w:p>
    <w:p w:rsidR="00E67FC7" w:rsidRDefault="008A13BD" w:rsidP="00E67FC7">
      <w:pPr>
        <w:rPr>
          <w:rFonts w:cstheme="minorHAnsi"/>
        </w:rPr>
      </w:pPr>
      <w:proofErr w:type="gramStart"/>
      <w:r w:rsidRPr="00E67FC7">
        <w:rPr>
          <w:rFonts w:asciiTheme="minorHAnsi" w:hAnsiTheme="minorHAnsi" w:cstheme="minorHAnsi"/>
          <w:b/>
          <w:sz w:val="24"/>
          <w:szCs w:val="24"/>
        </w:rPr>
        <w:t>E</w:t>
      </w:r>
      <w:r w:rsidR="00A622FD">
        <w:rPr>
          <w:rFonts w:asciiTheme="minorHAnsi" w:hAnsiTheme="minorHAnsi" w:cstheme="minorHAnsi"/>
          <w:b/>
          <w:sz w:val="24"/>
          <w:szCs w:val="24"/>
        </w:rPr>
        <w:t>ssential Public Health Services.</w:t>
      </w:r>
      <w:proofErr w:type="gramEnd"/>
      <w:r w:rsidR="00A622FD">
        <w:rPr>
          <w:rFonts w:asciiTheme="minorHAnsi" w:hAnsiTheme="minorHAnsi" w:cstheme="minorHAnsi"/>
          <w:b/>
          <w:sz w:val="24"/>
          <w:szCs w:val="24"/>
        </w:rPr>
        <w:t xml:space="preserve"> </w:t>
      </w:r>
      <w:r w:rsidR="00E67FC7">
        <w:rPr>
          <w:rFonts w:cstheme="minorHAnsi"/>
        </w:rPr>
        <w:t>“The E</w:t>
      </w:r>
      <w:r w:rsidR="00E67FC7" w:rsidRPr="006F4E0B">
        <w:rPr>
          <w:rFonts w:cstheme="minorHAnsi"/>
        </w:rPr>
        <w:t>ssential Public Health Services are the ten services identified in Public Health in America developed by representatives from federal agencies and national organizations to describe what public health seeks to accomplish and how it will carry out its basic responsibilities. The list of ten services defines</w:t>
      </w:r>
      <w:r w:rsidR="00DD5A7B">
        <w:rPr>
          <w:rFonts w:cstheme="minorHAnsi"/>
        </w:rPr>
        <w:t xml:space="preserve"> the practice of public health:</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Monitor health status to identify and solve community health problems</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Diagnose and investigate health problems and health hazards in the community</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Inform, educate, and empower people about health issues</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Mobilize community partnerships and action to identify and solve health problems</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Develop policies and plans that support individual and community health efforts</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Enforce laws and regulations that protect health and ensure safety</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Link people to needed personal health services and assure the provision of health care when otherwise unavailable</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Assure competent public and personal health care workforce</w:t>
      </w:r>
    </w:p>
    <w:p w:rsidR="00E67FC7" w:rsidRPr="00CD23D8" w:rsidRDefault="00E67FC7" w:rsidP="00E67FC7">
      <w:pPr>
        <w:numPr>
          <w:ilvl w:val="0"/>
          <w:numId w:val="45"/>
        </w:numPr>
        <w:shd w:val="clear" w:color="auto" w:fill="FFFFFF"/>
        <w:spacing w:before="100" w:beforeAutospacing="1" w:after="100" w:afterAutospacing="1" w:line="276" w:lineRule="auto"/>
        <w:ind w:left="374"/>
        <w:rPr>
          <w:rFonts w:eastAsia="Times New Roman" w:cstheme="minorHAnsi"/>
          <w:color w:val="000000"/>
        </w:rPr>
      </w:pPr>
      <w:r w:rsidRPr="00CD23D8">
        <w:rPr>
          <w:rFonts w:eastAsia="Times New Roman" w:cstheme="minorHAnsi"/>
          <w:color w:val="000000"/>
        </w:rPr>
        <w:t>Evaluate effectiveness, accessibility, and quality of personal and population-based health services</w:t>
      </w:r>
    </w:p>
    <w:p w:rsidR="00E67FC7" w:rsidRPr="006F4E0B" w:rsidRDefault="00E67FC7" w:rsidP="00A622FD">
      <w:pPr>
        <w:numPr>
          <w:ilvl w:val="0"/>
          <w:numId w:val="45"/>
        </w:numPr>
        <w:shd w:val="clear" w:color="auto" w:fill="FFFFFF"/>
        <w:spacing w:line="276" w:lineRule="auto"/>
        <w:ind w:left="374"/>
        <w:rPr>
          <w:rFonts w:eastAsia="Times New Roman" w:cstheme="minorHAnsi"/>
          <w:color w:val="000000"/>
        </w:rPr>
      </w:pPr>
      <w:r w:rsidRPr="00CD23D8">
        <w:rPr>
          <w:rFonts w:eastAsia="Times New Roman" w:cstheme="minorHAnsi"/>
          <w:color w:val="000000"/>
        </w:rPr>
        <w:t>Research for new insights and innovative solutions to health problems</w:t>
      </w:r>
    </w:p>
    <w:p w:rsidR="008A13BD" w:rsidRDefault="00A622FD" w:rsidP="00A622FD">
      <w:pPr>
        <w:spacing w:line="276" w:lineRule="auto"/>
        <w:ind w:left="720"/>
        <w:rPr>
          <w:rFonts w:asciiTheme="minorHAnsi" w:hAnsiTheme="minorHAnsi" w:cstheme="minorHAnsi"/>
          <w:sz w:val="24"/>
          <w:szCs w:val="24"/>
        </w:rPr>
      </w:pPr>
      <w:r>
        <w:rPr>
          <w:rFonts w:cstheme="minorHAnsi"/>
          <w:b/>
        </w:rPr>
        <w:t xml:space="preserve">Sources: </w:t>
      </w:r>
      <w:hyperlink r:id="rId37" w:history="1">
        <w:r w:rsidR="00A14D58">
          <w:rPr>
            <w:rStyle w:val="Hyperlink"/>
            <w:rFonts w:cstheme="minorHAnsi"/>
            <w:i/>
          </w:rPr>
          <w:t>Office of Disease Prevention and Health Promotion</w:t>
        </w:r>
      </w:hyperlink>
      <w:r w:rsidRPr="006F4E0B">
        <w:rPr>
          <w:rFonts w:cstheme="minorHAnsi"/>
          <w:i/>
        </w:rPr>
        <w:t xml:space="preserve"> and </w:t>
      </w:r>
      <w:hyperlink r:id="rId38" w:history="1">
        <w:r w:rsidR="00A14D58">
          <w:rPr>
            <w:rStyle w:val="Hyperlink"/>
            <w:rFonts w:cstheme="minorHAnsi"/>
            <w:i/>
          </w:rPr>
          <w:t>CDC National Health Performance Standards</w:t>
        </w:r>
      </w:hyperlink>
      <w:r w:rsidRPr="006F4E0B">
        <w:rPr>
          <w:rFonts w:cstheme="minorHAnsi"/>
          <w:i/>
        </w:rPr>
        <w:t>.</w:t>
      </w:r>
    </w:p>
    <w:p w:rsidR="00A622FD" w:rsidRDefault="00A622FD" w:rsidP="00E67FC7">
      <w:pPr>
        <w:rPr>
          <w:rFonts w:cstheme="minorHAnsi"/>
          <w:b/>
          <w:color w:val="000000" w:themeColor="text1"/>
        </w:rPr>
      </w:pPr>
    </w:p>
    <w:p w:rsidR="00E67FC7" w:rsidRPr="00A622FD" w:rsidRDefault="00E67FC7" w:rsidP="00A622FD">
      <w:pPr>
        <w:rPr>
          <w:rFonts w:cstheme="minorHAnsi"/>
          <w:color w:val="FF0000"/>
        </w:rPr>
      </w:pPr>
      <w:proofErr w:type="gramStart"/>
      <w:r w:rsidRPr="006F4E0B">
        <w:rPr>
          <w:rFonts w:cstheme="minorHAnsi"/>
          <w:b/>
          <w:color w:val="000000" w:themeColor="text1"/>
        </w:rPr>
        <w:t>Foundational Public Health Services</w:t>
      </w:r>
      <w:r w:rsidR="00A622FD">
        <w:rPr>
          <w:rFonts w:cstheme="minorHAnsi"/>
          <w:b/>
          <w:color w:val="000000" w:themeColor="text1"/>
        </w:rPr>
        <w:t>.</w:t>
      </w:r>
      <w:proofErr w:type="gramEnd"/>
      <w:r w:rsidR="00A622FD">
        <w:rPr>
          <w:rFonts w:cstheme="minorHAnsi"/>
          <w:b/>
          <w:color w:val="000000" w:themeColor="text1"/>
        </w:rPr>
        <w:t xml:space="preserve"> </w:t>
      </w:r>
      <w:r>
        <w:rPr>
          <w:rFonts w:eastAsia="Times New Roman" w:cstheme="minorHAnsi"/>
          <w:color w:val="333333"/>
        </w:rPr>
        <w:t>Foundational Public Health Services (FPHS) is a</w:t>
      </w:r>
      <w:r w:rsidRPr="00033D22">
        <w:rPr>
          <w:rFonts w:eastAsia="Times New Roman" w:cstheme="minorHAnsi"/>
          <w:color w:val="333333"/>
        </w:rPr>
        <w:t xml:space="preserve"> </w:t>
      </w:r>
      <w:r>
        <w:rPr>
          <w:rFonts w:eastAsia="Times New Roman" w:cstheme="minorHAnsi"/>
          <w:color w:val="333333"/>
        </w:rPr>
        <w:t>“</w:t>
      </w:r>
      <w:r w:rsidRPr="00033D22">
        <w:rPr>
          <w:rFonts w:eastAsia="Times New Roman" w:cstheme="minorHAnsi"/>
          <w:color w:val="333333"/>
        </w:rPr>
        <w:t>conceptual framework describing the capacities and programs that state and loc</w:t>
      </w:r>
      <w:r w:rsidRPr="006F4E0B">
        <w:rPr>
          <w:rFonts w:eastAsia="Times New Roman" w:cstheme="minorHAnsi"/>
          <w:color w:val="333333"/>
        </w:rPr>
        <w:t xml:space="preserve">al health departments should be </w:t>
      </w:r>
      <w:r w:rsidRPr="00033D22">
        <w:rPr>
          <w:rFonts w:eastAsia="Times New Roman" w:cstheme="minorHAnsi"/>
          <w:color w:val="333333"/>
        </w:rPr>
        <w:t>able to provide to all communities and for which costs can be estimated. Additionally, health departments should have the capacity for additional important programs and activities specific to the needs of their individual communities. As such, the FPHS model</w:t>
      </w:r>
      <w:r w:rsidRPr="006F4E0B">
        <w:rPr>
          <w:rFonts w:eastAsia="Times New Roman" w:cstheme="minorHAnsi"/>
          <w:color w:val="336699"/>
          <w:u w:val="single"/>
          <w:vertAlign w:val="superscript"/>
        </w:rPr>
        <w:t xml:space="preserve"> </w:t>
      </w:r>
      <w:r w:rsidRPr="00033D22">
        <w:rPr>
          <w:rFonts w:eastAsia="Times New Roman" w:cstheme="minorHAnsi"/>
          <w:color w:val="333333"/>
        </w:rPr>
        <w:t>consists of the following components:</w:t>
      </w:r>
    </w:p>
    <w:p w:rsidR="00E67FC7" w:rsidRPr="00033D22" w:rsidRDefault="00E67FC7" w:rsidP="00E67FC7">
      <w:pPr>
        <w:numPr>
          <w:ilvl w:val="0"/>
          <w:numId w:val="47"/>
        </w:numPr>
        <w:shd w:val="clear" w:color="auto" w:fill="FFFFFF"/>
        <w:rPr>
          <w:rFonts w:eastAsia="Times New Roman" w:cstheme="minorHAnsi"/>
          <w:color w:val="333333"/>
        </w:rPr>
      </w:pPr>
      <w:r w:rsidRPr="00033D22">
        <w:rPr>
          <w:rFonts w:eastAsia="Times New Roman" w:cstheme="minorHAnsi"/>
          <w:b/>
          <w:color w:val="333333"/>
        </w:rPr>
        <w:t>Foundational Capabilities</w:t>
      </w:r>
      <w:r w:rsidRPr="00033D22">
        <w:rPr>
          <w:rFonts w:eastAsia="Times New Roman" w:cstheme="minorHAnsi"/>
          <w:color w:val="333333"/>
        </w:rPr>
        <w:t>: cross-cutting skills needed in state/local health departments to support all activities (e.g., human resources, communications)</w:t>
      </w:r>
    </w:p>
    <w:p w:rsidR="00E67FC7" w:rsidRPr="006F4E0B" w:rsidRDefault="00E67FC7" w:rsidP="00E67FC7">
      <w:pPr>
        <w:numPr>
          <w:ilvl w:val="0"/>
          <w:numId w:val="47"/>
        </w:numPr>
        <w:shd w:val="clear" w:color="auto" w:fill="FFFFFF"/>
        <w:rPr>
          <w:rFonts w:eastAsia="Times New Roman" w:cstheme="minorHAnsi"/>
          <w:color w:val="333333"/>
        </w:rPr>
      </w:pPr>
      <w:r w:rsidRPr="00033D22">
        <w:rPr>
          <w:rFonts w:eastAsia="Times New Roman" w:cstheme="minorHAnsi"/>
          <w:b/>
          <w:color w:val="333333"/>
        </w:rPr>
        <w:t>Foundational Areas</w:t>
      </w:r>
      <w:r w:rsidRPr="00033D22">
        <w:rPr>
          <w:rFonts w:eastAsia="Times New Roman" w:cstheme="minorHAnsi"/>
          <w:color w:val="333333"/>
        </w:rPr>
        <w:t>: substantive areas of expertise or program-specific activities in all state/local health departments necessary to protect the community’s health (e.g., communicable disease contro</w:t>
      </w:r>
      <w:r w:rsidRPr="006F4E0B">
        <w:rPr>
          <w:rFonts w:eastAsia="Times New Roman" w:cstheme="minorHAnsi"/>
          <w:color w:val="333333"/>
        </w:rPr>
        <w:t>l.</w:t>
      </w:r>
      <w:r>
        <w:rPr>
          <w:rFonts w:eastAsia="Times New Roman" w:cstheme="minorHAnsi"/>
          <w:color w:val="333333"/>
        </w:rPr>
        <w:t>”</w:t>
      </w:r>
    </w:p>
    <w:p w:rsidR="00E67FC7" w:rsidRPr="00033D22" w:rsidRDefault="00E67FC7" w:rsidP="00A622FD">
      <w:pPr>
        <w:shd w:val="clear" w:color="auto" w:fill="FFFFFF"/>
        <w:ind w:left="720"/>
        <w:rPr>
          <w:rFonts w:eastAsia="Times New Roman" w:cstheme="minorHAnsi"/>
          <w:i/>
          <w:color w:val="333333"/>
        </w:rPr>
      </w:pPr>
      <w:r>
        <w:rPr>
          <w:rFonts w:eastAsia="Times New Roman" w:cstheme="minorHAnsi"/>
          <w:b/>
          <w:color w:val="333333"/>
        </w:rPr>
        <w:t xml:space="preserve">Source: </w:t>
      </w:r>
      <w:r w:rsidRPr="006F4E0B">
        <w:rPr>
          <w:rFonts w:eastAsia="Times New Roman" w:cstheme="minorHAnsi"/>
          <w:i/>
          <w:color w:val="333333"/>
        </w:rPr>
        <w:t xml:space="preserve">Public Health National Center for Innovations. </w:t>
      </w:r>
      <w:proofErr w:type="gramStart"/>
      <w:r w:rsidRPr="006F4E0B">
        <w:rPr>
          <w:rFonts w:eastAsia="Times New Roman" w:cstheme="minorHAnsi"/>
          <w:i/>
          <w:color w:val="333333"/>
        </w:rPr>
        <w:t>Foundational Public Health Services.</w:t>
      </w:r>
      <w:proofErr w:type="gramEnd"/>
      <w:r w:rsidRPr="006F4E0B">
        <w:rPr>
          <w:rFonts w:eastAsia="Times New Roman" w:cstheme="minorHAnsi"/>
          <w:i/>
          <w:color w:val="333333"/>
        </w:rPr>
        <w:t xml:space="preserve"> 2016; </w:t>
      </w:r>
      <w:hyperlink r:id="rId39" w:history="1">
        <w:r w:rsidR="00A14D58">
          <w:rPr>
            <w:rStyle w:val="Hyperlink"/>
            <w:rFonts w:eastAsia="Times New Roman" w:cstheme="minorHAnsi"/>
            <w:i/>
          </w:rPr>
          <w:t>Foundational Public Health Services</w:t>
        </w:r>
      </w:hyperlink>
      <w:r w:rsidRPr="006F4E0B">
        <w:rPr>
          <w:rFonts w:eastAsia="Times New Roman" w:cstheme="minorHAnsi"/>
          <w:i/>
          <w:color w:val="333333"/>
        </w:rPr>
        <w:t xml:space="preserve"> </w:t>
      </w:r>
    </w:p>
    <w:p w:rsidR="00E67FC7" w:rsidRPr="008A13BD" w:rsidRDefault="00E67FC7" w:rsidP="008A13BD">
      <w:pPr>
        <w:rPr>
          <w:rFonts w:asciiTheme="minorHAnsi" w:hAnsiTheme="minorHAnsi" w:cstheme="minorHAnsi"/>
          <w:sz w:val="24"/>
          <w:szCs w:val="24"/>
        </w:rPr>
      </w:pPr>
    </w:p>
    <w:p w:rsidR="00E67FC7" w:rsidRDefault="008A13BD" w:rsidP="00E67FC7">
      <w:pPr>
        <w:rPr>
          <w:rFonts w:cstheme="minorHAnsi"/>
          <w:color w:val="333333"/>
          <w:shd w:val="clear" w:color="auto" w:fill="FFFFFF"/>
        </w:rPr>
      </w:pPr>
      <w:proofErr w:type="gramStart"/>
      <w:r w:rsidRPr="00E67FC7">
        <w:rPr>
          <w:rFonts w:asciiTheme="minorHAnsi" w:hAnsiTheme="minorHAnsi" w:cstheme="minorHAnsi"/>
          <w:b/>
          <w:sz w:val="24"/>
          <w:szCs w:val="24"/>
        </w:rPr>
        <w:t>Inter-municipal Agreement</w:t>
      </w:r>
      <w:r w:rsidR="00A622FD">
        <w:rPr>
          <w:rFonts w:asciiTheme="minorHAnsi" w:hAnsiTheme="minorHAnsi" w:cstheme="minorHAnsi"/>
          <w:b/>
          <w:sz w:val="24"/>
          <w:szCs w:val="24"/>
        </w:rPr>
        <w:t>.</w:t>
      </w:r>
      <w:proofErr w:type="gramEnd"/>
      <w:r w:rsidR="00A622FD">
        <w:rPr>
          <w:rFonts w:asciiTheme="minorHAnsi" w:hAnsiTheme="minorHAnsi" w:cstheme="minorHAnsi"/>
          <w:b/>
          <w:sz w:val="24"/>
          <w:szCs w:val="24"/>
        </w:rPr>
        <w:t xml:space="preserve"> </w:t>
      </w:r>
      <w:r w:rsidR="00E67FC7">
        <w:rPr>
          <w:rFonts w:cstheme="minorHAnsi"/>
          <w:color w:val="333333"/>
          <w:shd w:val="clear" w:color="auto" w:fill="FFFFFF"/>
        </w:rPr>
        <w:t>“</w:t>
      </w:r>
      <w:r w:rsidR="00E67FC7" w:rsidRPr="006F4E0B">
        <w:rPr>
          <w:rFonts w:cstheme="minorHAnsi"/>
          <w:color w:val="333333"/>
          <w:shd w:val="clear" w:color="auto" w:fill="FFFFFF"/>
        </w:rPr>
        <w:t>An agreement with another governmental unit to perform jointly or for that unit's services, activities or undertakings which any of the contracting units is authorized by law to perform.</w:t>
      </w:r>
      <w:r w:rsidR="00E67FC7">
        <w:rPr>
          <w:rFonts w:cstheme="minorHAnsi"/>
          <w:color w:val="333333"/>
          <w:shd w:val="clear" w:color="auto" w:fill="FFFFFF"/>
        </w:rPr>
        <w:t>”</w:t>
      </w:r>
    </w:p>
    <w:p w:rsidR="00E67FC7" w:rsidRPr="006F4E0B" w:rsidRDefault="00E67FC7" w:rsidP="00A622FD">
      <w:pPr>
        <w:ind w:left="720"/>
        <w:rPr>
          <w:rFonts w:cstheme="minorHAnsi"/>
          <w:color w:val="333333"/>
          <w:shd w:val="clear" w:color="auto" w:fill="FFFFFF"/>
        </w:rPr>
      </w:pPr>
      <w:r>
        <w:rPr>
          <w:rFonts w:cstheme="minorHAnsi"/>
          <w:b/>
          <w:color w:val="333333"/>
          <w:shd w:val="clear" w:color="auto" w:fill="FFFFFF"/>
        </w:rPr>
        <w:t>Source:</w:t>
      </w:r>
      <w:r w:rsidRPr="006F4E0B">
        <w:rPr>
          <w:rFonts w:cstheme="minorHAnsi"/>
          <w:color w:val="333333"/>
          <w:shd w:val="clear" w:color="auto" w:fill="FFFFFF"/>
        </w:rPr>
        <w:t xml:space="preserve"> </w:t>
      </w:r>
      <w:r w:rsidR="00A622FD">
        <w:rPr>
          <w:rFonts w:cstheme="minorHAnsi"/>
          <w:i/>
        </w:rPr>
        <w:t>M.G.L. c.40, S.4A</w:t>
      </w:r>
    </w:p>
    <w:p w:rsidR="008A13BD" w:rsidRPr="008A13BD" w:rsidRDefault="008A13BD" w:rsidP="008A13BD">
      <w:pPr>
        <w:rPr>
          <w:rFonts w:asciiTheme="minorHAnsi" w:hAnsiTheme="minorHAnsi" w:cstheme="minorHAnsi"/>
          <w:sz w:val="24"/>
          <w:szCs w:val="24"/>
        </w:rPr>
      </w:pPr>
    </w:p>
    <w:p w:rsidR="00E67FC7" w:rsidRDefault="008A13BD" w:rsidP="00E67FC7">
      <w:pPr>
        <w:rPr>
          <w:rFonts w:cstheme="minorHAnsi"/>
        </w:rPr>
      </w:pPr>
      <w:proofErr w:type="gramStart"/>
      <w:r w:rsidRPr="00E67FC7">
        <w:rPr>
          <w:rFonts w:asciiTheme="minorHAnsi" w:hAnsiTheme="minorHAnsi" w:cstheme="minorHAnsi"/>
          <w:b/>
          <w:sz w:val="24"/>
          <w:szCs w:val="24"/>
        </w:rPr>
        <w:t>Mandated Public Health Services</w:t>
      </w:r>
      <w:r w:rsidR="00A622FD">
        <w:rPr>
          <w:rFonts w:asciiTheme="minorHAnsi" w:hAnsiTheme="minorHAnsi" w:cstheme="minorHAnsi"/>
          <w:b/>
          <w:sz w:val="24"/>
          <w:szCs w:val="24"/>
        </w:rPr>
        <w:t>.</w:t>
      </w:r>
      <w:proofErr w:type="gramEnd"/>
      <w:r w:rsidR="00A622FD">
        <w:rPr>
          <w:rFonts w:asciiTheme="minorHAnsi" w:hAnsiTheme="minorHAnsi" w:cstheme="minorHAnsi"/>
          <w:b/>
          <w:sz w:val="24"/>
          <w:szCs w:val="24"/>
        </w:rPr>
        <w:t xml:space="preserve"> </w:t>
      </w:r>
      <w:r w:rsidR="00E67FC7">
        <w:rPr>
          <w:rFonts w:cstheme="minorHAnsi"/>
        </w:rPr>
        <w:t>“</w:t>
      </w:r>
      <w:r w:rsidR="00E67FC7" w:rsidRPr="006F4E0B">
        <w:rPr>
          <w:rFonts w:cstheme="minorHAnsi"/>
        </w:rPr>
        <w:t xml:space="preserve">Mandated public health services are required by statute, rule/regulation, </w:t>
      </w:r>
      <w:proofErr w:type="gramStart"/>
      <w:r w:rsidR="00E67FC7" w:rsidRPr="006F4E0B">
        <w:rPr>
          <w:rFonts w:cstheme="minorHAnsi"/>
        </w:rPr>
        <w:t>ordinance</w:t>
      </w:r>
      <w:proofErr w:type="gramEnd"/>
      <w:r w:rsidR="00E67FC7" w:rsidRPr="006F4E0B">
        <w:rPr>
          <w:rFonts w:cstheme="minorHAnsi"/>
        </w:rPr>
        <w:t xml:space="preserve"> or other similar legally binding process.</w:t>
      </w:r>
      <w:r w:rsidR="00E67FC7">
        <w:rPr>
          <w:rFonts w:cstheme="minorHAnsi"/>
        </w:rPr>
        <w:t>”</w:t>
      </w:r>
    </w:p>
    <w:p w:rsidR="00E67FC7" w:rsidRPr="006F4E0B" w:rsidRDefault="00E67FC7" w:rsidP="00A622FD">
      <w:pPr>
        <w:ind w:left="720"/>
        <w:rPr>
          <w:rFonts w:cstheme="minorHAnsi"/>
        </w:rPr>
      </w:pPr>
      <w:r w:rsidRPr="00E67FC7">
        <w:rPr>
          <w:rFonts w:cstheme="minorHAnsi"/>
          <w:b/>
        </w:rPr>
        <w:lastRenderedPageBreak/>
        <w:t>Source</w:t>
      </w:r>
      <w:r>
        <w:rPr>
          <w:rFonts w:cstheme="minorHAnsi"/>
        </w:rPr>
        <w:t xml:space="preserve">: </w:t>
      </w:r>
      <w:r w:rsidRPr="006F4E0B">
        <w:rPr>
          <w:rFonts w:cstheme="minorHAnsi"/>
          <w:i/>
        </w:rPr>
        <w:t xml:space="preserve">(Public Health Accreditation Board. </w:t>
      </w:r>
      <w:proofErr w:type="gramStart"/>
      <w:r w:rsidRPr="006F4E0B">
        <w:rPr>
          <w:rFonts w:cstheme="minorHAnsi"/>
          <w:i/>
        </w:rPr>
        <w:t>Standards and Measures Version 1.0.</w:t>
      </w:r>
      <w:proofErr w:type="gramEnd"/>
      <w:r w:rsidRPr="006F4E0B">
        <w:rPr>
          <w:rFonts w:cstheme="minorHAnsi"/>
          <w:i/>
        </w:rPr>
        <w:t xml:space="preserve"> Alexandria, VA. May 2011)</w:t>
      </w:r>
    </w:p>
    <w:p w:rsidR="008A13BD" w:rsidRPr="008A13BD" w:rsidRDefault="008A13BD" w:rsidP="008A13BD">
      <w:pPr>
        <w:rPr>
          <w:rFonts w:asciiTheme="minorHAnsi" w:hAnsiTheme="minorHAnsi" w:cstheme="minorHAnsi"/>
          <w:sz w:val="24"/>
          <w:szCs w:val="24"/>
        </w:rPr>
      </w:pPr>
    </w:p>
    <w:p w:rsidR="00E67FC7" w:rsidRDefault="008A13BD" w:rsidP="00A622FD">
      <w:pPr>
        <w:rPr>
          <w:rFonts w:asciiTheme="minorHAnsi" w:hAnsiTheme="minorHAnsi" w:cstheme="minorHAnsi"/>
          <w:color w:val="3E4543"/>
        </w:rPr>
      </w:pPr>
      <w:proofErr w:type="gramStart"/>
      <w:r w:rsidRPr="00E67FC7">
        <w:rPr>
          <w:rFonts w:asciiTheme="minorHAnsi" w:hAnsiTheme="minorHAnsi" w:cstheme="minorHAnsi"/>
          <w:b/>
          <w:sz w:val="24"/>
          <w:szCs w:val="24"/>
        </w:rPr>
        <w:t>National Association of County and City Hea</w:t>
      </w:r>
      <w:r w:rsidR="00E67FC7">
        <w:rPr>
          <w:rFonts w:asciiTheme="minorHAnsi" w:hAnsiTheme="minorHAnsi" w:cstheme="minorHAnsi"/>
          <w:b/>
          <w:sz w:val="24"/>
          <w:szCs w:val="24"/>
        </w:rPr>
        <w:t>lth Officials</w:t>
      </w:r>
      <w:r w:rsidR="00A622FD">
        <w:rPr>
          <w:rFonts w:asciiTheme="minorHAnsi" w:hAnsiTheme="minorHAnsi" w:cstheme="minorHAnsi"/>
          <w:b/>
          <w:sz w:val="24"/>
          <w:szCs w:val="24"/>
        </w:rPr>
        <w:t>.</w:t>
      </w:r>
      <w:proofErr w:type="gramEnd"/>
      <w:r w:rsidR="00A622FD">
        <w:rPr>
          <w:rFonts w:asciiTheme="minorHAnsi" w:hAnsiTheme="minorHAnsi" w:cstheme="minorHAnsi"/>
          <w:b/>
          <w:sz w:val="24"/>
          <w:szCs w:val="24"/>
        </w:rPr>
        <w:t xml:space="preserve"> </w:t>
      </w:r>
      <w:r w:rsidR="00E67FC7">
        <w:rPr>
          <w:rFonts w:asciiTheme="minorHAnsi" w:hAnsiTheme="minorHAnsi" w:cstheme="minorHAnsi"/>
          <w:color w:val="3E4543"/>
        </w:rPr>
        <w:t>“</w:t>
      </w:r>
      <w:r w:rsidR="00E67FC7" w:rsidRPr="006F4E0B">
        <w:rPr>
          <w:rFonts w:asciiTheme="minorHAnsi" w:hAnsiTheme="minorHAnsi" w:cstheme="minorHAnsi"/>
          <w:color w:val="3E4543"/>
        </w:rPr>
        <w:t xml:space="preserve">The National Association of County and City Health Officials (NACCHO) </w:t>
      </w:r>
      <w:proofErr w:type="gramStart"/>
      <w:r w:rsidR="00E67FC7" w:rsidRPr="006F4E0B">
        <w:rPr>
          <w:rFonts w:asciiTheme="minorHAnsi" w:hAnsiTheme="minorHAnsi" w:cstheme="minorHAnsi"/>
          <w:color w:val="3E4543"/>
        </w:rPr>
        <w:t>was</w:t>
      </w:r>
      <w:proofErr w:type="gramEnd"/>
      <w:r w:rsidR="00E67FC7" w:rsidRPr="006F4E0B">
        <w:rPr>
          <w:rFonts w:asciiTheme="minorHAnsi" w:hAnsiTheme="minorHAnsi" w:cstheme="minorHAnsi"/>
          <w:color w:val="3E4543"/>
        </w:rPr>
        <w:t xml:space="preserve"> founded in the 1960's. Since its inception, NACCHO has sought to improve the public's health while adhering to a set of core values: equity, excellence, participation, respect, integrity, leadership, </w:t>
      </w:r>
      <w:proofErr w:type="gramStart"/>
      <w:r w:rsidR="00E67FC7" w:rsidRPr="006F4E0B">
        <w:rPr>
          <w:rFonts w:asciiTheme="minorHAnsi" w:hAnsiTheme="minorHAnsi" w:cstheme="minorHAnsi"/>
          <w:color w:val="3E4543"/>
        </w:rPr>
        <w:t>science</w:t>
      </w:r>
      <w:proofErr w:type="gramEnd"/>
      <w:r w:rsidR="00E67FC7" w:rsidRPr="006F4E0B">
        <w:rPr>
          <w:rFonts w:asciiTheme="minorHAnsi" w:hAnsiTheme="minorHAnsi" w:cstheme="minorHAnsi"/>
          <w:color w:val="3E4543"/>
        </w:rPr>
        <w:t xml:space="preserve"> &amp; innovation. Today, NACCHO comprises nearly 3,000 local health departments across the United States. Together, they form an organization focused on being a leader, partner, catalyst, and voice for change for local health departments around the nation.</w:t>
      </w:r>
      <w:r w:rsidR="00E67FC7">
        <w:rPr>
          <w:rFonts w:asciiTheme="minorHAnsi" w:hAnsiTheme="minorHAnsi" w:cstheme="minorHAnsi"/>
          <w:color w:val="3E4543"/>
        </w:rPr>
        <w:t>”</w:t>
      </w:r>
      <w:r w:rsidR="00E67FC7" w:rsidRPr="006F4E0B">
        <w:rPr>
          <w:rFonts w:asciiTheme="minorHAnsi" w:hAnsiTheme="minorHAnsi" w:cstheme="minorHAnsi"/>
          <w:color w:val="3E4543"/>
        </w:rPr>
        <w:t xml:space="preserve"> </w:t>
      </w:r>
    </w:p>
    <w:p w:rsidR="00E67FC7" w:rsidRPr="006F4E0B" w:rsidRDefault="00E67FC7" w:rsidP="00DD5A7B">
      <w:pPr>
        <w:pStyle w:val="NormalWeb"/>
        <w:shd w:val="clear" w:color="auto" w:fill="FFFFFF"/>
        <w:spacing w:before="0" w:beforeAutospacing="0" w:after="0" w:afterAutospacing="0"/>
        <w:ind w:left="720"/>
        <w:rPr>
          <w:rFonts w:asciiTheme="minorHAnsi" w:hAnsiTheme="minorHAnsi" w:cstheme="minorHAnsi"/>
          <w:color w:val="3E4543"/>
          <w:sz w:val="22"/>
          <w:szCs w:val="22"/>
        </w:rPr>
      </w:pPr>
      <w:r>
        <w:rPr>
          <w:rFonts w:asciiTheme="minorHAnsi" w:hAnsiTheme="minorHAnsi" w:cstheme="minorHAnsi"/>
          <w:b/>
          <w:color w:val="3E4543"/>
          <w:sz w:val="22"/>
          <w:szCs w:val="22"/>
        </w:rPr>
        <w:t xml:space="preserve">Source: </w:t>
      </w:r>
      <w:r>
        <w:rPr>
          <w:rFonts w:asciiTheme="minorHAnsi" w:hAnsiTheme="minorHAnsi" w:cstheme="minorHAnsi"/>
          <w:i/>
          <w:color w:val="3E4543"/>
          <w:sz w:val="22"/>
          <w:szCs w:val="22"/>
        </w:rPr>
        <w:t>https://www.naccho.org/about</w:t>
      </w:r>
    </w:p>
    <w:p w:rsidR="00E67FC7" w:rsidRDefault="00E67FC7" w:rsidP="008A13BD">
      <w:pPr>
        <w:rPr>
          <w:rFonts w:asciiTheme="minorHAnsi" w:hAnsiTheme="minorHAnsi" w:cstheme="minorHAnsi"/>
          <w:sz w:val="24"/>
          <w:szCs w:val="24"/>
        </w:rPr>
      </w:pPr>
    </w:p>
    <w:p w:rsidR="00BD4BD3" w:rsidRDefault="00BD4BD3" w:rsidP="00BD4BD3">
      <w:pPr>
        <w:rPr>
          <w:rFonts w:cstheme="minorHAnsi"/>
        </w:rPr>
      </w:pPr>
      <w:proofErr w:type="gramStart"/>
      <w:r>
        <w:rPr>
          <w:rFonts w:cstheme="minorHAnsi"/>
          <w:b/>
        </w:rPr>
        <w:t xml:space="preserve">Public Health </w:t>
      </w:r>
      <w:r w:rsidRPr="00BD4BD3">
        <w:rPr>
          <w:rFonts w:cstheme="minorHAnsi"/>
          <w:b/>
        </w:rPr>
        <w:t>Accreditation</w:t>
      </w:r>
      <w:r w:rsidR="00A622FD">
        <w:rPr>
          <w:rFonts w:cstheme="minorHAnsi"/>
          <w:b/>
        </w:rPr>
        <w:t>.</w:t>
      </w:r>
      <w:proofErr w:type="gramEnd"/>
      <w:r w:rsidR="00A622FD">
        <w:rPr>
          <w:rFonts w:cstheme="minorHAnsi"/>
          <w:b/>
        </w:rPr>
        <w:t xml:space="preserve"> </w:t>
      </w:r>
      <w:r>
        <w:rPr>
          <w:rFonts w:cstheme="minorHAnsi"/>
        </w:rPr>
        <w:t>“</w:t>
      </w:r>
      <w:r w:rsidRPr="006F4E0B">
        <w:rPr>
          <w:rFonts w:cstheme="minorHAnsi"/>
        </w:rPr>
        <w:t xml:space="preserve">Accreditation for public health departments is defined as: </w:t>
      </w:r>
    </w:p>
    <w:p w:rsidR="00BD4BD3" w:rsidRPr="00BD4BD3" w:rsidRDefault="00BD4BD3" w:rsidP="00BD4BD3">
      <w:pPr>
        <w:pStyle w:val="ListParagraph"/>
        <w:numPr>
          <w:ilvl w:val="0"/>
          <w:numId w:val="48"/>
        </w:numPr>
        <w:rPr>
          <w:rFonts w:cstheme="minorHAnsi"/>
        </w:rPr>
      </w:pPr>
      <w:r w:rsidRPr="00BD4BD3">
        <w:rPr>
          <w:rFonts w:cstheme="minorHAnsi"/>
        </w:rPr>
        <w:t>The development and acceptance of a set of national public health department accreditation standards;</w:t>
      </w:r>
    </w:p>
    <w:p w:rsidR="00BD4BD3" w:rsidRPr="00BD4BD3" w:rsidRDefault="00BD4BD3" w:rsidP="00BD4BD3">
      <w:pPr>
        <w:pStyle w:val="ListParagraph"/>
        <w:numPr>
          <w:ilvl w:val="0"/>
          <w:numId w:val="48"/>
        </w:numPr>
        <w:rPr>
          <w:rFonts w:cstheme="minorHAnsi"/>
        </w:rPr>
      </w:pPr>
      <w:r w:rsidRPr="00BD4BD3">
        <w:rPr>
          <w:rFonts w:cstheme="minorHAnsi"/>
        </w:rPr>
        <w:t xml:space="preserve">The development and acceptance of a standardized process to measure health department performance against those standards; </w:t>
      </w:r>
    </w:p>
    <w:p w:rsidR="00BD4BD3" w:rsidRPr="00BD4BD3" w:rsidRDefault="00BD4BD3" w:rsidP="00BD4BD3">
      <w:pPr>
        <w:pStyle w:val="ListParagraph"/>
        <w:numPr>
          <w:ilvl w:val="0"/>
          <w:numId w:val="48"/>
        </w:numPr>
        <w:rPr>
          <w:rFonts w:cstheme="minorHAnsi"/>
        </w:rPr>
      </w:pPr>
      <w:r w:rsidRPr="00BD4BD3">
        <w:rPr>
          <w:rFonts w:cstheme="minorHAnsi"/>
        </w:rPr>
        <w:t xml:space="preserve">The periodic issuance of recognition for health departments that meet a specified set of national accreditation standards; and </w:t>
      </w:r>
    </w:p>
    <w:p w:rsidR="00BD4BD3" w:rsidRPr="00BD4BD3" w:rsidRDefault="00BD4BD3" w:rsidP="00BD4BD3">
      <w:pPr>
        <w:pStyle w:val="ListParagraph"/>
        <w:numPr>
          <w:ilvl w:val="0"/>
          <w:numId w:val="48"/>
        </w:numPr>
        <w:rPr>
          <w:rFonts w:cstheme="minorHAnsi"/>
        </w:rPr>
      </w:pPr>
      <w:r w:rsidRPr="00BD4BD3">
        <w:rPr>
          <w:rFonts w:cstheme="minorHAnsi"/>
        </w:rPr>
        <w:t xml:space="preserve">The periodic review, refining, and updating of the national public health department accreditation standards and the process for measuring and awarding accreditation recognition. </w:t>
      </w:r>
    </w:p>
    <w:p w:rsidR="00BD4BD3" w:rsidRPr="006F4E0B" w:rsidRDefault="00BD4BD3" w:rsidP="00BD4BD3">
      <w:pPr>
        <w:rPr>
          <w:rFonts w:cstheme="minorHAnsi"/>
          <w:b/>
          <w:i/>
        </w:rPr>
      </w:pPr>
      <w:r>
        <w:rPr>
          <w:rFonts w:cstheme="minorHAnsi"/>
          <w:b/>
        </w:rPr>
        <w:t xml:space="preserve">Source: </w:t>
      </w:r>
      <w:r w:rsidRPr="006F4E0B">
        <w:rPr>
          <w:rFonts w:cstheme="minorHAnsi"/>
          <w:i/>
        </w:rPr>
        <w:t>Public Health Accreditation Board. Guide to National Public Health Department Accreditation Version 1.0. Alexandria, VA. May 2011)</w:t>
      </w:r>
    </w:p>
    <w:p w:rsidR="00BD4BD3" w:rsidRDefault="00BD4BD3" w:rsidP="008A13BD">
      <w:pPr>
        <w:rPr>
          <w:rFonts w:asciiTheme="minorHAnsi" w:hAnsiTheme="minorHAnsi" w:cstheme="minorHAnsi"/>
          <w:sz w:val="24"/>
          <w:szCs w:val="24"/>
        </w:rPr>
      </w:pPr>
    </w:p>
    <w:p w:rsidR="00BD4BD3" w:rsidRDefault="008A13BD" w:rsidP="00E67FC7">
      <w:pPr>
        <w:rPr>
          <w:rFonts w:cstheme="minorHAnsi"/>
        </w:rPr>
      </w:pPr>
      <w:proofErr w:type="gramStart"/>
      <w:r w:rsidRPr="00E67FC7">
        <w:rPr>
          <w:rFonts w:asciiTheme="minorHAnsi" w:hAnsiTheme="minorHAnsi" w:cstheme="minorHAnsi"/>
          <w:b/>
          <w:sz w:val="24"/>
          <w:szCs w:val="24"/>
        </w:rPr>
        <w:t>Public H</w:t>
      </w:r>
      <w:r w:rsidR="00E67FC7">
        <w:rPr>
          <w:rFonts w:asciiTheme="minorHAnsi" w:hAnsiTheme="minorHAnsi" w:cstheme="minorHAnsi"/>
          <w:b/>
          <w:sz w:val="24"/>
          <w:szCs w:val="24"/>
        </w:rPr>
        <w:t>ealth Accreditation Board</w:t>
      </w:r>
      <w:r w:rsidR="00A622FD">
        <w:rPr>
          <w:rFonts w:asciiTheme="minorHAnsi" w:hAnsiTheme="minorHAnsi" w:cstheme="minorHAnsi"/>
          <w:b/>
          <w:sz w:val="24"/>
          <w:szCs w:val="24"/>
        </w:rPr>
        <w:t>.</w:t>
      </w:r>
      <w:proofErr w:type="gramEnd"/>
      <w:r w:rsidR="00A622FD">
        <w:rPr>
          <w:rFonts w:asciiTheme="minorHAnsi" w:hAnsiTheme="minorHAnsi" w:cstheme="minorHAnsi"/>
          <w:b/>
          <w:sz w:val="24"/>
          <w:szCs w:val="24"/>
        </w:rPr>
        <w:t xml:space="preserve"> </w:t>
      </w:r>
      <w:r w:rsidR="00E67FC7">
        <w:rPr>
          <w:rFonts w:cstheme="minorHAnsi"/>
        </w:rPr>
        <w:t>“</w:t>
      </w:r>
      <w:r w:rsidR="00E67FC7" w:rsidRPr="006F4E0B">
        <w:rPr>
          <w:rFonts w:cstheme="minorHAnsi"/>
        </w:rPr>
        <w:t xml:space="preserve">The Public Health Accreditation Board </w:t>
      </w:r>
      <w:r w:rsidR="00E67FC7">
        <w:rPr>
          <w:rFonts w:cstheme="minorHAnsi"/>
        </w:rPr>
        <w:t xml:space="preserve">(PHAB) </w:t>
      </w:r>
      <w:r w:rsidR="00E67FC7" w:rsidRPr="006F4E0B">
        <w:rPr>
          <w:rFonts w:cstheme="minorHAnsi"/>
        </w:rPr>
        <w:t xml:space="preserve">is the national accrediting organization for public health departments. A nonprofit organization, PHAB is dedicated to advancing the continuous quality improvement of Tribal, state, </w:t>
      </w:r>
      <w:proofErr w:type="gramStart"/>
      <w:r w:rsidR="00E67FC7" w:rsidRPr="006F4E0B">
        <w:rPr>
          <w:rFonts w:cstheme="minorHAnsi"/>
        </w:rPr>
        <w:t>local,</w:t>
      </w:r>
      <w:proofErr w:type="gramEnd"/>
      <w:r w:rsidR="00E67FC7" w:rsidRPr="006F4E0B">
        <w:rPr>
          <w:rFonts w:cstheme="minorHAnsi"/>
        </w:rPr>
        <w:t xml:space="preserve"> and territorial public health departments. PHAB is working to promote and protect the health of the public by advancing the quality and performance of all public health departments in the United States through national public h</w:t>
      </w:r>
      <w:r w:rsidR="00BD4BD3">
        <w:rPr>
          <w:rFonts w:cstheme="minorHAnsi"/>
        </w:rPr>
        <w:t>ealth department accreditation.”</w:t>
      </w:r>
    </w:p>
    <w:p w:rsidR="00E67FC7" w:rsidRPr="006F4E0B" w:rsidRDefault="00BD4BD3" w:rsidP="00E67FC7">
      <w:pPr>
        <w:rPr>
          <w:rFonts w:cstheme="minorHAnsi"/>
        </w:rPr>
      </w:pPr>
      <w:r>
        <w:rPr>
          <w:rFonts w:cstheme="minorHAnsi"/>
          <w:b/>
        </w:rPr>
        <w:t xml:space="preserve">Source: </w:t>
      </w:r>
      <w:r w:rsidR="00E67FC7" w:rsidRPr="006F4E0B">
        <w:rPr>
          <w:rFonts w:cstheme="minorHAnsi"/>
          <w:i/>
        </w:rPr>
        <w:t>Public Health Accreditation Board. Guide to National Public Health Department Accreditation Versio</w:t>
      </w:r>
      <w:r>
        <w:rPr>
          <w:rFonts w:cstheme="minorHAnsi"/>
          <w:i/>
        </w:rPr>
        <w:t>n 1.0. Alexandria, VA, May 2011</w:t>
      </w:r>
    </w:p>
    <w:p w:rsidR="008A13BD" w:rsidRPr="008A13BD" w:rsidRDefault="008A13BD" w:rsidP="008A13BD">
      <w:pPr>
        <w:rPr>
          <w:rFonts w:asciiTheme="minorHAnsi" w:hAnsiTheme="minorHAnsi" w:cstheme="minorHAnsi"/>
          <w:sz w:val="24"/>
          <w:szCs w:val="24"/>
        </w:rPr>
      </w:pPr>
    </w:p>
    <w:p w:rsidR="00BD4BD3" w:rsidRPr="006F4E0B" w:rsidRDefault="008A13BD" w:rsidP="00BD4BD3">
      <w:pPr>
        <w:rPr>
          <w:rFonts w:cstheme="minorHAnsi"/>
          <w:color w:val="323232"/>
          <w:shd w:val="clear" w:color="auto" w:fill="FFFFFF"/>
        </w:rPr>
      </w:pPr>
      <w:proofErr w:type="gramStart"/>
      <w:r w:rsidRPr="00BD4BD3">
        <w:rPr>
          <w:rFonts w:asciiTheme="minorHAnsi" w:hAnsiTheme="minorHAnsi" w:cstheme="minorHAnsi"/>
          <w:b/>
          <w:sz w:val="24"/>
          <w:szCs w:val="24"/>
        </w:rPr>
        <w:t>Public Health Regionalization</w:t>
      </w:r>
      <w:r w:rsidR="00A622FD">
        <w:rPr>
          <w:rFonts w:asciiTheme="minorHAnsi" w:hAnsiTheme="minorHAnsi" w:cstheme="minorHAnsi"/>
          <w:b/>
          <w:sz w:val="24"/>
          <w:szCs w:val="24"/>
        </w:rPr>
        <w:t>.</w:t>
      </w:r>
      <w:proofErr w:type="gramEnd"/>
      <w:r w:rsidR="00A622FD">
        <w:rPr>
          <w:rFonts w:asciiTheme="minorHAnsi" w:hAnsiTheme="minorHAnsi" w:cstheme="minorHAnsi"/>
          <w:b/>
          <w:sz w:val="24"/>
          <w:szCs w:val="24"/>
        </w:rPr>
        <w:t xml:space="preserve"> </w:t>
      </w:r>
      <w:r w:rsidR="00BD4BD3" w:rsidRPr="00BD4BD3">
        <w:rPr>
          <w:rFonts w:cstheme="minorHAnsi"/>
        </w:rPr>
        <w:t>Regionalization is a consortium of local health departments collaborating under a formal agreement to provide a specific set of services. Goal of public health regionalization</w:t>
      </w:r>
      <w:r w:rsidR="00BD4BD3" w:rsidRPr="00BD4BD3">
        <w:rPr>
          <w:rStyle w:val="Strong"/>
          <w:rFonts w:cstheme="minorHAnsi"/>
          <w:color w:val="323232"/>
          <w:bdr w:val="none" w:sz="0" w:space="0" w:color="auto" w:frame="1"/>
          <w:shd w:val="clear" w:color="auto" w:fill="FFFFFF"/>
        </w:rPr>
        <w:t> </w:t>
      </w:r>
      <w:r w:rsidR="00BD4BD3" w:rsidRPr="00BD4BD3">
        <w:rPr>
          <w:rStyle w:val="Strong"/>
          <w:rFonts w:cstheme="minorHAnsi"/>
          <w:b w:val="0"/>
          <w:color w:val="323232"/>
          <w:bdr w:val="none" w:sz="0" w:space="0" w:color="auto" w:frame="1"/>
          <w:shd w:val="clear" w:color="auto" w:fill="FFFFFF"/>
        </w:rPr>
        <w:t xml:space="preserve">is to strengthen the public health system by creating a sustainable, regional system for equitable delivery of local public health services across a region. </w:t>
      </w:r>
      <w:r w:rsidR="00BD4BD3" w:rsidRPr="00BD4BD3">
        <w:rPr>
          <w:rFonts w:cstheme="minorHAnsi"/>
          <w:color w:val="323232"/>
          <w:shd w:val="clear" w:color="auto" w:fill="FFFFFF"/>
        </w:rPr>
        <w:t>Regionalizing promotes consistent standard of care and equal level of services. Regionalization can equip each local health department to deliver the range of services their specific community requires. Regionalization also allows communities to access the skills they need, when they need them (even if those skills are not resident within their own health department). Regionalization has been shown to offer economies of scale for communities who band together. Local jurisdictions can choose from different models to ensure the best fit for their unique circumstances. Larger districts have greater capacity to apply for grants and are more competitive in grant applications, potentially bringing additional resources to their communities. Sharing resources, greater cooperation and communication, and more standardized training, will yield a stronger and better prepared local public health workforce.</w:t>
      </w:r>
    </w:p>
    <w:p w:rsidR="00BD4BD3" w:rsidRPr="006F4E0B" w:rsidRDefault="00BD4BD3" w:rsidP="00A622FD">
      <w:pPr>
        <w:ind w:left="720"/>
        <w:rPr>
          <w:rFonts w:cstheme="minorHAnsi"/>
          <w:b/>
          <w:i/>
        </w:rPr>
      </w:pPr>
      <w:r>
        <w:rPr>
          <w:rFonts w:cstheme="minorHAnsi"/>
          <w:b/>
          <w:color w:val="323232"/>
          <w:shd w:val="clear" w:color="auto" w:fill="FFFFFF"/>
        </w:rPr>
        <w:t xml:space="preserve">Source: </w:t>
      </w:r>
      <w:hyperlink r:id="rId40" w:history="1">
        <w:r w:rsidR="00A14D58">
          <w:rPr>
            <w:rStyle w:val="Hyperlink"/>
            <w:rFonts w:cstheme="minorHAnsi"/>
            <w:i/>
            <w:shd w:val="clear" w:color="auto" w:fill="FFFFFF"/>
          </w:rPr>
          <w:t>Boston University Massachusetts Public Health Regionalization Project</w:t>
        </w:r>
      </w:hyperlink>
      <w:r w:rsidR="00A622FD">
        <w:rPr>
          <w:rFonts w:cstheme="minorHAnsi"/>
          <w:i/>
          <w:color w:val="323232"/>
          <w:shd w:val="clear" w:color="auto" w:fill="FFFFFF"/>
        </w:rPr>
        <w:t xml:space="preserve"> </w:t>
      </w:r>
    </w:p>
    <w:p w:rsidR="00B115BB" w:rsidRPr="008A13BD" w:rsidRDefault="00B115BB">
      <w:pPr>
        <w:spacing w:after="200" w:line="276" w:lineRule="auto"/>
        <w:rPr>
          <w:rFonts w:asciiTheme="minorHAnsi" w:hAnsiTheme="minorHAnsi" w:cstheme="minorBidi"/>
          <w:sz w:val="24"/>
          <w:szCs w:val="24"/>
        </w:rPr>
      </w:pPr>
      <w:r w:rsidRPr="008A13BD">
        <w:rPr>
          <w:rFonts w:asciiTheme="minorHAnsi" w:hAnsiTheme="minorHAnsi"/>
          <w:sz w:val="24"/>
          <w:szCs w:val="24"/>
        </w:rPr>
        <w:br w:type="page"/>
      </w:r>
    </w:p>
    <w:p w:rsidR="00B115BB" w:rsidRDefault="00B115BB" w:rsidP="00734D36">
      <w:pPr>
        <w:pStyle w:val="Heading1"/>
      </w:pPr>
      <w:bookmarkStart w:id="17" w:name="_Toc514334045"/>
      <w:r>
        <w:lastRenderedPageBreak/>
        <w:t xml:space="preserve">Appendix </w:t>
      </w:r>
      <w:r w:rsidR="002041B9">
        <w:t>G</w:t>
      </w:r>
      <w:bookmarkEnd w:id="17"/>
    </w:p>
    <w:p w:rsidR="00B115BB" w:rsidRDefault="00B115BB" w:rsidP="00B115BB">
      <w:pPr>
        <w:pStyle w:val="NoSpacing"/>
        <w:jc w:val="center"/>
        <w:rPr>
          <w:sz w:val="24"/>
          <w:szCs w:val="24"/>
        </w:rPr>
      </w:pPr>
    </w:p>
    <w:p w:rsidR="00B115BB" w:rsidRDefault="00B115BB" w:rsidP="00B115BB">
      <w:pPr>
        <w:pStyle w:val="NoSpacing"/>
        <w:jc w:val="center"/>
        <w:rPr>
          <w:sz w:val="24"/>
          <w:szCs w:val="24"/>
        </w:rPr>
      </w:pPr>
      <w:r>
        <w:rPr>
          <w:sz w:val="24"/>
          <w:szCs w:val="24"/>
        </w:rPr>
        <w:t>Special Commission on Local and Regional Public Health</w:t>
      </w:r>
    </w:p>
    <w:p w:rsidR="00B115BB" w:rsidRDefault="00B115BB" w:rsidP="00B115BB">
      <w:pPr>
        <w:pStyle w:val="NoSpacing"/>
        <w:jc w:val="center"/>
        <w:rPr>
          <w:sz w:val="24"/>
          <w:szCs w:val="24"/>
        </w:rPr>
      </w:pPr>
    </w:p>
    <w:p w:rsidR="00B115BB" w:rsidRDefault="00B115BB" w:rsidP="00B115BB">
      <w:pPr>
        <w:pStyle w:val="NoSpacing"/>
        <w:jc w:val="center"/>
        <w:rPr>
          <w:sz w:val="24"/>
          <w:szCs w:val="24"/>
        </w:rPr>
      </w:pPr>
      <w:r>
        <w:rPr>
          <w:sz w:val="24"/>
          <w:szCs w:val="24"/>
        </w:rPr>
        <w:t>Status Report Acronyms</w:t>
      </w:r>
    </w:p>
    <w:p w:rsidR="0035133A" w:rsidRDefault="0035133A" w:rsidP="0035133A">
      <w:pPr>
        <w:pStyle w:val="NoSpacing"/>
        <w:jc w:val="center"/>
        <w:rPr>
          <w:sz w:val="24"/>
          <w:szCs w:val="24"/>
        </w:rPr>
      </w:pPr>
      <w:r>
        <w:rPr>
          <w:sz w:val="24"/>
          <w:szCs w:val="24"/>
        </w:rPr>
        <w:t>(</w:t>
      </w:r>
      <w:proofErr w:type="gramStart"/>
      <w:r>
        <w:rPr>
          <w:sz w:val="24"/>
          <w:szCs w:val="24"/>
        </w:rPr>
        <w:t>under</w:t>
      </w:r>
      <w:proofErr w:type="gramEnd"/>
      <w:r>
        <w:rPr>
          <w:sz w:val="24"/>
          <w:szCs w:val="24"/>
        </w:rPr>
        <w:t xml:space="preserve"> development)</w:t>
      </w:r>
    </w:p>
    <w:p w:rsidR="0035133A" w:rsidRDefault="0035133A" w:rsidP="00B115BB">
      <w:pPr>
        <w:pStyle w:val="NoSpacing"/>
        <w:jc w:val="center"/>
        <w:rPr>
          <w:sz w:val="24"/>
          <w:szCs w:val="24"/>
        </w:rPr>
      </w:pPr>
    </w:p>
    <w:p w:rsidR="00B115BB" w:rsidRPr="00ED3928" w:rsidRDefault="00B115BB" w:rsidP="005B23E6">
      <w:pPr>
        <w:pStyle w:val="NoSpacing"/>
        <w:jc w:val="center"/>
        <w:rPr>
          <w:sz w:val="24"/>
          <w:szCs w:val="24"/>
        </w:rPr>
      </w:pPr>
    </w:p>
    <w:p w:rsidR="000F1F53" w:rsidRPr="000F1F53" w:rsidRDefault="000F1F53" w:rsidP="000F1F53">
      <w:pPr>
        <w:tabs>
          <w:tab w:val="left" w:leader="dot" w:pos="1440"/>
        </w:tabs>
        <w:spacing w:line="480" w:lineRule="auto"/>
        <w:rPr>
          <w:sz w:val="24"/>
        </w:rPr>
      </w:pPr>
      <w:r>
        <w:rPr>
          <w:sz w:val="24"/>
        </w:rPr>
        <w:t>BOH</w:t>
      </w:r>
      <w:r>
        <w:rPr>
          <w:sz w:val="24"/>
        </w:rPr>
        <w:tab/>
      </w:r>
      <w:r w:rsidR="001579FB">
        <w:rPr>
          <w:sz w:val="24"/>
        </w:rPr>
        <w:t>Board of h</w:t>
      </w:r>
      <w:r w:rsidRPr="000F1F53">
        <w:rPr>
          <w:sz w:val="24"/>
        </w:rPr>
        <w:t>ealth</w:t>
      </w:r>
    </w:p>
    <w:p w:rsidR="000F1F53" w:rsidRPr="000F1F53" w:rsidRDefault="000F1F53" w:rsidP="000F1F53">
      <w:pPr>
        <w:tabs>
          <w:tab w:val="left" w:leader="dot" w:pos="1440"/>
        </w:tabs>
        <w:spacing w:line="480" w:lineRule="auto"/>
        <w:rPr>
          <w:sz w:val="24"/>
        </w:rPr>
      </w:pPr>
      <w:r>
        <w:rPr>
          <w:sz w:val="24"/>
        </w:rPr>
        <w:t>CDC</w:t>
      </w:r>
      <w:r>
        <w:rPr>
          <w:sz w:val="24"/>
        </w:rPr>
        <w:tab/>
      </w:r>
      <w:r w:rsidRPr="000F1F53">
        <w:rPr>
          <w:sz w:val="24"/>
        </w:rPr>
        <w:t>U.S. Centers for Disease Control and Prevention</w:t>
      </w:r>
    </w:p>
    <w:p w:rsidR="000F1F53" w:rsidRPr="000F1F53" w:rsidRDefault="000F1F53" w:rsidP="000F1F53">
      <w:pPr>
        <w:tabs>
          <w:tab w:val="left" w:leader="dot" w:pos="1440"/>
        </w:tabs>
        <w:spacing w:line="480" w:lineRule="auto"/>
        <w:rPr>
          <w:sz w:val="24"/>
        </w:rPr>
      </w:pPr>
      <w:r>
        <w:rPr>
          <w:sz w:val="24"/>
        </w:rPr>
        <w:t>CJS</w:t>
      </w:r>
      <w:r>
        <w:rPr>
          <w:sz w:val="24"/>
        </w:rPr>
        <w:tab/>
      </w:r>
      <w:r w:rsidR="001579FB">
        <w:rPr>
          <w:sz w:val="24"/>
        </w:rPr>
        <w:t>Cross-</w:t>
      </w:r>
      <w:r w:rsidRPr="000F1F53">
        <w:rPr>
          <w:sz w:val="24"/>
        </w:rPr>
        <w:t>Jurisdictional Sharing</w:t>
      </w:r>
    </w:p>
    <w:p w:rsidR="000F1F53" w:rsidRPr="000F1F53" w:rsidRDefault="000F1F53" w:rsidP="000F1F53">
      <w:pPr>
        <w:tabs>
          <w:tab w:val="left" w:leader="dot" w:pos="1440"/>
        </w:tabs>
        <w:spacing w:line="480" w:lineRule="auto"/>
        <w:rPr>
          <w:sz w:val="24"/>
        </w:rPr>
      </w:pPr>
      <w:r>
        <w:rPr>
          <w:sz w:val="24"/>
        </w:rPr>
        <w:t>DPH</w:t>
      </w:r>
      <w:r>
        <w:rPr>
          <w:sz w:val="24"/>
        </w:rPr>
        <w:tab/>
        <w:t xml:space="preserve">Massachusetts </w:t>
      </w:r>
      <w:r w:rsidRPr="000F1F53">
        <w:rPr>
          <w:sz w:val="24"/>
        </w:rPr>
        <w:t>Department of Public Health</w:t>
      </w:r>
    </w:p>
    <w:p w:rsidR="000F1F53" w:rsidRPr="000F1F53" w:rsidRDefault="000F1F53" w:rsidP="000F1F53">
      <w:pPr>
        <w:tabs>
          <w:tab w:val="left" w:leader="dot" w:pos="1440"/>
        </w:tabs>
        <w:spacing w:line="480" w:lineRule="auto"/>
        <w:rPr>
          <w:sz w:val="24"/>
        </w:rPr>
      </w:pPr>
      <w:r>
        <w:rPr>
          <w:sz w:val="24"/>
        </w:rPr>
        <w:t>FPHS</w:t>
      </w:r>
      <w:r>
        <w:rPr>
          <w:sz w:val="24"/>
        </w:rPr>
        <w:tab/>
      </w:r>
      <w:r w:rsidRPr="000F1F53">
        <w:rPr>
          <w:sz w:val="24"/>
        </w:rPr>
        <w:t>Foundational Public Health Services</w:t>
      </w:r>
    </w:p>
    <w:p w:rsidR="000F1F53" w:rsidRPr="000F1F53" w:rsidRDefault="000F1F53" w:rsidP="000F1F53">
      <w:pPr>
        <w:tabs>
          <w:tab w:val="left" w:leader="dot" w:pos="1440"/>
        </w:tabs>
        <w:spacing w:line="480" w:lineRule="auto"/>
        <w:rPr>
          <w:sz w:val="24"/>
        </w:rPr>
      </w:pPr>
      <w:r>
        <w:rPr>
          <w:sz w:val="24"/>
        </w:rPr>
        <w:t>PHAB</w:t>
      </w:r>
      <w:r>
        <w:rPr>
          <w:sz w:val="24"/>
        </w:rPr>
        <w:tab/>
      </w:r>
      <w:r w:rsidRPr="000F1F53">
        <w:rPr>
          <w:sz w:val="24"/>
        </w:rPr>
        <w:t>Public Health Accreditation Board</w:t>
      </w:r>
    </w:p>
    <w:p w:rsidR="000F1F53" w:rsidRPr="000F1F53" w:rsidRDefault="000F1F53" w:rsidP="000F1F53">
      <w:pPr>
        <w:tabs>
          <w:tab w:val="left" w:leader="dot" w:pos="1440"/>
        </w:tabs>
        <w:spacing w:line="480" w:lineRule="auto"/>
        <w:rPr>
          <w:sz w:val="24"/>
        </w:rPr>
      </w:pPr>
      <w:r>
        <w:rPr>
          <w:sz w:val="24"/>
        </w:rPr>
        <w:t>SCLRPH</w:t>
      </w:r>
      <w:r>
        <w:rPr>
          <w:sz w:val="24"/>
        </w:rPr>
        <w:tab/>
      </w:r>
      <w:r w:rsidRPr="000F1F53">
        <w:rPr>
          <w:sz w:val="24"/>
        </w:rPr>
        <w:t>Special Commission on Local and Regional Public Health</w:t>
      </w:r>
    </w:p>
    <w:p w:rsidR="00297BFF" w:rsidRPr="00755078" w:rsidRDefault="00297BFF">
      <w:pPr>
        <w:spacing w:after="200" w:line="276" w:lineRule="auto"/>
        <w:rPr>
          <w:rFonts w:asciiTheme="minorHAnsi" w:hAnsiTheme="minorHAnsi"/>
          <w:sz w:val="24"/>
          <w:szCs w:val="24"/>
        </w:rPr>
      </w:pPr>
    </w:p>
    <w:sectPr w:rsidR="00297BFF" w:rsidRPr="00755078" w:rsidSect="002041B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2D32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D3237" w16cid:durableId="1E8784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EE" w:rsidRDefault="00C741EE" w:rsidP="00173800">
      <w:r>
        <w:separator/>
      </w:r>
    </w:p>
  </w:endnote>
  <w:endnote w:type="continuationSeparator" w:id="0">
    <w:p w:rsidR="00C741EE" w:rsidRDefault="00C741EE" w:rsidP="0017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A9" w:rsidRDefault="00974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04778"/>
      <w:docPartObj>
        <w:docPartGallery w:val="Page Numbers (Bottom of Page)"/>
        <w:docPartUnique/>
      </w:docPartObj>
    </w:sdtPr>
    <w:sdtEndPr>
      <w:rPr>
        <w:noProof/>
      </w:rPr>
    </w:sdtEndPr>
    <w:sdtContent>
      <w:p w:rsidR="009742A9" w:rsidRDefault="009742A9">
        <w:pPr>
          <w:pStyle w:val="Footer"/>
          <w:jc w:val="right"/>
        </w:pPr>
        <w:r>
          <w:fldChar w:fldCharType="begin"/>
        </w:r>
        <w:r>
          <w:instrText xml:space="preserve"> PAGE   \* MERGEFORMAT </w:instrText>
        </w:r>
        <w:r>
          <w:fldChar w:fldCharType="separate"/>
        </w:r>
        <w:r w:rsidR="001F11B2">
          <w:rPr>
            <w:noProof/>
          </w:rPr>
          <w:t>3</w:t>
        </w:r>
        <w:r>
          <w:rPr>
            <w:noProof/>
          </w:rPr>
          <w:fldChar w:fldCharType="end"/>
        </w:r>
      </w:p>
    </w:sdtContent>
  </w:sdt>
  <w:p w:rsidR="009742A9" w:rsidRDefault="00974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A9" w:rsidRDefault="00974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EE" w:rsidRDefault="00C741EE" w:rsidP="00173800">
      <w:r>
        <w:separator/>
      </w:r>
    </w:p>
  </w:footnote>
  <w:footnote w:type="continuationSeparator" w:id="0">
    <w:p w:rsidR="00C741EE" w:rsidRDefault="00C741EE" w:rsidP="00173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A9" w:rsidRDefault="00974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A9" w:rsidRDefault="009742A9">
    <w:pPr>
      <w:pStyle w:val="Header"/>
      <w:rPr>
        <w:b/>
      </w:rPr>
    </w:pPr>
    <w:r w:rsidRPr="000C2DBE">
      <w:rPr>
        <w:b/>
      </w:rPr>
      <w:t>Status Report – Special Commission on Local and Regional Public Health – May 20</w:t>
    </w:r>
    <w:r>
      <w:rPr>
        <w:b/>
      </w:rPr>
      <w:t>18</w:t>
    </w:r>
  </w:p>
  <w:p w:rsidR="009742A9" w:rsidRPr="000C2DBE" w:rsidRDefault="009742A9">
    <w:pPr>
      <w:pStyle w:val="Header"/>
      <w:rPr>
        <w:b/>
      </w:rPr>
    </w:pPr>
    <w:r>
      <w:rPr>
        <w:b/>
        <w:noProof/>
      </w:rPr>
      <mc:AlternateContent>
        <mc:Choice Requires="wps">
          <w:drawing>
            <wp:anchor distT="0" distB="0" distL="114300" distR="114300" simplePos="0" relativeHeight="251659264" behindDoc="0" locked="0" layoutInCell="1" allowOverlap="1" wp14:anchorId="3B471F73" wp14:editId="328E4C2E">
              <wp:simplePos x="0" y="0"/>
              <wp:positionH relativeFrom="column">
                <wp:posOffset>19050</wp:posOffset>
              </wp:positionH>
              <wp:positionV relativeFrom="paragraph">
                <wp:posOffset>67310</wp:posOffset>
              </wp:positionV>
              <wp:extent cx="57721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3pt" to="4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A9" w:rsidRDefault="00974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198"/>
    <w:multiLevelType w:val="hybridMultilevel"/>
    <w:tmpl w:val="29200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A121C1"/>
    <w:multiLevelType w:val="hybridMultilevel"/>
    <w:tmpl w:val="393C3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7563F3"/>
    <w:multiLevelType w:val="hybridMultilevel"/>
    <w:tmpl w:val="384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A6CFC"/>
    <w:multiLevelType w:val="hybridMultilevel"/>
    <w:tmpl w:val="92009F8A"/>
    <w:lvl w:ilvl="0" w:tplc="66E25880">
      <w:start w:val="1"/>
      <w:numFmt w:val="decimal"/>
      <w:lvlText w:val="%1."/>
      <w:lvlJc w:val="left"/>
      <w:pPr>
        <w:ind w:left="72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66FCB"/>
    <w:multiLevelType w:val="hybridMultilevel"/>
    <w:tmpl w:val="B44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C0B00"/>
    <w:multiLevelType w:val="hybridMultilevel"/>
    <w:tmpl w:val="6618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6564C"/>
    <w:multiLevelType w:val="hybridMultilevel"/>
    <w:tmpl w:val="09F0B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E3CD0"/>
    <w:multiLevelType w:val="hybridMultilevel"/>
    <w:tmpl w:val="81E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57155"/>
    <w:multiLevelType w:val="hybridMultilevel"/>
    <w:tmpl w:val="388E1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864EE3"/>
    <w:multiLevelType w:val="hybridMultilevel"/>
    <w:tmpl w:val="6318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250967"/>
    <w:multiLevelType w:val="hybridMultilevel"/>
    <w:tmpl w:val="AC60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DA7C31"/>
    <w:multiLevelType w:val="hybridMultilevel"/>
    <w:tmpl w:val="B0786BB2"/>
    <w:lvl w:ilvl="0" w:tplc="72FA761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5C026B"/>
    <w:multiLevelType w:val="hybridMultilevel"/>
    <w:tmpl w:val="BD0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000A9B"/>
    <w:multiLevelType w:val="hybridMultilevel"/>
    <w:tmpl w:val="3EB058CA"/>
    <w:lvl w:ilvl="0" w:tplc="C714C1FC">
      <w:start w:val="1"/>
      <w:numFmt w:val="upperLetter"/>
      <w:lvlText w:val="%1."/>
      <w:lvlJc w:val="left"/>
      <w:pPr>
        <w:ind w:left="360" w:hanging="360"/>
      </w:pPr>
      <w:rPr>
        <w:rFonts w:asciiTheme="minorHAnsi" w:eastAsia="Times New Roman" w:hAnsiTheme="minorHAns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D1F27DE"/>
    <w:multiLevelType w:val="multilevel"/>
    <w:tmpl w:val="3724C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D0099B"/>
    <w:multiLevelType w:val="hybridMultilevel"/>
    <w:tmpl w:val="3E5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8E1D0C"/>
    <w:multiLevelType w:val="hybridMultilevel"/>
    <w:tmpl w:val="1F64A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3B7983"/>
    <w:multiLevelType w:val="hybridMultilevel"/>
    <w:tmpl w:val="EF40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B3890"/>
    <w:multiLevelType w:val="hybridMultilevel"/>
    <w:tmpl w:val="55A6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736306"/>
    <w:multiLevelType w:val="hybridMultilevel"/>
    <w:tmpl w:val="306E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5761A"/>
    <w:multiLevelType w:val="multilevel"/>
    <w:tmpl w:val="2F10E512"/>
    <w:lvl w:ilvl="0">
      <w:start w:val="1"/>
      <w:numFmt w:val="decimal"/>
      <w:lvlText w:val="%1."/>
      <w:lvlJc w:val="left"/>
      <w:pPr>
        <w:tabs>
          <w:tab w:val="num" w:pos="5400"/>
        </w:tabs>
        <w:ind w:left="5400" w:hanging="360"/>
      </w:pPr>
    </w:lvl>
    <w:lvl w:ilvl="1" w:tentative="1">
      <w:start w:val="1"/>
      <w:numFmt w:val="decimal"/>
      <w:lvlText w:val="%2."/>
      <w:lvlJc w:val="left"/>
      <w:pPr>
        <w:tabs>
          <w:tab w:val="num" w:pos="6120"/>
        </w:tabs>
        <w:ind w:left="6120" w:hanging="360"/>
      </w:pPr>
    </w:lvl>
    <w:lvl w:ilvl="2" w:tentative="1">
      <w:start w:val="1"/>
      <w:numFmt w:val="decimal"/>
      <w:lvlText w:val="%3."/>
      <w:lvlJc w:val="left"/>
      <w:pPr>
        <w:tabs>
          <w:tab w:val="num" w:pos="6840"/>
        </w:tabs>
        <w:ind w:left="6840" w:hanging="360"/>
      </w:pPr>
    </w:lvl>
    <w:lvl w:ilvl="3" w:tentative="1">
      <w:start w:val="1"/>
      <w:numFmt w:val="decimal"/>
      <w:lvlText w:val="%4."/>
      <w:lvlJc w:val="left"/>
      <w:pPr>
        <w:tabs>
          <w:tab w:val="num" w:pos="7560"/>
        </w:tabs>
        <w:ind w:left="7560" w:hanging="360"/>
      </w:pPr>
    </w:lvl>
    <w:lvl w:ilvl="4" w:tentative="1">
      <w:start w:val="1"/>
      <w:numFmt w:val="decimal"/>
      <w:lvlText w:val="%5."/>
      <w:lvlJc w:val="left"/>
      <w:pPr>
        <w:tabs>
          <w:tab w:val="num" w:pos="8280"/>
        </w:tabs>
        <w:ind w:left="8280" w:hanging="360"/>
      </w:pPr>
    </w:lvl>
    <w:lvl w:ilvl="5" w:tentative="1">
      <w:start w:val="1"/>
      <w:numFmt w:val="decimal"/>
      <w:lvlText w:val="%6."/>
      <w:lvlJc w:val="left"/>
      <w:pPr>
        <w:tabs>
          <w:tab w:val="num" w:pos="9000"/>
        </w:tabs>
        <w:ind w:left="9000" w:hanging="360"/>
      </w:pPr>
    </w:lvl>
    <w:lvl w:ilvl="6" w:tentative="1">
      <w:start w:val="1"/>
      <w:numFmt w:val="decimal"/>
      <w:lvlText w:val="%7."/>
      <w:lvlJc w:val="left"/>
      <w:pPr>
        <w:tabs>
          <w:tab w:val="num" w:pos="9720"/>
        </w:tabs>
        <w:ind w:left="9720" w:hanging="360"/>
      </w:pPr>
    </w:lvl>
    <w:lvl w:ilvl="7" w:tentative="1">
      <w:start w:val="1"/>
      <w:numFmt w:val="decimal"/>
      <w:lvlText w:val="%8."/>
      <w:lvlJc w:val="left"/>
      <w:pPr>
        <w:tabs>
          <w:tab w:val="num" w:pos="10440"/>
        </w:tabs>
        <w:ind w:left="10440" w:hanging="360"/>
      </w:pPr>
    </w:lvl>
    <w:lvl w:ilvl="8" w:tentative="1">
      <w:start w:val="1"/>
      <w:numFmt w:val="decimal"/>
      <w:lvlText w:val="%9."/>
      <w:lvlJc w:val="left"/>
      <w:pPr>
        <w:tabs>
          <w:tab w:val="num" w:pos="11160"/>
        </w:tabs>
        <w:ind w:left="11160" w:hanging="360"/>
      </w:pPr>
    </w:lvl>
  </w:abstractNum>
  <w:abstractNum w:abstractNumId="21">
    <w:nsid w:val="408E46B8"/>
    <w:multiLevelType w:val="hybridMultilevel"/>
    <w:tmpl w:val="A7945814"/>
    <w:lvl w:ilvl="0" w:tplc="46126C42">
      <w:start w:val="1"/>
      <w:numFmt w:val="upperLetter"/>
      <w:lvlText w:val="%1."/>
      <w:lvlJc w:val="left"/>
      <w:pPr>
        <w:ind w:left="360" w:hanging="360"/>
      </w:pPr>
      <w:rPr>
        <w:rFonts w:asciiTheme="minorHAnsi" w:eastAsia="Times New Roman" w:hAnsiTheme="minorHAns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1343AA6"/>
    <w:multiLevelType w:val="hybridMultilevel"/>
    <w:tmpl w:val="0F3CD912"/>
    <w:lvl w:ilvl="0" w:tplc="722C92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8E2410"/>
    <w:multiLevelType w:val="hybridMultilevel"/>
    <w:tmpl w:val="6DB4FCCE"/>
    <w:lvl w:ilvl="0" w:tplc="233C3A6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6A0542"/>
    <w:multiLevelType w:val="hybridMultilevel"/>
    <w:tmpl w:val="D3002092"/>
    <w:lvl w:ilvl="0" w:tplc="3152A6C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3B4E84"/>
    <w:multiLevelType w:val="multilevel"/>
    <w:tmpl w:val="DFC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E619A0"/>
    <w:multiLevelType w:val="hybridMultilevel"/>
    <w:tmpl w:val="941C7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DC50CE"/>
    <w:multiLevelType w:val="hybridMultilevel"/>
    <w:tmpl w:val="EA1CE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36AAA"/>
    <w:multiLevelType w:val="hybridMultilevel"/>
    <w:tmpl w:val="BC64EED0"/>
    <w:lvl w:ilvl="0" w:tplc="72DA9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83A5D"/>
    <w:multiLevelType w:val="hybridMultilevel"/>
    <w:tmpl w:val="B150C6E2"/>
    <w:lvl w:ilvl="0" w:tplc="6EA424B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E71698"/>
    <w:multiLevelType w:val="hybridMultilevel"/>
    <w:tmpl w:val="16ECA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017525A"/>
    <w:multiLevelType w:val="hybridMultilevel"/>
    <w:tmpl w:val="20744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8F5E1A"/>
    <w:multiLevelType w:val="hybridMultilevel"/>
    <w:tmpl w:val="9316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FF74E5"/>
    <w:multiLevelType w:val="hybridMultilevel"/>
    <w:tmpl w:val="4866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3B079E"/>
    <w:multiLevelType w:val="hybridMultilevel"/>
    <w:tmpl w:val="60ACF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AC6C26"/>
    <w:multiLevelType w:val="hybridMultilevel"/>
    <w:tmpl w:val="5DC25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A724F9"/>
    <w:multiLevelType w:val="hybridMultilevel"/>
    <w:tmpl w:val="7B46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1542710"/>
    <w:multiLevelType w:val="hybridMultilevel"/>
    <w:tmpl w:val="ED043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2616A9D"/>
    <w:multiLevelType w:val="hybridMultilevel"/>
    <w:tmpl w:val="6BBCA9CC"/>
    <w:lvl w:ilvl="0" w:tplc="1CBE2984">
      <w:start w:val="1"/>
      <w:numFmt w:val="bullet"/>
      <w:lvlText w:val="•"/>
      <w:lvlJc w:val="left"/>
      <w:pPr>
        <w:tabs>
          <w:tab w:val="num" w:pos="360"/>
        </w:tabs>
        <w:ind w:left="360" w:hanging="360"/>
      </w:pPr>
      <w:rPr>
        <w:rFonts w:ascii="Times New Roman" w:hAnsi="Times New Roman" w:hint="default"/>
      </w:rPr>
    </w:lvl>
    <w:lvl w:ilvl="1" w:tplc="21680808" w:tentative="1">
      <w:start w:val="1"/>
      <w:numFmt w:val="bullet"/>
      <w:lvlText w:val="•"/>
      <w:lvlJc w:val="left"/>
      <w:pPr>
        <w:tabs>
          <w:tab w:val="num" w:pos="1080"/>
        </w:tabs>
        <w:ind w:left="1080" w:hanging="360"/>
      </w:pPr>
      <w:rPr>
        <w:rFonts w:ascii="Times New Roman" w:hAnsi="Times New Roman" w:hint="default"/>
      </w:rPr>
    </w:lvl>
    <w:lvl w:ilvl="2" w:tplc="95F2DB98" w:tentative="1">
      <w:start w:val="1"/>
      <w:numFmt w:val="bullet"/>
      <w:lvlText w:val="•"/>
      <w:lvlJc w:val="left"/>
      <w:pPr>
        <w:tabs>
          <w:tab w:val="num" w:pos="1800"/>
        </w:tabs>
        <w:ind w:left="1800" w:hanging="360"/>
      </w:pPr>
      <w:rPr>
        <w:rFonts w:ascii="Times New Roman" w:hAnsi="Times New Roman" w:hint="default"/>
      </w:rPr>
    </w:lvl>
    <w:lvl w:ilvl="3" w:tplc="07408042" w:tentative="1">
      <w:start w:val="1"/>
      <w:numFmt w:val="bullet"/>
      <w:lvlText w:val="•"/>
      <w:lvlJc w:val="left"/>
      <w:pPr>
        <w:tabs>
          <w:tab w:val="num" w:pos="2520"/>
        </w:tabs>
        <w:ind w:left="2520" w:hanging="360"/>
      </w:pPr>
      <w:rPr>
        <w:rFonts w:ascii="Times New Roman" w:hAnsi="Times New Roman" w:hint="default"/>
      </w:rPr>
    </w:lvl>
    <w:lvl w:ilvl="4" w:tplc="C49039B8" w:tentative="1">
      <w:start w:val="1"/>
      <w:numFmt w:val="bullet"/>
      <w:lvlText w:val="•"/>
      <w:lvlJc w:val="left"/>
      <w:pPr>
        <w:tabs>
          <w:tab w:val="num" w:pos="3240"/>
        </w:tabs>
        <w:ind w:left="3240" w:hanging="360"/>
      </w:pPr>
      <w:rPr>
        <w:rFonts w:ascii="Times New Roman" w:hAnsi="Times New Roman" w:hint="default"/>
      </w:rPr>
    </w:lvl>
    <w:lvl w:ilvl="5" w:tplc="9FCA90A6" w:tentative="1">
      <w:start w:val="1"/>
      <w:numFmt w:val="bullet"/>
      <w:lvlText w:val="•"/>
      <w:lvlJc w:val="left"/>
      <w:pPr>
        <w:tabs>
          <w:tab w:val="num" w:pos="3960"/>
        </w:tabs>
        <w:ind w:left="3960" w:hanging="360"/>
      </w:pPr>
      <w:rPr>
        <w:rFonts w:ascii="Times New Roman" w:hAnsi="Times New Roman" w:hint="default"/>
      </w:rPr>
    </w:lvl>
    <w:lvl w:ilvl="6" w:tplc="9690A74A" w:tentative="1">
      <w:start w:val="1"/>
      <w:numFmt w:val="bullet"/>
      <w:lvlText w:val="•"/>
      <w:lvlJc w:val="left"/>
      <w:pPr>
        <w:tabs>
          <w:tab w:val="num" w:pos="4680"/>
        </w:tabs>
        <w:ind w:left="4680" w:hanging="360"/>
      </w:pPr>
      <w:rPr>
        <w:rFonts w:ascii="Times New Roman" w:hAnsi="Times New Roman" w:hint="default"/>
      </w:rPr>
    </w:lvl>
    <w:lvl w:ilvl="7" w:tplc="49F24E2E" w:tentative="1">
      <w:start w:val="1"/>
      <w:numFmt w:val="bullet"/>
      <w:lvlText w:val="•"/>
      <w:lvlJc w:val="left"/>
      <w:pPr>
        <w:tabs>
          <w:tab w:val="num" w:pos="5400"/>
        </w:tabs>
        <w:ind w:left="5400" w:hanging="360"/>
      </w:pPr>
      <w:rPr>
        <w:rFonts w:ascii="Times New Roman" w:hAnsi="Times New Roman" w:hint="default"/>
      </w:rPr>
    </w:lvl>
    <w:lvl w:ilvl="8" w:tplc="AD6C9D5E" w:tentative="1">
      <w:start w:val="1"/>
      <w:numFmt w:val="bullet"/>
      <w:lvlText w:val="•"/>
      <w:lvlJc w:val="left"/>
      <w:pPr>
        <w:tabs>
          <w:tab w:val="num" w:pos="6120"/>
        </w:tabs>
        <w:ind w:left="6120" w:hanging="360"/>
      </w:pPr>
      <w:rPr>
        <w:rFonts w:ascii="Times New Roman" w:hAnsi="Times New Roman" w:hint="default"/>
      </w:rPr>
    </w:lvl>
  </w:abstractNum>
  <w:abstractNum w:abstractNumId="39">
    <w:nsid w:val="67C0027B"/>
    <w:multiLevelType w:val="hybridMultilevel"/>
    <w:tmpl w:val="CBE81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A1F6C6C"/>
    <w:multiLevelType w:val="hybridMultilevel"/>
    <w:tmpl w:val="70944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157BDD"/>
    <w:multiLevelType w:val="hybridMultilevel"/>
    <w:tmpl w:val="717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CB30C7"/>
    <w:multiLevelType w:val="hybridMultilevel"/>
    <w:tmpl w:val="DCF8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3551B4"/>
    <w:multiLevelType w:val="hybridMultilevel"/>
    <w:tmpl w:val="AAF86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1CD27D0"/>
    <w:multiLevelType w:val="hybridMultilevel"/>
    <w:tmpl w:val="8F6CB2CC"/>
    <w:lvl w:ilvl="0" w:tplc="861C871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04BB2"/>
    <w:multiLevelType w:val="hybridMultilevel"/>
    <w:tmpl w:val="6B18F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A8D53A8"/>
    <w:multiLevelType w:val="multilevel"/>
    <w:tmpl w:val="5B28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A31FDF"/>
    <w:multiLevelType w:val="hybridMultilevel"/>
    <w:tmpl w:val="58809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BF6F4C"/>
    <w:multiLevelType w:val="hybridMultilevel"/>
    <w:tmpl w:val="44584C18"/>
    <w:lvl w:ilvl="0" w:tplc="E8B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E91E79"/>
    <w:multiLevelType w:val="hybridMultilevel"/>
    <w:tmpl w:val="7108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5"/>
  </w:num>
  <w:num w:numId="4">
    <w:abstractNumId w:val="49"/>
  </w:num>
  <w:num w:numId="5">
    <w:abstractNumId w:val="12"/>
  </w:num>
  <w:num w:numId="6">
    <w:abstractNumId w:val="6"/>
  </w:num>
  <w:num w:numId="7">
    <w:abstractNumId w:val="1"/>
  </w:num>
  <w:num w:numId="8">
    <w:abstractNumId w:val="41"/>
  </w:num>
  <w:num w:numId="9">
    <w:abstractNumId w:val="17"/>
  </w:num>
  <w:num w:numId="10">
    <w:abstractNumId w:val="40"/>
  </w:num>
  <w:num w:numId="11">
    <w:abstractNumId w:val="24"/>
  </w:num>
  <w:num w:numId="12">
    <w:abstractNumId w:val="11"/>
  </w:num>
  <w:num w:numId="13">
    <w:abstractNumId w:val="44"/>
  </w:num>
  <w:num w:numId="14">
    <w:abstractNumId w:val="29"/>
  </w:num>
  <w:num w:numId="15">
    <w:abstractNumId w:val="22"/>
  </w:num>
  <w:num w:numId="16">
    <w:abstractNumId w:val="23"/>
  </w:num>
  <w:num w:numId="17">
    <w:abstractNumId w:val="48"/>
  </w:num>
  <w:num w:numId="18">
    <w:abstractNumId w:val="15"/>
  </w:num>
  <w:num w:numId="19">
    <w:abstractNumId w:val="42"/>
  </w:num>
  <w:num w:numId="20">
    <w:abstractNumId w:val="16"/>
  </w:num>
  <w:num w:numId="21">
    <w:abstractNumId w:val="30"/>
  </w:num>
  <w:num w:numId="22">
    <w:abstractNumId w:val="35"/>
  </w:num>
  <w:num w:numId="23">
    <w:abstractNumId w:val="9"/>
  </w:num>
  <w:num w:numId="24">
    <w:abstractNumId w:val="10"/>
  </w:num>
  <w:num w:numId="25">
    <w:abstractNumId w:val="21"/>
  </w:num>
  <w:num w:numId="26">
    <w:abstractNumId w:val="13"/>
  </w:num>
  <w:num w:numId="27">
    <w:abstractNumId w:val="28"/>
  </w:num>
  <w:num w:numId="28">
    <w:abstractNumId w:val="19"/>
  </w:num>
  <w:num w:numId="29">
    <w:abstractNumId w:val="3"/>
  </w:num>
  <w:num w:numId="30">
    <w:abstractNumId w:val="34"/>
  </w:num>
  <w:num w:numId="31">
    <w:abstractNumId w:val="7"/>
  </w:num>
  <w:num w:numId="32">
    <w:abstractNumId w:val="32"/>
  </w:num>
  <w:num w:numId="33">
    <w:abstractNumId w:val="39"/>
  </w:num>
  <w:num w:numId="34">
    <w:abstractNumId w:val="26"/>
  </w:num>
  <w:num w:numId="35">
    <w:abstractNumId w:val="31"/>
  </w:num>
  <w:num w:numId="36">
    <w:abstractNumId w:val="8"/>
  </w:num>
  <w:num w:numId="37">
    <w:abstractNumId w:val="18"/>
  </w:num>
  <w:num w:numId="38">
    <w:abstractNumId w:val="33"/>
  </w:num>
  <w:num w:numId="39">
    <w:abstractNumId w:val="43"/>
  </w:num>
  <w:num w:numId="40">
    <w:abstractNumId w:val="37"/>
  </w:num>
  <w:num w:numId="41">
    <w:abstractNumId w:val="27"/>
  </w:num>
  <w:num w:numId="42">
    <w:abstractNumId w:val="47"/>
  </w:num>
  <w:num w:numId="43">
    <w:abstractNumId w:val="36"/>
  </w:num>
  <w:num w:numId="44">
    <w:abstractNumId w:val="0"/>
  </w:num>
  <w:num w:numId="45">
    <w:abstractNumId w:val="20"/>
  </w:num>
  <w:num w:numId="46">
    <w:abstractNumId w:val="14"/>
  </w:num>
  <w:num w:numId="47">
    <w:abstractNumId w:val="46"/>
  </w:num>
  <w:num w:numId="48">
    <w:abstractNumId w:val="4"/>
  </w:num>
  <w:num w:numId="49">
    <w:abstractNumId w:val="25"/>
  </w:num>
  <w:num w:numId="50">
    <w:abstractNumId w:val="4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0E"/>
    <w:rsid w:val="0000621F"/>
    <w:rsid w:val="00011FF2"/>
    <w:rsid w:val="000164B7"/>
    <w:rsid w:val="00020AB6"/>
    <w:rsid w:val="0002387B"/>
    <w:rsid w:val="0003221C"/>
    <w:rsid w:val="000473C8"/>
    <w:rsid w:val="000557FD"/>
    <w:rsid w:val="00062634"/>
    <w:rsid w:val="0007378D"/>
    <w:rsid w:val="00077AC5"/>
    <w:rsid w:val="000838AF"/>
    <w:rsid w:val="0008532F"/>
    <w:rsid w:val="000A0AB7"/>
    <w:rsid w:val="000A2412"/>
    <w:rsid w:val="000A2BB4"/>
    <w:rsid w:val="000A7532"/>
    <w:rsid w:val="000A79DD"/>
    <w:rsid w:val="000B6EDD"/>
    <w:rsid w:val="000C1E3A"/>
    <w:rsid w:val="000C2DBE"/>
    <w:rsid w:val="000C6A09"/>
    <w:rsid w:val="000D3140"/>
    <w:rsid w:val="000E258D"/>
    <w:rsid w:val="000F1730"/>
    <w:rsid w:val="000F1F53"/>
    <w:rsid w:val="0010690E"/>
    <w:rsid w:val="00115235"/>
    <w:rsid w:val="00146514"/>
    <w:rsid w:val="00152875"/>
    <w:rsid w:val="00152912"/>
    <w:rsid w:val="001579FB"/>
    <w:rsid w:val="00161C9B"/>
    <w:rsid w:val="00170E99"/>
    <w:rsid w:val="00173800"/>
    <w:rsid w:val="001904FE"/>
    <w:rsid w:val="001933F2"/>
    <w:rsid w:val="001A454E"/>
    <w:rsid w:val="001B60E7"/>
    <w:rsid w:val="001C25C3"/>
    <w:rsid w:val="001D2606"/>
    <w:rsid w:val="001D3BBA"/>
    <w:rsid w:val="001E4297"/>
    <w:rsid w:val="001E5D7D"/>
    <w:rsid w:val="001F11B2"/>
    <w:rsid w:val="001F5D95"/>
    <w:rsid w:val="002020C1"/>
    <w:rsid w:val="00203B9A"/>
    <w:rsid w:val="002041B9"/>
    <w:rsid w:val="00204878"/>
    <w:rsid w:val="0020704D"/>
    <w:rsid w:val="002111C4"/>
    <w:rsid w:val="002133CA"/>
    <w:rsid w:val="0021496B"/>
    <w:rsid w:val="0021532C"/>
    <w:rsid w:val="00220BA8"/>
    <w:rsid w:val="00224C73"/>
    <w:rsid w:val="00224D51"/>
    <w:rsid w:val="0022750E"/>
    <w:rsid w:val="00230605"/>
    <w:rsid w:val="00231B5E"/>
    <w:rsid w:val="00234FD7"/>
    <w:rsid w:val="00236500"/>
    <w:rsid w:val="002369BD"/>
    <w:rsid w:val="00240C76"/>
    <w:rsid w:val="00254896"/>
    <w:rsid w:val="00264CF0"/>
    <w:rsid w:val="00265F21"/>
    <w:rsid w:val="00270522"/>
    <w:rsid w:val="00276A04"/>
    <w:rsid w:val="002772B6"/>
    <w:rsid w:val="00281AA5"/>
    <w:rsid w:val="00284879"/>
    <w:rsid w:val="00287019"/>
    <w:rsid w:val="00290214"/>
    <w:rsid w:val="00297BFF"/>
    <w:rsid w:val="002B2CD1"/>
    <w:rsid w:val="002B45B5"/>
    <w:rsid w:val="002C7D17"/>
    <w:rsid w:val="002D2618"/>
    <w:rsid w:val="002D4A53"/>
    <w:rsid w:val="002E25D5"/>
    <w:rsid w:val="002E72DB"/>
    <w:rsid w:val="002E7D08"/>
    <w:rsid w:val="002F054F"/>
    <w:rsid w:val="00314BD6"/>
    <w:rsid w:val="003166DD"/>
    <w:rsid w:val="00325A90"/>
    <w:rsid w:val="00335013"/>
    <w:rsid w:val="00341E3E"/>
    <w:rsid w:val="0035133A"/>
    <w:rsid w:val="00362A2E"/>
    <w:rsid w:val="00365D2B"/>
    <w:rsid w:val="0037097F"/>
    <w:rsid w:val="003A6EC9"/>
    <w:rsid w:val="003C23B3"/>
    <w:rsid w:val="003C6BE4"/>
    <w:rsid w:val="003D1F8D"/>
    <w:rsid w:val="003E02AD"/>
    <w:rsid w:val="003E62B4"/>
    <w:rsid w:val="003E7276"/>
    <w:rsid w:val="003F1D59"/>
    <w:rsid w:val="003F4D2A"/>
    <w:rsid w:val="003F53D7"/>
    <w:rsid w:val="00400868"/>
    <w:rsid w:val="00407DC6"/>
    <w:rsid w:val="004219CD"/>
    <w:rsid w:val="00422230"/>
    <w:rsid w:val="00434071"/>
    <w:rsid w:val="004546AD"/>
    <w:rsid w:val="00461931"/>
    <w:rsid w:val="0046244A"/>
    <w:rsid w:val="00473222"/>
    <w:rsid w:val="004A1855"/>
    <w:rsid w:val="004A4CB8"/>
    <w:rsid w:val="004A7F28"/>
    <w:rsid w:val="004B1979"/>
    <w:rsid w:val="004D0A29"/>
    <w:rsid w:val="004D1219"/>
    <w:rsid w:val="004D26E8"/>
    <w:rsid w:val="004E3FD3"/>
    <w:rsid w:val="004F27C0"/>
    <w:rsid w:val="004F767F"/>
    <w:rsid w:val="005000BF"/>
    <w:rsid w:val="0050459B"/>
    <w:rsid w:val="00510E7D"/>
    <w:rsid w:val="005230C3"/>
    <w:rsid w:val="00546057"/>
    <w:rsid w:val="005613DF"/>
    <w:rsid w:val="005750E7"/>
    <w:rsid w:val="00577713"/>
    <w:rsid w:val="00587CC5"/>
    <w:rsid w:val="00592448"/>
    <w:rsid w:val="00592C58"/>
    <w:rsid w:val="005A08AD"/>
    <w:rsid w:val="005A3600"/>
    <w:rsid w:val="005B10E3"/>
    <w:rsid w:val="005B23E6"/>
    <w:rsid w:val="005B4DEB"/>
    <w:rsid w:val="005D01FD"/>
    <w:rsid w:val="005D503A"/>
    <w:rsid w:val="005D524C"/>
    <w:rsid w:val="005E7EF3"/>
    <w:rsid w:val="005F2CCD"/>
    <w:rsid w:val="005F5288"/>
    <w:rsid w:val="005F6B90"/>
    <w:rsid w:val="006069D0"/>
    <w:rsid w:val="00610EC3"/>
    <w:rsid w:val="0061736C"/>
    <w:rsid w:val="00627F2F"/>
    <w:rsid w:val="006475EE"/>
    <w:rsid w:val="00650217"/>
    <w:rsid w:val="006503AD"/>
    <w:rsid w:val="00651457"/>
    <w:rsid w:val="00656B04"/>
    <w:rsid w:val="00657560"/>
    <w:rsid w:val="00663075"/>
    <w:rsid w:val="00664919"/>
    <w:rsid w:val="00675933"/>
    <w:rsid w:val="006944CE"/>
    <w:rsid w:val="006A07D6"/>
    <w:rsid w:val="006A0C8F"/>
    <w:rsid w:val="006A31C5"/>
    <w:rsid w:val="006A5FC7"/>
    <w:rsid w:val="006C265A"/>
    <w:rsid w:val="006E6136"/>
    <w:rsid w:val="006F344C"/>
    <w:rsid w:val="00711428"/>
    <w:rsid w:val="00712DC4"/>
    <w:rsid w:val="00733829"/>
    <w:rsid w:val="00734D36"/>
    <w:rsid w:val="007471DF"/>
    <w:rsid w:val="00755078"/>
    <w:rsid w:val="007629AB"/>
    <w:rsid w:val="0076695B"/>
    <w:rsid w:val="00782F9A"/>
    <w:rsid w:val="0078639E"/>
    <w:rsid w:val="007924E4"/>
    <w:rsid w:val="00793BA6"/>
    <w:rsid w:val="007C5CE5"/>
    <w:rsid w:val="007D46A6"/>
    <w:rsid w:val="007E01B3"/>
    <w:rsid w:val="007E3604"/>
    <w:rsid w:val="00800098"/>
    <w:rsid w:val="0080247D"/>
    <w:rsid w:val="00807B66"/>
    <w:rsid w:val="00814AA3"/>
    <w:rsid w:val="00814B3D"/>
    <w:rsid w:val="00815E5D"/>
    <w:rsid w:val="008336E4"/>
    <w:rsid w:val="00840C0E"/>
    <w:rsid w:val="00847C1C"/>
    <w:rsid w:val="00863B37"/>
    <w:rsid w:val="0087392B"/>
    <w:rsid w:val="00875918"/>
    <w:rsid w:val="00885602"/>
    <w:rsid w:val="0088695F"/>
    <w:rsid w:val="008901A7"/>
    <w:rsid w:val="0089152D"/>
    <w:rsid w:val="008A13BD"/>
    <w:rsid w:val="008A3BB4"/>
    <w:rsid w:val="008B43E7"/>
    <w:rsid w:val="008B5436"/>
    <w:rsid w:val="008C5842"/>
    <w:rsid w:val="008F2C94"/>
    <w:rsid w:val="00912663"/>
    <w:rsid w:val="00924DE8"/>
    <w:rsid w:val="00950E4B"/>
    <w:rsid w:val="009628E0"/>
    <w:rsid w:val="00966AED"/>
    <w:rsid w:val="00967945"/>
    <w:rsid w:val="00972A79"/>
    <w:rsid w:val="009742A9"/>
    <w:rsid w:val="00976AFC"/>
    <w:rsid w:val="009831A6"/>
    <w:rsid w:val="0099599B"/>
    <w:rsid w:val="0099656B"/>
    <w:rsid w:val="009A32F3"/>
    <w:rsid w:val="009C074F"/>
    <w:rsid w:val="009C24CE"/>
    <w:rsid w:val="009C5900"/>
    <w:rsid w:val="009D0342"/>
    <w:rsid w:val="009D0ADB"/>
    <w:rsid w:val="009E5D0B"/>
    <w:rsid w:val="00A0324B"/>
    <w:rsid w:val="00A06A0A"/>
    <w:rsid w:val="00A14D58"/>
    <w:rsid w:val="00A30695"/>
    <w:rsid w:val="00A610AF"/>
    <w:rsid w:val="00A622FD"/>
    <w:rsid w:val="00A775C3"/>
    <w:rsid w:val="00A827CC"/>
    <w:rsid w:val="00A83EA3"/>
    <w:rsid w:val="00A95259"/>
    <w:rsid w:val="00A9674A"/>
    <w:rsid w:val="00AA77F6"/>
    <w:rsid w:val="00AA7AB6"/>
    <w:rsid w:val="00AB2FFF"/>
    <w:rsid w:val="00AB3909"/>
    <w:rsid w:val="00AB65A6"/>
    <w:rsid w:val="00AC64BC"/>
    <w:rsid w:val="00AC73EF"/>
    <w:rsid w:val="00AE58D7"/>
    <w:rsid w:val="00B04C6A"/>
    <w:rsid w:val="00B10F5C"/>
    <w:rsid w:val="00B115BB"/>
    <w:rsid w:val="00B269DC"/>
    <w:rsid w:val="00B321F8"/>
    <w:rsid w:val="00B37B2A"/>
    <w:rsid w:val="00B4451F"/>
    <w:rsid w:val="00B460F2"/>
    <w:rsid w:val="00B47EFC"/>
    <w:rsid w:val="00B72AC8"/>
    <w:rsid w:val="00B73115"/>
    <w:rsid w:val="00B81833"/>
    <w:rsid w:val="00B81B20"/>
    <w:rsid w:val="00B8379A"/>
    <w:rsid w:val="00BA3F27"/>
    <w:rsid w:val="00BA5E0E"/>
    <w:rsid w:val="00BB692C"/>
    <w:rsid w:val="00BC3698"/>
    <w:rsid w:val="00BD3C7C"/>
    <w:rsid w:val="00BD4BD3"/>
    <w:rsid w:val="00BE22F3"/>
    <w:rsid w:val="00BE2E19"/>
    <w:rsid w:val="00BE4DA8"/>
    <w:rsid w:val="00BE6245"/>
    <w:rsid w:val="00BF24DA"/>
    <w:rsid w:val="00BF440F"/>
    <w:rsid w:val="00C02C95"/>
    <w:rsid w:val="00C15A17"/>
    <w:rsid w:val="00C16464"/>
    <w:rsid w:val="00C1703D"/>
    <w:rsid w:val="00C338EC"/>
    <w:rsid w:val="00C5085A"/>
    <w:rsid w:val="00C526E1"/>
    <w:rsid w:val="00C63E43"/>
    <w:rsid w:val="00C741EE"/>
    <w:rsid w:val="00C748E8"/>
    <w:rsid w:val="00C75351"/>
    <w:rsid w:val="00C91452"/>
    <w:rsid w:val="00CB19DA"/>
    <w:rsid w:val="00CB472D"/>
    <w:rsid w:val="00CB5BFA"/>
    <w:rsid w:val="00CB7D64"/>
    <w:rsid w:val="00CC2C7C"/>
    <w:rsid w:val="00CC5C71"/>
    <w:rsid w:val="00CD05B5"/>
    <w:rsid w:val="00CD1CAE"/>
    <w:rsid w:val="00D013EC"/>
    <w:rsid w:val="00D02023"/>
    <w:rsid w:val="00D243FF"/>
    <w:rsid w:val="00D24412"/>
    <w:rsid w:val="00D30853"/>
    <w:rsid w:val="00D33E27"/>
    <w:rsid w:val="00D43BD2"/>
    <w:rsid w:val="00D44587"/>
    <w:rsid w:val="00D53EC4"/>
    <w:rsid w:val="00D5445A"/>
    <w:rsid w:val="00D5483E"/>
    <w:rsid w:val="00D57296"/>
    <w:rsid w:val="00D57E23"/>
    <w:rsid w:val="00D61AE3"/>
    <w:rsid w:val="00D75A28"/>
    <w:rsid w:val="00D865C2"/>
    <w:rsid w:val="00D90F22"/>
    <w:rsid w:val="00DA0BD8"/>
    <w:rsid w:val="00DB1779"/>
    <w:rsid w:val="00DC06BE"/>
    <w:rsid w:val="00DC1744"/>
    <w:rsid w:val="00DC30ED"/>
    <w:rsid w:val="00DC498B"/>
    <w:rsid w:val="00DC4A13"/>
    <w:rsid w:val="00DC6308"/>
    <w:rsid w:val="00DD1554"/>
    <w:rsid w:val="00DD19EE"/>
    <w:rsid w:val="00DD5A7B"/>
    <w:rsid w:val="00DE2CC6"/>
    <w:rsid w:val="00DE6332"/>
    <w:rsid w:val="00E30EB2"/>
    <w:rsid w:val="00E37BE7"/>
    <w:rsid w:val="00E47D2E"/>
    <w:rsid w:val="00E5320D"/>
    <w:rsid w:val="00E54584"/>
    <w:rsid w:val="00E54B2B"/>
    <w:rsid w:val="00E6636E"/>
    <w:rsid w:val="00E67FC7"/>
    <w:rsid w:val="00E730B7"/>
    <w:rsid w:val="00E81376"/>
    <w:rsid w:val="00E8459B"/>
    <w:rsid w:val="00E90A24"/>
    <w:rsid w:val="00E94B65"/>
    <w:rsid w:val="00EA5C7E"/>
    <w:rsid w:val="00EA6CD4"/>
    <w:rsid w:val="00EB7218"/>
    <w:rsid w:val="00ED552D"/>
    <w:rsid w:val="00EE27CF"/>
    <w:rsid w:val="00EE2827"/>
    <w:rsid w:val="00EE285C"/>
    <w:rsid w:val="00EE52FA"/>
    <w:rsid w:val="00EE6457"/>
    <w:rsid w:val="00EE6B39"/>
    <w:rsid w:val="00EF556A"/>
    <w:rsid w:val="00F17CA4"/>
    <w:rsid w:val="00F229AD"/>
    <w:rsid w:val="00F2541A"/>
    <w:rsid w:val="00F25F97"/>
    <w:rsid w:val="00F31049"/>
    <w:rsid w:val="00F31915"/>
    <w:rsid w:val="00F400B3"/>
    <w:rsid w:val="00F40C56"/>
    <w:rsid w:val="00F42130"/>
    <w:rsid w:val="00F424B6"/>
    <w:rsid w:val="00F44758"/>
    <w:rsid w:val="00F4754D"/>
    <w:rsid w:val="00F52FE6"/>
    <w:rsid w:val="00F53170"/>
    <w:rsid w:val="00F72872"/>
    <w:rsid w:val="00F82C6C"/>
    <w:rsid w:val="00F96D5B"/>
    <w:rsid w:val="00FA1B9E"/>
    <w:rsid w:val="00FA49A0"/>
    <w:rsid w:val="00FA5C99"/>
    <w:rsid w:val="00FB3C50"/>
    <w:rsid w:val="00FB6C3E"/>
    <w:rsid w:val="00FC075F"/>
    <w:rsid w:val="00FC30B3"/>
    <w:rsid w:val="00FC38AA"/>
    <w:rsid w:val="00FC65F0"/>
    <w:rsid w:val="00FC7183"/>
    <w:rsid w:val="00FE1ABD"/>
    <w:rsid w:val="00FE3340"/>
    <w:rsid w:val="00FE388B"/>
    <w:rsid w:val="00FE3B50"/>
    <w:rsid w:val="00FE4643"/>
    <w:rsid w:val="00FE5B23"/>
    <w:rsid w:val="00FF1D9D"/>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0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4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71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0E"/>
    <w:pPr>
      <w:ind w:left="720"/>
    </w:pPr>
  </w:style>
  <w:style w:type="paragraph" w:styleId="Title">
    <w:name w:val="Title"/>
    <w:basedOn w:val="Normal"/>
    <w:next w:val="Normal"/>
    <w:link w:val="TitleChar"/>
    <w:uiPriority w:val="10"/>
    <w:qFormat/>
    <w:rsid w:val="00FC38A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FC38A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FC38AA"/>
    <w:rPr>
      <w:color w:val="0000FF" w:themeColor="hyperlink"/>
      <w:u w:val="single"/>
    </w:rPr>
  </w:style>
  <w:style w:type="paragraph" w:styleId="Header">
    <w:name w:val="header"/>
    <w:basedOn w:val="Normal"/>
    <w:link w:val="HeaderChar"/>
    <w:uiPriority w:val="99"/>
    <w:unhideWhenUsed/>
    <w:rsid w:val="00173800"/>
    <w:pPr>
      <w:tabs>
        <w:tab w:val="center" w:pos="4680"/>
        <w:tab w:val="right" w:pos="9360"/>
      </w:tabs>
    </w:pPr>
  </w:style>
  <w:style w:type="character" w:customStyle="1" w:styleId="HeaderChar">
    <w:name w:val="Header Char"/>
    <w:basedOn w:val="DefaultParagraphFont"/>
    <w:link w:val="Header"/>
    <w:uiPriority w:val="99"/>
    <w:rsid w:val="00173800"/>
    <w:rPr>
      <w:rFonts w:ascii="Calibri" w:hAnsi="Calibri" w:cs="Times New Roman"/>
    </w:rPr>
  </w:style>
  <w:style w:type="paragraph" w:styleId="Footer">
    <w:name w:val="footer"/>
    <w:basedOn w:val="Normal"/>
    <w:link w:val="FooterChar"/>
    <w:uiPriority w:val="99"/>
    <w:unhideWhenUsed/>
    <w:rsid w:val="00173800"/>
    <w:pPr>
      <w:tabs>
        <w:tab w:val="center" w:pos="4680"/>
        <w:tab w:val="right" w:pos="9360"/>
      </w:tabs>
    </w:pPr>
  </w:style>
  <w:style w:type="character" w:customStyle="1" w:styleId="FooterChar">
    <w:name w:val="Footer Char"/>
    <w:basedOn w:val="DefaultParagraphFont"/>
    <w:link w:val="Footer"/>
    <w:uiPriority w:val="99"/>
    <w:rsid w:val="00173800"/>
    <w:rPr>
      <w:rFonts w:ascii="Calibri" w:hAnsi="Calibri" w:cs="Times New Roman"/>
    </w:rPr>
  </w:style>
  <w:style w:type="paragraph" w:styleId="BalloonText">
    <w:name w:val="Balloon Text"/>
    <w:basedOn w:val="Normal"/>
    <w:link w:val="BalloonTextChar"/>
    <w:uiPriority w:val="99"/>
    <w:semiHidden/>
    <w:unhideWhenUsed/>
    <w:rsid w:val="0099599B"/>
    <w:rPr>
      <w:rFonts w:ascii="Tahoma" w:hAnsi="Tahoma" w:cs="Tahoma"/>
      <w:sz w:val="16"/>
      <w:szCs w:val="16"/>
    </w:rPr>
  </w:style>
  <w:style w:type="character" w:customStyle="1" w:styleId="BalloonTextChar">
    <w:name w:val="Balloon Text Char"/>
    <w:basedOn w:val="DefaultParagraphFont"/>
    <w:link w:val="BalloonText"/>
    <w:uiPriority w:val="99"/>
    <w:semiHidden/>
    <w:rsid w:val="0099599B"/>
    <w:rPr>
      <w:rFonts w:ascii="Tahoma" w:hAnsi="Tahoma" w:cs="Tahoma"/>
      <w:sz w:val="16"/>
      <w:szCs w:val="16"/>
    </w:rPr>
  </w:style>
  <w:style w:type="paragraph" w:styleId="NormalWeb">
    <w:name w:val="Normal (Web)"/>
    <w:basedOn w:val="Normal"/>
    <w:uiPriority w:val="99"/>
    <w:unhideWhenUsed/>
    <w:rsid w:val="00D5729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7296"/>
    <w:rPr>
      <w:b/>
      <w:bCs/>
    </w:rPr>
  </w:style>
  <w:style w:type="paragraph" w:styleId="Quote">
    <w:name w:val="Quote"/>
    <w:basedOn w:val="Normal"/>
    <w:next w:val="Normal"/>
    <w:link w:val="QuoteChar"/>
    <w:uiPriority w:val="29"/>
    <w:qFormat/>
    <w:rsid w:val="008F2C94"/>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8F2C94"/>
    <w:rPr>
      <w:rFonts w:eastAsiaTheme="minorEastAsia"/>
      <w:i/>
      <w:iCs/>
      <w:color w:val="000000" w:themeColor="text1"/>
      <w:lang w:eastAsia="ja-JP"/>
    </w:rPr>
  </w:style>
  <w:style w:type="paragraph" w:customStyle="1" w:styleId="Default">
    <w:name w:val="Default"/>
    <w:rsid w:val="002111C4"/>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2111C4"/>
    <w:rPr>
      <w:sz w:val="16"/>
      <w:szCs w:val="16"/>
    </w:rPr>
  </w:style>
  <w:style w:type="paragraph" w:styleId="CommentText">
    <w:name w:val="annotation text"/>
    <w:basedOn w:val="Normal"/>
    <w:link w:val="CommentTextChar"/>
    <w:uiPriority w:val="99"/>
    <w:semiHidden/>
    <w:unhideWhenUsed/>
    <w:rsid w:val="002111C4"/>
    <w:rPr>
      <w:sz w:val="20"/>
      <w:szCs w:val="20"/>
    </w:rPr>
  </w:style>
  <w:style w:type="character" w:customStyle="1" w:styleId="CommentTextChar">
    <w:name w:val="Comment Text Char"/>
    <w:basedOn w:val="DefaultParagraphFont"/>
    <w:link w:val="CommentText"/>
    <w:uiPriority w:val="99"/>
    <w:semiHidden/>
    <w:rsid w:val="002111C4"/>
    <w:rPr>
      <w:rFonts w:ascii="Calibri" w:hAnsi="Calibri" w:cs="Times New Roman"/>
      <w:sz w:val="20"/>
      <w:szCs w:val="20"/>
    </w:rPr>
  </w:style>
  <w:style w:type="paragraph" w:styleId="FootnoteText">
    <w:name w:val="footnote text"/>
    <w:basedOn w:val="Normal"/>
    <w:link w:val="FootnoteTextChar"/>
    <w:uiPriority w:val="99"/>
    <w:semiHidden/>
    <w:unhideWhenUsed/>
    <w:rsid w:val="003C6BE4"/>
    <w:rPr>
      <w:sz w:val="20"/>
      <w:szCs w:val="20"/>
    </w:rPr>
  </w:style>
  <w:style w:type="character" w:customStyle="1" w:styleId="FootnoteTextChar">
    <w:name w:val="Footnote Text Char"/>
    <w:basedOn w:val="DefaultParagraphFont"/>
    <w:link w:val="FootnoteText"/>
    <w:uiPriority w:val="99"/>
    <w:semiHidden/>
    <w:rsid w:val="003C6BE4"/>
    <w:rPr>
      <w:rFonts w:ascii="Calibri" w:hAnsi="Calibri" w:cs="Times New Roman"/>
      <w:sz w:val="20"/>
      <w:szCs w:val="20"/>
    </w:rPr>
  </w:style>
  <w:style w:type="character" w:styleId="FootnoteReference">
    <w:name w:val="footnote reference"/>
    <w:basedOn w:val="DefaultParagraphFont"/>
    <w:uiPriority w:val="99"/>
    <w:semiHidden/>
    <w:unhideWhenUsed/>
    <w:rsid w:val="003C6BE4"/>
    <w:rPr>
      <w:vertAlign w:val="superscript"/>
    </w:rPr>
  </w:style>
  <w:style w:type="paragraph" w:styleId="NoSpacing">
    <w:name w:val="No Spacing"/>
    <w:uiPriority w:val="1"/>
    <w:qFormat/>
    <w:rsid w:val="00577713"/>
    <w:pPr>
      <w:spacing w:after="0" w:line="240" w:lineRule="auto"/>
    </w:pPr>
  </w:style>
  <w:style w:type="table" w:styleId="LightShading-Accent5">
    <w:name w:val="Light Shading Accent 5"/>
    <w:basedOn w:val="TableNormal"/>
    <w:uiPriority w:val="60"/>
    <w:rsid w:val="005777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577713"/>
    <w:rPr>
      <w:rFonts w:ascii="Times New Roman" w:eastAsia="Times New Roman" w:hAnsi="Times New Roman" w:cs="Times New Roman"/>
      <w:b/>
      <w:bCs/>
      <w:sz w:val="36"/>
      <w:szCs w:val="36"/>
    </w:rPr>
  </w:style>
  <w:style w:type="character" w:styleId="Emphasis">
    <w:name w:val="Emphasis"/>
    <w:basedOn w:val="DefaultParagraphFont"/>
    <w:uiPriority w:val="20"/>
    <w:qFormat/>
    <w:rsid w:val="00577713"/>
    <w:rPr>
      <w:i/>
      <w:iCs/>
    </w:rPr>
  </w:style>
  <w:style w:type="character" w:customStyle="1" w:styleId="Heading1Char">
    <w:name w:val="Heading 1 Char"/>
    <w:basedOn w:val="DefaultParagraphFont"/>
    <w:link w:val="Heading1"/>
    <w:uiPriority w:val="9"/>
    <w:rsid w:val="00734D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4D36"/>
    <w:pPr>
      <w:spacing w:line="276" w:lineRule="auto"/>
      <w:outlineLvl w:val="9"/>
    </w:pPr>
    <w:rPr>
      <w:lang w:eastAsia="ja-JP"/>
    </w:rPr>
  </w:style>
  <w:style w:type="paragraph" w:styleId="TOC1">
    <w:name w:val="toc 1"/>
    <w:basedOn w:val="Normal"/>
    <w:next w:val="Normal"/>
    <w:autoRedefine/>
    <w:uiPriority w:val="39"/>
    <w:unhideWhenUsed/>
    <w:rsid w:val="00161C9B"/>
    <w:pPr>
      <w:tabs>
        <w:tab w:val="right" w:leader="dot" w:pos="9350"/>
      </w:tabs>
      <w:spacing w:after="100"/>
    </w:pPr>
    <w:rPr>
      <w:noProof/>
    </w:rPr>
  </w:style>
  <w:style w:type="paragraph" w:styleId="TOC2">
    <w:name w:val="toc 2"/>
    <w:basedOn w:val="Normal"/>
    <w:next w:val="Normal"/>
    <w:autoRedefine/>
    <w:uiPriority w:val="39"/>
    <w:unhideWhenUsed/>
    <w:rsid w:val="00734D36"/>
    <w:pPr>
      <w:spacing w:after="100"/>
      <w:ind w:left="220"/>
    </w:pPr>
  </w:style>
  <w:style w:type="paragraph" w:styleId="CommentSubject">
    <w:name w:val="annotation subject"/>
    <w:basedOn w:val="CommentText"/>
    <w:next w:val="CommentText"/>
    <w:link w:val="CommentSubjectChar"/>
    <w:uiPriority w:val="99"/>
    <w:semiHidden/>
    <w:unhideWhenUsed/>
    <w:rsid w:val="00FC30B3"/>
    <w:rPr>
      <w:b/>
      <w:bCs/>
    </w:rPr>
  </w:style>
  <w:style w:type="character" w:customStyle="1" w:styleId="CommentSubjectChar">
    <w:name w:val="Comment Subject Char"/>
    <w:basedOn w:val="CommentTextChar"/>
    <w:link w:val="CommentSubject"/>
    <w:uiPriority w:val="99"/>
    <w:semiHidden/>
    <w:rsid w:val="00FC30B3"/>
    <w:rPr>
      <w:rFonts w:ascii="Calibri" w:hAnsi="Calibri" w:cs="Times New Roman"/>
      <w:b/>
      <w:bCs/>
      <w:sz w:val="20"/>
      <w:szCs w:val="20"/>
    </w:rPr>
  </w:style>
  <w:style w:type="paragraph" w:styleId="EndnoteText">
    <w:name w:val="endnote text"/>
    <w:basedOn w:val="Normal"/>
    <w:link w:val="EndnoteTextChar"/>
    <w:uiPriority w:val="99"/>
    <w:semiHidden/>
    <w:unhideWhenUsed/>
    <w:rsid w:val="006E6136"/>
    <w:rPr>
      <w:sz w:val="20"/>
      <w:szCs w:val="20"/>
    </w:rPr>
  </w:style>
  <w:style w:type="character" w:customStyle="1" w:styleId="EndnoteTextChar">
    <w:name w:val="Endnote Text Char"/>
    <w:basedOn w:val="DefaultParagraphFont"/>
    <w:link w:val="EndnoteText"/>
    <w:uiPriority w:val="99"/>
    <w:semiHidden/>
    <w:rsid w:val="006E6136"/>
    <w:rPr>
      <w:rFonts w:ascii="Calibri" w:hAnsi="Calibri" w:cs="Times New Roman"/>
      <w:sz w:val="20"/>
      <w:szCs w:val="20"/>
    </w:rPr>
  </w:style>
  <w:style w:type="character" w:styleId="EndnoteReference">
    <w:name w:val="endnote reference"/>
    <w:basedOn w:val="DefaultParagraphFont"/>
    <w:uiPriority w:val="99"/>
    <w:semiHidden/>
    <w:unhideWhenUsed/>
    <w:rsid w:val="006E6136"/>
    <w:rPr>
      <w:vertAlign w:val="superscript"/>
    </w:rPr>
  </w:style>
  <w:style w:type="table" w:styleId="TableGrid">
    <w:name w:val="Table Grid"/>
    <w:basedOn w:val="TableNormal"/>
    <w:uiPriority w:val="39"/>
    <w:rsid w:val="0020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AED"/>
    <w:rPr>
      <w:color w:val="800080" w:themeColor="followedHyperlink"/>
      <w:u w:val="single"/>
    </w:rPr>
  </w:style>
  <w:style w:type="paragraph" w:styleId="Caption">
    <w:name w:val="caption"/>
    <w:basedOn w:val="Normal"/>
    <w:next w:val="Normal"/>
    <w:uiPriority w:val="35"/>
    <w:unhideWhenUsed/>
    <w:qFormat/>
    <w:rsid w:val="00966AED"/>
    <w:pPr>
      <w:spacing w:after="200"/>
    </w:pPr>
    <w:rPr>
      <w:b/>
      <w:bCs/>
      <w:color w:val="4F81BD" w:themeColor="accent1"/>
      <w:sz w:val="18"/>
      <w:szCs w:val="18"/>
    </w:rPr>
  </w:style>
  <w:style w:type="character" w:styleId="HTMLCite">
    <w:name w:val="HTML Cite"/>
    <w:basedOn w:val="DefaultParagraphFont"/>
    <w:uiPriority w:val="99"/>
    <w:semiHidden/>
    <w:unhideWhenUsed/>
    <w:rsid w:val="00966A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0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4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71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0E"/>
    <w:pPr>
      <w:ind w:left="720"/>
    </w:pPr>
  </w:style>
  <w:style w:type="paragraph" w:styleId="Title">
    <w:name w:val="Title"/>
    <w:basedOn w:val="Normal"/>
    <w:next w:val="Normal"/>
    <w:link w:val="TitleChar"/>
    <w:uiPriority w:val="10"/>
    <w:qFormat/>
    <w:rsid w:val="00FC38A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FC38A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FC38AA"/>
    <w:rPr>
      <w:color w:val="0000FF" w:themeColor="hyperlink"/>
      <w:u w:val="single"/>
    </w:rPr>
  </w:style>
  <w:style w:type="paragraph" w:styleId="Header">
    <w:name w:val="header"/>
    <w:basedOn w:val="Normal"/>
    <w:link w:val="HeaderChar"/>
    <w:uiPriority w:val="99"/>
    <w:unhideWhenUsed/>
    <w:rsid w:val="00173800"/>
    <w:pPr>
      <w:tabs>
        <w:tab w:val="center" w:pos="4680"/>
        <w:tab w:val="right" w:pos="9360"/>
      </w:tabs>
    </w:pPr>
  </w:style>
  <w:style w:type="character" w:customStyle="1" w:styleId="HeaderChar">
    <w:name w:val="Header Char"/>
    <w:basedOn w:val="DefaultParagraphFont"/>
    <w:link w:val="Header"/>
    <w:uiPriority w:val="99"/>
    <w:rsid w:val="00173800"/>
    <w:rPr>
      <w:rFonts w:ascii="Calibri" w:hAnsi="Calibri" w:cs="Times New Roman"/>
    </w:rPr>
  </w:style>
  <w:style w:type="paragraph" w:styleId="Footer">
    <w:name w:val="footer"/>
    <w:basedOn w:val="Normal"/>
    <w:link w:val="FooterChar"/>
    <w:uiPriority w:val="99"/>
    <w:unhideWhenUsed/>
    <w:rsid w:val="00173800"/>
    <w:pPr>
      <w:tabs>
        <w:tab w:val="center" w:pos="4680"/>
        <w:tab w:val="right" w:pos="9360"/>
      </w:tabs>
    </w:pPr>
  </w:style>
  <w:style w:type="character" w:customStyle="1" w:styleId="FooterChar">
    <w:name w:val="Footer Char"/>
    <w:basedOn w:val="DefaultParagraphFont"/>
    <w:link w:val="Footer"/>
    <w:uiPriority w:val="99"/>
    <w:rsid w:val="00173800"/>
    <w:rPr>
      <w:rFonts w:ascii="Calibri" w:hAnsi="Calibri" w:cs="Times New Roman"/>
    </w:rPr>
  </w:style>
  <w:style w:type="paragraph" w:styleId="BalloonText">
    <w:name w:val="Balloon Text"/>
    <w:basedOn w:val="Normal"/>
    <w:link w:val="BalloonTextChar"/>
    <w:uiPriority w:val="99"/>
    <w:semiHidden/>
    <w:unhideWhenUsed/>
    <w:rsid w:val="0099599B"/>
    <w:rPr>
      <w:rFonts w:ascii="Tahoma" w:hAnsi="Tahoma" w:cs="Tahoma"/>
      <w:sz w:val="16"/>
      <w:szCs w:val="16"/>
    </w:rPr>
  </w:style>
  <w:style w:type="character" w:customStyle="1" w:styleId="BalloonTextChar">
    <w:name w:val="Balloon Text Char"/>
    <w:basedOn w:val="DefaultParagraphFont"/>
    <w:link w:val="BalloonText"/>
    <w:uiPriority w:val="99"/>
    <w:semiHidden/>
    <w:rsid w:val="0099599B"/>
    <w:rPr>
      <w:rFonts w:ascii="Tahoma" w:hAnsi="Tahoma" w:cs="Tahoma"/>
      <w:sz w:val="16"/>
      <w:szCs w:val="16"/>
    </w:rPr>
  </w:style>
  <w:style w:type="paragraph" w:styleId="NormalWeb">
    <w:name w:val="Normal (Web)"/>
    <w:basedOn w:val="Normal"/>
    <w:uiPriority w:val="99"/>
    <w:unhideWhenUsed/>
    <w:rsid w:val="00D5729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7296"/>
    <w:rPr>
      <w:b/>
      <w:bCs/>
    </w:rPr>
  </w:style>
  <w:style w:type="paragraph" w:styleId="Quote">
    <w:name w:val="Quote"/>
    <w:basedOn w:val="Normal"/>
    <w:next w:val="Normal"/>
    <w:link w:val="QuoteChar"/>
    <w:uiPriority w:val="29"/>
    <w:qFormat/>
    <w:rsid w:val="008F2C94"/>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8F2C94"/>
    <w:rPr>
      <w:rFonts w:eastAsiaTheme="minorEastAsia"/>
      <w:i/>
      <w:iCs/>
      <w:color w:val="000000" w:themeColor="text1"/>
      <w:lang w:eastAsia="ja-JP"/>
    </w:rPr>
  </w:style>
  <w:style w:type="paragraph" w:customStyle="1" w:styleId="Default">
    <w:name w:val="Default"/>
    <w:rsid w:val="002111C4"/>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2111C4"/>
    <w:rPr>
      <w:sz w:val="16"/>
      <w:szCs w:val="16"/>
    </w:rPr>
  </w:style>
  <w:style w:type="paragraph" w:styleId="CommentText">
    <w:name w:val="annotation text"/>
    <w:basedOn w:val="Normal"/>
    <w:link w:val="CommentTextChar"/>
    <w:uiPriority w:val="99"/>
    <w:semiHidden/>
    <w:unhideWhenUsed/>
    <w:rsid w:val="002111C4"/>
    <w:rPr>
      <w:sz w:val="20"/>
      <w:szCs w:val="20"/>
    </w:rPr>
  </w:style>
  <w:style w:type="character" w:customStyle="1" w:styleId="CommentTextChar">
    <w:name w:val="Comment Text Char"/>
    <w:basedOn w:val="DefaultParagraphFont"/>
    <w:link w:val="CommentText"/>
    <w:uiPriority w:val="99"/>
    <w:semiHidden/>
    <w:rsid w:val="002111C4"/>
    <w:rPr>
      <w:rFonts w:ascii="Calibri" w:hAnsi="Calibri" w:cs="Times New Roman"/>
      <w:sz w:val="20"/>
      <w:szCs w:val="20"/>
    </w:rPr>
  </w:style>
  <w:style w:type="paragraph" w:styleId="FootnoteText">
    <w:name w:val="footnote text"/>
    <w:basedOn w:val="Normal"/>
    <w:link w:val="FootnoteTextChar"/>
    <w:uiPriority w:val="99"/>
    <w:semiHidden/>
    <w:unhideWhenUsed/>
    <w:rsid w:val="003C6BE4"/>
    <w:rPr>
      <w:sz w:val="20"/>
      <w:szCs w:val="20"/>
    </w:rPr>
  </w:style>
  <w:style w:type="character" w:customStyle="1" w:styleId="FootnoteTextChar">
    <w:name w:val="Footnote Text Char"/>
    <w:basedOn w:val="DefaultParagraphFont"/>
    <w:link w:val="FootnoteText"/>
    <w:uiPriority w:val="99"/>
    <w:semiHidden/>
    <w:rsid w:val="003C6BE4"/>
    <w:rPr>
      <w:rFonts w:ascii="Calibri" w:hAnsi="Calibri" w:cs="Times New Roman"/>
      <w:sz w:val="20"/>
      <w:szCs w:val="20"/>
    </w:rPr>
  </w:style>
  <w:style w:type="character" w:styleId="FootnoteReference">
    <w:name w:val="footnote reference"/>
    <w:basedOn w:val="DefaultParagraphFont"/>
    <w:uiPriority w:val="99"/>
    <w:semiHidden/>
    <w:unhideWhenUsed/>
    <w:rsid w:val="003C6BE4"/>
    <w:rPr>
      <w:vertAlign w:val="superscript"/>
    </w:rPr>
  </w:style>
  <w:style w:type="paragraph" w:styleId="NoSpacing">
    <w:name w:val="No Spacing"/>
    <w:uiPriority w:val="1"/>
    <w:qFormat/>
    <w:rsid w:val="00577713"/>
    <w:pPr>
      <w:spacing w:after="0" w:line="240" w:lineRule="auto"/>
    </w:pPr>
  </w:style>
  <w:style w:type="table" w:styleId="LightShading-Accent5">
    <w:name w:val="Light Shading Accent 5"/>
    <w:basedOn w:val="TableNormal"/>
    <w:uiPriority w:val="60"/>
    <w:rsid w:val="005777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577713"/>
    <w:rPr>
      <w:rFonts w:ascii="Times New Roman" w:eastAsia="Times New Roman" w:hAnsi="Times New Roman" w:cs="Times New Roman"/>
      <w:b/>
      <w:bCs/>
      <w:sz w:val="36"/>
      <w:szCs w:val="36"/>
    </w:rPr>
  </w:style>
  <w:style w:type="character" w:styleId="Emphasis">
    <w:name w:val="Emphasis"/>
    <w:basedOn w:val="DefaultParagraphFont"/>
    <w:uiPriority w:val="20"/>
    <w:qFormat/>
    <w:rsid w:val="00577713"/>
    <w:rPr>
      <w:i/>
      <w:iCs/>
    </w:rPr>
  </w:style>
  <w:style w:type="character" w:customStyle="1" w:styleId="Heading1Char">
    <w:name w:val="Heading 1 Char"/>
    <w:basedOn w:val="DefaultParagraphFont"/>
    <w:link w:val="Heading1"/>
    <w:uiPriority w:val="9"/>
    <w:rsid w:val="00734D3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4D36"/>
    <w:pPr>
      <w:spacing w:line="276" w:lineRule="auto"/>
      <w:outlineLvl w:val="9"/>
    </w:pPr>
    <w:rPr>
      <w:lang w:eastAsia="ja-JP"/>
    </w:rPr>
  </w:style>
  <w:style w:type="paragraph" w:styleId="TOC1">
    <w:name w:val="toc 1"/>
    <w:basedOn w:val="Normal"/>
    <w:next w:val="Normal"/>
    <w:autoRedefine/>
    <w:uiPriority w:val="39"/>
    <w:unhideWhenUsed/>
    <w:rsid w:val="00161C9B"/>
    <w:pPr>
      <w:tabs>
        <w:tab w:val="right" w:leader="dot" w:pos="9350"/>
      </w:tabs>
      <w:spacing w:after="100"/>
    </w:pPr>
    <w:rPr>
      <w:noProof/>
    </w:rPr>
  </w:style>
  <w:style w:type="paragraph" w:styleId="TOC2">
    <w:name w:val="toc 2"/>
    <w:basedOn w:val="Normal"/>
    <w:next w:val="Normal"/>
    <w:autoRedefine/>
    <w:uiPriority w:val="39"/>
    <w:unhideWhenUsed/>
    <w:rsid w:val="00734D36"/>
    <w:pPr>
      <w:spacing w:after="100"/>
      <w:ind w:left="220"/>
    </w:pPr>
  </w:style>
  <w:style w:type="paragraph" w:styleId="CommentSubject">
    <w:name w:val="annotation subject"/>
    <w:basedOn w:val="CommentText"/>
    <w:next w:val="CommentText"/>
    <w:link w:val="CommentSubjectChar"/>
    <w:uiPriority w:val="99"/>
    <w:semiHidden/>
    <w:unhideWhenUsed/>
    <w:rsid w:val="00FC30B3"/>
    <w:rPr>
      <w:b/>
      <w:bCs/>
    </w:rPr>
  </w:style>
  <w:style w:type="character" w:customStyle="1" w:styleId="CommentSubjectChar">
    <w:name w:val="Comment Subject Char"/>
    <w:basedOn w:val="CommentTextChar"/>
    <w:link w:val="CommentSubject"/>
    <w:uiPriority w:val="99"/>
    <w:semiHidden/>
    <w:rsid w:val="00FC30B3"/>
    <w:rPr>
      <w:rFonts w:ascii="Calibri" w:hAnsi="Calibri" w:cs="Times New Roman"/>
      <w:b/>
      <w:bCs/>
      <w:sz w:val="20"/>
      <w:szCs w:val="20"/>
    </w:rPr>
  </w:style>
  <w:style w:type="paragraph" w:styleId="EndnoteText">
    <w:name w:val="endnote text"/>
    <w:basedOn w:val="Normal"/>
    <w:link w:val="EndnoteTextChar"/>
    <w:uiPriority w:val="99"/>
    <w:semiHidden/>
    <w:unhideWhenUsed/>
    <w:rsid w:val="006E6136"/>
    <w:rPr>
      <w:sz w:val="20"/>
      <w:szCs w:val="20"/>
    </w:rPr>
  </w:style>
  <w:style w:type="character" w:customStyle="1" w:styleId="EndnoteTextChar">
    <w:name w:val="Endnote Text Char"/>
    <w:basedOn w:val="DefaultParagraphFont"/>
    <w:link w:val="EndnoteText"/>
    <w:uiPriority w:val="99"/>
    <w:semiHidden/>
    <w:rsid w:val="006E6136"/>
    <w:rPr>
      <w:rFonts w:ascii="Calibri" w:hAnsi="Calibri" w:cs="Times New Roman"/>
      <w:sz w:val="20"/>
      <w:szCs w:val="20"/>
    </w:rPr>
  </w:style>
  <w:style w:type="character" w:styleId="EndnoteReference">
    <w:name w:val="endnote reference"/>
    <w:basedOn w:val="DefaultParagraphFont"/>
    <w:uiPriority w:val="99"/>
    <w:semiHidden/>
    <w:unhideWhenUsed/>
    <w:rsid w:val="006E6136"/>
    <w:rPr>
      <w:vertAlign w:val="superscript"/>
    </w:rPr>
  </w:style>
  <w:style w:type="table" w:styleId="TableGrid">
    <w:name w:val="Table Grid"/>
    <w:basedOn w:val="TableNormal"/>
    <w:uiPriority w:val="39"/>
    <w:rsid w:val="0020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6AED"/>
    <w:rPr>
      <w:color w:val="800080" w:themeColor="followedHyperlink"/>
      <w:u w:val="single"/>
    </w:rPr>
  </w:style>
  <w:style w:type="paragraph" w:styleId="Caption">
    <w:name w:val="caption"/>
    <w:basedOn w:val="Normal"/>
    <w:next w:val="Normal"/>
    <w:uiPriority w:val="35"/>
    <w:unhideWhenUsed/>
    <w:qFormat/>
    <w:rsid w:val="00966AED"/>
    <w:pPr>
      <w:spacing w:after="200"/>
    </w:pPr>
    <w:rPr>
      <w:b/>
      <w:bCs/>
      <w:color w:val="4F81BD" w:themeColor="accent1"/>
      <w:sz w:val="18"/>
      <w:szCs w:val="18"/>
    </w:rPr>
  </w:style>
  <w:style w:type="character" w:styleId="HTMLCite">
    <w:name w:val="HTML Cite"/>
    <w:basedOn w:val="DefaultParagraphFont"/>
    <w:uiPriority w:val="99"/>
    <w:semiHidden/>
    <w:unhideWhenUsed/>
    <w:rsid w:val="00966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754">
      <w:bodyDiv w:val="1"/>
      <w:marLeft w:val="0"/>
      <w:marRight w:val="0"/>
      <w:marTop w:val="0"/>
      <w:marBottom w:val="0"/>
      <w:divBdr>
        <w:top w:val="none" w:sz="0" w:space="0" w:color="auto"/>
        <w:left w:val="none" w:sz="0" w:space="0" w:color="auto"/>
        <w:bottom w:val="none" w:sz="0" w:space="0" w:color="auto"/>
        <w:right w:val="none" w:sz="0" w:space="0" w:color="auto"/>
      </w:divBdr>
      <w:divsChild>
        <w:div w:id="1702854101">
          <w:marLeft w:val="547"/>
          <w:marRight w:val="0"/>
          <w:marTop w:val="0"/>
          <w:marBottom w:val="0"/>
          <w:divBdr>
            <w:top w:val="none" w:sz="0" w:space="0" w:color="auto"/>
            <w:left w:val="none" w:sz="0" w:space="0" w:color="auto"/>
            <w:bottom w:val="none" w:sz="0" w:space="0" w:color="auto"/>
            <w:right w:val="none" w:sz="0" w:space="0" w:color="auto"/>
          </w:divBdr>
        </w:div>
      </w:divsChild>
    </w:div>
    <w:div w:id="124155223">
      <w:bodyDiv w:val="1"/>
      <w:marLeft w:val="0"/>
      <w:marRight w:val="0"/>
      <w:marTop w:val="0"/>
      <w:marBottom w:val="0"/>
      <w:divBdr>
        <w:top w:val="none" w:sz="0" w:space="0" w:color="auto"/>
        <w:left w:val="none" w:sz="0" w:space="0" w:color="auto"/>
        <w:bottom w:val="none" w:sz="0" w:space="0" w:color="auto"/>
        <w:right w:val="none" w:sz="0" w:space="0" w:color="auto"/>
      </w:divBdr>
      <w:divsChild>
        <w:div w:id="2144035051">
          <w:marLeft w:val="0"/>
          <w:marRight w:val="0"/>
          <w:marTop w:val="0"/>
          <w:marBottom w:val="0"/>
          <w:divBdr>
            <w:top w:val="none" w:sz="0" w:space="0" w:color="auto"/>
            <w:left w:val="none" w:sz="0" w:space="0" w:color="auto"/>
            <w:bottom w:val="none" w:sz="0" w:space="0" w:color="auto"/>
            <w:right w:val="none" w:sz="0" w:space="0" w:color="auto"/>
          </w:divBdr>
        </w:div>
        <w:div w:id="1119452572">
          <w:marLeft w:val="0"/>
          <w:marRight w:val="0"/>
          <w:marTop w:val="0"/>
          <w:marBottom w:val="0"/>
          <w:divBdr>
            <w:top w:val="none" w:sz="0" w:space="0" w:color="auto"/>
            <w:left w:val="none" w:sz="0" w:space="0" w:color="auto"/>
            <w:bottom w:val="none" w:sz="0" w:space="0" w:color="auto"/>
            <w:right w:val="none" w:sz="0" w:space="0" w:color="auto"/>
          </w:divBdr>
        </w:div>
      </w:divsChild>
    </w:div>
    <w:div w:id="280188464">
      <w:bodyDiv w:val="1"/>
      <w:marLeft w:val="0"/>
      <w:marRight w:val="0"/>
      <w:marTop w:val="0"/>
      <w:marBottom w:val="0"/>
      <w:divBdr>
        <w:top w:val="none" w:sz="0" w:space="0" w:color="auto"/>
        <w:left w:val="none" w:sz="0" w:space="0" w:color="auto"/>
        <w:bottom w:val="none" w:sz="0" w:space="0" w:color="auto"/>
        <w:right w:val="none" w:sz="0" w:space="0" w:color="auto"/>
      </w:divBdr>
    </w:div>
    <w:div w:id="333848794">
      <w:bodyDiv w:val="1"/>
      <w:marLeft w:val="0"/>
      <w:marRight w:val="0"/>
      <w:marTop w:val="0"/>
      <w:marBottom w:val="0"/>
      <w:divBdr>
        <w:top w:val="none" w:sz="0" w:space="0" w:color="auto"/>
        <w:left w:val="none" w:sz="0" w:space="0" w:color="auto"/>
        <w:bottom w:val="none" w:sz="0" w:space="0" w:color="auto"/>
        <w:right w:val="none" w:sz="0" w:space="0" w:color="auto"/>
      </w:divBdr>
    </w:div>
    <w:div w:id="520628546">
      <w:bodyDiv w:val="1"/>
      <w:marLeft w:val="0"/>
      <w:marRight w:val="0"/>
      <w:marTop w:val="0"/>
      <w:marBottom w:val="0"/>
      <w:divBdr>
        <w:top w:val="none" w:sz="0" w:space="0" w:color="auto"/>
        <w:left w:val="none" w:sz="0" w:space="0" w:color="auto"/>
        <w:bottom w:val="none" w:sz="0" w:space="0" w:color="auto"/>
        <w:right w:val="none" w:sz="0" w:space="0" w:color="auto"/>
      </w:divBdr>
    </w:div>
    <w:div w:id="776295717">
      <w:bodyDiv w:val="1"/>
      <w:marLeft w:val="0"/>
      <w:marRight w:val="0"/>
      <w:marTop w:val="0"/>
      <w:marBottom w:val="0"/>
      <w:divBdr>
        <w:top w:val="none" w:sz="0" w:space="0" w:color="auto"/>
        <w:left w:val="none" w:sz="0" w:space="0" w:color="auto"/>
        <w:bottom w:val="none" w:sz="0" w:space="0" w:color="auto"/>
        <w:right w:val="none" w:sz="0" w:space="0" w:color="auto"/>
      </w:divBdr>
      <w:divsChild>
        <w:div w:id="524171339">
          <w:marLeft w:val="547"/>
          <w:marRight w:val="0"/>
          <w:marTop w:val="0"/>
          <w:marBottom w:val="0"/>
          <w:divBdr>
            <w:top w:val="none" w:sz="0" w:space="0" w:color="auto"/>
            <w:left w:val="none" w:sz="0" w:space="0" w:color="auto"/>
            <w:bottom w:val="none" w:sz="0" w:space="0" w:color="auto"/>
            <w:right w:val="none" w:sz="0" w:space="0" w:color="auto"/>
          </w:divBdr>
        </w:div>
      </w:divsChild>
    </w:div>
    <w:div w:id="1080325630">
      <w:bodyDiv w:val="1"/>
      <w:marLeft w:val="0"/>
      <w:marRight w:val="0"/>
      <w:marTop w:val="0"/>
      <w:marBottom w:val="0"/>
      <w:divBdr>
        <w:top w:val="none" w:sz="0" w:space="0" w:color="auto"/>
        <w:left w:val="none" w:sz="0" w:space="0" w:color="auto"/>
        <w:bottom w:val="none" w:sz="0" w:space="0" w:color="auto"/>
        <w:right w:val="none" w:sz="0" w:space="0" w:color="auto"/>
      </w:divBdr>
    </w:div>
    <w:div w:id="1108620965">
      <w:bodyDiv w:val="1"/>
      <w:marLeft w:val="0"/>
      <w:marRight w:val="0"/>
      <w:marTop w:val="0"/>
      <w:marBottom w:val="0"/>
      <w:divBdr>
        <w:top w:val="none" w:sz="0" w:space="0" w:color="auto"/>
        <w:left w:val="none" w:sz="0" w:space="0" w:color="auto"/>
        <w:bottom w:val="none" w:sz="0" w:space="0" w:color="auto"/>
        <w:right w:val="none" w:sz="0" w:space="0" w:color="auto"/>
      </w:divBdr>
      <w:divsChild>
        <w:div w:id="1858039727">
          <w:marLeft w:val="547"/>
          <w:marRight w:val="0"/>
          <w:marTop w:val="0"/>
          <w:marBottom w:val="0"/>
          <w:divBdr>
            <w:top w:val="none" w:sz="0" w:space="0" w:color="auto"/>
            <w:left w:val="none" w:sz="0" w:space="0" w:color="auto"/>
            <w:bottom w:val="none" w:sz="0" w:space="0" w:color="auto"/>
            <w:right w:val="none" w:sz="0" w:space="0" w:color="auto"/>
          </w:divBdr>
        </w:div>
        <w:div w:id="998658409">
          <w:marLeft w:val="547"/>
          <w:marRight w:val="0"/>
          <w:marTop w:val="0"/>
          <w:marBottom w:val="0"/>
          <w:divBdr>
            <w:top w:val="none" w:sz="0" w:space="0" w:color="auto"/>
            <w:left w:val="none" w:sz="0" w:space="0" w:color="auto"/>
            <w:bottom w:val="none" w:sz="0" w:space="0" w:color="auto"/>
            <w:right w:val="none" w:sz="0" w:space="0" w:color="auto"/>
          </w:divBdr>
        </w:div>
      </w:divsChild>
    </w:div>
    <w:div w:id="1124151571">
      <w:bodyDiv w:val="1"/>
      <w:marLeft w:val="0"/>
      <w:marRight w:val="0"/>
      <w:marTop w:val="0"/>
      <w:marBottom w:val="0"/>
      <w:divBdr>
        <w:top w:val="none" w:sz="0" w:space="0" w:color="auto"/>
        <w:left w:val="none" w:sz="0" w:space="0" w:color="auto"/>
        <w:bottom w:val="none" w:sz="0" w:space="0" w:color="auto"/>
        <w:right w:val="none" w:sz="0" w:space="0" w:color="auto"/>
      </w:divBdr>
    </w:div>
    <w:div w:id="1312633400">
      <w:bodyDiv w:val="1"/>
      <w:marLeft w:val="0"/>
      <w:marRight w:val="0"/>
      <w:marTop w:val="0"/>
      <w:marBottom w:val="0"/>
      <w:divBdr>
        <w:top w:val="none" w:sz="0" w:space="0" w:color="auto"/>
        <w:left w:val="none" w:sz="0" w:space="0" w:color="auto"/>
        <w:bottom w:val="none" w:sz="0" w:space="0" w:color="auto"/>
        <w:right w:val="none" w:sz="0" w:space="0" w:color="auto"/>
      </w:divBdr>
    </w:div>
    <w:div w:id="1362974357">
      <w:bodyDiv w:val="1"/>
      <w:marLeft w:val="0"/>
      <w:marRight w:val="0"/>
      <w:marTop w:val="0"/>
      <w:marBottom w:val="0"/>
      <w:divBdr>
        <w:top w:val="none" w:sz="0" w:space="0" w:color="auto"/>
        <w:left w:val="none" w:sz="0" w:space="0" w:color="auto"/>
        <w:bottom w:val="none" w:sz="0" w:space="0" w:color="auto"/>
        <w:right w:val="none" w:sz="0" w:space="0" w:color="auto"/>
      </w:divBdr>
    </w:div>
    <w:div w:id="1364792548">
      <w:bodyDiv w:val="1"/>
      <w:marLeft w:val="0"/>
      <w:marRight w:val="0"/>
      <w:marTop w:val="0"/>
      <w:marBottom w:val="0"/>
      <w:divBdr>
        <w:top w:val="none" w:sz="0" w:space="0" w:color="auto"/>
        <w:left w:val="none" w:sz="0" w:space="0" w:color="auto"/>
        <w:bottom w:val="none" w:sz="0" w:space="0" w:color="auto"/>
        <w:right w:val="none" w:sz="0" w:space="0" w:color="auto"/>
      </w:divBdr>
    </w:div>
    <w:div w:id="1389451655">
      <w:bodyDiv w:val="1"/>
      <w:marLeft w:val="0"/>
      <w:marRight w:val="0"/>
      <w:marTop w:val="0"/>
      <w:marBottom w:val="0"/>
      <w:divBdr>
        <w:top w:val="none" w:sz="0" w:space="0" w:color="auto"/>
        <w:left w:val="none" w:sz="0" w:space="0" w:color="auto"/>
        <w:bottom w:val="none" w:sz="0" w:space="0" w:color="auto"/>
        <w:right w:val="none" w:sz="0" w:space="0" w:color="auto"/>
      </w:divBdr>
    </w:div>
    <w:div w:id="1462378896">
      <w:bodyDiv w:val="1"/>
      <w:marLeft w:val="0"/>
      <w:marRight w:val="0"/>
      <w:marTop w:val="0"/>
      <w:marBottom w:val="0"/>
      <w:divBdr>
        <w:top w:val="none" w:sz="0" w:space="0" w:color="auto"/>
        <w:left w:val="none" w:sz="0" w:space="0" w:color="auto"/>
        <w:bottom w:val="none" w:sz="0" w:space="0" w:color="auto"/>
        <w:right w:val="none" w:sz="0" w:space="0" w:color="auto"/>
      </w:divBdr>
      <w:divsChild>
        <w:div w:id="122622316">
          <w:marLeft w:val="547"/>
          <w:marRight w:val="0"/>
          <w:marTop w:val="0"/>
          <w:marBottom w:val="0"/>
          <w:divBdr>
            <w:top w:val="none" w:sz="0" w:space="0" w:color="auto"/>
            <w:left w:val="none" w:sz="0" w:space="0" w:color="auto"/>
            <w:bottom w:val="none" w:sz="0" w:space="0" w:color="auto"/>
            <w:right w:val="none" w:sz="0" w:space="0" w:color="auto"/>
          </w:divBdr>
        </w:div>
      </w:divsChild>
    </w:div>
    <w:div w:id="1585457820">
      <w:bodyDiv w:val="1"/>
      <w:marLeft w:val="0"/>
      <w:marRight w:val="0"/>
      <w:marTop w:val="0"/>
      <w:marBottom w:val="0"/>
      <w:divBdr>
        <w:top w:val="none" w:sz="0" w:space="0" w:color="auto"/>
        <w:left w:val="none" w:sz="0" w:space="0" w:color="auto"/>
        <w:bottom w:val="none" w:sz="0" w:space="0" w:color="auto"/>
        <w:right w:val="none" w:sz="0" w:space="0" w:color="auto"/>
      </w:divBdr>
    </w:div>
    <w:div w:id="1687901737">
      <w:bodyDiv w:val="1"/>
      <w:marLeft w:val="0"/>
      <w:marRight w:val="0"/>
      <w:marTop w:val="0"/>
      <w:marBottom w:val="0"/>
      <w:divBdr>
        <w:top w:val="none" w:sz="0" w:space="0" w:color="auto"/>
        <w:left w:val="none" w:sz="0" w:space="0" w:color="auto"/>
        <w:bottom w:val="none" w:sz="0" w:space="0" w:color="auto"/>
        <w:right w:val="none" w:sz="0" w:space="0" w:color="auto"/>
      </w:divBdr>
    </w:div>
    <w:div w:id="2115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5888/pcd14.170017" TargetMode="External"/><Relationship Id="rId18" Type="http://schemas.openxmlformats.org/officeDocument/2006/relationships/hyperlink" Target="http://www.bu.edu/regionalization/" TargetMode="External"/><Relationship Id="rId26" Type="http://schemas.openxmlformats.org/officeDocument/2006/relationships/hyperlink" Target="https://www.mma.org/sites/default/files/resources/regionalization_advisory_commsn_rept_0.pdf" TargetMode="External"/><Relationship Id="rId39" Type="http://schemas.openxmlformats.org/officeDocument/2006/relationships/hyperlink" Target="http://www.phaboard.org/phnci/fphs.html" TargetMode="External"/><Relationship Id="rId3" Type="http://schemas.openxmlformats.org/officeDocument/2006/relationships/styles" Target="styles.xml"/><Relationship Id="rId21" Type="http://schemas.openxmlformats.org/officeDocument/2006/relationships/hyperlink" Target="http://archived.naccho.org/topics/infrastructure/accreditation/OpDef.cfm" TargetMode="External"/><Relationship Id="rId34" Type="http://schemas.openxmlformats.org/officeDocument/2006/relationships/header" Target="header3.xml"/><Relationship Id="rId42" Type="http://schemas.openxmlformats.org/officeDocument/2006/relationships/theme" Target="theme/theme1.xml"/><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ahb.org/wp-content/uploads/2015/12/MAHB-updated-Manual-of-Laws-and-Regulations-6.17.16-1.pdf" TargetMode="External"/><Relationship Id="rId25" Type="http://schemas.openxmlformats.org/officeDocument/2006/relationships/hyperlink" Target="http://phsharing.org/" TargetMode="External"/><Relationship Id="rId33" Type="http://schemas.openxmlformats.org/officeDocument/2006/relationships/footer" Target="footer2.xml"/><Relationship Id="rId38" Type="http://schemas.openxmlformats.org/officeDocument/2006/relationships/hyperlink" Target="http://www.cdc.gov/nphpsp" TargetMode="External"/><Relationship Id="rId2" Type="http://schemas.openxmlformats.org/officeDocument/2006/relationships/numbering" Target="numbering.xml"/><Relationship Id="rId16" Type="http://schemas.openxmlformats.org/officeDocument/2006/relationships/hyperlink" Target="http://www.phaboard.org/wp-content/uploads/PHABSM_WEB_LR1.pdf" TargetMode="External"/><Relationship Id="rId20" Type="http://schemas.openxmlformats.org/officeDocument/2006/relationships/hyperlink" Target="https://www.cdc.gov/stltpublichealth/publichealthservices/essentialhealthservices.html" TargetMode="External"/><Relationship Id="rId29" Type="http://schemas.openxmlformats.org/officeDocument/2006/relationships/hyperlink" Target="mailto:LocalRegionalPublicHealth@massmail.state.ma.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hyperlink" Target="http://www.bu.edu/regionalization/files/2013/05/Strengthening-Local-Public-Health-in-Massachusetts.pdf" TargetMode="External"/><Relationship Id="rId32" Type="http://schemas.openxmlformats.org/officeDocument/2006/relationships/footer" Target="footer1.xml"/><Relationship Id="rId37" Type="http://schemas.openxmlformats.org/officeDocument/2006/relationships/hyperlink" Target="http://www.health.gov/phfunctions/public.htm" TargetMode="External"/><Relationship Id="rId40" Type="http://schemas.openxmlformats.org/officeDocument/2006/relationships/hyperlink" Target="http://www.bu.edu/regionalization/" TargetMode="External"/><Relationship Id="rId5" Type="http://schemas.openxmlformats.org/officeDocument/2006/relationships/settings" Target="settings.xml"/><Relationship Id="rId15" Type="http://schemas.openxmlformats.org/officeDocument/2006/relationships/hyperlink" Target="https://doi.org/10.17226/13268" TargetMode="External"/><Relationship Id="rId23" Type="http://schemas.openxmlformats.org/officeDocument/2006/relationships/hyperlink" Target="https://mapublichealth.org/wp-content/uploads/2016/08/ce7bb-acaseforimprovinglocalpublichealthinfrastructure.pdf" TargetMode="External"/><Relationship Id="rId28" Type="http://schemas.openxmlformats.org/officeDocument/2006/relationships/hyperlink" Target="https://www.mass.gov/service-details/special-commission-on-local-and-regional-public-health" TargetMode="External"/><Relationship Id="rId36" Type="http://schemas.openxmlformats.org/officeDocument/2006/relationships/hyperlink" Target="http://www.cdc.gov/nphpsp/PDF/Glossary.pdf" TargetMode="External"/><Relationship Id="rId49" Type="http://schemas.microsoft.com/office/2011/relationships/commentsExtended" Target="commentsExtended.xml"/><Relationship Id="rId10" Type="http://schemas.openxmlformats.org/officeDocument/2006/relationships/hyperlink" Target="http://www.mass.gov/dph/olrh" TargetMode="External"/><Relationship Id="rId19" Type="http://schemas.openxmlformats.org/officeDocument/2006/relationships/hyperlink" Target="https://doi.org/10.17226/109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malegislature.gov/Laws/SessionLaws/Resolves/2016/Chapter3" TargetMode="External"/><Relationship Id="rId14" Type="http://schemas.openxmlformats.org/officeDocument/2006/relationships/hyperlink" Target="https://ajph.aphapublications.org/doi/abs/10.2105/AJPH.2016.303063" TargetMode="External"/><Relationship Id="rId22" Type="http://schemas.openxmlformats.org/officeDocument/2006/relationships/hyperlink" Target="http://www.phaboard.org/wp-content/uploads/PHABSM_WEB_LR1.pdf" TargetMode="External"/><Relationship Id="rId27" Type="http://schemas.openxmlformats.org/officeDocument/2006/relationships/hyperlink" Target="https://www.mass.gov/service-details/upcoming-meetings-of-the-special-commission-for-local-and-regional-public-health" TargetMode="External"/><Relationship Id="rId30" Type="http://schemas.openxmlformats.org/officeDocument/2006/relationships/header" Target="header1.xml"/><Relationship Id="rId35" Type="http://schemas.openxmlformats.org/officeDocument/2006/relationships/footer" Target="footer3.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E6D1-8438-49E8-A20A-0671FD7C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13201</Words>
  <Characters>75248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Ron (DPH)</dc:creator>
  <cp:lastModifiedBy> </cp:lastModifiedBy>
  <cp:revision>4</cp:revision>
  <cp:lastPrinted>2018-06-01T13:43:00Z</cp:lastPrinted>
  <dcterms:created xsi:type="dcterms:W3CDTF">2018-06-01T13:42:00Z</dcterms:created>
  <dcterms:modified xsi:type="dcterms:W3CDTF">2018-06-01T13:43:00Z</dcterms:modified>
</cp:coreProperties>
</file>