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869574F" w:rsidR="009908FF" w:rsidRDefault="009908FF" w:rsidP="0072610D"/>
    <w:p w14:paraId="6156B164" w14:textId="6C84E605" w:rsidR="00525C75" w:rsidRPr="00296C71" w:rsidRDefault="00525C75" w:rsidP="00525C75">
      <w:pPr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 xml:space="preserve">Sterile Compounding </w:t>
      </w:r>
      <w:r w:rsidRPr="00296C71">
        <w:rPr>
          <w:rFonts w:eastAsia="Calibri"/>
          <w:b/>
          <w:sz w:val="32"/>
          <w:szCs w:val="32"/>
          <w:u w:val="single"/>
        </w:rPr>
        <w:t>Compliance Checklist</w:t>
      </w:r>
    </w:p>
    <w:p w14:paraId="55E04209" w14:textId="77777777" w:rsidR="00525C75" w:rsidRPr="00296C71" w:rsidRDefault="00525C75" w:rsidP="00525C75">
      <w:pPr>
        <w:rPr>
          <w:rFonts w:eastAsia="Calibri"/>
          <w:szCs w:val="24"/>
        </w:rPr>
      </w:pPr>
    </w:p>
    <w:p w14:paraId="17524503" w14:textId="77777777" w:rsidR="00525C75" w:rsidRPr="00296C71" w:rsidRDefault="00525C75" w:rsidP="00525C75">
      <w:pPr>
        <w:jc w:val="both"/>
        <w:rPr>
          <w:rFonts w:eastAsia="Calibri"/>
          <w:szCs w:val="24"/>
        </w:rPr>
      </w:pPr>
      <w:r w:rsidRPr="00296C71">
        <w:rPr>
          <w:rFonts w:eastAsia="Calibri"/>
          <w:szCs w:val="24"/>
        </w:rPr>
        <w:t>If the proposed design meets the listed requirement, please indicate by placing “Y” (yes) or “N” (no) and include comments as to the reason for the non-compliance and plans to mitigate.  If not applicable, indicate with “NA”.</w:t>
      </w:r>
    </w:p>
    <w:p w14:paraId="4A2E5397" w14:textId="77777777" w:rsidR="00525C75" w:rsidRPr="00296C71" w:rsidRDefault="00525C75" w:rsidP="00525C75">
      <w:pPr>
        <w:jc w:val="both"/>
        <w:rPr>
          <w:rFonts w:eastAsia="Calibri"/>
          <w:szCs w:val="24"/>
        </w:rPr>
      </w:pPr>
    </w:p>
    <w:p w14:paraId="6E4996FA" w14:textId="77777777" w:rsidR="00525C75" w:rsidRPr="00296C71" w:rsidRDefault="00525C75" w:rsidP="00525C75">
      <w:pPr>
        <w:jc w:val="both"/>
        <w:rPr>
          <w:rFonts w:eastAsia="Calibri"/>
          <w:szCs w:val="24"/>
        </w:rPr>
      </w:pPr>
      <w:r w:rsidRPr="00296C71">
        <w:rPr>
          <w:rFonts w:eastAsia="Calibri"/>
          <w:szCs w:val="24"/>
        </w:rPr>
        <w:t xml:space="preserve">Please note that this is not an all-inclusive list of proposed standards in </w:t>
      </w:r>
      <w:hyperlink r:id="rId11" w:history="1">
        <w:r w:rsidRPr="00296C71">
          <w:rPr>
            <w:rFonts w:eastAsia="Calibri"/>
            <w:color w:val="0000FF"/>
            <w:szCs w:val="24"/>
            <w:u w:val="single"/>
          </w:rPr>
          <w:t>Draft 247 CMR 17.00</w:t>
        </w:r>
      </w:hyperlink>
      <w:r w:rsidRPr="00296C71">
        <w:rPr>
          <w:rFonts w:eastAsia="Calibri"/>
          <w:szCs w:val="24"/>
        </w:rPr>
        <w:t xml:space="preserve"> or the requirements of USP.  At a minimum, applicants are required to adhere to the standards set forth in the most recent version of USP &lt;797&gt; and USP &lt;800&gt;. It is the responsibility of the applicant to be familiar with the requirements set forth in USP chapters and the Board’s regulations.</w:t>
      </w:r>
    </w:p>
    <w:p w14:paraId="1831EDD5" w14:textId="77777777" w:rsidR="00525C75" w:rsidRPr="00296C71" w:rsidRDefault="00525C75" w:rsidP="00525C75">
      <w:pPr>
        <w:jc w:val="both"/>
        <w:rPr>
          <w:rFonts w:eastAsia="Calibri"/>
          <w:sz w:val="22"/>
          <w:szCs w:val="22"/>
        </w:rPr>
      </w:pPr>
    </w:p>
    <w:tbl>
      <w:tblPr>
        <w:tblW w:w="112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8"/>
        <w:gridCol w:w="1395"/>
        <w:gridCol w:w="720"/>
        <w:gridCol w:w="3127"/>
      </w:tblGrid>
      <w:tr w:rsidR="00525C75" w:rsidRPr="00296C71" w14:paraId="6FB0C0C3" w14:textId="77777777" w:rsidTr="007B6D69">
        <w:trPr>
          <w:trHeight w:val="167"/>
        </w:trPr>
        <w:tc>
          <w:tcPr>
            <w:tcW w:w="6008" w:type="dxa"/>
            <w:shd w:val="clear" w:color="auto" w:fill="FFC000"/>
          </w:tcPr>
          <w:p w14:paraId="4E7DC557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A0886F4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96C71">
              <w:rPr>
                <w:rFonts w:eastAsia="Calibri"/>
                <w:b/>
                <w:sz w:val="28"/>
                <w:szCs w:val="28"/>
              </w:rPr>
              <w:t>Draft 247 CMR 17.00</w:t>
            </w:r>
          </w:p>
        </w:tc>
        <w:tc>
          <w:tcPr>
            <w:tcW w:w="1395" w:type="dxa"/>
            <w:shd w:val="clear" w:color="auto" w:fill="FFC000"/>
          </w:tcPr>
          <w:p w14:paraId="442E0B24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356E4F60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96C71">
              <w:rPr>
                <w:rFonts w:eastAsia="Calibri"/>
                <w:b/>
                <w:sz w:val="28"/>
                <w:szCs w:val="28"/>
              </w:rPr>
              <w:t>Citation</w:t>
            </w:r>
          </w:p>
        </w:tc>
        <w:tc>
          <w:tcPr>
            <w:tcW w:w="720" w:type="dxa"/>
            <w:shd w:val="clear" w:color="auto" w:fill="FFC000"/>
          </w:tcPr>
          <w:p w14:paraId="63E7F3E8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48509E9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96C71">
              <w:rPr>
                <w:rFonts w:eastAsia="Calibri"/>
                <w:b/>
                <w:sz w:val="28"/>
                <w:szCs w:val="28"/>
              </w:rPr>
              <w:t>Y/N</w:t>
            </w:r>
          </w:p>
        </w:tc>
        <w:tc>
          <w:tcPr>
            <w:tcW w:w="3127" w:type="dxa"/>
            <w:shd w:val="clear" w:color="auto" w:fill="FFC000"/>
          </w:tcPr>
          <w:p w14:paraId="0EDA0870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D826D87" w14:textId="77777777" w:rsidR="00525C75" w:rsidRPr="00296C71" w:rsidRDefault="00525C75" w:rsidP="007B6D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96C71">
              <w:rPr>
                <w:rFonts w:eastAsia="Calibri"/>
                <w:b/>
                <w:sz w:val="28"/>
                <w:szCs w:val="28"/>
              </w:rPr>
              <w:t>Comments</w:t>
            </w:r>
          </w:p>
        </w:tc>
      </w:tr>
      <w:tr w:rsidR="00525C75" w:rsidRPr="00296C71" w14:paraId="48C0C92E" w14:textId="77777777" w:rsidTr="007B6D69">
        <w:trPr>
          <w:trHeight w:val="427"/>
        </w:trPr>
        <w:tc>
          <w:tcPr>
            <w:tcW w:w="6008" w:type="dxa"/>
            <w:shd w:val="clear" w:color="auto" w:fill="auto"/>
          </w:tcPr>
          <w:p w14:paraId="6ADFE82E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b/>
                <w:bCs/>
                <w:szCs w:val="24"/>
                <w:highlight w:val="lightGray"/>
              </w:rPr>
            </w:pPr>
          </w:p>
          <w:p w14:paraId="2ADB29EB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highlight w:val="lightGray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t>Miscellaneous</w:t>
            </w:r>
          </w:p>
        </w:tc>
        <w:tc>
          <w:tcPr>
            <w:tcW w:w="1395" w:type="dxa"/>
            <w:shd w:val="clear" w:color="auto" w:fill="auto"/>
          </w:tcPr>
          <w:p w14:paraId="34E3E3EE" w14:textId="77777777" w:rsidR="00525C75" w:rsidRPr="00296C71" w:rsidRDefault="00525C75" w:rsidP="007B6D69">
            <w:pPr>
              <w:rPr>
                <w:rFonts w:eastAsia="Calibri"/>
                <w:szCs w:val="24"/>
                <w:highlight w:val="lightGray"/>
              </w:rPr>
            </w:pPr>
          </w:p>
        </w:tc>
        <w:tc>
          <w:tcPr>
            <w:tcW w:w="720" w:type="dxa"/>
            <w:shd w:val="clear" w:color="auto" w:fill="auto"/>
          </w:tcPr>
          <w:p w14:paraId="25ABE6D9" w14:textId="77777777" w:rsidR="00525C75" w:rsidRPr="00296C71" w:rsidRDefault="00525C75" w:rsidP="007B6D69">
            <w:pPr>
              <w:rPr>
                <w:rFonts w:eastAsia="Calibri"/>
                <w:szCs w:val="24"/>
                <w:highlight w:val="lightGray"/>
              </w:rPr>
            </w:pPr>
          </w:p>
        </w:tc>
        <w:tc>
          <w:tcPr>
            <w:tcW w:w="3127" w:type="dxa"/>
            <w:shd w:val="clear" w:color="auto" w:fill="auto"/>
          </w:tcPr>
          <w:p w14:paraId="4EC3CDF3" w14:textId="77777777" w:rsidR="00525C75" w:rsidRPr="00296C71" w:rsidRDefault="00525C75" w:rsidP="007B6D69">
            <w:pPr>
              <w:rPr>
                <w:rFonts w:eastAsia="Calibri"/>
                <w:szCs w:val="24"/>
                <w:highlight w:val="lightGray"/>
              </w:rPr>
            </w:pPr>
          </w:p>
        </w:tc>
      </w:tr>
      <w:tr w:rsidR="00525C75" w:rsidRPr="00296C71" w14:paraId="736125B6" w14:textId="77777777" w:rsidTr="007B6D69">
        <w:trPr>
          <w:trHeight w:val="757"/>
        </w:trPr>
        <w:tc>
          <w:tcPr>
            <w:tcW w:w="6008" w:type="dxa"/>
            <w:shd w:val="clear" w:color="auto" w:fill="auto"/>
          </w:tcPr>
          <w:p w14:paraId="26F2C4C0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  <w:highlight w:val="yellow"/>
              </w:rPr>
            </w:pPr>
            <w:r w:rsidRPr="00296C71">
              <w:rPr>
                <w:rFonts w:eastAsia="Calibri"/>
                <w:szCs w:val="24"/>
              </w:rPr>
              <w:t>A pharmacy may not compound non-sterile preparations in any Primary Engineering Control (PEC</w:t>
            </w:r>
            <w:proofErr w:type="gramStart"/>
            <w:r w:rsidRPr="00296C71">
              <w:rPr>
                <w:rFonts w:eastAsia="Calibri"/>
                <w:szCs w:val="24"/>
              </w:rPr>
              <w:t>)</w:t>
            </w:r>
            <w:proofErr w:type="gramEnd"/>
            <w:r w:rsidRPr="00296C71">
              <w:rPr>
                <w:rFonts w:eastAsia="Calibri"/>
                <w:szCs w:val="24"/>
              </w:rPr>
              <w:t xml:space="preserve"> or Secondary Engineering Control (SEC) used for sterile compounding.</w:t>
            </w:r>
          </w:p>
        </w:tc>
        <w:tc>
          <w:tcPr>
            <w:tcW w:w="1395" w:type="dxa"/>
            <w:shd w:val="clear" w:color="auto" w:fill="auto"/>
          </w:tcPr>
          <w:p w14:paraId="4A72C7D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17.03(8)</w:t>
            </w:r>
          </w:p>
        </w:tc>
        <w:tc>
          <w:tcPr>
            <w:tcW w:w="720" w:type="dxa"/>
            <w:shd w:val="clear" w:color="auto" w:fill="auto"/>
          </w:tcPr>
          <w:p w14:paraId="3068CDD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3FAD3899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7F2E5A6D" w14:textId="77777777" w:rsidTr="007B6D69">
        <w:trPr>
          <w:trHeight w:val="497"/>
        </w:trPr>
        <w:tc>
          <w:tcPr>
            <w:tcW w:w="6008" w:type="dxa"/>
            <w:shd w:val="clear" w:color="auto" w:fill="auto"/>
          </w:tcPr>
          <w:p w14:paraId="70F0B90A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 pharmacy shall have a dedicated changing area for sterile compounding personnel.</w:t>
            </w:r>
          </w:p>
        </w:tc>
        <w:tc>
          <w:tcPr>
            <w:tcW w:w="1395" w:type="dxa"/>
            <w:shd w:val="clear" w:color="auto" w:fill="auto"/>
          </w:tcPr>
          <w:p w14:paraId="5DF7B3A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17.04(2)</w:t>
            </w:r>
          </w:p>
        </w:tc>
        <w:tc>
          <w:tcPr>
            <w:tcW w:w="720" w:type="dxa"/>
            <w:shd w:val="clear" w:color="auto" w:fill="auto"/>
          </w:tcPr>
          <w:p w14:paraId="02B3499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3319C88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0B3DF5BB" w14:textId="77777777" w:rsidTr="007B6D69">
        <w:trPr>
          <w:trHeight w:val="281"/>
        </w:trPr>
        <w:tc>
          <w:tcPr>
            <w:tcW w:w="6008" w:type="dxa"/>
            <w:shd w:val="clear" w:color="auto" w:fill="FFFFFF"/>
          </w:tcPr>
          <w:p w14:paraId="304FFCB6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highlight w:val="cyan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t>Primary Engineering Controls (PECs)</w:t>
            </w:r>
          </w:p>
        </w:tc>
        <w:tc>
          <w:tcPr>
            <w:tcW w:w="1395" w:type="dxa"/>
            <w:shd w:val="clear" w:color="auto" w:fill="FFFFFF"/>
          </w:tcPr>
          <w:p w14:paraId="079EA85D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14:paraId="6CADADE2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5DF4967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4413CE1E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6308C2E0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 pharmacy shall utilize only commercially manufactured PECs.</w:t>
            </w:r>
          </w:p>
        </w:tc>
        <w:tc>
          <w:tcPr>
            <w:tcW w:w="1395" w:type="dxa"/>
            <w:shd w:val="clear" w:color="auto" w:fill="auto"/>
          </w:tcPr>
          <w:p w14:paraId="6228F13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17.06(1)</w:t>
            </w:r>
          </w:p>
        </w:tc>
        <w:tc>
          <w:tcPr>
            <w:tcW w:w="720" w:type="dxa"/>
            <w:shd w:val="clear" w:color="auto" w:fill="FFFFFF"/>
          </w:tcPr>
          <w:p w14:paraId="57BA2BF6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1C354E9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3E57F3AB" w14:textId="77777777" w:rsidTr="007B6D69">
        <w:trPr>
          <w:trHeight w:val="275"/>
        </w:trPr>
        <w:tc>
          <w:tcPr>
            <w:tcW w:w="6008" w:type="dxa"/>
            <w:shd w:val="clear" w:color="auto" w:fill="FFFFFF"/>
          </w:tcPr>
          <w:p w14:paraId="46D72CA4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t>All Secondary Engineering Controls (SECs)</w:t>
            </w:r>
          </w:p>
        </w:tc>
        <w:tc>
          <w:tcPr>
            <w:tcW w:w="1395" w:type="dxa"/>
            <w:shd w:val="clear" w:color="auto" w:fill="FFFFFF"/>
          </w:tcPr>
          <w:p w14:paraId="47D85DF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14:paraId="5299335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5A53079D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41C501BA" w14:textId="77777777" w:rsidTr="007B6D69">
        <w:trPr>
          <w:trHeight w:val="750"/>
        </w:trPr>
        <w:tc>
          <w:tcPr>
            <w:tcW w:w="6008" w:type="dxa"/>
            <w:shd w:val="clear" w:color="auto" w:fill="auto"/>
          </w:tcPr>
          <w:p w14:paraId="4F2BB499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The doors leading into and between ISO Classified SECs shall be constructed with an interlocking design or utilize an alternative method to ensure that doors are not opened simultaneously.</w:t>
            </w:r>
          </w:p>
        </w:tc>
        <w:tc>
          <w:tcPr>
            <w:tcW w:w="1395" w:type="dxa"/>
            <w:shd w:val="clear" w:color="auto" w:fill="auto"/>
          </w:tcPr>
          <w:p w14:paraId="5ABC246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17.07(1)(c)</w:t>
            </w:r>
          </w:p>
        </w:tc>
        <w:tc>
          <w:tcPr>
            <w:tcW w:w="720" w:type="dxa"/>
            <w:shd w:val="clear" w:color="auto" w:fill="auto"/>
          </w:tcPr>
          <w:p w14:paraId="7ECC6C0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035A7EF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45DB1542" w14:textId="77777777" w:rsidTr="007B6D69">
        <w:trPr>
          <w:trHeight w:val="504"/>
        </w:trPr>
        <w:tc>
          <w:tcPr>
            <w:tcW w:w="6008" w:type="dxa"/>
            <w:shd w:val="clear" w:color="auto" w:fill="FFFFFF"/>
          </w:tcPr>
          <w:p w14:paraId="3DE0010E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Unless prohibited by local building or fire code, an SEC may not have more than one door to immediately adjacent areas.</w:t>
            </w:r>
          </w:p>
        </w:tc>
        <w:tc>
          <w:tcPr>
            <w:tcW w:w="1395" w:type="dxa"/>
            <w:shd w:val="clear" w:color="auto" w:fill="FFFFFF"/>
          </w:tcPr>
          <w:p w14:paraId="559550A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17.07(1)(b)</w:t>
            </w:r>
          </w:p>
        </w:tc>
        <w:tc>
          <w:tcPr>
            <w:tcW w:w="720" w:type="dxa"/>
            <w:shd w:val="clear" w:color="auto" w:fill="FFFFFF"/>
          </w:tcPr>
          <w:p w14:paraId="5C44C77A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55A569DD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2E21369A" w14:textId="77777777" w:rsidTr="007B6D69">
        <w:trPr>
          <w:trHeight w:val="504"/>
        </w:trPr>
        <w:tc>
          <w:tcPr>
            <w:tcW w:w="6008" w:type="dxa"/>
            <w:shd w:val="clear" w:color="auto" w:fill="FFFFFF"/>
          </w:tcPr>
          <w:p w14:paraId="00CB53E1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Each newly constructed SEC shall allow for visual observation through windows or technology.</w:t>
            </w:r>
          </w:p>
        </w:tc>
        <w:tc>
          <w:tcPr>
            <w:tcW w:w="1395" w:type="dxa"/>
            <w:shd w:val="clear" w:color="auto" w:fill="FFFFFF"/>
          </w:tcPr>
          <w:p w14:paraId="135D9C7B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17.07(1)(a)</w:t>
            </w:r>
          </w:p>
        </w:tc>
        <w:tc>
          <w:tcPr>
            <w:tcW w:w="720" w:type="dxa"/>
            <w:shd w:val="clear" w:color="auto" w:fill="FFFFFF"/>
          </w:tcPr>
          <w:p w14:paraId="0948E7F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4CF6AB9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6759BEC8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4B388E68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SECs may not contain windows to the outdoors.</w:t>
            </w:r>
          </w:p>
        </w:tc>
        <w:tc>
          <w:tcPr>
            <w:tcW w:w="1395" w:type="dxa"/>
            <w:shd w:val="clear" w:color="auto" w:fill="auto"/>
          </w:tcPr>
          <w:p w14:paraId="53BC0B2A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17.07(1)(k)</w:t>
            </w:r>
          </w:p>
        </w:tc>
        <w:tc>
          <w:tcPr>
            <w:tcW w:w="720" w:type="dxa"/>
            <w:shd w:val="clear" w:color="auto" w:fill="auto"/>
          </w:tcPr>
          <w:p w14:paraId="70052CD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196F5A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5407C4CC" w14:textId="77777777" w:rsidTr="00820A7C">
        <w:trPr>
          <w:trHeight w:val="350"/>
        </w:trPr>
        <w:tc>
          <w:tcPr>
            <w:tcW w:w="6008" w:type="dxa"/>
            <w:shd w:val="clear" w:color="auto" w:fill="FFFFFF"/>
          </w:tcPr>
          <w:p w14:paraId="78F8FFAE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 pharmacy shall ensure that any pass-through chambers:</w:t>
            </w:r>
          </w:p>
          <w:p w14:paraId="0375AE2D" w14:textId="77777777" w:rsidR="00525C75" w:rsidRPr="00296C71" w:rsidRDefault="00525C75" w:rsidP="00525C75">
            <w:pPr>
              <w:numPr>
                <w:ilvl w:val="0"/>
                <w:numId w:val="2"/>
              </w:numPr>
              <w:spacing w:after="160"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have an interlocking door design; and</w:t>
            </w:r>
          </w:p>
          <w:p w14:paraId="54A7A07B" w14:textId="77777777" w:rsidR="00525C75" w:rsidRPr="00296C71" w:rsidRDefault="00525C75" w:rsidP="00525C75">
            <w:pPr>
              <w:numPr>
                <w:ilvl w:val="0"/>
                <w:numId w:val="2"/>
              </w:numPr>
              <w:spacing w:after="160"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are not refrigerator units.</w:t>
            </w:r>
          </w:p>
        </w:tc>
        <w:tc>
          <w:tcPr>
            <w:tcW w:w="1395" w:type="dxa"/>
            <w:shd w:val="clear" w:color="auto" w:fill="FFFFFF"/>
          </w:tcPr>
          <w:p w14:paraId="3DC4680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17.04(1)</w:t>
            </w:r>
          </w:p>
        </w:tc>
        <w:tc>
          <w:tcPr>
            <w:tcW w:w="720" w:type="dxa"/>
            <w:shd w:val="clear" w:color="auto" w:fill="FFFFFF"/>
          </w:tcPr>
          <w:p w14:paraId="32D68F42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6C42A6D9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6B6E1FA1" w14:textId="77777777" w:rsidTr="00820A7C">
        <w:trPr>
          <w:trHeight w:val="710"/>
        </w:trPr>
        <w:tc>
          <w:tcPr>
            <w:tcW w:w="6008" w:type="dxa"/>
            <w:shd w:val="clear" w:color="auto" w:fill="auto"/>
          </w:tcPr>
          <w:p w14:paraId="4915AA97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lastRenderedPageBreak/>
              <w:t>Walls shall be made of solid surface materials such as locking sealed panels or epoxy-coated gypsum board.</w:t>
            </w:r>
          </w:p>
        </w:tc>
        <w:tc>
          <w:tcPr>
            <w:tcW w:w="1395" w:type="dxa"/>
            <w:shd w:val="clear" w:color="auto" w:fill="auto"/>
          </w:tcPr>
          <w:p w14:paraId="5F3E2C9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17.07(1)(j)</w:t>
            </w:r>
          </w:p>
        </w:tc>
        <w:tc>
          <w:tcPr>
            <w:tcW w:w="720" w:type="dxa"/>
            <w:shd w:val="clear" w:color="auto" w:fill="auto"/>
          </w:tcPr>
          <w:p w14:paraId="6F41462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362CB02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0EEDB1F3" w14:textId="77777777" w:rsidTr="00820A7C">
        <w:trPr>
          <w:trHeight w:val="1070"/>
        </w:trPr>
        <w:tc>
          <w:tcPr>
            <w:tcW w:w="6008" w:type="dxa"/>
            <w:shd w:val="clear" w:color="auto" w:fill="auto"/>
          </w:tcPr>
          <w:p w14:paraId="7AC0596C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Ceiling panels, fixtures, and other penetrations through the ceiling or walls shall be smooth and sealed around the perimeter.</w:t>
            </w:r>
          </w:p>
        </w:tc>
        <w:tc>
          <w:tcPr>
            <w:tcW w:w="1395" w:type="dxa"/>
            <w:shd w:val="clear" w:color="auto" w:fill="auto"/>
          </w:tcPr>
          <w:p w14:paraId="403380D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17.07(1)(h)</w:t>
            </w:r>
          </w:p>
        </w:tc>
        <w:tc>
          <w:tcPr>
            <w:tcW w:w="720" w:type="dxa"/>
            <w:shd w:val="clear" w:color="auto" w:fill="auto"/>
          </w:tcPr>
          <w:p w14:paraId="12E294A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96D3DE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1AC4257E" w14:textId="77777777" w:rsidTr="00820A7C">
        <w:trPr>
          <w:trHeight w:val="1430"/>
        </w:trPr>
        <w:tc>
          <w:tcPr>
            <w:tcW w:w="6008" w:type="dxa"/>
            <w:shd w:val="clear" w:color="auto" w:fill="auto"/>
          </w:tcPr>
          <w:p w14:paraId="4FD06CA0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SECs shall utilize light fixtures designed for sterile compounding areas (i.e., cleanroom grade) that have an exterior surface that is smooth, mounted flush with the ceiling, and sealed.</w:t>
            </w:r>
          </w:p>
        </w:tc>
        <w:tc>
          <w:tcPr>
            <w:tcW w:w="1395" w:type="dxa"/>
            <w:shd w:val="clear" w:color="auto" w:fill="auto"/>
          </w:tcPr>
          <w:p w14:paraId="09E41C8E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17.07(1)(g)  </w:t>
            </w:r>
          </w:p>
        </w:tc>
        <w:tc>
          <w:tcPr>
            <w:tcW w:w="720" w:type="dxa"/>
            <w:shd w:val="clear" w:color="auto" w:fill="auto"/>
          </w:tcPr>
          <w:p w14:paraId="0F2832AE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42CEE7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6353D894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71DF0E57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Sprinkler heads shall be recessed, covered, and easily cleanable.</w:t>
            </w:r>
          </w:p>
        </w:tc>
        <w:tc>
          <w:tcPr>
            <w:tcW w:w="1395" w:type="dxa"/>
            <w:shd w:val="clear" w:color="auto" w:fill="auto"/>
          </w:tcPr>
          <w:p w14:paraId="153608F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</w:t>
            </w:r>
            <w:proofErr w:type="spellStart"/>
            <w:r w:rsidRPr="00296C71">
              <w:rPr>
                <w:rFonts w:eastAsia="Calibri"/>
                <w:szCs w:val="24"/>
              </w:rPr>
              <w:t>i</w:t>
            </w:r>
            <w:proofErr w:type="spellEnd"/>
            <w:r w:rsidRPr="00296C71">
              <w:rPr>
                <w:rFonts w:eastAsia="Calibri"/>
                <w:szCs w:val="24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502617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5761F07D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1F53FF1E" w14:textId="77777777" w:rsidTr="00820A7C">
        <w:trPr>
          <w:trHeight w:val="1052"/>
        </w:trPr>
        <w:tc>
          <w:tcPr>
            <w:tcW w:w="6008" w:type="dxa"/>
            <w:shd w:val="clear" w:color="auto" w:fill="auto"/>
          </w:tcPr>
          <w:p w14:paraId="22A8988F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Floors shall be composed of wide sheet vinyl that is heat sealed at the seams, or other solid, smooth surface, and coved at the wall or appropriately sealed.</w:t>
            </w:r>
          </w:p>
        </w:tc>
        <w:tc>
          <w:tcPr>
            <w:tcW w:w="1395" w:type="dxa"/>
            <w:shd w:val="clear" w:color="auto" w:fill="auto"/>
          </w:tcPr>
          <w:p w14:paraId="38F163EA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17.07(1)(l)</w:t>
            </w:r>
          </w:p>
        </w:tc>
        <w:tc>
          <w:tcPr>
            <w:tcW w:w="720" w:type="dxa"/>
            <w:shd w:val="clear" w:color="auto" w:fill="auto"/>
          </w:tcPr>
          <w:p w14:paraId="1F92EA2B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622E2526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5A87799A" w14:textId="77777777" w:rsidTr="00820A7C">
        <w:trPr>
          <w:trHeight w:val="449"/>
        </w:trPr>
        <w:tc>
          <w:tcPr>
            <w:tcW w:w="6008" w:type="dxa"/>
            <w:shd w:val="clear" w:color="auto" w:fill="auto"/>
          </w:tcPr>
          <w:p w14:paraId="746EF358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SECs may not contain floor drains.</w:t>
            </w:r>
          </w:p>
        </w:tc>
        <w:tc>
          <w:tcPr>
            <w:tcW w:w="1395" w:type="dxa"/>
            <w:shd w:val="clear" w:color="auto" w:fill="auto"/>
          </w:tcPr>
          <w:p w14:paraId="5F7A61D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17.07(1)(f)</w:t>
            </w:r>
          </w:p>
        </w:tc>
        <w:tc>
          <w:tcPr>
            <w:tcW w:w="720" w:type="dxa"/>
            <w:shd w:val="clear" w:color="auto" w:fill="auto"/>
          </w:tcPr>
          <w:p w14:paraId="750769A9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386D775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1868E260" w14:textId="77777777" w:rsidTr="007B6D69">
        <w:trPr>
          <w:trHeight w:val="497"/>
        </w:trPr>
        <w:tc>
          <w:tcPr>
            <w:tcW w:w="6008" w:type="dxa"/>
            <w:shd w:val="clear" w:color="auto" w:fill="auto"/>
          </w:tcPr>
          <w:p w14:paraId="1A50E99B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 pharmacy may not locate a refrigerator in any ISO Classified SEC.</w:t>
            </w:r>
          </w:p>
        </w:tc>
        <w:tc>
          <w:tcPr>
            <w:tcW w:w="1395" w:type="dxa"/>
            <w:shd w:val="clear" w:color="auto" w:fill="auto"/>
          </w:tcPr>
          <w:p w14:paraId="2D1E9EED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17.07(1)(e)</w:t>
            </w:r>
          </w:p>
        </w:tc>
        <w:tc>
          <w:tcPr>
            <w:tcW w:w="720" w:type="dxa"/>
            <w:shd w:val="clear" w:color="auto" w:fill="auto"/>
          </w:tcPr>
          <w:p w14:paraId="0AC3A5B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0EBA33FB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63C91815" w14:textId="77777777" w:rsidTr="007B6D69">
        <w:trPr>
          <w:trHeight w:val="281"/>
        </w:trPr>
        <w:tc>
          <w:tcPr>
            <w:tcW w:w="6008" w:type="dxa"/>
            <w:shd w:val="clear" w:color="auto" w:fill="auto"/>
          </w:tcPr>
          <w:p w14:paraId="0AC14D94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 pharmacy may not use ISO Classified areas for drug storage.</w:t>
            </w:r>
          </w:p>
        </w:tc>
        <w:tc>
          <w:tcPr>
            <w:tcW w:w="1395" w:type="dxa"/>
            <w:shd w:val="clear" w:color="auto" w:fill="auto"/>
          </w:tcPr>
          <w:p w14:paraId="34C9CBEE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17.04(3)</w:t>
            </w:r>
          </w:p>
        </w:tc>
        <w:tc>
          <w:tcPr>
            <w:tcW w:w="720" w:type="dxa"/>
            <w:shd w:val="clear" w:color="auto" w:fill="auto"/>
          </w:tcPr>
          <w:p w14:paraId="3CA146E6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229AC7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255FE208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34ADBDD6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t>Ante Rooms</w:t>
            </w:r>
          </w:p>
        </w:tc>
        <w:tc>
          <w:tcPr>
            <w:tcW w:w="1395" w:type="dxa"/>
            <w:shd w:val="clear" w:color="auto" w:fill="auto"/>
          </w:tcPr>
          <w:p w14:paraId="08589D4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A965AC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0526322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28030EAE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6A6F2625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A newly constructed ante room shall be at least 72 square feet.  </w:t>
            </w:r>
          </w:p>
        </w:tc>
        <w:tc>
          <w:tcPr>
            <w:tcW w:w="1395" w:type="dxa"/>
            <w:shd w:val="clear" w:color="auto" w:fill="auto"/>
          </w:tcPr>
          <w:p w14:paraId="4517401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17.07(3)(a)  </w:t>
            </w:r>
          </w:p>
        </w:tc>
        <w:tc>
          <w:tcPr>
            <w:tcW w:w="720" w:type="dxa"/>
            <w:shd w:val="clear" w:color="auto" w:fill="auto"/>
          </w:tcPr>
          <w:p w14:paraId="2802ACB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09A8B3B6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56CEC210" w14:textId="77777777" w:rsidTr="007B6D69">
        <w:trPr>
          <w:trHeight w:val="524"/>
        </w:trPr>
        <w:tc>
          <w:tcPr>
            <w:tcW w:w="6008" w:type="dxa"/>
            <w:shd w:val="clear" w:color="auto" w:fill="auto"/>
          </w:tcPr>
          <w:p w14:paraId="18570094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For hand hygiene, an anteroom shall have a stainless-steel sink that is located on the clean side of the line of demarcation at least one meter away from the buffer room door.</w:t>
            </w:r>
          </w:p>
        </w:tc>
        <w:tc>
          <w:tcPr>
            <w:tcW w:w="1395" w:type="dxa"/>
            <w:shd w:val="clear" w:color="auto" w:fill="auto"/>
          </w:tcPr>
          <w:p w14:paraId="5CBDFFA9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17.07(3)(b) </w:t>
            </w:r>
          </w:p>
          <w:p w14:paraId="0005E4B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D231C29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46FC442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49DB4E5E" w14:textId="77777777" w:rsidTr="00820A7C">
        <w:trPr>
          <w:trHeight w:val="2924"/>
        </w:trPr>
        <w:tc>
          <w:tcPr>
            <w:tcW w:w="6008" w:type="dxa"/>
            <w:shd w:val="clear" w:color="auto" w:fill="auto"/>
          </w:tcPr>
          <w:p w14:paraId="54F7C75D" w14:textId="77777777" w:rsidR="00525C75" w:rsidRPr="00296C71" w:rsidRDefault="00525C75" w:rsidP="007B6D69">
            <w:pPr>
              <w:spacing w:line="276" w:lineRule="auto"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The stainless-steel sink shall:</w:t>
            </w:r>
          </w:p>
          <w:p w14:paraId="40A815AC" w14:textId="77777777" w:rsidR="00525C75" w:rsidRPr="00296C71" w:rsidRDefault="00525C75" w:rsidP="00525C75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be equipped with hands-free controls for water and soap </w:t>
            </w:r>
            <w:proofErr w:type="gramStart"/>
            <w:r w:rsidRPr="00296C71">
              <w:rPr>
                <w:rFonts w:eastAsia="Calibri"/>
                <w:szCs w:val="24"/>
              </w:rPr>
              <w:t>dispensing;</w:t>
            </w:r>
            <w:proofErr w:type="gramEnd"/>
          </w:p>
          <w:p w14:paraId="0B544DFD" w14:textId="77777777" w:rsidR="00525C75" w:rsidRPr="00296C71" w:rsidRDefault="00525C75" w:rsidP="00525C75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have proper depth and capacity for hand washing up to the </w:t>
            </w:r>
            <w:proofErr w:type="gramStart"/>
            <w:r w:rsidRPr="00296C71">
              <w:rPr>
                <w:rFonts w:eastAsia="Calibri"/>
                <w:szCs w:val="24"/>
              </w:rPr>
              <w:t>elbows;</w:t>
            </w:r>
            <w:proofErr w:type="gramEnd"/>
          </w:p>
          <w:p w14:paraId="3C40A8F8" w14:textId="77777777" w:rsidR="00525C75" w:rsidRPr="00296C71" w:rsidRDefault="00525C75" w:rsidP="00525C75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minimize splashing and dripping of </w:t>
            </w:r>
            <w:proofErr w:type="gramStart"/>
            <w:r w:rsidRPr="00296C71">
              <w:rPr>
                <w:rFonts w:eastAsia="Calibri"/>
                <w:szCs w:val="24"/>
              </w:rPr>
              <w:t>water;</w:t>
            </w:r>
            <w:proofErr w:type="gramEnd"/>
            <w:r w:rsidRPr="00296C71">
              <w:rPr>
                <w:rFonts w:eastAsia="Calibri"/>
                <w:szCs w:val="24"/>
              </w:rPr>
              <w:t xml:space="preserve"> </w:t>
            </w:r>
          </w:p>
          <w:p w14:paraId="179F0591" w14:textId="77777777" w:rsidR="00525C75" w:rsidRPr="00296C71" w:rsidRDefault="00525C75" w:rsidP="00525C75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be designed to prevent standing water; and</w:t>
            </w:r>
          </w:p>
          <w:p w14:paraId="4AA54C7D" w14:textId="77777777" w:rsidR="00525C75" w:rsidRPr="00296C71" w:rsidRDefault="00525C75" w:rsidP="00525C75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have a faucet that does not have an aerator mechanism on the nozzle.</w:t>
            </w:r>
          </w:p>
        </w:tc>
        <w:tc>
          <w:tcPr>
            <w:tcW w:w="1395" w:type="dxa"/>
            <w:shd w:val="clear" w:color="auto" w:fill="auto"/>
          </w:tcPr>
          <w:p w14:paraId="427435D2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17.07(3)(c)</w:t>
            </w:r>
          </w:p>
        </w:tc>
        <w:tc>
          <w:tcPr>
            <w:tcW w:w="720" w:type="dxa"/>
            <w:shd w:val="clear" w:color="auto" w:fill="auto"/>
          </w:tcPr>
          <w:p w14:paraId="7F418E0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0F2B37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70AE0170" w14:textId="77777777" w:rsidTr="00820A7C">
        <w:trPr>
          <w:trHeight w:val="683"/>
        </w:trPr>
        <w:tc>
          <w:tcPr>
            <w:tcW w:w="6008" w:type="dxa"/>
            <w:shd w:val="clear" w:color="auto" w:fill="auto"/>
          </w:tcPr>
          <w:p w14:paraId="7D5A5532" w14:textId="77777777" w:rsidR="00525C75" w:rsidRPr="00296C71" w:rsidRDefault="00525C75" w:rsidP="007B6D69">
            <w:pPr>
              <w:spacing w:line="276" w:lineRule="auto"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An ante room shall have low-lint, disposable towels located </w:t>
            </w:r>
            <w:proofErr w:type="gramStart"/>
            <w:r w:rsidRPr="00296C71">
              <w:rPr>
                <w:rFonts w:eastAsia="Calibri"/>
                <w:szCs w:val="24"/>
              </w:rPr>
              <w:t>in close proximity to</w:t>
            </w:r>
            <w:proofErr w:type="gramEnd"/>
            <w:r w:rsidRPr="00296C71">
              <w:rPr>
                <w:rFonts w:eastAsia="Calibri"/>
                <w:szCs w:val="24"/>
              </w:rPr>
              <w:t xml:space="preserve"> the sink.</w:t>
            </w:r>
          </w:p>
        </w:tc>
        <w:tc>
          <w:tcPr>
            <w:tcW w:w="1395" w:type="dxa"/>
            <w:shd w:val="clear" w:color="auto" w:fill="auto"/>
          </w:tcPr>
          <w:p w14:paraId="0D83525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17.07(3)(d) </w:t>
            </w:r>
          </w:p>
          <w:p w14:paraId="01FA416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8ABBA92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6F216F0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6AF5047F" w14:textId="77777777" w:rsidTr="007B6D69">
        <w:trPr>
          <w:trHeight w:val="275"/>
        </w:trPr>
        <w:tc>
          <w:tcPr>
            <w:tcW w:w="6008" w:type="dxa"/>
            <w:shd w:val="clear" w:color="auto" w:fill="FFFFFF"/>
          </w:tcPr>
          <w:p w14:paraId="5E7A1D0C" w14:textId="77777777" w:rsidR="00525C75" w:rsidRPr="00296C71" w:rsidRDefault="00525C75" w:rsidP="007B6D69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highlight w:val="cyan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lastRenderedPageBreak/>
              <w:t>Buffer Rooms</w:t>
            </w:r>
          </w:p>
        </w:tc>
        <w:tc>
          <w:tcPr>
            <w:tcW w:w="1395" w:type="dxa"/>
            <w:shd w:val="clear" w:color="auto" w:fill="FFFFFF"/>
          </w:tcPr>
          <w:p w14:paraId="0DB93CD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14:paraId="165FB1AA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702F8B0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47A8D9A5" w14:textId="77777777" w:rsidTr="007B6D69">
        <w:trPr>
          <w:trHeight w:val="504"/>
        </w:trPr>
        <w:tc>
          <w:tcPr>
            <w:tcW w:w="6008" w:type="dxa"/>
            <w:shd w:val="clear" w:color="auto" w:fill="FFFFFF"/>
          </w:tcPr>
          <w:p w14:paraId="54BA79A4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A newly constructed </w:t>
            </w:r>
            <w:r w:rsidRPr="00296C71">
              <w:rPr>
                <w:rFonts w:eastAsia="Calibri"/>
                <w:b/>
                <w:bCs/>
                <w:szCs w:val="24"/>
              </w:rPr>
              <w:t>non-hazardous drug</w:t>
            </w:r>
            <w:r w:rsidRPr="00296C71">
              <w:rPr>
                <w:rFonts w:eastAsia="Calibri"/>
                <w:szCs w:val="24"/>
              </w:rPr>
              <w:t xml:space="preserve"> buffer room shall be at least 100 square feet.  </w:t>
            </w:r>
          </w:p>
        </w:tc>
        <w:tc>
          <w:tcPr>
            <w:tcW w:w="1395" w:type="dxa"/>
            <w:shd w:val="clear" w:color="auto" w:fill="FFFFFF"/>
          </w:tcPr>
          <w:p w14:paraId="10D96C0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17.07(2)(a)</w:t>
            </w:r>
          </w:p>
        </w:tc>
        <w:tc>
          <w:tcPr>
            <w:tcW w:w="720" w:type="dxa"/>
            <w:shd w:val="clear" w:color="auto" w:fill="FFFFFF"/>
          </w:tcPr>
          <w:p w14:paraId="001163FE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3635C3E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02CAF500" w14:textId="77777777" w:rsidTr="007B6D69">
        <w:trPr>
          <w:trHeight w:val="504"/>
        </w:trPr>
        <w:tc>
          <w:tcPr>
            <w:tcW w:w="6008" w:type="dxa"/>
            <w:shd w:val="clear" w:color="auto" w:fill="FFFFFF"/>
          </w:tcPr>
          <w:p w14:paraId="33B271EC" w14:textId="77777777" w:rsidR="00525C75" w:rsidRPr="00296C71" w:rsidRDefault="00525C75" w:rsidP="007B6D69">
            <w:pPr>
              <w:spacing w:line="276" w:lineRule="auto"/>
              <w:jc w:val="both"/>
              <w:outlineLvl w:val="0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A newly constructed </w:t>
            </w:r>
            <w:r w:rsidRPr="00296C71">
              <w:rPr>
                <w:rFonts w:eastAsia="Calibri"/>
                <w:b/>
                <w:bCs/>
                <w:szCs w:val="24"/>
              </w:rPr>
              <w:t xml:space="preserve">hazardous drug </w:t>
            </w:r>
            <w:r w:rsidRPr="00296C71">
              <w:rPr>
                <w:rFonts w:eastAsia="Calibri"/>
                <w:szCs w:val="24"/>
              </w:rPr>
              <w:t>buffer room shall be at least 72 square feet.</w:t>
            </w:r>
          </w:p>
        </w:tc>
        <w:tc>
          <w:tcPr>
            <w:tcW w:w="1395" w:type="dxa"/>
            <w:shd w:val="clear" w:color="auto" w:fill="FFFFFF"/>
          </w:tcPr>
          <w:p w14:paraId="5FC9428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17.07(2)(b)</w:t>
            </w:r>
          </w:p>
        </w:tc>
        <w:tc>
          <w:tcPr>
            <w:tcW w:w="720" w:type="dxa"/>
            <w:shd w:val="clear" w:color="auto" w:fill="FFFFFF"/>
          </w:tcPr>
          <w:p w14:paraId="470AF09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09BBC03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4E3AACC4" w14:textId="77777777" w:rsidTr="007B6D69">
        <w:trPr>
          <w:trHeight w:val="275"/>
        </w:trPr>
        <w:tc>
          <w:tcPr>
            <w:tcW w:w="6008" w:type="dxa"/>
            <w:shd w:val="clear" w:color="auto" w:fill="FFFFFF"/>
          </w:tcPr>
          <w:p w14:paraId="3F25B8BF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Buffer room doors shall be hands-free.  </w:t>
            </w:r>
          </w:p>
        </w:tc>
        <w:tc>
          <w:tcPr>
            <w:tcW w:w="1395" w:type="dxa"/>
            <w:shd w:val="clear" w:color="auto" w:fill="FFFFFF"/>
          </w:tcPr>
          <w:p w14:paraId="252D56A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17.07(2)(c)</w:t>
            </w:r>
          </w:p>
        </w:tc>
        <w:tc>
          <w:tcPr>
            <w:tcW w:w="720" w:type="dxa"/>
            <w:shd w:val="clear" w:color="auto" w:fill="FFFFFF"/>
          </w:tcPr>
          <w:p w14:paraId="5760FD6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FFFFFF"/>
          </w:tcPr>
          <w:p w14:paraId="3EE765D7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2D2ACAD0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3C02B5DE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t>HVAC</w:t>
            </w:r>
          </w:p>
        </w:tc>
        <w:tc>
          <w:tcPr>
            <w:tcW w:w="1395" w:type="dxa"/>
            <w:shd w:val="clear" w:color="auto" w:fill="auto"/>
          </w:tcPr>
          <w:p w14:paraId="4F07D73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AD95E4E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0003CF0D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55DCE7A6" w14:textId="77777777" w:rsidTr="007B6D69">
        <w:trPr>
          <w:trHeight w:val="757"/>
        </w:trPr>
        <w:tc>
          <w:tcPr>
            <w:tcW w:w="6008" w:type="dxa"/>
            <w:shd w:val="clear" w:color="auto" w:fill="auto"/>
          </w:tcPr>
          <w:p w14:paraId="5DB36408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Cs w:val="24"/>
              </w:rPr>
            </w:pPr>
            <w:r w:rsidRPr="00296C71">
              <w:rPr>
                <w:rFonts w:eastAsia="Calibri"/>
                <w:szCs w:val="24"/>
              </w:rPr>
              <w:t>Newly constructed ISO Classified SECs shall utilize a closed loop ducted system, a sealed plenum system, or equivalent HVAC design.</w:t>
            </w:r>
          </w:p>
        </w:tc>
        <w:tc>
          <w:tcPr>
            <w:tcW w:w="1395" w:type="dxa"/>
            <w:shd w:val="clear" w:color="auto" w:fill="auto"/>
          </w:tcPr>
          <w:p w14:paraId="46115FBC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17.05(1)  </w:t>
            </w:r>
          </w:p>
        </w:tc>
        <w:tc>
          <w:tcPr>
            <w:tcW w:w="720" w:type="dxa"/>
            <w:shd w:val="clear" w:color="auto" w:fill="auto"/>
          </w:tcPr>
          <w:p w14:paraId="239282C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46AF806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3D92CFD0" w14:textId="77777777" w:rsidTr="007B6D69">
        <w:trPr>
          <w:trHeight w:val="497"/>
        </w:trPr>
        <w:tc>
          <w:tcPr>
            <w:tcW w:w="6008" w:type="dxa"/>
            <w:shd w:val="clear" w:color="auto" w:fill="auto"/>
          </w:tcPr>
          <w:p w14:paraId="16AFA00D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Supply air provided for each ISO Classified SEC shall be provided exclusively through ceiling mounted HEPA filters.</w:t>
            </w:r>
          </w:p>
        </w:tc>
        <w:tc>
          <w:tcPr>
            <w:tcW w:w="1395" w:type="dxa"/>
            <w:shd w:val="clear" w:color="auto" w:fill="auto"/>
          </w:tcPr>
          <w:p w14:paraId="6A9BD6E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17.05(3)</w:t>
            </w:r>
          </w:p>
        </w:tc>
        <w:tc>
          <w:tcPr>
            <w:tcW w:w="720" w:type="dxa"/>
            <w:shd w:val="clear" w:color="auto" w:fill="auto"/>
          </w:tcPr>
          <w:p w14:paraId="7790675B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79DA0F8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3D8576C9" w14:textId="77777777" w:rsidTr="007B6D69">
        <w:trPr>
          <w:trHeight w:val="504"/>
        </w:trPr>
        <w:tc>
          <w:tcPr>
            <w:tcW w:w="6008" w:type="dxa"/>
            <w:shd w:val="clear" w:color="auto" w:fill="auto"/>
          </w:tcPr>
          <w:p w14:paraId="443B3EB2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Air returns in ISO Classified SECs shall be mounted low on the walls</w:t>
            </w:r>
          </w:p>
        </w:tc>
        <w:tc>
          <w:tcPr>
            <w:tcW w:w="1395" w:type="dxa"/>
            <w:shd w:val="clear" w:color="auto" w:fill="auto"/>
          </w:tcPr>
          <w:p w14:paraId="2FE10E3A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17.05(4)  </w:t>
            </w:r>
          </w:p>
        </w:tc>
        <w:tc>
          <w:tcPr>
            <w:tcW w:w="720" w:type="dxa"/>
            <w:shd w:val="clear" w:color="auto" w:fill="auto"/>
          </w:tcPr>
          <w:p w14:paraId="67EB9F8F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55551EA5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15521EE8" w14:textId="77777777" w:rsidTr="007B6D69">
        <w:trPr>
          <w:trHeight w:val="757"/>
        </w:trPr>
        <w:tc>
          <w:tcPr>
            <w:tcW w:w="6008" w:type="dxa"/>
            <w:shd w:val="clear" w:color="auto" w:fill="auto"/>
          </w:tcPr>
          <w:p w14:paraId="442AC480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If utilized, relief air vents shall be mounted low on the wall and designed to prevent the ingress of less clean air or contaminants from adjacent areas.  </w:t>
            </w:r>
          </w:p>
        </w:tc>
        <w:tc>
          <w:tcPr>
            <w:tcW w:w="1395" w:type="dxa"/>
            <w:shd w:val="clear" w:color="auto" w:fill="auto"/>
          </w:tcPr>
          <w:p w14:paraId="37C1474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 xml:space="preserve">17.05(5)  </w:t>
            </w:r>
          </w:p>
        </w:tc>
        <w:tc>
          <w:tcPr>
            <w:tcW w:w="720" w:type="dxa"/>
            <w:shd w:val="clear" w:color="auto" w:fill="auto"/>
          </w:tcPr>
          <w:p w14:paraId="0CD85466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622A8C3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71B52DC5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0A78669A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  <w:r w:rsidRPr="00296C71">
              <w:rPr>
                <w:rFonts w:eastAsia="Calibri"/>
                <w:b/>
                <w:bCs/>
                <w:sz w:val="28"/>
                <w:szCs w:val="28"/>
                <w:highlight w:val="yellow"/>
              </w:rPr>
              <w:t>Temperature/Humidity</w:t>
            </w:r>
          </w:p>
        </w:tc>
        <w:tc>
          <w:tcPr>
            <w:tcW w:w="1395" w:type="dxa"/>
            <w:shd w:val="clear" w:color="auto" w:fill="auto"/>
          </w:tcPr>
          <w:p w14:paraId="4804DDE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DC1334A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77D9985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6F6F39E2" w14:textId="77777777" w:rsidTr="007B6D69">
        <w:trPr>
          <w:trHeight w:val="504"/>
        </w:trPr>
        <w:tc>
          <w:tcPr>
            <w:tcW w:w="6008" w:type="dxa"/>
            <w:shd w:val="clear" w:color="auto" w:fill="auto"/>
          </w:tcPr>
          <w:p w14:paraId="4EA9D062" w14:textId="77777777" w:rsidR="00525C75" w:rsidRPr="00296C71" w:rsidRDefault="00525C75" w:rsidP="007B6D69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A pharmacy shall have a system to continuously measure the temperature and humidity of each SEC. The quantitative results shall be reviewed and documented at least daily on all days the pharmacy is open.</w:t>
            </w:r>
          </w:p>
        </w:tc>
        <w:tc>
          <w:tcPr>
            <w:tcW w:w="1395" w:type="dxa"/>
            <w:shd w:val="clear" w:color="auto" w:fill="auto"/>
          </w:tcPr>
          <w:p w14:paraId="63AC1624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17.10(3)</w:t>
            </w:r>
          </w:p>
        </w:tc>
        <w:tc>
          <w:tcPr>
            <w:tcW w:w="720" w:type="dxa"/>
            <w:shd w:val="clear" w:color="auto" w:fill="auto"/>
          </w:tcPr>
          <w:p w14:paraId="5BDA5B69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62F1C068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2D5BED97" w14:textId="77777777" w:rsidTr="007B6D69">
        <w:trPr>
          <w:trHeight w:val="141"/>
        </w:trPr>
        <w:tc>
          <w:tcPr>
            <w:tcW w:w="6008" w:type="dxa"/>
            <w:shd w:val="clear" w:color="auto" w:fill="auto"/>
          </w:tcPr>
          <w:p w14:paraId="190C86B8" w14:textId="77777777" w:rsidR="00525C75" w:rsidRPr="00296C71" w:rsidRDefault="00525C75" w:rsidP="007B6D69">
            <w:pPr>
              <w:spacing w:line="276" w:lineRule="auto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SECs shall maintain a temperature of 68 degrees Fahrenheit (20 degrees Celsius) or lower.</w:t>
            </w:r>
          </w:p>
        </w:tc>
        <w:tc>
          <w:tcPr>
            <w:tcW w:w="1395" w:type="dxa"/>
            <w:shd w:val="clear" w:color="auto" w:fill="auto"/>
          </w:tcPr>
          <w:p w14:paraId="1098FED0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17.10(1)</w:t>
            </w:r>
          </w:p>
        </w:tc>
        <w:tc>
          <w:tcPr>
            <w:tcW w:w="720" w:type="dxa"/>
            <w:shd w:val="clear" w:color="auto" w:fill="auto"/>
          </w:tcPr>
          <w:p w14:paraId="58742D5B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7BFCD3F2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  <w:tr w:rsidR="00525C75" w:rsidRPr="00296C71" w14:paraId="1DB147B1" w14:textId="77777777" w:rsidTr="007B6D69">
        <w:trPr>
          <w:trHeight w:val="275"/>
        </w:trPr>
        <w:tc>
          <w:tcPr>
            <w:tcW w:w="6008" w:type="dxa"/>
            <w:shd w:val="clear" w:color="auto" w:fill="auto"/>
          </w:tcPr>
          <w:p w14:paraId="3AB68B4E" w14:textId="77777777" w:rsidR="00525C75" w:rsidRPr="00296C71" w:rsidRDefault="00525C75" w:rsidP="007B6D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SECs shall maintain relative humidity of 60% or lower.</w:t>
            </w:r>
          </w:p>
        </w:tc>
        <w:tc>
          <w:tcPr>
            <w:tcW w:w="1395" w:type="dxa"/>
            <w:shd w:val="clear" w:color="auto" w:fill="auto"/>
          </w:tcPr>
          <w:p w14:paraId="080AF3D3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  <w:r w:rsidRPr="00296C71">
              <w:rPr>
                <w:rFonts w:eastAsia="Calibri"/>
                <w:szCs w:val="24"/>
              </w:rPr>
              <w:t>17.10(2)</w:t>
            </w:r>
          </w:p>
        </w:tc>
        <w:tc>
          <w:tcPr>
            <w:tcW w:w="720" w:type="dxa"/>
            <w:shd w:val="clear" w:color="auto" w:fill="auto"/>
          </w:tcPr>
          <w:p w14:paraId="273899E1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4174175E" w14:textId="77777777" w:rsidR="00525C75" w:rsidRPr="00296C71" w:rsidRDefault="00525C75" w:rsidP="007B6D69">
            <w:pPr>
              <w:rPr>
                <w:rFonts w:eastAsia="Calibri"/>
                <w:szCs w:val="24"/>
              </w:rPr>
            </w:pPr>
          </w:p>
        </w:tc>
      </w:tr>
    </w:tbl>
    <w:p w14:paraId="35182346" w14:textId="77777777" w:rsidR="00525C75" w:rsidRPr="00296C71" w:rsidRDefault="00525C75" w:rsidP="00525C75">
      <w:pPr>
        <w:rPr>
          <w:rFonts w:eastAsia="Calibri"/>
          <w:szCs w:val="24"/>
        </w:rPr>
      </w:pPr>
    </w:p>
    <w:p w14:paraId="7A0E0353" w14:textId="77777777" w:rsidR="00525C75" w:rsidRPr="00296C71" w:rsidRDefault="00525C75" w:rsidP="00525C75">
      <w:pPr>
        <w:tabs>
          <w:tab w:val="left" w:pos="3060"/>
        </w:tabs>
        <w:rPr>
          <w:szCs w:val="24"/>
        </w:rPr>
      </w:pPr>
    </w:p>
    <w:p w14:paraId="06A291A0" w14:textId="77777777" w:rsidR="00525C75" w:rsidRPr="00296C71" w:rsidRDefault="00525C75" w:rsidP="00525C75">
      <w:pPr>
        <w:jc w:val="both"/>
        <w:rPr>
          <w:szCs w:val="24"/>
        </w:rPr>
      </w:pPr>
    </w:p>
    <w:p w14:paraId="25B94E04" w14:textId="77777777" w:rsidR="00525C75" w:rsidRPr="00E02789" w:rsidRDefault="00525C75" w:rsidP="00525C7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367B435" w14:textId="77777777" w:rsidR="00D5294B" w:rsidRPr="00D5294B" w:rsidRDefault="00D5294B" w:rsidP="00D5294B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  <w:r w:rsidRPr="00D5294B">
        <w:rPr>
          <w:rFonts w:ascii="Arial" w:hAnsi="Arial" w:cs="Arial"/>
          <w:b/>
        </w:rPr>
        <w:t>Please direct any questions to:</w:t>
      </w:r>
      <w:r w:rsidRPr="00D5294B">
        <w:rPr>
          <w:rFonts w:ascii="Arial" w:hAnsi="Arial" w:cs="Arial"/>
          <w:b/>
        </w:rPr>
        <w:tab/>
      </w:r>
      <w:r w:rsidRPr="00D5294B">
        <w:rPr>
          <w:rFonts w:ascii="Arial" w:hAnsi="Arial" w:cs="Arial"/>
          <w:b/>
          <w:color w:val="0000FF"/>
          <w:u w:val="single"/>
        </w:rPr>
        <w:t>Pharmacy.Admin@mass.gov</w:t>
      </w:r>
    </w:p>
    <w:p w14:paraId="08EDF823" w14:textId="77777777" w:rsidR="00033154" w:rsidRDefault="00033154" w:rsidP="0072610D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E31D3" w14:textId="77777777" w:rsidR="009D5A45" w:rsidRDefault="009D5A45" w:rsidP="00B051ED">
      <w:r>
        <w:separator/>
      </w:r>
    </w:p>
  </w:endnote>
  <w:endnote w:type="continuationSeparator" w:id="0">
    <w:p w14:paraId="37AD46DD" w14:textId="77777777" w:rsidR="009D5A45" w:rsidRDefault="009D5A45" w:rsidP="00B0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73624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E4F930" w14:textId="329A9077" w:rsidR="00B051ED" w:rsidRDefault="00B051ED">
            <w:pPr>
              <w:pStyle w:val="Footer"/>
              <w:jc w:val="right"/>
            </w:pPr>
            <w:r>
              <w:t>Revised: 5/6/24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8A7CE0" w14:textId="77777777" w:rsidR="00B051ED" w:rsidRDefault="00B0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DDC8" w14:textId="77777777" w:rsidR="009D5A45" w:rsidRDefault="009D5A45" w:rsidP="00B051ED">
      <w:r>
        <w:separator/>
      </w:r>
    </w:p>
  </w:footnote>
  <w:footnote w:type="continuationSeparator" w:id="0">
    <w:p w14:paraId="62241CF7" w14:textId="77777777" w:rsidR="009D5A45" w:rsidRDefault="009D5A45" w:rsidP="00B0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22588"/>
    <w:multiLevelType w:val="hybridMultilevel"/>
    <w:tmpl w:val="3B047316"/>
    <w:lvl w:ilvl="0" w:tplc="713685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F72BD"/>
    <w:multiLevelType w:val="hybridMultilevel"/>
    <w:tmpl w:val="0F9053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1930">
    <w:abstractNumId w:val="1"/>
  </w:num>
  <w:num w:numId="2" w16cid:durableId="126807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681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1C62EC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25C75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20A7C"/>
    <w:rsid w:val="0087702A"/>
    <w:rsid w:val="009730E5"/>
    <w:rsid w:val="009908FF"/>
    <w:rsid w:val="00995505"/>
    <w:rsid w:val="009C4428"/>
    <w:rsid w:val="009D48CD"/>
    <w:rsid w:val="009D5A45"/>
    <w:rsid w:val="00A65101"/>
    <w:rsid w:val="00B051ED"/>
    <w:rsid w:val="00B403BF"/>
    <w:rsid w:val="00B608D9"/>
    <w:rsid w:val="00BA4055"/>
    <w:rsid w:val="00BA7FB6"/>
    <w:rsid w:val="00BF1BDF"/>
    <w:rsid w:val="00C20BFE"/>
    <w:rsid w:val="00C46D29"/>
    <w:rsid w:val="00CC1778"/>
    <w:rsid w:val="00CE575B"/>
    <w:rsid w:val="00CF3DE8"/>
    <w:rsid w:val="00D0493F"/>
    <w:rsid w:val="00D5294B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525C75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rsid w:val="00B05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1ED"/>
    <w:rPr>
      <w:sz w:val="24"/>
    </w:rPr>
  </w:style>
  <w:style w:type="paragraph" w:styleId="Footer">
    <w:name w:val="footer"/>
    <w:basedOn w:val="Normal"/>
    <w:link w:val="FooterChar"/>
    <w:uiPriority w:val="99"/>
    <w:rsid w:val="00B05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lists/draft-regulations-for-the-board-of-registration-in-pharmac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Chan, Michelle (DPH)</cp:lastModifiedBy>
  <cp:revision>5</cp:revision>
  <cp:lastPrinted>2015-01-29T14:50:00Z</cp:lastPrinted>
  <dcterms:created xsi:type="dcterms:W3CDTF">2024-05-06T14:17:00Z</dcterms:created>
  <dcterms:modified xsi:type="dcterms:W3CDTF">2024-05-06T16:10:00Z</dcterms:modified>
</cp:coreProperties>
</file>