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09E41" w14:textId="77777777" w:rsidR="00ED2D06" w:rsidRDefault="00ED2D06" w:rsidP="00ED2D06">
      <w:pPr>
        <w:rPr>
          <w:rFonts w:ascii="Arial" w:hAnsi="Arial"/>
          <w:sz w:val="36"/>
        </w:rPr>
      </w:pPr>
      <w:r>
        <w:rPr>
          <w:rFonts w:ascii="LinePrinter" w:hAnsi="LinePrinter"/>
          <w:noProof/>
        </w:rPr>
        <w:drawing>
          <wp:inline distT="0" distB="0" distL="0" distR="0" wp14:anchorId="62E15914" wp14:editId="7A235178">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4923F80F" w14:textId="77777777" w:rsidR="00ED2D06" w:rsidRDefault="00ED2D06" w:rsidP="00ED2D06">
      <w:pPr>
        <w:pStyle w:val="ExecOffice"/>
        <w:framePr w:w="0" w:hSpace="0" w:wrap="auto" w:vAnchor="margin" w:hAnchor="text" w:xAlign="left" w:yAlign="inline"/>
      </w:pPr>
      <w:r>
        <w:t>Executive Office of Health and Human Services</w:t>
      </w:r>
    </w:p>
    <w:p w14:paraId="03F02621" w14:textId="77777777" w:rsidR="00ED2D06" w:rsidRDefault="00ED2D06" w:rsidP="00ED2D06">
      <w:pPr>
        <w:pStyle w:val="ExecOffice"/>
        <w:framePr w:w="0" w:hSpace="0" w:wrap="auto" w:vAnchor="margin" w:hAnchor="text" w:xAlign="left" w:yAlign="inline"/>
      </w:pPr>
      <w:r>
        <w:t>Department of Public Health</w:t>
      </w:r>
    </w:p>
    <w:p w14:paraId="73D1C806" w14:textId="0D0341AF" w:rsidR="00BF01F1" w:rsidRDefault="00BF01F1" w:rsidP="00BF01F1">
      <w:pPr>
        <w:pStyle w:val="ExecOffice"/>
        <w:framePr w:w="0" w:hSpace="0" w:wrap="auto" w:vAnchor="margin" w:hAnchor="text" w:xAlign="left" w:yAlign="inline"/>
      </w:pPr>
      <w:r w:rsidRPr="00BF01F1">
        <w:t>Bureau of Health Care Safety and Quality</w:t>
      </w:r>
    </w:p>
    <w:p w14:paraId="44BBB9A4" w14:textId="5E4763F0" w:rsidR="00BF01F1" w:rsidRDefault="00BF01F1" w:rsidP="00BF01F1">
      <w:pPr>
        <w:pStyle w:val="ExecOffice"/>
        <w:framePr w:w="0" w:hSpace="0" w:wrap="auto" w:vAnchor="margin" w:hAnchor="text" w:xAlign="left" w:yAlign="inline"/>
      </w:pPr>
      <w:r>
        <w:t>Determination of Need Program</w:t>
      </w:r>
    </w:p>
    <w:p w14:paraId="2EF368D3" w14:textId="77777777" w:rsidR="00ED2D06" w:rsidRDefault="00ED2D06" w:rsidP="00ED2D06">
      <w:pPr>
        <w:pStyle w:val="ExecOffice"/>
        <w:framePr w:w="0" w:hSpace="0" w:wrap="auto" w:vAnchor="margin" w:hAnchor="text" w:xAlign="left" w:yAlign="inline"/>
      </w:pPr>
      <w:r>
        <w:t>250 Washington Street, Boston, MA 02108-4619</w:t>
      </w:r>
    </w:p>
    <w:p w14:paraId="4B094044" w14:textId="77777777" w:rsidR="00ED2D06" w:rsidRDefault="00ED2D06" w:rsidP="00ED2D06">
      <w:pPr>
        <w:ind w:right="2790"/>
        <w:contextualSpacing/>
        <w:rPr>
          <w:rFonts w:ascii="Arial Rounded MT Bold" w:hAnsi="Arial Rounded MT Bold"/>
          <w:sz w:val="18"/>
          <w:szCs w:val="22"/>
        </w:rPr>
        <w:sectPr w:rsidR="00ED2D06" w:rsidSect="00CF7736">
          <w:headerReference w:type="even" r:id="rId9"/>
          <w:headerReference w:type="first" r:id="rId10"/>
          <w:pgSz w:w="12240" w:h="15840"/>
          <w:pgMar w:top="536" w:right="1440" w:bottom="1440" w:left="1440" w:header="720" w:footer="288" w:gutter="0"/>
          <w:cols w:space="720"/>
          <w:docGrid w:linePitch="360"/>
        </w:sectPr>
      </w:pPr>
    </w:p>
    <w:p w14:paraId="3CF353D5" w14:textId="77777777" w:rsidR="00ED2D06" w:rsidRDefault="00ED2D06" w:rsidP="00ED2D06">
      <w:pPr>
        <w:ind w:right="2790"/>
        <w:contextualSpacing/>
        <w:rPr>
          <w:rFonts w:ascii="Arial Rounded MT Bold" w:hAnsi="Arial Rounded MT Bold"/>
          <w:sz w:val="18"/>
          <w:szCs w:val="22"/>
        </w:rPr>
      </w:pPr>
    </w:p>
    <w:p w14:paraId="5DE3F821" w14:textId="77777777" w:rsidR="00ED2D06" w:rsidRPr="00554081" w:rsidRDefault="00ED2D06" w:rsidP="00ED2D06">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0DB2FD75" w14:textId="77777777" w:rsidR="00ED2D06" w:rsidRDefault="00ED2D06" w:rsidP="00ED2D06">
      <w:pPr>
        <w:pStyle w:val="Weld"/>
        <w:framePr w:hSpace="0" w:wrap="auto" w:vAnchor="margin" w:hAnchor="text" w:xAlign="left" w:yAlign="inline"/>
        <w:ind w:right="2340"/>
      </w:pPr>
      <w:r>
        <w:t>Governor</w:t>
      </w:r>
    </w:p>
    <w:p w14:paraId="26B22176" w14:textId="77777777" w:rsidR="00ED2D06" w:rsidRDefault="00ED2D06" w:rsidP="00ED2D06">
      <w:pPr>
        <w:ind w:right="2340"/>
        <w:contextualSpacing/>
        <w:jc w:val="center"/>
        <w:rPr>
          <w:sz w:val="16"/>
        </w:rPr>
      </w:pPr>
    </w:p>
    <w:p w14:paraId="1ABA68F0" w14:textId="77777777" w:rsidR="00ED2D06" w:rsidRPr="00554081" w:rsidRDefault="00ED2D06" w:rsidP="00ED2D06">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7C587415" w14:textId="77777777" w:rsidR="00ED2D06" w:rsidRPr="00624404" w:rsidRDefault="00ED2D06" w:rsidP="00ED2D06">
      <w:pPr>
        <w:pStyle w:val="Weld"/>
        <w:framePr w:hSpace="0" w:wrap="auto" w:vAnchor="margin" w:hAnchor="text" w:xAlign="left" w:yAlign="inline"/>
        <w:ind w:right="2340"/>
        <w:rPr>
          <w:rFonts w:ascii="Calibri" w:hAnsi="Calibri" w:cs="Calibri"/>
          <w:szCs w:val="24"/>
        </w:rPr>
      </w:pPr>
      <w:r>
        <w:t>Lieutenant Governor</w:t>
      </w:r>
    </w:p>
    <w:p w14:paraId="686A52F8" w14:textId="77777777" w:rsidR="00ED2D06" w:rsidRDefault="00ED2D06" w:rsidP="00ED2D06">
      <w:pPr>
        <w:pStyle w:val="Weld"/>
        <w:framePr w:hSpace="0" w:wrap="auto" w:vAnchor="margin" w:hAnchor="text" w:xAlign="left" w:yAlign="inline"/>
        <w:ind w:right="2340"/>
        <w:jc w:val="left"/>
      </w:pPr>
    </w:p>
    <w:p w14:paraId="51FDF259" w14:textId="77777777" w:rsidR="00ED2D06" w:rsidRDefault="00ED2D06" w:rsidP="00ED2D06">
      <w:pPr>
        <w:pStyle w:val="Weld"/>
        <w:framePr w:hSpace="0" w:wrap="auto" w:vAnchor="margin" w:hAnchor="text" w:xAlign="left" w:yAlign="inline"/>
        <w:ind w:right="2340"/>
        <w:jc w:val="left"/>
      </w:pPr>
    </w:p>
    <w:p w14:paraId="16471CA6" w14:textId="77777777" w:rsidR="00ED2D06" w:rsidRDefault="00ED2D06" w:rsidP="00ED2D06">
      <w:pPr>
        <w:pStyle w:val="Weld"/>
        <w:framePr w:hSpace="0" w:wrap="auto" w:vAnchor="margin" w:hAnchor="text" w:xAlign="left" w:yAlign="inline"/>
        <w:ind w:right="2340"/>
        <w:jc w:val="left"/>
      </w:pPr>
    </w:p>
    <w:p w14:paraId="4122B764" w14:textId="77777777" w:rsidR="00ED2D06" w:rsidRPr="00554081" w:rsidRDefault="00ED2D06" w:rsidP="00ED2D06">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6BE23BCF" w14:textId="77777777" w:rsidR="00ED2D06" w:rsidRDefault="00ED2D06" w:rsidP="00ED2D06">
      <w:pPr>
        <w:pStyle w:val="Weld"/>
        <w:framePr w:hSpace="0" w:wrap="auto" w:vAnchor="margin" w:hAnchor="text" w:xAlign="left" w:yAlign="inline"/>
        <w:ind w:left="1980"/>
      </w:pPr>
      <w:r>
        <w:t>Secretary</w:t>
      </w:r>
    </w:p>
    <w:p w14:paraId="611D7526" w14:textId="77777777" w:rsidR="00ED2D06" w:rsidRDefault="00ED2D06" w:rsidP="00ED2D06">
      <w:pPr>
        <w:pStyle w:val="Weld"/>
        <w:framePr w:hSpace="0" w:wrap="auto" w:vAnchor="margin" w:hAnchor="text" w:xAlign="left" w:yAlign="inline"/>
        <w:ind w:left="1980"/>
      </w:pPr>
    </w:p>
    <w:p w14:paraId="79301A02" w14:textId="77777777" w:rsidR="00B443DC" w:rsidRPr="00B443DC" w:rsidRDefault="00B443DC" w:rsidP="00ED2D06">
      <w:pPr>
        <w:pStyle w:val="Weld"/>
        <w:framePr w:hSpace="0" w:wrap="auto" w:vAnchor="margin" w:hAnchor="text" w:xAlign="left" w:yAlign="inline"/>
        <w:ind w:left="1980"/>
      </w:pPr>
      <w:r w:rsidRPr="00B443DC">
        <w:t>MONICA BHAREL, MD, MPH</w:t>
      </w:r>
    </w:p>
    <w:p w14:paraId="7F80FF85" w14:textId="229CECAB" w:rsidR="00ED2D06" w:rsidRPr="00C2477D" w:rsidRDefault="00ED2D06" w:rsidP="00ED2D06">
      <w:pPr>
        <w:pStyle w:val="Weld"/>
        <w:framePr w:hSpace="0" w:wrap="auto" w:vAnchor="margin" w:hAnchor="text" w:xAlign="left" w:yAlign="inline"/>
        <w:ind w:left="1980"/>
      </w:pPr>
      <w:r>
        <w:rPr>
          <w:szCs w:val="14"/>
        </w:rPr>
        <w:t>C</w:t>
      </w:r>
      <w:r w:rsidRPr="00FC6B42">
        <w:rPr>
          <w:szCs w:val="14"/>
        </w:rPr>
        <w:t>ommissioner</w:t>
      </w:r>
    </w:p>
    <w:p w14:paraId="12D78589" w14:textId="77777777" w:rsidR="00ED2D06" w:rsidRDefault="00ED2D06" w:rsidP="00ED2D06">
      <w:pPr>
        <w:pStyle w:val="Governor"/>
        <w:framePr w:hSpace="0" w:wrap="auto" w:vAnchor="margin" w:hAnchor="text" w:xAlign="left" w:yAlign="inline"/>
        <w:spacing w:after="0"/>
        <w:ind w:left="1980"/>
        <w:rPr>
          <w:rFonts w:ascii="Arial" w:hAnsi="Arial" w:cs="Arial"/>
          <w:b/>
          <w:szCs w:val="14"/>
        </w:rPr>
      </w:pPr>
    </w:p>
    <w:p w14:paraId="712A81C1" w14:textId="77777777" w:rsidR="00ED2D06" w:rsidRDefault="00ED2D06" w:rsidP="00ED2D06">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06C0B0AB" w14:textId="77777777" w:rsidR="00ED2D06" w:rsidRPr="00A763BA" w:rsidRDefault="00ED2D06" w:rsidP="00ED2D06">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294644CC" w14:textId="77777777" w:rsidR="00ED2D06" w:rsidRDefault="00ED2D06" w:rsidP="00ED2D06">
      <w:pPr>
        <w:ind w:right="2340"/>
        <w:sectPr w:rsidR="00ED2D06" w:rsidSect="005B14DC">
          <w:type w:val="continuous"/>
          <w:pgSz w:w="12240" w:h="15840"/>
          <w:pgMar w:top="1440" w:right="1440" w:bottom="1440" w:left="1440" w:header="720" w:footer="720" w:gutter="0"/>
          <w:cols w:num="2" w:space="720"/>
          <w:docGrid w:linePitch="360"/>
        </w:sectPr>
      </w:pPr>
    </w:p>
    <w:p w14:paraId="07CA1430" w14:textId="77777777" w:rsidR="00ED2D06" w:rsidRDefault="00ED2D06" w:rsidP="00ED2D06">
      <w:pPr>
        <w:rPr>
          <w:szCs w:val="24"/>
        </w:rPr>
      </w:pPr>
    </w:p>
    <w:p w14:paraId="4C563DF0" w14:textId="77777777" w:rsidR="00847BB1" w:rsidRPr="00530ABE" w:rsidRDefault="00847BB1" w:rsidP="00847BB1">
      <w:pPr>
        <w:ind w:left="180"/>
        <w:rPr>
          <w:sz w:val="22"/>
          <w:szCs w:val="22"/>
        </w:rPr>
      </w:pPr>
      <w:r w:rsidRPr="00530ABE">
        <w:rPr>
          <w:sz w:val="22"/>
          <w:szCs w:val="22"/>
        </w:rPr>
        <w:t>March 10, 2021</w:t>
      </w:r>
    </w:p>
    <w:p w14:paraId="23930618" w14:textId="77777777" w:rsidR="00847BB1" w:rsidRPr="00530ABE" w:rsidRDefault="00847BB1" w:rsidP="00847BB1">
      <w:pPr>
        <w:ind w:left="180"/>
        <w:rPr>
          <w:sz w:val="22"/>
          <w:szCs w:val="22"/>
        </w:rPr>
      </w:pPr>
      <w:r w:rsidRPr="00530ABE">
        <w:rPr>
          <w:sz w:val="22"/>
          <w:szCs w:val="22"/>
        </w:rPr>
        <w:t>Andrew Levine, Esq.</w:t>
      </w:r>
    </w:p>
    <w:p w14:paraId="5A5D7B64" w14:textId="77777777" w:rsidR="00847BB1" w:rsidRPr="00530ABE" w:rsidRDefault="00847BB1" w:rsidP="00847BB1">
      <w:pPr>
        <w:ind w:left="180"/>
        <w:rPr>
          <w:sz w:val="22"/>
          <w:szCs w:val="22"/>
        </w:rPr>
      </w:pPr>
      <w:r w:rsidRPr="00530ABE">
        <w:rPr>
          <w:sz w:val="22"/>
          <w:szCs w:val="22"/>
        </w:rPr>
        <w:t>Summit Health Law Partners</w:t>
      </w:r>
    </w:p>
    <w:p w14:paraId="4F539FC4" w14:textId="77777777" w:rsidR="00847BB1" w:rsidRPr="00530ABE" w:rsidRDefault="00847BB1" w:rsidP="00847BB1">
      <w:pPr>
        <w:ind w:left="180"/>
        <w:rPr>
          <w:sz w:val="22"/>
          <w:szCs w:val="22"/>
        </w:rPr>
      </w:pPr>
      <w:r w:rsidRPr="00530ABE">
        <w:rPr>
          <w:sz w:val="22"/>
          <w:szCs w:val="22"/>
        </w:rPr>
        <w:t>One Beacon Street, Suite 1320</w:t>
      </w:r>
    </w:p>
    <w:p w14:paraId="56250662" w14:textId="77777777" w:rsidR="00847BB1" w:rsidRPr="00530ABE" w:rsidRDefault="00847BB1" w:rsidP="00847BB1">
      <w:pPr>
        <w:ind w:left="180"/>
        <w:rPr>
          <w:sz w:val="22"/>
          <w:szCs w:val="22"/>
        </w:rPr>
      </w:pPr>
      <w:r w:rsidRPr="00530ABE">
        <w:rPr>
          <w:sz w:val="22"/>
          <w:szCs w:val="22"/>
        </w:rPr>
        <w:t>Boston, MA 02108</w:t>
      </w:r>
    </w:p>
    <w:p w14:paraId="1A516E4D" w14:textId="77777777" w:rsidR="00530ABE" w:rsidRPr="00530ABE" w:rsidRDefault="00530ABE" w:rsidP="00847BB1">
      <w:pPr>
        <w:ind w:left="180"/>
        <w:rPr>
          <w:sz w:val="22"/>
          <w:szCs w:val="22"/>
        </w:rPr>
      </w:pPr>
    </w:p>
    <w:p w14:paraId="6572B1D2" w14:textId="77777777" w:rsidR="00847BB1" w:rsidRPr="00530ABE" w:rsidRDefault="00847BB1" w:rsidP="00847BB1">
      <w:pPr>
        <w:ind w:left="180"/>
        <w:rPr>
          <w:sz w:val="22"/>
          <w:szCs w:val="22"/>
        </w:rPr>
      </w:pPr>
      <w:r w:rsidRPr="00530ABE">
        <w:rPr>
          <w:sz w:val="22"/>
          <w:szCs w:val="22"/>
        </w:rPr>
        <w:t>VIA EMAIL</w:t>
      </w:r>
    </w:p>
    <w:p w14:paraId="7C1CA56B" w14:textId="2CB0D8E6" w:rsidR="00847BB1" w:rsidRPr="00530ABE" w:rsidRDefault="00530ABE" w:rsidP="00847BB1">
      <w:pPr>
        <w:ind w:left="180"/>
        <w:rPr>
          <w:sz w:val="22"/>
          <w:szCs w:val="22"/>
        </w:rPr>
      </w:pPr>
      <w:hyperlink r:id="rId12" w:history="1">
        <w:r w:rsidRPr="00530ABE">
          <w:rPr>
            <w:rStyle w:val="Hyperlink"/>
            <w:sz w:val="22"/>
            <w:szCs w:val="22"/>
          </w:rPr>
          <w:t>alevine@summithealthlawpartners.com</w:t>
        </w:r>
      </w:hyperlink>
      <w:r w:rsidRPr="00530ABE">
        <w:rPr>
          <w:sz w:val="22"/>
          <w:szCs w:val="22"/>
        </w:rPr>
        <w:t xml:space="preserve"> </w:t>
      </w:r>
    </w:p>
    <w:p w14:paraId="64CD5D9F" w14:textId="77777777" w:rsidR="00530ABE" w:rsidRPr="00530ABE" w:rsidRDefault="00530ABE" w:rsidP="00847BB1">
      <w:pPr>
        <w:ind w:left="180"/>
        <w:rPr>
          <w:sz w:val="22"/>
          <w:szCs w:val="22"/>
        </w:rPr>
      </w:pPr>
    </w:p>
    <w:p w14:paraId="7202FBCB" w14:textId="77777777" w:rsidR="00847BB1" w:rsidRPr="00530ABE" w:rsidRDefault="00847BB1" w:rsidP="00847BB1">
      <w:pPr>
        <w:ind w:left="180"/>
        <w:rPr>
          <w:sz w:val="22"/>
          <w:szCs w:val="22"/>
        </w:rPr>
      </w:pPr>
      <w:r w:rsidRPr="00530ABE">
        <w:rPr>
          <w:sz w:val="22"/>
          <w:szCs w:val="22"/>
        </w:rPr>
        <w:t xml:space="preserve">RE: Notice of Final Action </w:t>
      </w:r>
      <w:proofErr w:type="spellStart"/>
      <w:r w:rsidRPr="00530ABE">
        <w:rPr>
          <w:sz w:val="22"/>
          <w:szCs w:val="22"/>
        </w:rPr>
        <w:t>DoN</w:t>
      </w:r>
      <w:proofErr w:type="spellEnd"/>
      <w:r w:rsidRPr="00530ABE">
        <w:rPr>
          <w:sz w:val="22"/>
          <w:szCs w:val="22"/>
        </w:rPr>
        <w:t xml:space="preserve"> # 20092415-HS</w:t>
      </w:r>
    </w:p>
    <w:p w14:paraId="11E5E2C6" w14:textId="77777777" w:rsidR="00530ABE" w:rsidRPr="00530ABE" w:rsidRDefault="00530ABE" w:rsidP="00847BB1">
      <w:pPr>
        <w:ind w:left="180"/>
        <w:rPr>
          <w:sz w:val="22"/>
          <w:szCs w:val="22"/>
        </w:rPr>
      </w:pPr>
    </w:p>
    <w:p w14:paraId="778299BF" w14:textId="77777777" w:rsidR="00847BB1" w:rsidRPr="00530ABE" w:rsidRDefault="00847BB1" w:rsidP="00847BB1">
      <w:pPr>
        <w:ind w:left="180"/>
        <w:rPr>
          <w:sz w:val="22"/>
          <w:szCs w:val="22"/>
        </w:rPr>
      </w:pPr>
      <w:r w:rsidRPr="00530ABE">
        <w:rPr>
          <w:sz w:val="22"/>
          <w:szCs w:val="22"/>
        </w:rPr>
        <w:t>Dear Mr. Levine,</w:t>
      </w:r>
    </w:p>
    <w:p w14:paraId="253E701D" w14:textId="77777777" w:rsidR="00530ABE" w:rsidRPr="00530ABE" w:rsidRDefault="00530ABE" w:rsidP="00847BB1">
      <w:pPr>
        <w:ind w:left="180"/>
        <w:rPr>
          <w:sz w:val="22"/>
          <w:szCs w:val="22"/>
        </w:rPr>
      </w:pPr>
    </w:p>
    <w:p w14:paraId="68513017" w14:textId="77777777" w:rsidR="00847BB1" w:rsidRDefault="00847BB1" w:rsidP="00847BB1">
      <w:pPr>
        <w:ind w:left="180"/>
        <w:rPr>
          <w:sz w:val="22"/>
          <w:szCs w:val="22"/>
        </w:rPr>
      </w:pPr>
      <w:r w:rsidRPr="00530ABE">
        <w:rPr>
          <w:sz w:val="22"/>
          <w:szCs w:val="22"/>
        </w:rPr>
        <w:t>At their meeting of March 10, 2021, the Commissioner and the Public Health Council, acting together as the Department, voted pursuant to M.G.L. c.111, §25C and the regulations adopted thereunder, to approve the Determination of Need (</w:t>
      </w:r>
      <w:proofErr w:type="spellStart"/>
      <w:r w:rsidRPr="00530ABE">
        <w:rPr>
          <w:sz w:val="22"/>
          <w:szCs w:val="22"/>
        </w:rPr>
        <w:t>DoN</w:t>
      </w:r>
      <w:proofErr w:type="spellEnd"/>
      <w:r w:rsidRPr="00530ABE">
        <w:rPr>
          <w:sz w:val="22"/>
          <w:szCs w:val="22"/>
        </w:rPr>
        <w:t>) application filed by Steward Health Care System, LLC (Applicant or Steward) located at 1900 N. Pearl Street, Suite 2400, Dallas, TX 75201 for a Substantial Change in Service to add a 32-bed Level 4 Medically Managed Intensive Inpatient Unit for substance use disorder (SUD) treatment at Morton Hospital located at 88 Washington Street, Taunton, MA 02780. This Notice of Final Action incorporates by reference the Staff Report and the Public Health Council proceedings concerning this application.</w:t>
      </w:r>
    </w:p>
    <w:p w14:paraId="4B46F9A3" w14:textId="77777777" w:rsidR="00530ABE" w:rsidRPr="00530ABE" w:rsidRDefault="00530ABE" w:rsidP="00847BB1">
      <w:pPr>
        <w:ind w:left="180"/>
        <w:rPr>
          <w:sz w:val="22"/>
          <w:szCs w:val="22"/>
        </w:rPr>
      </w:pPr>
    </w:p>
    <w:p w14:paraId="0DAEDE5D" w14:textId="77777777" w:rsidR="00847BB1" w:rsidRDefault="00847BB1" w:rsidP="00847BB1">
      <w:pPr>
        <w:ind w:left="180"/>
        <w:rPr>
          <w:sz w:val="22"/>
          <w:szCs w:val="22"/>
        </w:rPr>
      </w:pPr>
      <w:r w:rsidRPr="00530ABE">
        <w:rPr>
          <w:sz w:val="22"/>
          <w:szCs w:val="22"/>
        </w:rPr>
        <w:t xml:space="preserve">This application was reviewed pursuant to M.G.L. c. 111, §25C and the regulatory provisions of 105 CMR 100.000 et seq. Based upon a review of the materials submitted, the Department found that the Applicant has met each </w:t>
      </w:r>
      <w:proofErr w:type="spellStart"/>
      <w:r w:rsidRPr="00530ABE">
        <w:rPr>
          <w:sz w:val="22"/>
          <w:szCs w:val="22"/>
        </w:rPr>
        <w:t>DoN</w:t>
      </w:r>
      <w:proofErr w:type="spellEnd"/>
      <w:r w:rsidRPr="00530ABE">
        <w:rPr>
          <w:sz w:val="22"/>
          <w:szCs w:val="22"/>
        </w:rPr>
        <w:t xml:space="preserve"> factor and approves this Determination of Need application for a Substantial Change in Service subject to all standard conditions (105 CMR 100.310) and pursuant to 105 CMR 100.360, subject to Other Conditions listed below. The total capital expenditure for the Proposed Project is $6,807,000 and the required CHI contribution is $340,350.</w:t>
      </w:r>
    </w:p>
    <w:p w14:paraId="650CBD21" w14:textId="77777777" w:rsidR="00530ABE" w:rsidRPr="00530ABE" w:rsidRDefault="00530ABE" w:rsidP="00847BB1">
      <w:pPr>
        <w:ind w:left="180"/>
        <w:rPr>
          <w:sz w:val="22"/>
          <w:szCs w:val="22"/>
        </w:rPr>
      </w:pPr>
    </w:p>
    <w:p w14:paraId="089560DE" w14:textId="77777777" w:rsidR="00847BB1" w:rsidRPr="00530ABE" w:rsidRDefault="00847BB1" w:rsidP="00847BB1">
      <w:pPr>
        <w:ind w:left="180"/>
        <w:rPr>
          <w:sz w:val="22"/>
          <w:szCs w:val="22"/>
        </w:rPr>
      </w:pPr>
      <w:r w:rsidRPr="00530ABE">
        <w:rPr>
          <w:sz w:val="22"/>
          <w:szCs w:val="22"/>
        </w:rPr>
        <w:t>In compliance with the provisions of 105 CMR 100.310 A (2) and (11) the Holder shall submit an</w:t>
      </w:r>
    </w:p>
    <w:p w14:paraId="65B1D846" w14:textId="77777777" w:rsidR="00847BB1" w:rsidRDefault="00847BB1" w:rsidP="00847BB1">
      <w:pPr>
        <w:ind w:left="180"/>
        <w:rPr>
          <w:sz w:val="22"/>
          <w:szCs w:val="22"/>
        </w:rPr>
      </w:pPr>
      <w:r w:rsidRPr="00530ABE">
        <w:rPr>
          <w:sz w:val="22"/>
          <w:szCs w:val="22"/>
        </w:rPr>
        <w:t xml:space="preserve">acknowledgment of receipt to the Department (attached) </w:t>
      </w:r>
      <w:proofErr w:type="gramStart"/>
      <w:r w:rsidRPr="00530ABE">
        <w:rPr>
          <w:sz w:val="22"/>
          <w:szCs w:val="22"/>
        </w:rPr>
        <w:t>and also</w:t>
      </w:r>
      <w:proofErr w:type="gramEnd"/>
      <w:r w:rsidRPr="00530ABE">
        <w:rPr>
          <w:sz w:val="22"/>
          <w:szCs w:val="22"/>
        </w:rPr>
        <w:t xml:space="preserve"> include a written attestation of participation or intent to participate in MassHealth.</w:t>
      </w:r>
    </w:p>
    <w:p w14:paraId="689A77B7" w14:textId="77777777" w:rsidR="00325E67" w:rsidRPr="00530ABE" w:rsidRDefault="00325E67" w:rsidP="00847BB1">
      <w:pPr>
        <w:ind w:left="180"/>
        <w:rPr>
          <w:sz w:val="22"/>
          <w:szCs w:val="22"/>
        </w:rPr>
      </w:pPr>
    </w:p>
    <w:p w14:paraId="0CC02E47" w14:textId="77777777" w:rsidR="00847BB1" w:rsidRDefault="00847BB1" w:rsidP="00847BB1">
      <w:pPr>
        <w:ind w:left="180"/>
        <w:rPr>
          <w:sz w:val="22"/>
          <w:szCs w:val="22"/>
        </w:rPr>
      </w:pPr>
      <w:r w:rsidRPr="00530ABE">
        <w:rPr>
          <w:sz w:val="22"/>
          <w:szCs w:val="22"/>
        </w:rPr>
        <w:lastRenderedPageBreak/>
        <w:t xml:space="preserve">In compliance with the provisions of 105 CMR 100.310 A (12), which require a report to the Department, at a minimum on an annual basis, including the measures related to achievement of the </w:t>
      </w:r>
      <w:proofErr w:type="spellStart"/>
      <w:r w:rsidRPr="00530ABE">
        <w:rPr>
          <w:sz w:val="22"/>
          <w:szCs w:val="22"/>
        </w:rPr>
        <w:t>DoN</w:t>
      </w:r>
      <w:proofErr w:type="spellEnd"/>
      <w:r w:rsidRPr="00530ABE">
        <w:rPr>
          <w:sz w:val="22"/>
          <w:szCs w:val="22"/>
        </w:rPr>
        <w:t xml:space="preserve"> factors for a period of five years from completion of the Proposed Project, the Holder shall address its assertions with respect to all the factors.</w:t>
      </w:r>
    </w:p>
    <w:p w14:paraId="686604FA" w14:textId="77777777" w:rsidR="00325E67" w:rsidRPr="00530ABE" w:rsidRDefault="00325E67" w:rsidP="00847BB1">
      <w:pPr>
        <w:ind w:left="180"/>
        <w:rPr>
          <w:sz w:val="22"/>
          <w:szCs w:val="22"/>
        </w:rPr>
      </w:pPr>
    </w:p>
    <w:p w14:paraId="43BC1702" w14:textId="77777777" w:rsidR="00847BB1" w:rsidRPr="00530ABE" w:rsidRDefault="00847BB1" w:rsidP="00847BB1">
      <w:pPr>
        <w:ind w:left="180"/>
        <w:rPr>
          <w:sz w:val="22"/>
          <w:szCs w:val="22"/>
        </w:rPr>
      </w:pPr>
      <w:r w:rsidRPr="00530ABE">
        <w:rPr>
          <w:sz w:val="22"/>
          <w:szCs w:val="22"/>
        </w:rPr>
        <w:t xml:space="preserve">Other Conditions to the </w:t>
      </w:r>
      <w:proofErr w:type="spellStart"/>
      <w:r w:rsidRPr="00530ABE">
        <w:rPr>
          <w:sz w:val="22"/>
          <w:szCs w:val="22"/>
        </w:rPr>
        <w:t>DoN</w:t>
      </w:r>
      <w:proofErr w:type="spellEnd"/>
    </w:p>
    <w:p w14:paraId="08F85A2F" w14:textId="77777777" w:rsidR="00325E67" w:rsidRDefault="00847BB1" w:rsidP="00325E67">
      <w:pPr>
        <w:pStyle w:val="ListParagraph"/>
        <w:numPr>
          <w:ilvl w:val="0"/>
          <w:numId w:val="11"/>
        </w:numPr>
        <w:rPr>
          <w:sz w:val="22"/>
          <w:szCs w:val="22"/>
        </w:rPr>
      </w:pPr>
      <w:r w:rsidRPr="00325E67">
        <w:rPr>
          <w:sz w:val="22"/>
          <w:szCs w:val="22"/>
        </w:rPr>
        <w:t>Of the total required CHI contribution of $340,350.</w:t>
      </w:r>
    </w:p>
    <w:p w14:paraId="31AC198F" w14:textId="77777777" w:rsidR="00325E67" w:rsidRDefault="00847BB1" w:rsidP="00325E67">
      <w:pPr>
        <w:pStyle w:val="ListParagraph"/>
        <w:numPr>
          <w:ilvl w:val="1"/>
          <w:numId w:val="11"/>
        </w:numPr>
        <w:ind w:left="900"/>
        <w:rPr>
          <w:sz w:val="22"/>
          <w:szCs w:val="22"/>
        </w:rPr>
      </w:pPr>
      <w:r w:rsidRPr="00325E67">
        <w:rPr>
          <w:sz w:val="22"/>
          <w:szCs w:val="22"/>
        </w:rPr>
        <w:t>$32,673.60 will be directed to the CHI Statewide Initiative</w:t>
      </w:r>
    </w:p>
    <w:p w14:paraId="14A79264" w14:textId="77777777" w:rsidR="00A557E2" w:rsidRDefault="00847BB1" w:rsidP="00A557E2">
      <w:pPr>
        <w:pStyle w:val="ListParagraph"/>
        <w:numPr>
          <w:ilvl w:val="1"/>
          <w:numId w:val="11"/>
        </w:numPr>
        <w:ind w:left="900"/>
        <w:rPr>
          <w:sz w:val="22"/>
          <w:szCs w:val="22"/>
        </w:rPr>
      </w:pPr>
      <w:r w:rsidRPr="00325E67">
        <w:rPr>
          <w:sz w:val="22"/>
          <w:szCs w:val="22"/>
        </w:rPr>
        <w:t xml:space="preserve">$294,062.40 will be dedicated to local approaches to the </w:t>
      </w:r>
      <w:proofErr w:type="spellStart"/>
      <w:r w:rsidRPr="00325E67">
        <w:rPr>
          <w:sz w:val="22"/>
          <w:szCs w:val="22"/>
        </w:rPr>
        <w:t>DoN</w:t>
      </w:r>
      <w:proofErr w:type="spellEnd"/>
      <w:r w:rsidRPr="00325E67">
        <w:rPr>
          <w:sz w:val="22"/>
          <w:szCs w:val="22"/>
        </w:rPr>
        <w:t xml:space="preserve"> Health Priorities</w:t>
      </w:r>
    </w:p>
    <w:p w14:paraId="37E0D4B6" w14:textId="77777777" w:rsidR="00A557E2" w:rsidRDefault="00847BB1" w:rsidP="00A557E2">
      <w:pPr>
        <w:pStyle w:val="ListParagraph"/>
        <w:numPr>
          <w:ilvl w:val="1"/>
          <w:numId w:val="11"/>
        </w:numPr>
        <w:ind w:left="900"/>
        <w:rPr>
          <w:sz w:val="22"/>
          <w:szCs w:val="22"/>
        </w:rPr>
      </w:pPr>
      <w:r w:rsidRPr="00A557E2">
        <w:rPr>
          <w:sz w:val="22"/>
          <w:szCs w:val="22"/>
        </w:rPr>
        <w:t>$13,614 will be designated as the administrative fee.</w:t>
      </w:r>
    </w:p>
    <w:p w14:paraId="733B98C3" w14:textId="77777777" w:rsidR="00A557E2" w:rsidRDefault="00A557E2" w:rsidP="00A557E2">
      <w:pPr>
        <w:pStyle w:val="ListParagraph"/>
        <w:ind w:left="540"/>
        <w:rPr>
          <w:sz w:val="22"/>
          <w:szCs w:val="22"/>
        </w:rPr>
      </w:pPr>
    </w:p>
    <w:p w14:paraId="7A06E3CB" w14:textId="474D156C" w:rsidR="00847BB1" w:rsidRPr="00A557E2" w:rsidRDefault="00847BB1" w:rsidP="00A557E2">
      <w:pPr>
        <w:pStyle w:val="ListParagraph"/>
        <w:numPr>
          <w:ilvl w:val="0"/>
          <w:numId w:val="11"/>
        </w:numPr>
        <w:rPr>
          <w:sz w:val="22"/>
          <w:szCs w:val="22"/>
        </w:rPr>
      </w:pPr>
      <w:r w:rsidRPr="00A557E2">
        <w:rPr>
          <w:sz w:val="22"/>
          <w:szCs w:val="22"/>
        </w:rPr>
        <w:t>To comply with the Holder’s obligation to contribute to the Statewide CHI Initiative, the Holder must submit a check for $32,673.60 to Health Resources in Action (the fiscal agent for the CHI Statewide Initiative) within 30 days from the date of the Notice of Approval. The Holder must promptly notify DPH (CHI contact staff) when the payment has been made.</w:t>
      </w:r>
    </w:p>
    <w:p w14:paraId="1DE09020" w14:textId="77777777" w:rsidR="00A557E2" w:rsidRDefault="00A557E2" w:rsidP="00847BB1">
      <w:pPr>
        <w:ind w:left="180"/>
        <w:rPr>
          <w:sz w:val="22"/>
          <w:szCs w:val="22"/>
        </w:rPr>
      </w:pPr>
    </w:p>
    <w:p w14:paraId="755DD7EE" w14:textId="50606A73" w:rsidR="00847BB1" w:rsidRPr="00530ABE" w:rsidRDefault="00847BB1" w:rsidP="00847BB1">
      <w:pPr>
        <w:ind w:left="180"/>
        <w:rPr>
          <w:sz w:val="22"/>
          <w:szCs w:val="22"/>
        </w:rPr>
      </w:pPr>
      <w:r w:rsidRPr="00530ABE">
        <w:rPr>
          <w:sz w:val="22"/>
          <w:szCs w:val="22"/>
        </w:rPr>
        <w:t>Payment should be sent to:</w:t>
      </w:r>
    </w:p>
    <w:p w14:paraId="2C31C8F6" w14:textId="77777777" w:rsidR="00847BB1" w:rsidRPr="00530ABE" w:rsidRDefault="00847BB1" w:rsidP="00A557E2">
      <w:pPr>
        <w:ind w:left="990"/>
        <w:rPr>
          <w:sz w:val="22"/>
          <w:szCs w:val="22"/>
        </w:rPr>
      </w:pPr>
      <w:r w:rsidRPr="00530ABE">
        <w:rPr>
          <w:sz w:val="22"/>
          <w:szCs w:val="22"/>
        </w:rPr>
        <w:t>Health Resources in Action, Inc., (</w:t>
      </w:r>
      <w:proofErr w:type="spellStart"/>
      <w:r w:rsidRPr="00530ABE">
        <w:rPr>
          <w:sz w:val="22"/>
          <w:szCs w:val="22"/>
        </w:rPr>
        <w:t>HRiA</w:t>
      </w:r>
      <w:proofErr w:type="spellEnd"/>
      <w:r w:rsidRPr="00530ABE">
        <w:rPr>
          <w:sz w:val="22"/>
          <w:szCs w:val="22"/>
        </w:rPr>
        <w:t>)</w:t>
      </w:r>
    </w:p>
    <w:p w14:paraId="0CF756D1" w14:textId="77777777" w:rsidR="00847BB1" w:rsidRPr="00530ABE" w:rsidRDefault="00847BB1" w:rsidP="00A557E2">
      <w:pPr>
        <w:ind w:left="990"/>
        <w:rPr>
          <w:sz w:val="22"/>
          <w:szCs w:val="22"/>
        </w:rPr>
      </w:pPr>
      <w:r w:rsidRPr="00530ABE">
        <w:rPr>
          <w:sz w:val="22"/>
          <w:szCs w:val="22"/>
        </w:rPr>
        <w:t>2 Boylston Street, 4th Floor</w:t>
      </w:r>
    </w:p>
    <w:p w14:paraId="07CA546A" w14:textId="77777777" w:rsidR="00847BB1" w:rsidRPr="00530ABE" w:rsidRDefault="00847BB1" w:rsidP="00A557E2">
      <w:pPr>
        <w:ind w:left="990"/>
        <w:rPr>
          <w:sz w:val="22"/>
          <w:szCs w:val="22"/>
        </w:rPr>
      </w:pPr>
      <w:r w:rsidRPr="00530ABE">
        <w:rPr>
          <w:sz w:val="22"/>
          <w:szCs w:val="22"/>
        </w:rPr>
        <w:t>Boston, MA 02116</w:t>
      </w:r>
    </w:p>
    <w:p w14:paraId="78151ABB" w14:textId="77777777" w:rsidR="00847BB1" w:rsidRDefault="00847BB1" w:rsidP="00A557E2">
      <w:pPr>
        <w:ind w:left="990"/>
        <w:rPr>
          <w:sz w:val="22"/>
          <w:szCs w:val="22"/>
        </w:rPr>
      </w:pPr>
      <w:r w:rsidRPr="00530ABE">
        <w:rPr>
          <w:sz w:val="22"/>
          <w:szCs w:val="22"/>
        </w:rPr>
        <w:t>Attn: Ms. Bora Toro</w:t>
      </w:r>
    </w:p>
    <w:p w14:paraId="15154BAC" w14:textId="77777777" w:rsidR="00A557E2" w:rsidRPr="00530ABE" w:rsidRDefault="00A557E2" w:rsidP="00A557E2">
      <w:pPr>
        <w:ind w:left="990"/>
        <w:rPr>
          <w:sz w:val="22"/>
          <w:szCs w:val="22"/>
        </w:rPr>
      </w:pPr>
    </w:p>
    <w:p w14:paraId="5CAF68ED" w14:textId="0C4BFACB" w:rsidR="00847BB1" w:rsidRDefault="00847BB1" w:rsidP="00A6520D">
      <w:pPr>
        <w:pStyle w:val="ListParagraph"/>
        <w:numPr>
          <w:ilvl w:val="0"/>
          <w:numId w:val="11"/>
        </w:numPr>
        <w:rPr>
          <w:sz w:val="22"/>
          <w:szCs w:val="22"/>
        </w:rPr>
      </w:pPr>
      <w:r w:rsidRPr="00A6520D">
        <w:rPr>
          <w:sz w:val="22"/>
          <w:szCs w:val="22"/>
        </w:rPr>
        <w:t xml:space="preserve">Pursuant to 105 CMR 100.310(A)(12), ongoing reporting is required to </w:t>
      </w:r>
      <w:proofErr w:type="spellStart"/>
      <w:r w:rsidRPr="00A6520D">
        <w:rPr>
          <w:sz w:val="22"/>
          <w:szCs w:val="22"/>
        </w:rPr>
        <w:t>DoN</w:t>
      </w:r>
      <w:proofErr w:type="spellEnd"/>
      <w:r w:rsidRPr="00A6520D">
        <w:rPr>
          <w:sz w:val="22"/>
          <w:szCs w:val="22"/>
        </w:rPr>
        <w:t xml:space="preserve">. </w:t>
      </w:r>
      <w:proofErr w:type="gramStart"/>
      <w:r w:rsidRPr="00A6520D">
        <w:rPr>
          <w:sz w:val="22"/>
          <w:szCs w:val="22"/>
        </w:rPr>
        <w:t>In order to</w:t>
      </w:r>
      <w:proofErr w:type="gramEnd"/>
      <w:r w:rsidRPr="00A6520D">
        <w:rPr>
          <w:sz w:val="22"/>
          <w:szCs w:val="22"/>
        </w:rPr>
        <w:t xml:space="preserve"> measure the impact of the Proposed Project, staff recommends the Applicant report annually the following metrics. The first full year will establish the </w:t>
      </w:r>
      <w:proofErr w:type="gramStart"/>
      <w:r w:rsidRPr="00A6520D">
        <w:rPr>
          <w:sz w:val="22"/>
          <w:szCs w:val="22"/>
        </w:rPr>
        <w:t>baseline</w:t>
      </w:r>
      <w:proofErr w:type="gramEnd"/>
      <w:r w:rsidRPr="00A6520D">
        <w:rPr>
          <w:sz w:val="22"/>
          <w:szCs w:val="22"/>
        </w:rPr>
        <w:t xml:space="preserve"> and the Applicant will then establish target measures for subsequent years:</w:t>
      </w:r>
    </w:p>
    <w:p w14:paraId="3BC0AB87" w14:textId="77777777" w:rsidR="00A6520D" w:rsidRPr="00A6520D" w:rsidRDefault="00A6520D" w:rsidP="00A6520D">
      <w:pPr>
        <w:ind w:left="180"/>
        <w:rPr>
          <w:sz w:val="22"/>
          <w:szCs w:val="22"/>
        </w:rPr>
      </w:pPr>
    </w:p>
    <w:p w14:paraId="505922A4" w14:textId="7A5AA243" w:rsidR="00847BB1" w:rsidRPr="00A6520D" w:rsidRDefault="00847BB1" w:rsidP="00A6520D">
      <w:pPr>
        <w:pStyle w:val="ListParagraph"/>
        <w:numPr>
          <w:ilvl w:val="0"/>
          <w:numId w:val="13"/>
        </w:numPr>
        <w:rPr>
          <w:sz w:val="22"/>
          <w:szCs w:val="22"/>
        </w:rPr>
      </w:pPr>
      <w:r w:rsidRPr="00A6520D">
        <w:rPr>
          <w:b/>
          <w:bCs/>
          <w:sz w:val="22"/>
          <w:szCs w:val="22"/>
        </w:rPr>
        <w:t>Access – Reduction in Transfers to Acute Care Hospital:</w:t>
      </w:r>
      <w:r w:rsidRPr="00A6520D">
        <w:rPr>
          <w:sz w:val="22"/>
          <w:szCs w:val="22"/>
        </w:rPr>
        <w:t xml:space="preserve"> As the Proposed Project seeks to increase access to Level 4 services, the Applicant will measure access to Level 4 services through reductions in transfers to acute hospitals.</w:t>
      </w:r>
    </w:p>
    <w:p w14:paraId="0692BF8E" w14:textId="77777777" w:rsidR="00847BB1" w:rsidRPr="00530ABE" w:rsidRDefault="00847BB1" w:rsidP="00847BB1">
      <w:pPr>
        <w:ind w:left="180"/>
        <w:rPr>
          <w:sz w:val="22"/>
          <w:szCs w:val="22"/>
        </w:rPr>
      </w:pPr>
      <w:r w:rsidRPr="00A6520D">
        <w:rPr>
          <w:b/>
          <w:bCs/>
          <w:sz w:val="22"/>
          <w:szCs w:val="22"/>
        </w:rPr>
        <w:t>Measure:</w:t>
      </w:r>
      <w:r w:rsidRPr="00530ABE">
        <w:rPr>
          <w:sz w:val="22"/>
          <w:szCs w:val="22"/>
        </w:rPr>
        <w:t xml:space="preserve"> The Applicant will calculate and report on the number of instances, and overall percentage, of SUD patients who are transferred to an acute hospital from the ED or a patient care unit.</w:t>
      </w:r>
    </w:p>
    <w:p w14:paraId="46CB531F" w14:textId="77777777" w:rsidR="00847BB1" w:rsidRPr="00530ABE" w:rsidRDefault="00847BB1" w:rsidP="00847BB1">
      <w:pPr>
        <w:ind w:left="180"/>
        <w:rPr>
          <w:sz w:val="22"/>
          <w:szCs w:val="22"/>
        </w:rPr>
      </w:pPr>
      <w:r w:rsidRPr="00A6520D">
        <w:rPr>
          <w:b/>
          <w:bCs/>
          <w:sz w:val="22"/>
          <w:szCs w:val="22"/>
        </w:rPr>
        <w:t>Denominator</w:t>
      </w:r>
      <w:r w:rsidRPr="00530ABE">
        <w:rPr>
          <w:sz w:val="22"/>
          <w:szCs w:val="22"/>
        </w:rPr>
        <w:t xml:space="preserve"> – Number of SUD patients who require Level 4 admission.</w:t>
      </w:r>
    </w:p>
    <w:p w14:paraId="0140B05F" w14:textId="77777777" w:rsidR="00847BB1" w:rsidRDefault="00847BB1" w:rsidP="00847BB1">
      <w:pPr>
        <w:ind w:left="180"/>
        <w:rPr>
          <w:sz w:val="22"/>
          <w:szCs w:val="22"/>
        </w:rPr>
      </w:pPr>
      <w:r w:rsidRPr="00A6520D">
        <w:rPr>
          <w:b/>
          <w:bCs/>
          <w:sz w:val="22"/>
          <w:szCs w:val="22"/>
        </w:rPr>
        <w:t>Numerator</w:t>
      </w:r>
      <w:r w:rsidRPr="00530ABE">
        <w:rPr>
          <w:sz w:val="22"/>
          <w:szCs w:val="22"/>
        </w:rPr>
        <w:t xml:space="preserve"> – Number of SUD patients transferred to an acute hospital other than Morton from the ED or a patient care unit.</w:t>
      </w:r>
    </w:p>
    <w:p w14:paraId="4099CF4C" w14:textId="77777777" w:rsidR="00A6520D" w:rsidRPr="00530ABE" w:rsidRDefault="00A6520D" w:rsidP="00847BB1">
      <w:pPr>
        <w:ind w:left="180"/>
        <w:rPr>
          <w:sz w:val="22"/>
          <w:szCs w:val="22"/>
        </w:rPr>
      </w:pPr>
    </w:p>
    <w:p w14:paraId="29BAD367" w14:textId="67B25E9D" w:rsidR="00847BB1" w:rsidRPr="00A6520D" w:rsidRDefault="00847BB1" w:rsidP="00A6520D">
      <w:pPr>
        <w:pStyle w:val="ListParagraph"/>
        <w:numPr>
          <w:ilvl w:val="0"/>
          <w:numId w:val="13"/>
        </w:numPr>
        <w:rPr>
          <w:sz w:val="22"/>
          <w:szCs w:val="22"/>
        </w:rPr>
      </w:pPr>
      <w:r w:rsidRPr="00A6520D">
        <w:rPr>
          <w:b/>
          <w:bCs/>
          <w:sz w:val="22"/>
          <w:szCs w:val="22"/>
        </w:rPr>
        <w:t>Outcome – Reduction of AMA Rate:</w:t>
      </w:r>
      <w:r w:rsidRPr="00A6520D">
        <w:rPr>
          <w:sz w:val="22"/>
          <w:szCs w:val="22"/>
        </w:rPr>
        <w:t xml:space="preserve"> Through increased access to a higher level of care following implementation of the Proposed Project, the Applicant anticipates better outcomes through a reduction in SUD patients who leave against medical advice (“AMA”). The Applicant will review the rate of AMA patients.</w:t>
      </w:r>
    </w:p>
    <w:p w14:paraId="7F4CD44E" w14:textId="77777777" w:rsidR="00847BB1" w:rsidRPr="00530ABE" w:rsidRDefault="00847BB1" w:rsidP="00847BB1">
      <w:pPr>
        <w:ind w:left="180"/>
        <w:rPr>
          <w:sz w:val="22"/>
          <w:szCs w:val="22"/>
        </w:rPr>
      </w:pPr>
      <w:r w:rsidRPr="00A6520D">
        <w:rPr>
          <w:b/>
          <w:bCs/>
          <w:sz w:val="22"/>
          <w:szCs w:val="22"/>
        </w:rPr>
        <w:t>Measure:</w:t>
      </w:r>
      <w:r w:rsidRPr="00530ABE">
        <w:rPr>
          <w:sz w:val="22"/>
          <w:szCs w:val="22"/>
        </w:rPr>
        <w:t xml:space="preserve"> The Applicant will track and report the number and overall percentage of SUD patients who leave the Level 4 SUD unit AMA.</w:t>
      </w:r>
    </w:p>
    <w:p w14:paraId="4179C164" w14:textId="77777777" w:rsidR="00847BB1" w:rsidRPr="00530ABE" w:rsidRDefault="00847BB1" w:rsidP="00847BB1">
      <w:pPr>
        <w:ind w:left="180"/>
        <w:rPr>
          <w:sz w:val="22"/>
          <w:szCs w:val="22"/>
        </w:rPr>
      </w:pPr>
      <w:r w:rsidRPr="00A6520D">
        <w:rPr>
          <w:b/>
          <w:bCs/>
          <w:sz w:val="22"/>
          <w:szCs w:val="22"/>
        </w:rPr>
        <w:t xml:space="preserve">Denominator </w:t>
      </w:r>
      <w:r w:rsidRPr="00530ABE">
        <w:rPr>
          <w:sz w:val="22"/>
          <w:szCs w:val="22"/>
        </w:rPr>
        <w:t>– Number of SUD patients.</w:t>
      </w:r>
    </w:p>
    <w:p w14:paraId="76FCDDBC" w14:textId="77777777" w:rsidR="00847BB1" w:rsidRDefault="00847BB1" w:rsidP="00847BB1">
      <w:pPr>
        <w:ind w:left="180"/>
        <w:rPr>
          <w:sz w:val="22"/>
          <w:szCs w:val="22"/>
        </w:rPr>
      </w:pPr>
      <w:r w:rsidRPr="00530ABE">
        <w:rPr>
          <w:sz w:val="22"/>
          <w:szCs w:val="22"/>
        </w:rPr>
        <w:t>Numerator - Number of SUD patients who leave the Level 4 SUD unit AMA.</w:t>
      </w:r>
    </w:p>
    <w:p w14:paraId="02FB93AB" w14:textId="77777777" w:rsidR="00A6520D" w:rsidRPr="00530ABE" w:rsidRDefault="00A6520D" w:rsidP="00847BB1">
      <w:pPr>
        <w:ind w:left="180"/>
        <w:rPr>
          <w:sz w:val="22"/>
          <w:szCs w:val="22"/>
        </w:rPr>
      </w:pPr>
    </w:p>
    <w:p w14:paraId="5DD36F47" w14:textId="085CA685" w:rsidR="00847BB1" w:rsidRPr="00A6520D" w:rsidRDefault="00847BB1" w:rsidP="00A6520D">
      <w:pPr>
        <w:pStyle w:val="ListParagraph"/>
        <w:numPr>
          <w:ilvl w:val="0"/>
          <w:numId w:val="13"/>
        </w:numPr>
        <w:rPr>
          <w:sz w:val="22"/>
          <w:szCs w:val="22"/>
        </w:rPr>
      </w:pPr>
      <w:r w:rsidRPr="00A6520D">
        <w:rPr>
          <w:b/>
          <w:bCs/>
          <w:sz w:val="22"/>
          <w:szCs w:val="22"/>
        </w:rPr>
        <w:t>Outcome – 30-Day Readmission Rates</w:t>
      </w:r>
      <w:r w:rsidRPr="00A6520D">
        <w:rPr>
          <w:sz w:val="22"/>
          <w:szCs w:val="22"/>
        </w:rPr>
        <w:t>: Through the Proposed Project, patients will have increased access to the appropriate level of care across the continuum of SUD services. This measure focuses on how many SUD patients are readmitted to the ED or the inpatient MORCAP unit within 30 days of a previous stay. As a result, the 30-Day Readmission Rate is expected to decline over time.</w:t>
      </w:r>
    </w:p>
    <w:p w14:paraId="1360EBE9" w14:textId="77777777" w:rsidR="00847BB1" w:rsidRPr="00530ABE" w:rsidRDefault="00847BB1" w:rsidP="00847BB1">
      <w:pPr>
        <w:ind w:left="180"/>
        <w:rPr>
          <w:sz w:val="22"/>
          <w:szCs w:val="22"/>
        </w:rPr>
      </w:pPr>
      <w:r w:rsidRPr="00A6520D">
        <w:rPr>
          <w:b/>
          <w:bCs/>
          <w:sz w:val="22"/>
          <w:szCs w:val="22"/>
        </w:rPr>
        <w:t>Measure:</w:t>
      </w:r>
      <w:r w:rsidRPr="00530ABE">
        <w:rPr>
          <w:sz w:val="22"/>
          <w:szCs w:val="22"/>
        </w:rPr>
        <w:t xml:space="preserve"> The Applicant will track and report the number and overall percentage of patients discharged from the Level 4 SUD unit that have a </w:t>
      </w:r>
      <w:proofErr w:type="gramStart"/>
      <w:r w:rsidRPr="00530ABE">
        <w:rPr>
          <w:sz w:val="22"/>
          <w:szCs w:val="22"/>
        </w:rPr>
        <w:t>readmission</w:t>
      </w:r>
      <w:proofErr w:type="gramEnd"/>
      <w:r w:rsidRPr="00530ABE">
        <w:rPr>
          <w:sz w:val="22"/>
          <w:szCs w:val="22"/>
        </w:rPr>
        <w:t xml:space="preserve"> within 30 days.</w:t>
      </w:r>
    </w:p>
    <w:p w14:paraId="0846F974" w14:textId="77777777" w:rsidR="00847BB1" w:rsidRPr="00530ABE" w:rsidRDefault="00847BB1" w:rsidP="00847BB1">
      <w:pPr>
        <w:ind w:left="180"/>
        <w:rPr>
          <w:sz w:val="22"/>
          <w:szCs w:val="22"/>
        </w:rPr>
      </w:pPr>
      <w:r w:rsidRPr="00A6520D">
        <w:rPr>
          <w:b/>
          <w:bCs/>
          <w:sz w:val="22"/>
          <w:szCs w:val="22"/>
        </w:rPr>
        <w:t xml:space="preserve">Denominator </w:t>
      </w:r>
      <w:r w:rsidRPr="00530ABE">
        <w:rPr>
          <w:sz w:val="22"/>
          <w:szCs w:val="22"/>
        </w:rPr>
        <w:t>– Number of SUD patients discharged from the Level 4 SUD unit, excluding those leaving AMA.</w:t>
      </w:r>
    </w:p>
    <w:p w14:paraId="25DC8646" w14:textId="77777777" w:rsidR="00847BB1" w:rsidRDefault="00847BB1" w:rsidP="00847BB1">
      <w:pPr>
        <w:ind w:left="180"/>
        <w:rPr>
          <w:sz w:val="22"/>
          <w:szCs w:val="22"/>
        </w:rPr>
      </w:pPr>
      <w:r w:rsidRPr="00530ABE">
        <w:rPr>
          <w:sz w:val="22"/>
          <w:szCs w:val="22"/>
        </w:rPr>
        <w:lastRenderedPageBreak/>
        <w:t>Numerator – Number of SUD patients readmitted for SUD service within 30 days of discharge date.</w:t>
      </w:r>
    </w:p>
    <w:p w14:paraId="434C0C4B" w14:textId="77777777" w:rsidR="00A6520D" w:rsidRPr="00530ABE" w:rsidRDefault="00A6520D" w:rsidP="00847BB1">
      <w:pPr>
        <w:ind w:left="180"/>
        <w:rPr>
          <w:sz w:val="22"/>
          <w:szCs w:val="22"/>
        </w:rPr>
      </w:pPr>
    </w:p>
    <w:p w14:paraId="1817E893" w14:textId="77777777" w:rsidR="00847BB1" w:rsidRDefault="00847BB1" w:rsidP="00847BB1">
      <w:pPr>
        <w:ind w:left="180"/>
        <w:rPr>
          <w:sz w:val="22"/>
          <w:szCs w:val="22"/>
        </w:rPr>
      </w:pPr>
      <w:r w:rsidRPr="00530ABE">
        <w:rPr>
          <w:sz w:val="22"/>
          <w:szCs w:val="22"/>
        </w:rPr>
        <w:t xml:space="preserve">Ongoing compliance with the conditions and all terms of the </w:t>
      </w:r>
      <w:proofErr w:type="spellStart"/>
      <w:r w:rsidRPr="00530ABE">
        <w:rPr>
          <w:sz w:val="22"/>
          <w:szCs w:val="22"/>
        </w:rPr>
        <w:t>DoN</w:t>
      </w:r>
      <w:proofErr w:type="spellEnd"/>
      <w:r w:rsidRPr="00530ABE">
        <w:rPr>
          <w:sz w:val="22"/>
          <w:szCs w:val="22"/>
        </w:rPr>
        <w:t xml:space="preserve"> is, pursuant to the Regulation, a precondition to the filing of any future </w:t>
      </w:r>
      <w:proofErr w:type="spellStart"/>
      <w:r w:rsidRPr="00530ABE">
        <w:rPr>
          <w:sz w:val="22"/>
          <w:szCs w:val="22"/>
        </w:rPr>
        <w:t>DoN</w:t>
      </w:r>
      <w:proofErr w:type="spellEnd"/>
      <w:r w:rsidRPr="00530ABE">
        <w:rPr>
          <w:sz w:val="22"/>
          <w:szCs w:val="22"/>
        </w:rPr>
        <w:t xml:space="preserve"> by the Holder.</w:t>
      </w:r>
    </w:p>
    <w:p w14:paraId="76BA79ED" w14:textId="77777777" w:rsidR="00A6520D" w:rsidRPr="00530ABE" w:rsidRDefault="00A6520D" w:rsidP="00847BB1">
      <w:pPr>
        <w:ind w:left="180"/>
        <w:rPr>
          <w:sz w:val="22"/>
          <w:szCs w:val="22"/>
        </w:rPr>
      </w:pPr>
    </w:p>
    <w:p w14:paraId="68420B45" w14:textId="77777777" w:rsidR="00847BB1" w:rsidRPr="00530ABE" w:rsidRDefault="00847BB1" w:rsidP="00847BB1">
      <w:pPr>
        <w:ind w:left="180"/>
        <w:rPr>
          <w:sz w:val="22"/>
          <w:szCs w:val="22"/>
        </w:rPr>
      </w:pPr>
      <w:r w:rsidRPr="00530ABE">
        <w:rPr>
          <w:sz w:val="22"/>
          <w:szCs w:val="22"/>
        </w:rPr>
        <w:t>Sincerely,</w:t>
      </w:r>
    </w:p>
    <w:p w14:paraId="48B734ED" w14:textId="77777777" w:rsidR="00847BB1" w:rsidRDefault="00847BB1" w:rsidP="00847BB1">
      <w:pPr>
        <w:ind w:left="180"/>
        <w:rPr>
          <w:sz w:val="22"/>
          <w:szCs w:val="22"/>
        </w:rPr>
      </w:pPr>
      <w:r w:rsidRPr="00530ABE">
        <w:rPr>
          <w:sz w:val="22"/>
          <w:szCs w:val="22"/>
        </w:rPr>
        <w:t>Lara Szent-Gyorgyi</w:t>
      </w:r>
    </w:p>
    <w:p w14:paraId="22891BAD" w14:textId="77777777" w:rsidR="00A6520D" w:rsidRDefault="00A6520D" w:rsidP="00847BB1">
      <w:pPr>
        <w:ind w:left="180"/>
        <w:rPr>
          <w:sz w:val="22"/>
          <w:szCs w:val="22"/>
        </w:rPr>
      </w:pPr>
    </w:p>
    <w:p w14:paraId="5A78ABDC" w14:textId="2D1669F6" w:rsidR="00A6520D" w:rsidRDefault="00A6520D" w:rsidP="00847BB1">
      <w:pPr>
        <w:ind w:left="180"/>
        <w:rPr>
          <w:sz w:val="22"/>
          <w:szCs w:val="22"/>
        </w:rPr>
      </w:pPr>
      <w:r>
        <w:rPr>
          <w:sz w:val="22"/>
          <w:szCs w:val="22"/>
        </w:rPr>
        <w:t>[signature on file]</w:t>
      </w:r>
    </w:p>
    <w:p w14:paraId="305C8A7B" w14:textId="77777777" w:rsidR="00A6520D" w:rsidRPr="00530ABE" w:rsidRDefault="00A6520D" w:rsidP="00847BB1">
      <w:pPr>
        <w:ind w:left="180"/>
        <w:rPr>
          <w:sz w:val="22"/>
          <w:szCs w:val="22"/>
        </w:rPr>
      </w:pPr>
    </w:p>
    <w:p w14:paraId="3776404A" w14:textId="77777777" w:rsidR="00847BB1" w:rsidRPr="00530ABE" w:rsidRDefault="00847BB1" w:rsidP="00847BB1">
      <w:pPr>
        <w:ind w:left="180"/>
        <w:rPr>
          <w:sz w:val="22"/>
          <w:szCs w:val="22"/>
        </w:rPr>
      </w:pPr>
      <w:r w:rsidRPr="00530ABE">
        <w:rPr>
          <w:sz w:val="22"/>
          <w:szCs w:val="22"/>
        </w:rPr>
        <w:t>Director</w:t>
      </w:r>
    </w:p>
    <w:p w14:paraId="4E8D28B4" w14:textId="77777777" w:rsidR="00847BB1" w:rsidRDefault="00847BB1" w:rsidP="00847BB1">
      <w:pPr>
        <w:ind w:left="180"/>
        <w:rPr>
          <w:sz w:val="22"/>
          <w:szCs w:val="22"/>
        </w:rPr>
      </w:pPr>
      <w:r w:rsidRPr="00530ABE">
        <w:rPr>
          <w:sz w:val="22"/>
          <w:szCs w:val="22"/>
        </w:rPr>
        <w:t>Determination of Need Program</w:t>
      </w:r>
    </w:p>
    <w:p w14:paraId="573D5BF1" w14:textId="77777777" w:rsidR="00A6520D" w:rsidRPr="00530ABE" w:rsidRDefault="00A6520D" w:rsidP="00847BB1">
      <w:pPr>
        <w:ind w:left="180"/>
        <w:rPr>
          <w:sz w:val="22"/>
          <w:szCs w:val="22"/>
        </w:rPr>
      </w:pPr>
    </w:p>
    <w:p w14:paraId="185F68B8" w14:textId="77777777" w:rsidR="00847BB1" w:rsidRPr="00530ABE" w:rsidRDefault="00847BB1" w:rsidP="00847BB1">
      <w:pPr>
        <w:ind w:left="180"/>
        <w:rPr>
          <w:sz w:val="22"/>
          <w:szCs w:val="22"/>
        </w:rPr>
      </w:pPr>
      <w:r w:rsidRPr="00530ABE">
        <w:rPr>
          <w:sz w:val="22"/>
          <w:szCs w:val="22"/>
        </w:rPr>
        <w:t>cc:</w:t>
      </w:r>
    </w:p>
    <w:p w14:paraId="1F4120D4" w14:textId="77777777" w:rsidR="00847BB1" w:rsidRPr="00530ABE" w:rsidRDefault="00847BB1" w:rsidP="00847BB1">
      <w:pPr>
        <w:ind w:left="180"/>
        <w:rPr>
          <w:sz w:val="22"/>
          <w:szCs w:val="22"/>
        </w:rPr>
      </w:pPr>
      <w:r w:rsidRPr="00530ABE">
        <w:rPr>
          <w:sz w:val="22"/>
          <w:szCs w:val="22"/>
        </w:rPr>
        <w:t>Elizabeth Kelley, Bureau of Health Care Safety and Quality</w:t>
      </w:r>
    </w:p>
    <w:p w14:paraId="20953185" w14:textId="77777777" w:rsidR="00847BB1" w:rsidRPr="00530ABE" w:rsidRDefault="00847BB1" w:rsidP="00847BB1">
      <w:pPr>
        <w:ind w:left="180"/>
        <w:rPr>
          <w:sz w:val="22"/>
          <w:szCs w:val="22"/>
        </w:rPr>
      </w:pPr>
      <w:r w:rsidRPr="00530ABE">
        <w:rPr>
          <w:sz w:val="22"/>
          <w:szCs w:val="22"/>
        </w:rPr>
        <w:t>Sherman Lohnes, Division of Health Care Facility Licensure and Certification</w:t>
      </w:r>
    </w:p>
    <w:p w14:paraId="16998041" w14:textId="77777777" w:rsidR="00847BB1" w:rsidRPr="00530ABE" w:rsidRDefault="00847BB1" w:rsidP="00847BB1">
      <w:pPr>
        <w:ind w:left="180"/>
        <w:rPr>
          <w:sz w:val="22"/>
          <w:szCs w:val="22"/>
        </w:rPr>
      </w:pPr>
      <w:r w:rsidRPr="00530ABE">
        <w:rPr>
          <w:sz w:val="22"/>
          <w:szCs w:val="22"/>
        </w:rPr>
        <w:t>Daniel Gent, Division of Health Care Facility Licensure and Certification</w:t>
      </w:r>
    </w:p>
    <w:p w14:paraId="19D9F54A" w14:textId="77777777" w:rsidR="00847BB1" w:rsidRPr="00530ABE" w:rsidRDefault="00847BB1" w:rsidP="00847BB1">
      <w:pPr>
        <w:ind w:left="180"/>
        <w:rPr>
          <w:sz w:val="22"/>
          <w:szCs w:val="22"/>
        </w:rPr>
      </w:pPr>
      <w:r w:rsidRPr="00530ABE">
        <w:rPr>
          <w:sz w:val="22"/>
          <w:szCs w:val="22"/>
        </w:rPr>
        <w:t>Rebecca Rodman, General Counsel’s Office</w:t>
      </w:r>
    </w:p>
    <w:p w14:paraId="59A3C9C9" w14:textId="77777777" w:rsidR="00847BB1" w:rsidRPr="00530ABE" w:rsidRDefault="00847BB1" w:rsidP="00847BB1">
      <w:pPr>
        <w:ind w:left="180"/>
        <w:rPr>
          <w:sz w:val="22"/>
          <w:szCs w:val="22"/>
        </w:rPr>
      </w:pPr>
      <w:r w:rsidRPr="00530ABE">
        <w:rPr>
          <w:sz w:val="22"/>
          <w:szCs w:val="22"/>
        </w:rPr>
        <w:t>Samuel Louis, Office of Health Equity</w:t>
      </w:r>
    </w:p>
    <w:p w14:paraId="7B80FCCE" w14:textId="77777777" w:rsidR="00847BB1" w:rsidRPr="00530ABE" w:rsidRDefault="00847BB1" w:rsidP="00847BB1">
      <w:pPr>
        <w:ind w:left="180"/>
        <w:rPr>
          <w:sz w:val="22"/>
          <w:szCs w:val="22"/>
        </w:rPr>
      </w:pPr>
      <w:r w:rsidRPr="00530ABE">
        <w:rPr>
          <w:sz w:val="22"/>
          <w:szCs w:val="22"/>
        </w:rPr>
        <w:t>Mary Byrnes, Center for Health Information Analysis</w:t>
      </w:r>
    </w:p>
    <w:p w14:paraId="1E6F7468" w14:textId="77777777" w:rsidR="00847BB1" w:rsidRPr="00530ABE" w:rsidRDefault="00847BB1" w:rsidP="00847BB1">
      <w:pPr>
        <w:ind w:left="180"/>
        <w:rPr>
          <w:sz w:val="22"/>
          <w:szCs w:val="22"/>
        </w:rPr>
      </w:pPr>
      <w:r w:rsidRPr="00530ABE">
        <w:rPr>
          <w:sz w:val="22"/>
          <w:szCs w:val="22"/>
        </w:rPr>
        <w:t>Zhao Zhang, MassHealth</w:t>
      </w:r>
    </w:p>
    <w:p w14:paraId="34D18024" w14:textId="77777777" w:rsidR="00847BB1" w:rsidRPr="00530ABE" w:rsidRDefault="00847BB1" w:rsidP="00847BB1">
      <w:pPr>
        <w:ind w:left="180"/>
        <w:rPr>
          <w:sz w:val="22"/>
          <w:szCs w:val="22"/>
        </w:rPr>
      </w:pPr>
      <w:r w:rsidRPr="00530ABE">
        <w:rPr>
          <w:sz w:val="22"/>
          <w:szCs w:val="22"/>
        </w:rPr>
        <w:t>Katherine Mills, Health Policy Commission</w:t>
      </w:r>
    </w:p>
    <w:p w14:paraId="642DAE0E" w14:textId="77777777" w:rsidR="00847BB1" w:rsidRPr="00530ABE" w:rsidRDefault="00847BB1" w:rsidP="00847BB1">
      <w:pPr>
        <w:ind w:left="180"/>
        <w:rPr>
          <w:sz w:val="22"/>
          <w:szCs w:val="22"/>
        </w:rPr>
      </w:pPr>
      <w:r w:rsidRPr="00530ABE">
        <w:rPr>
          <w:sz w:val="22"/>
          <w:szCs w:val="22"/>
        </w:rPr>
        <w:t>Ben Wood, Office of Community Health Planning</w:t>
      </w:r>
    </w:p>
    <w:p w14:paraId="477B4C24" w14:textId="77777777" w:rsidR="00847BB1" w:rsidRPr="00530ABE" w:rsidRDefault="00847BB1" w:rsidP="00847BB1">
      <w:pPr>
        <w:ind w:left="180"/>
        <w:rPr>
          <w:sz w:val="22"/>
          <w:szCs w:val="22"/>
        </w:rPr>
      </w:pPr>
      <w:r w:rsidRPr="00530ABE">
        <w:rPr>
          <w:sz w:val="22"/>
          <w:szCs w:val="22"/>
        </w:rPr>
        <w:t>Elizabeth Maffei, Office of Community Health Planning</w:t>
      </w:r>
    </w:p>
    <w:p w14:paraId="6024E0FC" w14:textId="77777777" w:rsidR="00847BB1" w:rsidRPr="00530ABE" w:rsidRDefault="00847BB1" w:rsidP="00847BB1">
      <w:pPr>
        <w:ind w:left="180"/>
        <w:rPr>
          <w:sz w:val="22"/>
          <w:szCs w:val="22"/>
        </w:rPr>
      </w:pPr>
      <w:r w:rsidRPr="00530ABE">
        <w:rPr>
          <w:sz w:val="22"/>
          <w:szCs w:val="22"/>
        </w:rPr>
        <w:t>Jennica Allen, Office of Community Health Planning</w:t>
      </w:r>
    </w:p>
    <w:p w14:paraId="6E781EF7" w14:textId="01D81092" w:rsidR="00905D98" w:rsidRPr="00530ABE" w:rsidRDefault="00847BB1" w:rsidP="00847BB1">
      <w:pPr>
        <w:ind w:left="180"/>
        <w:rPr>
          <w:sz w:val="22"/>
          <w:szCs w:val="22"/>
        </w:rPr>
      </w:pPr>
      <w:r w:rsidRPr="00530ABE">
        <w:rPr>
          <w:sz w:val="22"/>
          <w:szCs w:val="22"/>
        </w:rPr>
        <w:t>Eric Gold, Attorney General’s Office</w:t>
      </w:r>
    </w:p>
    <w:sectPr w:rsidR="00905D98" w:rsidRPr="00530ABE" w:rsidSect="00237CED">
      <w:type w:val="continuous"/>
      <w:pgSz w:w="12240" w:h="15840"/>
      <w:pgMar w:top="1440" w:right="1440" w:bottom="540" w:left="1440" w:header="54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2CCF9" w14:textId="77777777" w:rsidR="006A2C03" w:rsidRDefault="006A2C03" w:rsidP="00ED2D06">
      <w:r>
        <w:separator/>
      </w:r>
    </w:p>
  </w:endnote>
  <w:endnote w:type="continuationSeparator" w:id="0">
    <w:p w14:paraId="618B9D21" w14:textId="77777777" w:rsidR="006A2C03" w:rsidRDefault="006A2C03" w:rsidP="00ED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DBF2B" w14:textId="77777777" w:rsidR="006A2C03" w:rsidRDefault="006A2C03" w:rsidP="00ED2D06">
      <w:r>
        <w:separator/>
      </w:r>
    </w:p>
  </w:footnote>
  <w:footnote w:type="continuationSeparator" w:id="0">
    <w:p w14:paraId="733210B7" w14:textId="77777777" w:rsidR="006A2C03" w:rsidRDefault="006A2C03" w:rsidP="00ED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4474" w14:textId="77777777" w:rsidR="00ED2D06" w:rsidRDefault="00000000">
    <w:pPr>
      <w:pStyle w:val="Header"/>
    </w:pPr>
    <w:r>
      <w:rPr>
        <w:noProof/>
      </w:rPr>
      <w:pict w14:anchorId="6C93B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55C31" w14:textId="77777777" w:rsidR="00ED2D06" w:rsidRDefault="00000000">
    <w:pPr>
      <w:pStyle w:val="Header"/>
    </w:pPr>
    <w:r>
      <w:rPr>
        <w:noProof/>
      </w:rPr>
      <w:pict w14:anchorId="7A4D3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143D2"/>
    <w:multiLevelType w:val="hybridMultilevel"/>
    <w:tmpl w:val="1E307758"/>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3396E"/>
    <w:multiLevelType w:val="hybridMultilevel"/>
    <w:tmpl w:val="C824ACE0"/>
    <w:lvl w:ilvl="0" w:tplc="0EEA686C">
      <w:start w:val="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613B4"/>
    <w:multiLevelType w:val="hybridMultilevel"/>
    <w:tmpl w:val="FBFCB9F4"/>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10955"/>
    <w:multiLevelType w:val="hybridMultilevel"/>
    <w:tmpl w:val="3618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C1EB2"/>
    <w:multiLevelType w:val="hybridMultilevel"/>
    <w:tmpl w:val="77B49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12F53"/>
    <w:multiLevelType w:val="hybridMultilevel"/>
    <w:tmpl w:val="C7A6D75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2F1E66"/>
    <w:multiLevelType w:val="hybridMultilevel"/>
    <w:tmpl w:val="E3527C96"/>
    <w:lvl w:ilvl="0" w:tplc="FFFFFFFF">
      <w:start w:val="1"/>
      <w:numFmt w:val="decimal"/>
      <w:lvlText w:val="%1."/>
      <w:lvlJc w:val="left"/>
      <w:pPr>
        <w:ind w:left="540" w:hanging="360"/>
      </w:pPr>
      <w:rPr>
        <w:rFonts w:hint="default"/>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501F7B03"/>
    <w:multiLevelType w:val="hybridMultilevel"/>
    <w:tmpl w:val="F38CC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05BD1"/>
    <w:multiLevelType w:val="hybridMultilevel"/>
    <w:tmpl w:val="52FE6512"/>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F19BB"/>
    <w:multiLevelType w:val="hybridMultilevel"/>
    <w:tmpl w:val="C5E6C65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7946DE3"/>
    <w:multiLevelType w:val="hybridMultilevel"/>
    <w:tmpl w:val="C406CD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A5C9B"/>
    <w:multiLevelType w:val="hybridMultilevel"/>
    <w:tmpl w:val="D83C1766"/>
    <w:lvl w:ilvl="0" w:tplc="2C0889A0">
      <w:start w:val="1"/>
      <w:numFmt w:val="decimal"/>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02A4ADF"/>
    <w:multiLevelType w:val="hybridMultilevel"/>
    <w:tmpl w:val="1E2E3FFC"/>
    <w:lvl w:ilvl="0" w:tplc="2C0889A0">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84843347">
    <w:abstractNumId w:val="3"/>
  </w:num>
  <w:num w:numId="2" w16cid:durableId="1694306567">
    <w:abstractNumId w:val="4"/>
  </w:num>
  <w:num w:numId="3" w16cid:durableId="1560439606">
    <w:abstractNumId w:val="5"/>
  </w:num>
  <w:num w:numId="4" w16cid:durableId="1142582102">
    <w:abstractNumId w:val="2"/>
  </w:num>
  <w:num w:numId="5" w16cid:durableId="508520603">
    <w:abstractNumId w:val="1"/>
  </w:num>
  <w:num w:numId="6" w16cid:durableId="1145120576">
    <w:abstractNumId w:val="8"/>
  </w:num>
  <w:num w:numId="7" w16cid:durableId="2084178893">
    <w:abstractNumId w:val="0"/>
  </w:num>
  <w:num w:numId="8" w16cid:durableId="267007087">
    <w:abstractNumId w:val="7"/>
  </w:num>
  <w:num w:numId="9" w16cid:durableId="190656310">
    <w:abstractNumId w:val="10"/>
  </w:num>
  <w:num w:numId="10" w16cid:durableId="1828857453">
    <w:abstractNumId w:val="9"/>
  </w:num>
  <w:num w:numId="11" w16cid:durableId="205416912">
    <w:abstractNumId w:val="12"/>
  </w:num>
  <w:num w:numId="12" w16cid:durableId="766772613">
    <w:abstractNumId w:val="11"/>
  </w:num>
  <w:num w:numId="13" w16cid:durableId="1935743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06"/>
    <w:rsid w:val="00237CED"/>
    <w:rsid w:val="00325E67"/>
    <w:rsid w:val="00530ABE"/>
    <w:rsid w:val="006A2C03"/>
    <w:rsid w:val="00847BB1"/>
    <w:rsid w:val="00895904"/>
    <w:rsid w:val="00905D98"/>
    <w:rsid w:val="00A11743"/>
    <w:rsid w:val="00A557E2"/>
    <w:rsid w:val="00A6520D"/>
    <w:rsid w:val="00B443DC"/>
    <w:rsid w:val="00BF01F1"/>
    <w:rsid w:val="00D74ACB"/>
    <w:rsid w:val="00ED2D06"/>
    <w:rsid w:val="00F8023D"/>
    <w:rsid w:val="00F9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4ED0"/>
  <w15:chartTrackingRefBased/>
  <w15:docId w15:val="{900CA42C-2BB9-4C04-B05A-D5C8760F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ED2D06"/>
    <w:pPr>
      <w:framePr w:w="6927" w:hSpace="187" w:wrap="notBeside" w:vAnchor="text" w:hAnchor="page" w:x="3594" w:y="1"/>
      <w:jc w:val="center"/>
    </w:pPr>
    <w:rPr>
      <w:rFonts w:ascii="Arial" w:hAnsi="Arial"/>
      <w:sz w:val="28"/>
    </w:rPr>
  </w:style>
  <w:style w:type="paragraph" w:customStyle="1" w:styleId="Weld">
    <w:name w:val="Weld"/>
    <w:basedOn w:val="Normal"/>
    <w:rsid w:val="00ED2D0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D2D06"/>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ED2D06"/>
    <w:rPr>
      <w:color w:val="0000FF"/>
      <w:u w:val="single"/>
    </w:rPr>
  </w:style>
  <w:style w:type="paragraph" w:styleId="Header">
    <w:name w:val="header"/>
    <w:basedOn w:val="Normal"/>
    <w:link w:val="HeaderChar"/>
    <w:rsid w:val="00ED2D06"/>
    <w:pPr>
      <w:tabs>
        <w:tab w:val="center" w:pos="4680"/>
        <w:tab w:val="right" w:pos="9360"/>
      </w:tabs>
    </w:pPr>
  </w:style>
  <w:style w:type="character" w:customStyle="1" w:styleId="HeaderChar">
    <w:name w:val="Header Char"/>
    <w:basedOn w:val="DefaultParagraphFont"/>
    <w:link w:val="Header"/>
    <w:rsid w:val="00ED2D06"/>
    <w:rPr>
      <w:rFonts w:ascii="Times New Roman" w:eastAsia="Times New Roman" w:hAnsi="Times New Roman" w:cs="Times New Roman"/>
      <w:sz w:val="24"/>
      <w:szCs w:val="20"/>
    </w:rPr>
  </w:style>
  <w:style w:type="paragraph" w:styleId="Footer">
    <w:name w:val="footer"/>
    <w:basedOn w:val="Normal"/>
    <w:link w:val="FooterChar"/>
    <w:uiPriority w:val="99"/>
    <w:rsid w:val="00ED2D06"/>
    <w:pPr>
      <w:tabs>
        <w:tab w:val="center" w:pos="4680"/>
        <w:tab w:val="right" w:pos="9360"/>
      </w:tabs>
    </w:pPr>
  </w:style>
  <w:style w:type="character" w:customStyle="1" w:styleId="FooterChar">
    <w:name w:val="Footer Char"/>
    <w:basedOn w:val="DefaultParagraphFont"/>
    <w:link w:val="Footer"/>
    <w:uiPriority w:val="99"/>
    <w:rsid w:val="00ED2D06"/>
    <w:rPr>
      <w:rFonts w:ascii="Times New Roman" w:eastAsia="Times New Roman" w:hAnsi="Times New Roman" w:cs="Times New Roman"/>
      <w:sz w:val="24"/>
      <w:szCs w:val="20"/>
    </w:rPr>
  </w:style>
  <w:style w:type="paragraph" w:styleId="ListParagraph">
    <w:name w:val="List Paragraph"/>
    <w:basedOn w:val="Normal"/>
    <w:uiPriority w:val="34"/>
    <w:qFormat/>
    <w:rsid w:val="00ED2D06"/>
    <w:pPr>
      <w:ind w:left="720"/>
      <w:contextualSpacing/>
    </w:pPr>
  </w:style>
  <w:style w:type="paragraph" w:styleId="FootnoteText">
    <w:name w:val="footnote text"/>
    <w:basedOn w:val="Normal"/>
    <w:link w:val="FootnoteTextChar"/>
    <w:uiPriority w:val="99"/>
    <w:semiHidden/>
    <w:unhideWhenUsed/>
    <w:rsid w:val="00ED2D06"/>
    <w:rPr>
      <w:sz w:val="20"/>
    </w:rPr>
  </w:style>
  <w:style w:type="character" w:customStyle="1" w:styleId="FootnoteTextChar">
    <w:name w:val="Footnote Text Char"/>
    <w:basedOn w:val="DefaultParagraphFont"/>
    <w:link w:val="FootnoteText"/>
    <w:uiPriority w:val="99"/>
    <w:semiHidden/>
    <w:rsid w:val="00ED2D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2D06"/>
    <w:rPr>
      <w:vertAlign w:val="superscript"/>
    </w:rPr>
  </w:style>
  <w:style w:type="character" w:styleId="UnresolvedMention">
    <w:name w:val="Unresolved Mention"/>
    <w:basedOn w:val="DefaultParagraphFont"/>
    <w:uiPriority w:val="99"/>
    <w:semiHidden/>
    <w:unhideWhenUsed/>
    <w:rsid w:val="00237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vine@summithealthlawpartn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BB51-0B82-4981-BD25-0C33BF28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8</cp:revision>
  <dcterms:created xsi:type="dcterms:W3CDTF">2022-12-27T12:58:00Z</dcterms:created>
  <dcterms:modified xsi:type="dcterms:W3CDTF">2024-12-12T16:23:00Z</dcterms:modified>
</cp:coreProperties>
</file>