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416AC" w14:textId="77777777" w:rsidR="00C655E5" w:rsidRDefault="00C655E5" w:rsidP="00C655E5">
      <w:pPr>
        <w:rPr>
          <w:b/>
          <w:bCs/>
        </w:rPr>
      </w:pPr>
    </w:p>
    <w:p w14:paraId="7BF21546" w14:textId="5E08BEC8" w:rsidR="00C655E5" w:rsidRPr="00771764" w:rsidRDefault="00C655E5" w:rsidP="00015A57">
      <w:pPr>
        <w:pStyle w:val="ListParagraph"/>
        <w:numPr>
          <w:ilvl w:val="0"/>
          <w:numId w:val="3"/>
        </w:numPr>
        <w:tabs>
          <w:tab w:val="left" w:pos="4455"/>
        </w:tabs>
        <w:rPr>
          <w:b/>
          <w:bCs/>
        </w:rPr>
      </w:pPr>
      <w:r w:rsidRPr="00771764">
        <w:rPr>
          <w:b/>
          <w:bCs/>
        </w:rPr>
        <w:t xml:space="preserve">For comparison purposes, please provide Patient Panel data (counts) for Steward NE, GSMC, and GSMC inpatient psychiatric patients for FY19 (Q1-Q4). </w:t>
      </w:r>
    </w:p>
    <w:p w14:paraId="108BE264" w14:textId="6178C0BC" w:rsidR="00C655E5" w:rsidRDefault="00C655E5" w:rsidP="00C655E5">
      <w:pPr>
        <w:pStyle w:val="ListParagraph"/>
        <w:tabs>
          <w:tab w:val="left" w:pos="4455"/>
        </w:tabs>
      </w:pPr>
    </w:p>
    <w:p w14:paraId="7086E527" w14:textId="16BEC63C" w:rsidR="00C655E5" w:rsidRPr="00771764" w:rsidRDefault="00C655E5" w:rsidP="00015A57">
      <w:pPr>
        <w:tabs>
          <w:tab w:val="left" w:pos="4455"/>
        </w:tabs>
        <w:ind w:left="360"/>
      </w:pPr>
      <w:r w:rsidRPr="00771764">
        <w:rPr>
          <w:u w:val="single"/>
        </w:rPr>
        <w:t>Response</w:t>
      </w:r>
      <w:r w:rsidRPr="00771764">
        <w:t xml:space="preserve">: </w:t>
      </w:r>
      <w:r w:rsidR="00771764">
        <w:t>Please refer to the tables below for the Patient Panel Data counts for Steward NE, GSMC, and GSMC inpatient psychiatric patients for FY19(Q1-Q4).</w:t>
      </w:r>
    </w:p>
    <w:p w14:paraId="30B69671" w14:textId="67B63099" w:rsidR="002A38DF" w:rsidRPr="001049C7" w:rsidRDefault="001049C7" w:rsidP="00771764">
      <w:pPr>
        <w:tabs>
          <w:tab w:val="left" w:pos="4455"/>
        </w:tabs>
        <w:rPr>
          <w:b/>
          <w:bCs/>
        </w:rPr>
      </w:pPr>
      <w:r w:rsidRPr="001049C7">
        <w:rPr>
          <w:b/>
          <w:bCs/>
        </w:rPr>
        <w:t>Steward NE Patient Panel</w:t>
      </w:r>
      <w:r w:rsidR="002A38DF">
        <w:rPr>
          <w:b/>
          <w:bCs/>
        </w:rPr>
        <w:t xml:space="preserve">                                                </w:t>
      </w:r>
    </w:p>
    <w:tbl>
      <w:tblPr>
        <w:tblStyle w:val="TableGrid"/>
        <w:tblpPr w:leftFromText="180" w:rightFromText="180" w:vertAnchor="text" w:tblpY="1"/>
        <w:tblOverlap w:val="never"/>
        <w:tblW w:w="3915" w:type="dxa"/>
        <w:tblLook w:val="04A0" w:firstRow="1" w:lastRow="0" w:firstColumn="1" w:lastColumn="0" w:noHBand="0" w:noVBand="1"/>
      </w:tblPr>
      <w:tblGrid>
        <w:gridCol w:w="2025"/>
        <w:gridCol w:w="1890"/>
      </w:tblGrid>
      <w:tr w:rsidR="001049C7" w:rsidRPr="00CF4184" w14:paraId="18B18A57" w14:textId="77777777" w:rsidTr="00063FFA">
        <w:trPr>
          <w:cantSplit/>
          <w:trHeight w:val="280"/>
          <w:tblHeader/>
        </w:trPr>
        <w:tc>
          <w:tcPr>
            <w:tcW w:w="2025" w:type="dxa"/>
            <w:tcBorders>
              <w:bottom w:val="nil"/>
            </w:tcBorders>
            <w:noWrap/>
            <w:vAlign w:val="center"/>
          </w:tcPr>
          <w:p w14:paraId="02C351B1" w14:textId="25DB9318" w:rsidR="001049C7" w:rsidRPr="00CF4184" w:rsidRDefault="001049C7" w:rsidP="001049C7">
            <w:pPr>
              <w:jc w:val="center"/>
              <w:rPr>
                <w:rFonts w:ascii="Arial" w:eastAsia="Verdana" w:hAnsi="Arial" w:cs="Arial"/>
                <w:sz w:val="18"/>
                <w:szCs w:val="18"/>
              </w:rPr>
            </w:pPr>
            <w:r>
              <w:rPr>
                <w:rFonts w:asciiTheme="majorHAnsi" w:eastAsia="Verdana" w:hAnsiTheme="majorHAnsi" w:cstheme="majorHAnsi"/>
                <w:sz w:val="18"/>
                <w:szCs w:val="18"/>
              </w:rPr>
              <w:t xml:space="preserve"> </w:t>
            </w:r>
            <w:r w:rsidRPr="00CF4184">
              <w:rPr>
                <w:rFonts w:asciiTheme="majorHAnsi" w:eastAsia="Verdana" w:hAnsiTheme="majorHAnsi" w:cstheme="majorHAnsi"/>
                <w:sz w:val="18"/>
                <w:szCs w:val="18"/>
              </w:rPr>
              <w:t>Demographic Measure</w:t>
            </w:r>
          </w:p>
        </w:tc>
        <w:tc>
          <w:tcPr>
            <w:tcW w:w="1890" w:type="dxa"/>
            <w:shd w:val="clear" w:color="auto" w:fill="B4C6E7" w:themeFill="accent1" w:themeFillTint="66"/>
            <w:noWrap/>
          </w:tcPr>
          <w:p w14:paraId="1A21AB33" w14:textId="1EDA996B" w:rsidR="001049C7" w:rsidRPr="00CF4184" w:rsidRDefault="001049C7" w:rsidP="001049C7">
            <w:pPr>
              <w:jc w:val="center"/>
              <w:rPr>
                <w:rFonts w:asciiTheme="majorHAnsi" w:eastAsia="Verdana" w:hAnsiTheme="majorHAnsi" w:cstheme="majorHAnsi"/>
                <w:b/>
                <w:bCs/>
                <w:sz w:val="18"/>
                <w:szCs w:val="18"/>
              </w:rPr>
            </w:pPr>
            <w:r>
              <w:rPr>
                <w:rFonts w:asciiTheme="majorHAnsi" w:eastAsia="Verdana" w:hAnsiTheme="majorHAnsi" w:cstheme="majorHAnsi"/>
                <w:b/>
                <w:bCs/>
                <w:sz w:val="18"/>
                <w:szCs w:val="18"/>
              </w:rPr>
              <w:t xml:space="preserve">FY19 </w:t>
            </w:r>
            <w:r w:rsidR="00385151">
              <w:rPr>
                <w:rFonts w:asciiTheme="majorHAnsi" w:eastAsia="Verdana" w:hAnsiTheme="majorHAnsi" w:cstheme="majorHAnsi"/>
                <w:b/>
                <w:bCs/>
                <w:sz w:val="18"/>
                <w:szCs w:val="18"/>
              </w:rPr>
              <w:t>(Q1-Q4)</w:t>
            </w:r>
          </w:p>
        </w:tc>
      </w:tr>
      <w:tr w:rsidR="001049C7" w:rsidRPr="00CF4184" w14:paraId="29CA2785" w14:textId="77777777" w:rsidTr="00063FFA">
        <w:trPr>
          <w:cantSplit/>
          <w:trHeight w:val="280"/>
          <w:tblHeader/>
        </w:trPr>
        <w:tc>
          <w:tcPr>
            <w:tcW w:w="2025" w:type="dxa"/>
            <w:tcBorders>
              <w:top w:val="nil"/>
            </w:tcBorders>
            <w:noWrap/>
            <w:vAlign w:val="center"/>
          </w:tcPr>
          <w:p w14:paraId="6E14E8AB" w14:textId="77777777" w:rsidR="001049C7" w:rsidRPr="00CF4184" w:rsidRDefault="001049C7" w:rsidP="001049C7">
            <w:pPr>
              <w:jc w:val="center"/>
              <w:rPr>
                <w:rFonts w:asciiTheme="majorHAnsi" w:eastAsia="Verdana" w:hAnsiTheme="majorHAnsi" w:cstheme="majorHAnsi"/>
                <w:sz w:val="18"/>
                <w:szCs w:val="18"/>
              </w:rPr>
            </w:pPr>
          </w:p>
        </w:tc>
        <w:tc>
          <w:tcPr>
            <w:tcW w:w="1890" w:type="dxa"/>
            <w:noWrap/>
            <w:vAlign w:val="center"/>
          </w:tcPr>
          <w:p w14:paraId="332EE9C0" w14:textId="77777777" w:rsidR="001049C7" w:rsidRPr="00CF4184" w:rsidRDefault="001049C7" w:rsidP="001049C7">
            <w:pPr>
              <w:jc w:val="center"/>
              <w:rPr>
                <w:rFonts w:asciiTheme="majorHAnsi" w:eastAsia="Verdana" w:hAnsiTheme="majorHAnsi" w:cstheme="majorHAnsi"/>
                <w:sz w:val="18"/>
                <w:szCs w:val="18"/>
              </w:rPr>
            </w:pPr>
            <w:r w:rsidRPr="00CF4184">
              <w:rPr>
                <w:rFonts w:asciiTheme="majorHAnsi" w:eastAsia="Verdana" w:hAnsiTheme="majorHAnsi" w:cstheme="majorHAnsi"/>
                <w:sz w:val="18"/>
                <w:szCs w:val="18"/>
              </w:rPr>
              <w:t>Count</w:t>
            </w:r>
          </w:p>
        </w:tc>
      </w:tr>
      <w:tr w:rsidR="001049C7" w:rsidRPr="00702EAF" w14:paraId="4981FBE0" w14:textId="77777777" w:rsidTr="00063FFA">
        <w:trPr>
          <w:cantSplit/>
          <w:trHeight w:val="280"/>
        </w:trPr>
        <w:tc>
          <w:tcPr>
            <w:tcW w:w="2025" w:type="dxa"/>
            <w:shd w:val="clear" w:color="auto" w:fill="DEEAF6" w:themeFill="accent5" w:themeFillTint="33"/>
            <w:noWrap/>
          </w:tcPr>
          <w:p w14:paraId="4B5AD8B5" w14:textId="052C8477" w:rsidR="001049C7" w:rsidRPr="00702EAF" w:rsidRDefault="001049C7" w:rsidP="001049C7">
            <w:pPr>
              <w:jc w:val="center"/>
              <w:rPr>
                <w:rFonts w:asciiTheme="majorHAnsi" w:eastAsia="Verdana" w:hAnsiTheme="majorHAnsi" w:cstheme="majorHAnsi"/>
                <w:b/>
                <w:bCs/>
                <w:sz w:val="18"/>
                <w:szCs w:val="18"/>
                <w:highlight w:val="yellow"/>
              </w:rPr>
            </w:pPr>
            <w:r>
              <w:rPr>
                <w:rFonts w:asciiTheme="majorHAnsi" w:eastAsia="Verdana" w:hAnsiTheme="majorHAnsi" w:cstheme="majorHAnsi"/>
                <w:b/>
                <w:bCs/>
                <w:sz w:val="18"/>
                <w:szCs w:val="18"/>
              </w:rPr>
              <w:t xml:space="preserve"> </w:t>
            </w:r>
            <w:r w:rsidRPr="00201745">
              <w:rPr>
                <w:rFonts w:asciiTheme="majorHAnsi" w:eastAsia="Verdana" w:hAnsiTheme="majorHAnsi" w:cstheme="majorHAnsi"/>
                <w:b/>
                <w:bCs/>
                <w:sz w:val="18"/>
                <w:szCs w:val="18"/>
              </w:rPr>
              <w:t>Age</w:t>
            </w:r>
          </w:p>
        </w:tc>
        <w:tc>
          <w:tcPr>
            <w:tcW w:w="1890" w:type="dxa"/>
            <w:shd w:val="clear" w:color="auto" w:fill="DEEAF6" w:themeFill="accent5" w:themeFillTint="33"/>
            <w:noWrap/>
          </w:tcPr>
          <w:p w14:paraId="773864DA" w14:textId="77777777" w:rsidR="001049C7" w:rsidRPr="00702EAF" w:rsidRDefault="001049C7" w:rsidP="001049C7">
            <w:pPr>
              <w:jc w:val="center"/>
              <w:rPr>
                <w:rFonts w:ascii="Arial" w:eastAsia="Verdana" w:hAnsi="Arial" w:cs="Arial"/>
                <w:sz w:val="18"/>
                <w:szCs w:val="18"/>
                <w:highlight w:val="yellow"/>
              </w:rPr>
            </w:pPr>
          </w:p>
        </w:tc>
      </w:tr>
      <w:tr w:rsidR="00385151" w:rsidRPr="00EA1C17" w14:paraId="034E2F11" w14:textId="77777777" w:rsidTr="00063FFA">
        <w:trPr>
          <w:cantSplit/>
          <w:trHeight w:val="197"/>
        </w:trPr>
        <w:tc>
          <w:tcPr>
            <w:tcW w:w="2025" w:type="dxa"/>
            <w:noWrap/>
            <w:hideMark/>
          </w:tcPr>
          <w:p w14:paraId="1AA8A3CF" w14:textId="77777777" w:rsidR="00385151" w:rsidRPr="00201745" w:rsidRDefault="00385151" w:rsidP="00385151">
            <w:pPr>
              <w:rPr>
                <w:rFonts w:asciiTheme="majorHAnsi" w:eastAsia="Verdana" w:hAnsiTheme="majorHAnsi" w:cstheme="majorHAnsi"/>
                <w:sz w:val="18"/>
                <w:szCs w:val="18"/>
              </w:rPr>
            </w:pPr>
            <w:r w:rsidRPr="00201745">
              <w:rPr>
                <w:rFonts w:asciiTheme="majorHAnsi" w:eastAsia="Verdana" w:hAnsiTheme="majorHAnsi" w:cstheme="majorHAnsi"/>
                <w:sz w:val="18"/>
                <w:szCs w:val="18"/>
              </w:rPr>
              <w:t>0 to 18</w:t>
            </w:r>
          </w:p>
        </w:tc>
        <w:tc>
          <w:tcPr>
            <w:tcW w:w="1890" w:type="dxa"/>
            <w:noWrap/>
            <w:vAlign w:val="bottom"/>
            <w:hideMark/>
          </w:tcPr>
          <w:p w14:paraId="52A0F119" w14:textId="76BF5873" w:rsidR="00385151" w:rsidRPr="008C138D" w:rsidRDefault="00385151" w:rsidP="008C138D">
            <w:pPr>
              <w:jc w:val="center"/>
              <w:rPr>
                <w:rFonts w:asciiTheme="majorHAnsi" w:eastAsia="Verdana" w:hAnsiTheme="majorHAnsi" w:cstheme="majorHAnsi"/>
                <w:sz w:val="18"/>
                <w:szCs w:val="18"/>
              </w:rPr>
            </w:pPr>
            <w:r w:rsidRPr="008C138D">
              <w:rPr>
                <w:rFonts w:asciiTheme="majorHAnsi" w:hAnsiTheme="majorHAnsi" w:cstheme="majorHAnsi"/>
                <w:color w:val="000000"/>
                <w:sz w:val="18"/>
                <w:szCs w:val="18"/>
              </w:rPr>
              <w:t>56,101</w:t>
            </w:r>
          </w:p>
        </w:tc>
      </w:tr>
      <w:tr w:rsidR="00385151" w:rsidRPr="00EA1C17" w14:paraId="5836A8F3" w14:textId="77777777" w:rsidTr="00063FFA">
        <w:trPr>
          <w:cantSplit/>
          <w:trHeight w:val="224"/>
        </w:trPr>
        <w:tc>
          <w:tcPr>
            <w:tcW w:w="2025" w:type="dxa"/>
            <w:noWrap/>
            <w:hideMark/>
          </w:tcPr>
          <w:p w14:paraId="697050A0" w14:textId="77777777" w:rsidR="00385151" w:rsidRPr="00201745" w:rsidRDefault="00385151" w:rsidP="00385151">
            <w:pPr>
              <w:rPr>
                <w:rFonts w:asciiTheme="majorHAnsi" w:eastAsia="Verdana" w:hAnsiTheme="majorHAnsi" w:cstheme="majorHAnsi"/>
                <w:sz w:val="18"/>
                <w:szCs w:val="18"/>
              </w:rPr>
            </w:pPr>
            <w:r w:rsidRPr="00201745">
              <w:rPr>
                <w:rFonts w:asciiTheme="majorHAnsi" w:eastAsia="Verdana" w:hAnsiTheme="majorHAnsi" w:cstheme="majorHAnsi"/>
                <w:sz w:val="18"/>
                <w:szCs w:val="18"/>
              </w:rPr>
              <w:t>19 to 45</w:t>
            </w:r>
          </w:p>
        </w:tc>
        <w:tc>
          <w:tcPr>
            <w:tcW w:w="1890" w:type="dxa"/>
            <w:noWrap/>
            <w:vAlign w:val="bottom"/>
            <w:hideMark/>
          </w:tcPr>
          <w:p w14:paraId="14D205D6" w14:textId="1943C005" w:rsidR="00385151" w:rsidRPr="008C138D" w:rsidRDefault="00385151" w:rsidP="008C138D">
            <w:pPr>
              <w:jc w:val="center"/>
              <w:rPr>
                <w:rFonts w:asciiTheme="majorHAnsi" w:eastAsia="Verdana" w:hAnsiTheme="majorHAnsi" w:cstheme="majorHAnsi"/>
                <w:sz w:val="18"/>
                <w:szCs w:val="18"/>
              </w:rPr>
            </w:pPr>
            <w:r w:rsidRPr="008C138D">
              <w:rPr>
                <w:rFonts w:asciiTheme="majorHAnsi" w:hAnsiTheme="majorHAnsi" w:cstheme="majorHAnsi"/>
                <w:color w:val="000000"/>
                <w:sz w:val="18"/>
                <w:szCs w:val="18"/>
              </w:rPr>
              <w:t>158,418</w:t>
            </w:r>
          </w:p>
        </w:tc>
      </w:tr>
      <w:tr w:rsidR="00385151" w:rsidRPr="00EA1C17" w14:paraId="5D483D62" w14:textId="77777777" w:rsidTr="00063FFA">
        <w:trPr>
          <w:cantSplit/>
          <w:trHeight w:val="233"/>
        </w:trPr>
        <w:tc>
          <w:tcPr>
            <w:tcW w:w="2025" w:type="dxa"/>
            <w:noWrap/>
            <w:hideMark/>
          </w:tcPr>
          <w:p w14:paraId="43FC53AF" w14:textId="77777777" w:rsidR="00385151" w:rsidRPr="00201745" w:rsidRDefault="00385151" w:rsidP="00385151">
            <w:pPr>
              <w:rPr>
                <w:rFonts w:asciiTheme="majorHAnsi" w:eastAsia="Verdana" w:hAnsiTheme="majorHAnsi" w:cstheme="majorHAnsi"/>
                <w:sz w:val="18"/>
                <w:szCs w:val="18"/>
              </w:rPr>
            </w:pPr>
            <w:r w:rsidRPr="00201745">
              <w:rPr>
                <w:rFonts w:asciiTheme="majorHAnsi" w:eastAsia="Verdana" w:hAnsiTheme="majorHAnsi" w:cstheme="majorHAnsi"/>
                <w:sz w:val="18"/>
                <w:szCs w:val="18"/>
              </w:rPr>
              <w:t>46</w:t>
            </w:r>
            <w:r>
              <w:rPr>
                <w:rFonts w:asciiTheme="majorHAnsi" w:eastAsia="Verdana" w:hAnsiTheme="majorHAnsi" w:cstheme="majorHAnsi"/>
                <w:sz w:val="18"/>
                <w:szCs w:val="18"/>
              </w:rPr>
              <w:t xml:space="preserve"> to </w:t>
            </w:r>
            <w:r w:rsidRPr="00201745">
              <w:rPr>
                <w:rFonts w:asciiTheme="majorHAnsi" w:eastAsia="Verdana" w:hAnsiTheme="majorHAnsi" w:cstheme="majorHAnsi"/>
                <w:sz w:val="18"/>
                <w:szCs w:val="18"/>
              </w:rPr>
              <w:t>64</w:t>
            </w:r>
          </w:p>
        </w:tc>
        <w:tc>
          <w:tcPr>
            <w:tcW w:w="1890" w:type="dxa"/>
            <w:noWrap/>
            <w:vAlign w:val="bottom"/>
            <w:hideMark/>
          </w:tcPr>
          <w:p w14:paraId="42233F82" w14:textId="0C265195" w:rsidR="00385151" w:rsidRPr="008C138D" w:rsidRDefault="00385151" w:rsidP="008C138D">
            <w:pPr>
              <w:jc w:val="center"/>
              <w:rPr>
                <w:rFonts w:asciiTheme="majorHAnsi" w:eastAsia="Verdana" w:hAnsiTheme="majorHAnsi" w:cstheme="majorHAnsi"/>
                <w:sz w:val="18"/>
                <w:szCs w:val="18"/>
              </w:rPr>
            </w:pPr>
            <w:r w:rsidRPr="008C138D">
              <w:rPr>
                <w:rFonts w:asciiTheme="majorHAnsi" w:hAnsiTheme="majorHAnsi" w:cstheme="majorHAnsi"/>
                <w:color w:val="000000"/>
                <w:sz w:val="18"/>
                <w:szCs w:val="18"/>
              </w:rPr>
              <w:t>156,641</w:t>
            </w:r>
          </w:p>
        </w:tc>
      </w:tr>
      <w:tr w:rsidR="00385151" w:rsidRPr="00EA1C17" w14:paraId="0090DA55" w14:textId="77777777" w:rsidTr="00063FFA">
        <w:trPr>
          <w:cantSplit/>
          <w:trHeight w:val="233"/>
        </w:trPr>
        <w:tc>
          <w:tcPr>
            <w:tcW w:w="2025" w:type="dxa"/>
            <w:noWrap/>
          </w:tcPr>
          <w:p w14:paraId="3767CCAB" w14:textId="77777777" w:rsidR="00385151" w:rsidRPr="00201745" w:rsidRDefault="00385151" w:rsidP="00385151">
            <w:pPr>
              <w:rPr>
                <w:rFonts w:asciiTheme="majorHAnsi" w:eastAsia="Verdana" w:hAnsiTheme="majorHAnsi" w:cstheme="majorHAnsi"/>
                <w:sz w:val="18"/>
                <w:szCs w:val="18"/>
              </w:rPr>
            </w:pPr>
            <w:r w:rsidRPr="00201745">
              <w:rPr>
                <w:rFonts w:asciiTheme="majorHAnsi" w:eastAsia="Verdana" w:hAnsiTheme="majorHAnsi" w:cstheme="majorHAnsi"/>
                <w:sz w:val="18"/>
                <w:szCs w:val="18"/>
              </w:rPr>
              <w:t>65+</w:t>
            </w:r>
          </w:p>
        </w:tc>
        <w:tc>
          <w:tcPr>
            <w:tcW w:w="1890" w:type="dxa"/>
            <w:noWrap/>
            <w:vAlign w:val="bottom"/>
          </w:tcPr>
          <w:p w14:paraId="24237D76" w14:textId="6BA7DD0A" w:rsidR="00385151" w:rsidRPr="008C138D" w:rsidRDefault="00385151" w:rsidP="008C138D">
            <w:pPr>
              <w:jc w:val="center"/>
              <w:rPr>
                <w:rFonts w:asciiTheme="majorHAnsi" w:eastAsia="Verdana" w:hAnsiTheme="majorHAnsi" w:cstheme="majorHAnsi"/>
                <w:sz w:val="18"/>
                <w:szCs w:val="18"/>
              </w:rPr>
            </w:pPr>
            <w:r w:rsidRPr="008C138D">
              <w:rPr>
                <w:rFonts w:asciiTheme="majorHAnsi" w:hAnsiTheme="majorHAnsi" w:cstheme="majorHAnsi"/>
                <w:color w:val="000000"/>
                <w:sz w:val="18"/>
                <w:szCs w:val="18"/>
              </w:rPr>
              <w:t>128,094</w:t>
            </w:r>
          </w:p>
        </w:tc>
      </w:tr>
      <w:tr w:rsidR="001049C7" w:rsidRPr="00EA1C17" w14:paraId="4504A856" w14:textId="77777777" w:rsidTr="00063FFA">
        <w:trPr>
          <w:cantSplit/>
          <w:trHeight w:val="251"/>
        </w:trPr>
        <w:tc>
          <w:tcPr>
            <w:tcW w:w="2025" w:type="dxa"/>
            <w:shd w:val="clear" w:color="auto" w:fill="E2EFD9" w:themeFill="accent6" w:themeFillTint="33"/>
            <w:noWrap/>
            <w:hideMark/>
          </w:tcPr>
          <w:p w14:paraId="5014A6C6" w14:textId="77777777" w:rsidR="001049C7" w:rsidRPr="00201745" w:rsidRDefault="001049C7" w:rsidP="001049C7">
            <w:pPr>
              <w:jc w:val="center"/>
              <w:rPr>
                <w:rFonts w:asciiTheme="majorHAnsi" w:eastAsia="Verdana" w:hAnsiTheme="majorHAnsi" w:cstheme="majorHAnsi"/>
                <w:sz w:val="18"/>
                <w:szCs w:val="18"/>
              </w:rPr>
            </w:pPr>
            <w:r w:rsidRPr="00201745">
              <w:rPr>
                <w:rFonts w:asciiTheme="majorHAnsi" w:eastAsia="Verdana" w:hAnsiTheme="majorHAnsi" w:cstheme="majorHAnsi"/>
                <w:sz w:val="18"/>
                <w:szCs w:val="18"/>
              </w:rPr>
              <w:t>Total</w:t>
            </w:r>
          </w:p>
        </w:tc>
        <w:tc>
          <w:tcPr>
            <w:tcW w:w="1890" w:type="dxa"/>
            <w:shd w:val="clear" w:color="auto" w:fill="E2EFD9" w:themeFill="accent6" w:themeFillTint="33"/>
            <w:noWrap/>
            <w:hideMark/>
          </w:tcPr>
          <w:p w14:paraId="7D7D1E5E" w14:textId="1D51AC65" w:rsidR="007577C9" w:rsidRPr="007577C9" w:rsidRDefault="007577C9" w:rsidP="007577C9">
            <w:pPr>
              <w:jc w:val="center"/>
              <w:rPr>
                <w:rFonts w:asciiTheme="majorHAnsi" w:eastAsia="Times New Roman" w:hAnsiTheme="majorHAnsi" w:cstheme="majorHAnsi"/>
                <w:color w:val="000000"/>
                <w:sz w:val="18"/>
                <w:szCs w:val="18"/>
              </w:rPr>
            </w:pPr>
            <w:r w:rsidRPr="007577C9">
              <w:rPr>
                <w:rFonts w:asciiTheme="majorHAnsi" w:hAnsiTheme="majorHAnsi" w:cstheme="majorHAnsi"/>
                <w:color w:val="000000"/>
                <w:sz w:val="18"/>
                <w:szCs w:val="18"/>
              </w:rPr>
              <w:t>499,254</w:t>
            </w:r>
          </w:p>
          <w:p w14:paraId="434EE71A" w14:textId="32B29883" w:rsidR="001049C7" w:rsidRPr="007577C9" w:rsidRDefault="001049C7" w:rsidP="007577C9">
            <w:pPr>
              <w:jc w:val="center"/>
              <w:rPr>
                <w:rFonts w:asciiTheme="majorHAnsi" w:eastAsia="Verdana" w:hAnsiTheme="majorHAnsi" w:cstheme="majorHAnsi"/>
                <w:sz w:val="18"/>
                <w:szCs w:val="18"/>
              </w:rPr>
            </w:pPr>
          </w:p>
        </w:tc>
      </w:tr>
      <w:tr w:rsidR="001049C7" w:rsidRPr="00EA1C17" w14:paraId="44B871C1" w14:textId="77777777" w:rsidTr="00063FFA">
        <w:trPr>
          <w:cantSplit/>
          <w:trHeight w:val="280"/>
        </w:trPr>
        <w:tc>
          <w:tcPr>
            <w:tcW w:w="2025" w:type="dxa"/>
            <w:shd w:val="clear" w:color="auto" w:fill="DEEAF6" w:themeFill="accent5" w:themeFillTint="33"/>
            <w:noWrap/>
          </w:tcPr>
          <w:p w14:paraId="5EBAC78D" w14:textId="77777777" w:rsidR="001049C7" w:rsidRPr="00702EAF" w:rsidRDefault="001049C7" w:rsidP="001049C7">
            <w:pPr>
              <w:jc w:val="center"/>
              <w:rPr>
                <w:rFonts w:asciiTheme="majorHAnsi" w:eastAsia="Verdana" w:hAnsiTheme="majorHAnsi" w:cstheme="majorHAnsi"/>
                <w:sz w:val="18"/>
                <w:szCs w:val="18"/>
                <w:highlight w:val="yellow"/>
              </w:rPr>
            </w:pPr>
            <w:r w:rsidRPr="00201745">
              <w:rPr>
                <w:rFonts w:asciiTheme="majorHAnsi" w:eastAsia="Verdana" w:hAnsiTheme="majorHAnsi" w:cstheme="majorHAnsi"/>
                <w:b/>
                <w:bCs/>
                <w:sz w:val="18"/>
                <w:szCs w:val="18"/>
              </w:rPr>
              <w:t>Gender</w:t>
            </w:r>
          </w:p>
        </w:tc>
        <w:tc>
          <w:tcPr>
            <w:tcW w:w="1890" w:type="dxa"/>
            <w:shd w:val="clear" w:color="auto" w:fill="DEEAF6" w:themeFill="accent5" w:themeFillTint="33"/>
            <w:noWrap/>
          </w:tcPr>
          <w:p w14:paraId="3E866409" w14:textId="77777777" w:rsidR="001049C7" w:rsidRPr="007577C9" w:rsidRDefault="001049C7" w:rsidP="007577C9">
            <w:pPr>
              <w:jc w:val="center"/>
              <w:rPr>
                <w:rFonts w:asciiTheme="majorHAnsi" w:eastAsia="Verdana" w:hAnsiTheme="majorHAnsi" w:cstheme="majorHAnsi"/>
                <w:sz w:val="18"/>
                <w:szCs w:val="18"/>
                <w:highlight w:val="yellow"/>
              </w:rPr>
            </w:pPr>
          </w:p>
        </w:tc>
      </w:tr>
      <w:tr w:rsidR="001049C7" w:rsidRPr="00EA1C17" w14:paraId="5774755C" w14:textId="77777777" w:rsidTr="00063FFA">
        <w:trPr>
          <w:cantSplit/>
          <w:trHeight w:val="152"/>
        </w:trPr>
        <w:tc>
          <w:tcPr>
            <w:tcW w:w="2025" w:type="dxa"/>
            <w:shd w:val="clear" w:color="auto" w:fill="auto"/>
            <w:noWrap/>
          </w:tcPr>
          <w:p w14:paraId="72F0D3B3" w14:textId="77777777" w:rsidR="001049C7" w:rsidRPr="0004070C" w:rsidRDefault="001049C7" w:rsidP="001049C7">
            <w:pPr>
              <w:rPr>
                <w:rFonts w:asciiTheme="majorHAnsi" w:eastAsia="Verdana" w:hAnsiTheme="majorHAnsi" w:cstheme="majorHAnsi"/>
                <w:sz w:val="18"/>
                <w:szCs w:val="18"/>
              </w:rPr>
            </w:pPr>
            <w:bookmarkStart w:id="0" w:name="_Hlk127531402"/>
            <w:r w:rsidRPr="0004070C">
              <w:rPr>
                <w:rFonts w:asciiTheme="majorHAnsi" w:eastAsia="Verdana" w:hAnsiTheme="majorHAnsi" w:cstheme="majorHAnsi"/>
                <w:sz w:val="18"/>
                <w:szCs w:val="18"/>
              </w:rPr>
              <w:t>Female</w:t>
            </w:r>
          </w:p>
        </w:tc>
        <w:tc>
          <w:tcPr>
            <w:tcW w:w="1890" w:type="dxa"/>
            <w:shd w:val="clear" w:color="auto" w:fill="auto"/>
            <w:noWrap/>
            <w:vAlign w:val="bottom"/>
          </w:tcPr>
          <w:p w14:paraId="1BF66B06" w14:textId="47F9A2E9" w:rsidR="001049C7" w:rsidRPr="0004070C" w:rsidRDefault="00441834" w:rsidP="007577C9">
            <w:pPr>
              <w:jc w:val="center"/>
              <w:rPr>
                <w:rFonts w:asciiTheme="majorHAnsi" w:eastAsia="Verdana" w:hAnsiTheme="majorHAnsi" w:cstheme="majorHAnsi"/>
                <w:sz w:val="18"/>
                <w:szCs w:val="18"/>
              </w:rPr>
            </w:pPr>
            <w:r>
              <w:rPr>
                <w:rFonts w:asciiTheme="majorHAnsi" w:eastAsia="Verdana" w:hAnsiTheme="majorHAnsi" w:cstheme="majorHAnsi"/>
                <w:sz w:val="18"/>
                <w:szCs w:val="18"/>
              </w:rPr>
              <w:t>281,102</w:t>
            </w:r>
          </w:p>
        </w:tc>
      </w:tr>
      <w:tr w:rsidR="001049C7" w:rsidRPr="00EA1C17" w14:paraId="4B110DF6" w14:textId="77777777" w:rsidTr="00063FFA">
        <w:trPr>
          <w:cantSplit/>
          <w:trHeight w:val="251"/>
        </w:trPr>
        <w:tc>
          <w:tcPr>
            <w:tcW w:w="2025" w:type="dxa"/>
            <w:shd w:val="clear" w:color="auto" w:fill="auto"/>
            <w:noWrap/>
          </w:tcPr>
          <w:p w14:paraId="29C71C65" w14:textId="77777777" w:rsidR="001049C7" w:rsidRPr="0004070C" w:rsidRDefault="001049C7" w:rsidP="001049C7">
            <w:pPr>
              <w:rPr>
                <w:rFonts w:asciiTheme="majorHAnsi" w:eastAsia="Verdana" w:hAnsiTheme="majorHAnsi" w:cstheme="majorHAnsi"/>
                <w:sz w:val="18"/>
                <w:szCs w:val="18"/>
              </w:rPr>
            </w:pPr>
            <w:r w:rsidRPr="0004070C">
              <w:rPr>
                <w:rFonts w:asciiTheme="majorHAnsi" w:eastAsia="Verdana" w:hAnsiTheme="majorHAnsi" w:cstheme="majorHAnsi"/>
                <w:sz w:val="18"/>
                <w:szCs w:val="18"/>
              </w:rPr>
              <w:t>Male</w:t>
            </w:r>
          </w:p>
        </w:tc>
        <w:tc>
          <w:tcPr>
            <w:tcW w:w="1890" w:type="dxa"/>
            <w:shd w:val="clear" w:color="auto" w:fill="auto"/>
            <w:noWrap/>
            <w:vAlign w:val="bottom"/>
          </w:tcPr>
          <w:p w14:paraId="56991D97" w14:textId="60AD8830" w:rsidR="001049C7" w:rsidRPr="0004070C" w:rsidRDefault="00441834" w:rsidP="007577C9">
            <w:pPr>
              <w:jc w:val="center"/>
              <w:rPr>
                <w:rFonts w:asciiTheme="majorHAnsi" w:eastAsia="Verdana" w:hAnsiTheme="majorHAnsi" w:cstheme="majorHAnsi"/>
                <w:sz w:val="18"/>
                <w:szCs w:val="18"/>
              </w:rPr>
            </w:pPr>
            <w:r>
              <w:rPr>
                <w:rFonts w:asciiTheme="majorHAnsi" w:eastAsia="Verdana" w:hAnsiTheme="majorHAnsi" w:cstheme="majorHAnsi"/>
                <w:sz w:val="18"/>
                <w:szCs w:val="18"/>
              </w:rPr>
              <w:t>214,839</w:t>
            </w:r>
          </w:p>
        </w:tc>
      </w:tr>
      <w:tr w:rsidR="001049C7" w:rsidRPr="00EA1C17" w14:paraId="3FF249DB" w14:textId="77777777" w:rsidTr="00063FFA">
        <w:trPr>
          <w:cantSplit/>
          <w:trHeight w:val="170"/>
        </w:trPr>
        <w:tc>
          <w:tcPr>
            <w:tcW w:w="2025" w:type="dxa"/>
            <w:shd w:val="clear" w:color="auto" w:fill="auto"/>
            <w:noWrap/>
          </w:tcPr>
          <w:p w14:paraId="6851639E" w14:textId="77777777" w:rsidR="001049C7" w:rsidRPr="0004070C" w:rsidRDefault="001049C7" w:rsidP="001049C7">
            <w:pPr>
              <w:rPr>
                <w:rFonts w:asciiTheme="majorHAnsi" w:eastAsia="Verdana" w:hAnsiTheme="majorHAnsi" w:cstheme="majorHAnsi"/>
                <w:sz w:val="18"/>
                <w:szCs w:val="18"/>
              </w:rPr>
            </w:pPr>
            <w:r w:rsidRPr="0004070C">
              <w:rPr>
                <w:rFonts w:asciiTheme="majorHAnsi" w:eastAsia="Verdana" w:hAnsiTheme="majorHAnsi" w:cstheme="majorHAnsi"/>
                <w:sz w:val="18"/>
                <w:szCs w:val="18"/>
              </w:rPr>
              <w:t>Unknown</w:t>
            </w:r>
            <w:r w:rsidRPr="0004070C">
              <w:rPr>
                <w:rStyle w:val="FootnoteReference"/>
                <w:rFonts w:asciiTheme="majorHAnsi" w:eastAsia="Verdana" w:hAnsiTheme="majorHAnsi" w:cstheme="majorHAnsi"/>
                <w:sz w:val="18"/>
                <w:szCs w:val="18"/>
              </w:rPr>
              <w:footnoteReference w:id="1"/>
            </w:r>
          </w:p>
        </w:tc>
        <w:tc>
          <w:tcPr>
            <w:tcW w:w="1890" w:type="dxa"/>
            <w:shd w:val="clear" w:color="auto" w:fill="auto"/>
            <w:noWrap/>
            <w:vAlign w:val="bottom"/>
          </w:tcPr>
          <w:p w14:paraId="156788A8" w14:textId="134BFF1B" w:rsidR="001049C7" w:rsidRPr="0004070C" w:rsidRDefault="00441834" w:rsidP="007577C9">
            <w:pPr>
              <w:jc w:val="center"/>
              <w:rPr>
                <w:rFonts w:asciiTheme="majorHAnsi" w:eastAsia="Verdana" w:hAnsiTheme="majorHAnsi" w:cstheme="majorHAnsi"/>
                <w:sz w:val="18"/>
                <w:szCs w:val="18"/>
              </w:rPr>
            </w:pPr>
            <w:r>
              <w:rPr>
                <w:rFonts w:asciiTheme="majorHAnsi" w:eastAsia="Verdana" w:hAnsiTheme="majorHAnsi" w:cstheme="majorHAnsi"/>
                <w:sz w:val="18"/>
                <w:szCs w:val="18"/>
              </w:rPr>
              <w:t>3,313</w:t>
            </w:r>
          </w:p>
        </w:tc>
      </w:tr>
      <w:bookmarkEnd w:id="0"/>
      <w:tr w:rsidR="007577C9" w:rsidRPr="00EA1C17" w14:paraId="7511D9C9" w14:textId="77777777" w:rsidTr="00063FFA">
        <w:trPr>
          <w:cantSplit/>
          <w:trHeight w:val="280"/>
        </w:trPr>
        <w:tc>
          <w:tcPr>
            <w:tcW w:w="2025" w:type="dxa"/>
            <w:shd w:val="clear" w:color="auto" w:fill="E2EFD9" w:themeFill="accent6" w:themeFillTint="33"/>
            <w:noWrap/>
          </w:tcPr>
          <w:p w14:paraId="4D083292" w14:textId="07127972" w:rsidR="007577C9" w:rsidRPr="00AE324F" w:rsidRDefault="007577C9" w:rsidP="007577C9">
            <w:pPr>
              <w:jc w:val="center"/>
              <w:rPr>
                <w:rFonts w:asciiTheme="majorHAnsi" w:eastAsia="Verdana" w:hAnsiTheme="majorHAnsi" w:cstheme="majorHAnsi"/>
                <w:sz w:val="18"/>
                <w:szCs w:val="18"/>
              </w:rPr>
            </w:pPr>
            <w:r w:rsidRPr="00201745">
              <w:rPr>
                <w:rFonts w:asciiTheme="majorHAnsi" w:eastAsia="Verdana" w:hAnsiTheme="majorHAnsi" w:cstheme="majorHAnsi"/>
                <w:sz w:val="18"/>
                <w:szCs w:val="18"/>
              </w:rPr>
              <w:t>Total</w:t>
            </w:r>
          </w:p>
        </w:tc>
        <w:tc>
          <w:tcPr>
            <w:tcW w:w="1890" w:type="dxa"/>
            <w:shd w:val="clear" w:color="auto" w:fill="E2EFD9" w:themeFill="accent6" w:themeFillTint="33"/>
            <w:noWrap/>
          </w:tcPr>
          <w:p w14:paraId="6AC9B0B3" w14:textId="77777777" w:rsidR="007577C9" w:rsidRPr="007577C9" w:rsidRDefault="007577C9" w:rsidP="007577C9">
            <w:pPr>
              <w:jc w:val="center"/>
              <w:rPr>
                <w:rFonts w:asciiTheme="majorHAnsi" w:eastAsia="Times New Roman" w:hAnsiTheme="majorHAnsi" w:cstheme="majorHAnsi"/>
                <w:color w:val="000000"/>
                <w:sz w:val="18"/>
                <w:szCs w:val="18"/>
              </w:rPr>
            </w:pPr>
            <w:r w:rsidRPr="007577C9">
              <w:rPr>
                <w:rFonts w:asciiTheme="majorHAnsi" w:hAnsiTheme="majorHAnsi" w:cstheme="majorHAnsi"/>
                <w:color w:val="000000"/>
                <w:sz w:val="18"/>
                <w:szCs w:val="18"/>
              </w:rPr>
              <w:t>499,254</w:t>
            </w:r>
          </w:p>
          <w:p w14:paraId="4E88E6FA" w14:textId="3B81035E" w:rsidR="007577C9" w:rsidRPr="007577C9" w:rsidRDefault="007577C9" w:rsidP="007577C9">
            <w:pPr>
              <w:jc w:val="center"/>
              <w:rPr>
                <w:rFonts w:asciiTheme="majorHAnsi" w:eastAsia="Verdana" w:hAnsiTheme="majorHAnsi" w:cstheme="majorHAnsi"/>
                <w:sz w:val="18"/>
                <w:szCs w:val="18"/>
              </w:rPr>
            </w:pPr>
          </w:p>
        </w:tc>
      </w:tr>
      <w:tr w:rsidR="001049C7" w:rsidRPr="00EA1C17" w14:paraId="30681F98" w14:textId="77777777" w:rsidTr="00063FFA">
        <w:trPr>
          <w:cantSplit/>
          <w:trHeight w:val="280"/>
        </w:trPr>
        <w:tc>
          <w:tcPr>
            <w:tcW w:w="2025" w:type="dxa"/>
            <w:shd w:val="clear" w:color="auto" w:fill="DEEAF6" w:themeFill="accent5" w:themeFillTint="33"/>
            <w:noWrap/>
            <w:vAlign w:val="bottom"/>
          </w:tcPr>
          <w:p w14:paraId="48DCF379" w14:textId="77777777" w:rsidR="001049C7" w:rsidRPr="00AE324F" w:rsidRDefault="001049C7" w:rsidP="001049C7">
            <w:pPr>
              <w:jc w:val="center"/>
              <w:rPr>
                <w:rFonts w:asciiTheme="majorHAnsi" w:eastAsia="Verdana" w:hAnsiTheme="majorHAnsi" w:cstheme="majorHAnsi"/>
                <w:sz w:val="18"/>
                <w:szCs w:val="18"/>
              </w:rPr>
            </w:pPr>
            <w:r w:rsidRPr="00AE324F">
              <w:rPr>
                <w:rFonts w:asciiTheme="majorHAnsi" w:hAnsiTheme="majorHAnsi" w:cstheme="majorHAnsi"/>
                <w:b/>
                <w:bCs/>
                <w:color w:val="000000"/>
                <w:sz w:val="18"/>
                <w:szCs w:val="18"/>
              </w:rPr>
              <w:t>Race</w:t>
            </w:r>
          </w:p>
        </w:tc>
        <w:tc>
          <w:tcPr>
            <w:tcW w:w="1890" w:type="dxa"/>
            <w:shd w:val="clear" w:color="auto" w:fill="DEEAF6" w:themeFill="accent5" w:themeFillTint="33"/>
            <w:noWrap/>
            <w:vAlign w:val="bottom"/>
          </w:tcPr>
          <w:p w14:paraId="5F7541BF" w14:textId="77777777" w:rsidR="001049C7" w:rsidRPr="007577C9" w:rsidRDefault="001049C7" w:rsidP="007577C9">
            <w:pPr>
              <w:jc w:val="center"/>
              <w:rPr>
                <w:rFonts w:asciiTheme="majorHAnsi" w:eastAsia="Verdana" w:hAnsiTheme="majorHAnsi" w:cstheme="majorHAnsi"/>
                <w:sz w:val="18"/>
                <w:szCs w:val="18"/>
                <w:highlight w:val="yellow"/>
              </w:rPr>
            </w:pPr>
          </w:p>
        </w:tc>
      </w:tr>
      <w:tr w:rsidR="002A38DF" w:rsidRPr="00EA1C17" w14:paraId="3FA42414" w14:textId="77777777" w:rsidTr="00063FFA">
        <w:trPr>
          <w:cantSplit/>
          <w:trHeight w:val="280"/>
        </w:trPr>
        <w:tc>
          <w:tcPr>
            <w:tcW w:w="2025" w:type="dxa"/>
            <w:shd w:val="clear" w:color="auto" w:fill="auto"/>
            <w:noWrap/>
            <w:vAlign w:val="bottom"/>
          </w:tcPr>
          <w:p w14:paraId="2590D094" w14:textId="77777777" w:rsidR="002A38DF" w:rsidRPr="00AE324F" w:rsidRDefault="002A38DF" w:rsidP="002A38DF">
            <w:pPr>
              <w:rPr>
                <w:rFonts w:asciiTheme="majorHAnsi" w:eastAsia="Verdana" w:hAnsiTheme="majorHAnsi" w:cstheme="majorHAnsi"/>
                <w:sz w:val="18"/>
                <w:szCs w:val="18"/>
              </w:rPr>
            </w:pPr>
            <w:r w:rsidRPr="00AE324F">
              <w:rPr>
                <w:rFonts w:asciiTheme="majorHAnsi" w:hAnsiTheme="majorHAnsi" w:cstheme="majorHAnsi"/>
                <w:color w:val="000000"/>
                <w:sz w:val="18"/>
                <w:szCs w:val="18"/>
              </w:rPr>
              <w:t>African American</w:t>
            </w:r>
          </w:p>
        </w:tc>
        <w:tc>
          <w:tcPr>
            <w:tcW w:w="1890" w:type="dxa"/>
            <w:shd w:val="clear" w:color="auto" w:fill="auto"/>
            <w:noWrap/>
            <w:vAlign w:val="bottom"/>
          </w:tcPr>
          <w:p w14:paraId="3F9E86BF" w14:textId="26A6FDC0" w:rsidR="002A38DF" w:rsidRPr="007577C9" w:rsidRDefault="002A38DF" w:rsidP="007577C9">
            <w:pPr>
              <w:jc w:val="center"/>
              <w:rPr>
                <w:rFonts w:asciiTheme="majorHAnsi" w:eastAsia="Verdana" w:hAnsiTheme="majorHAnsi" w:cstheme="majorHAnsi"/>
                <w:sz w:val="18"/>
                <w:szCs w:val="18"/>
              </w:rPr>
            </w:pPr>
            <w:r w:rsidRPr="007577C9">
              <w:rPr>
                <w:rFonts w:asciiTheme="majorHAnsi" w:hAnsiTheme="majorHAnsi" w:cstheme="majorHAnsi"/>
                <w:color w:val="000000"/>
                <w:sz w:val="18"/>
                <w:szCs w:val="18"/>
              </w:rPr>
              <w:t>56,800</w:t>
            </w:r>
          </w:p>
        </w:tc>
      </w:tr>
      <w:tr w:rsidR="002A38DF" w:rsidRPr="00EA1C17" w14:paraId="55502737" w14:textId="77777777" w:rsidTr="00063FFA">
        <w:trPr>
          <w:cantSplit/>
          <w:trHeight w:val="280"/>
        </w:trPr>
        <w:tc>
          <w:tcPr>
            <w:tcW w:w="2025" w:type="dxa"/>
            <w:shd w:val="clear" w:color="auto" w:fill="auto"/>
            <w:noWrap/>
            <w:vAlign w:val="bottom"/>
          </w:tcPr>
          <w:p w14:paraId="1708F32D" w14:textId="77777777" w:rsidR="002A38DF" w:rsidRPr="00AE324F" w:rsidRDefault="002A38DF" w:rsidP="002A38DF">
            <w:pPr>
              <w:rPr>
                <w:rFonts w:asciiTheme="majorHAnsi" w:eastAsia="Verdana" w:hAnsiTheme="majorHAnsi" w:cstheme="majorHAnsi"/>
                <w:sz w:val="18"/>
                <w:szCs w:val="18"/>
              </w:rPr>
            </w:pPr>
            <w:r w:rsidRPr="00AE324F">
              <w:rPr>
                <w:rFonts w:asciiTheme="majorHAnsi" w:hAnsiTheme="majorHAnsi" w:cstheme="majorHAnsi"/>
                <w:color w:val="000000"/>
                <w:sz w:val="18"/>
                <w:szCs w:val="18"/>
              </w:rPr>
              <w:t>American Indian or Alaska Native</w:t>
            </w:r>
          </w:p>
        </w:tc>
        <w:tc>
          <w:tcPr>
            <w:tcW w:w="1890" w:type="dxa"/>
            <w:shd w:val="clear" w:color="auto" w:fill="auto"/>
            <w:noWrap/>
            <w:vAlign w:val="bottom"/>
          </w:tcPr>
          <w:p w14:paraId="4D65CC01" w14:textId="671C2759" w:rsidR="002A38DF" w:rsidRPr="007577C9" w:rsidRDefault="002A38DF" w:rsidP="007577C9">
            <w:pPr>
              <w:jc w:val="center"/>
              <w:rPr>
                <w:rFonts w:asciiTheme="majorHAnsi" w:eastAsia="Verdana" w:hAnsiTheme="majorHAnsi" w:cstheme="majorHAnsi"/>
                <w:sz w:val="18"/>
                <w:szCs w:val="18"/>
              </w:rPr>
            </w:pPr>
            <w:r w:rsidRPr="007577C9">
              <w:rPr>
                <w:rFonts w:asciiTheme="majorHAnsi" w:hAnsiTheme="majorHAnsi" w:cstheme="majorHAnsi"/>
                <w:color w:val="000000"/>
                <w:sz w:val="18"/>
                <w:szCs w:val="18"/>
              </w:rPr>
              <w:t>756</w:t>
            </w:r>
          </w:p>
        </w:tc>
      </w:tr>
      <w:tr w:rsidR="002A38DF" w:rsidRPr="00EA1C17" w14:paraId="2A74766D" w14:textId="77777777" w:rsidTr="00063FFA">
        <w:trPr>
          <w:cantSplit/>
          <w:trHeight w:val="280"/>
        </w:trPr>
        <w:tc>
          <w:tcPr>
            <w:tcW w:w="2025" w:type="dxa"/>
            <w:shd w:val="clear" w:color="auto" w:fill="auto"/>
            <w:noWrap/>
            <w:vAlign w:val="bottom"/>
          </w:tcPr>
          <w:p w14:paraId="7EFD558C" w14:textId="77777777" w:rsidR="002A38DF" w:rsidRPr="00AE324F" w:rsidRDefault="002A38DF" w:rsidP="002A38DF">
            <w:pPr>
              <w:rPr>
                <w:rFonts w:asciiTheme="majorHAnsi" w:eastAsia="Verdana" w:hAnsiTheme="majorHAnsi" w:cstheme="majorHAnsi"/>
                <w:sz w:val="18"/>
                <w:szCs w:val="18"/>
              </w:rPr>
            </w:pPr>
            <w:r w:rsidRPr="00AE324F">
              <w:rPr>
                <w:rFonts w:asciiTheme="majorHAnsi" w:hAnsiTheme="majorHAnsi" w:cstheme="majorHAnsi"/>
                <w:color w:val="000000"/>
                <w:sz w:val="18"/>
                <w:szCs w:val="18"/>
              </w:rPr>
              <w:t>Asian</w:t>
            </w:r>
          </w:p>
        </w:tc>
        <w:tc>
          <w:tcPr>
            <w:tcW w:w="1890" w:type="dxa"/>
            <w:shd w:val="clear" w:color="auto" w:fill="auto"/>
            <w:noWrap/>
            <w:vAlign w:val="bottom"/>
          </w:tcPr>
          <w:p w14:paraId="57C7E3A1" w14:textId="17166A8B" w:rsidR="002A38DF" w:rsidRPr="007577C9" w:rsidRDefault="002A38DF" w:rsidP="007577C9">
            <w:pPr>
              <w:jc w:val="center"/>
              <w:rPr>
                <w:rFonts w:asciiTheme="majorHAnsi" w:eastAsia="Verdana" w:hAnsiTheme="majorHAnsi" w:cstheme="majorHAnsi"/>
                <w:sz w:val="18"/>
                <w:szCs w:val="18"/>
              </w:rPr>
            </w:pPr>
            <w:r w:rsidRPr="007577C9">
              <w:rPr>
                <w:rFonts w:asciiTheme="majorHAnsi" w:hAnsiTheme="majorHAnsi" w:cstheme="majorHAnsi"/>
                <w:color w:val="000000"/>
                <w:sz w:val="18"/>
                <w:szCs w:val="18"/>
              </w:rPr>
              <w:t>14,752</w:t>
            </w:r>
          </w:p>
        </w:tc>
      </w:tr>
      <w:tr w:rsidR="002A38DF" w:rsidRPr="00EA1C17" w14:paraId="5B7E6007" w14:textId="77777777" w:rsidTr="00063FFA">
        <w:trPr>
          <w:cantSplit/>
          <w:trHeight w:val="280"/>
        </w:trPr>
        <w:tc>
          <w:tcPr>
            <w:tcW w:w="2025" w:type="dxa"/>
            <w:shd w:val="clear" w:color="auto" w:fill="auto"/>
            <w:noWrap/>
            <w:vAlign w:val="bottom"/>
          </w:tcPr>
          <w:p w14:paraId="50EFEC65" w14:textId="77777777" w:rsidR="002A38DF" w:rsidRPr="00AE324F" w:rsidRDefault="002A38DF" w:rsidP="002A38DF">
            <w:pPr>
              <w:rPr>
                <w:rFonts w:asciiTheme="majorHAnsi" w:eastAsia="Verdana" w:hAnsiTheme="majorHAnsi" w:cstheme="majorHAnsi"/>
                <w:sz w:val="18"/>
                <w:szCs w:val="18"/>
              </w:rPr>
            </w:pPr>
            <w:r w:rsidRPr="00AE324F">
              <w:rPr>
                <w:rFonts w:asciiTheme="majorHAnsi" w:hAnsiTheme="majorHAnsi" w:cstheme="majorHAnsi"/>
                <w:color w:val="000000"/>
                <w:sz w:val="18"/>
                <w:szCs w:val="18"/>
              </w:rPr>
              <w:t>Declined</w:t>
            </w:r>
            <w:r w:rsidRPr="00AE324F">
              <w:rPr>
                <w:rStyle w:val="FootnoteReference"/>
                <w:rFonts w:asciiTheme="majorHAnsi" w:hAnsiTheme="majorHAnsi" w:cstheme="majorHAnsi"/>
                <w:color w:val="000000"/>
                <w:sz w:val="18"/>
                <w:szCs w:val="18"/>
              </w:rPr>
              <w:footnoteReference w:id="2"/>
            </w:r>
          </w:p>
        </w:tc>
        <w:tc>
          <w:tcPr>
            <w:tcW w:w="1890" w:type="dxa"/>
            <w:shd w:val="clear" w:color="auto" w:fill="auto"/>
            <w:noWrap/>
            <w:vAlign w:val="bottom"/>
          </w:tcPr>
          <w:p w14:paraId="1F4CAC65" w14:textId="520207A6" w:rsidR="002A38DF" w:rsidRPr="007577C9" w:rsidRDefault="002A38DF" w:rsidP="007577C9">
            <w:pPr>
              <w:jc w:val="center"/>
              <w:rPr>
                <w:rFonts w:asciiTheme="majorHAnsi" w:eastAsia="Verdana" w:hAnsiTheme="majorHAnsi" w:cstheme="majorHAnsi"/>
                <w:sz w:val="18"/>
                <w:szCs w:val="18"/>
              </w:rPr>
            </w:pPr>
            <w:r w:rsidRPr="007577C9">
              <w:rPr>
                <w:rFonts w:asciiTheme="majorHAnsi" w:hAnsiTheme="majorHAnsi" w:cstheme="majorHAnsi"/>
                <w:color w:val="000000"/>
                <w:sz w:val="18"/>
                <w:szCs w:val="18"/>
              </w:rPr>
              <w:t>6,424</w:t>
            </w:r>
          </w:p>
        </w:tc>
      </w:tr>
      <w:tr w:rsidR="002A38DF" w:rsidRPr="00EA1C17" w14:paraId="6F6D63F3" w14:textId="77777777" w:rsidTr="00063FFA">
        <w:trPr>
          <w:cantSplit/>
          <w:trHeight w:val="280"/>
        </w:trPr>
        <w:tc>
          <w:tcPr>
            <w:tcW w:w="2025" w:type="dxa"/>
            <w:shd w:val="clear" w:color="auto" w:fill="auto"/>
            <w:noWrap/>
            <w:vAlign w:val="bottom"/>
          </w:tcPr>
          <w:p w14:paraId="1A36D55F" w14:textId="77777777" w:rsidR="002A38DF" w:rsidRPr="00AE324F" w:rsidRDefault="002A38DF" w:rsidP="002A38DF">
            <w:pPr>
              <w:rPr>
                <w:rFonts w:asciiTheme="majorHAnsi" w:eastAsia="Verdana" w:hAnsiTheme="majorHAnsi" w:cstheme="majorHAnsi"/>
                <w:sz w:val="18"/>
                <w:szCs w:val="18"/>
              </w:rPr>
            </w:pPr>
            <w:r w:rsidRPr="00AE324F">
              <w:rPr>
                <w:rFonts w:asciiTheme="majorHAnsi" w:hAnsiTheme="majorHAnsi" w:cstheme="majorHAnsi"/>
                <w:color w:val="000000"/>
                <w:sz w:val="18"/>
                <w:szCs w:val="18"/>
              </w:rPr>
              <w:t>Hispanic</w:t>
            </w:r>
          </w:p>
        </w:tc>
        <w:tc>
          <w:tcPr>
            <w:tcW w:w="1890" w:type="dxa"/>
            <w:shd w:val="clear" w:color="auto" w:fill="auto"/>
            <w:noWrap/>
            <w:vAlign w:val="bottom"/>
          </w:tcPr>
          <w:p w14:paraId="44A45569" w14:textId="32EC4B24" w:rsidR="002A38DF" w:rsidRPr="007577C9" w:rsidRDefault="002A38DF" w:rsidP="007577C9">
            <w:pPr>
              <w:jc w:val="center"/>
              <w:rPr>
                <w:rFonts w:asciiTheme="majorHAnsi" w:eastAsia="Verdana" w:hAnsiTheme="majorHAnsi" w:cstheme="majorHAnsi"/>
                <w:sz w:val="18"/>
                <w:szCs w:val="18"/>
              </w:rPr>
            </w:pPr>
            <w:r w:rsidRPr="007577C9">
              <w:rPr>
                <w:rFonts w:asciiTheme="majorHAnsi" w:hAnsiTheme="majorHAnsi" w:cstheme="majorHAnsi"/>
                <w:color w:val="000000"/>
                <w:sz w:val="18"/>
                <w:szCs w:val="18"/>
              </w:rPr>
              <w:t>55,449</w:t>
            </w:r>
          </w:p>
        </w:tc>
      </w:tr>
      <w:tr w:rsidR="002A38DF" w:rsidRPr="00EA1C17" w14:paraId="2441DB05" w14:textId="77777777" w:rsidTr="00063FFA">
        <w:trPr>
          <w:cantSplit/>
          <w:trHeight w:val="280"/>
        </w:trPr>
        <w:tc>
          <w:tcPr>
            <w:tcW w:w="2025" w:type="dxa"/>
            <w:shd w:val="clear" w:color="auto" w:fill="auto"/>
            <w:noWrap/>
            <w:vAlign w:val="bottom"/>
          </w:tcPr>
          <w:p w14:paraId="52A05411" w14:textId="77777777" w:rsidR="002A38DF" w:rsidRPr="00AE324F" w:rsidRDefault="002A38DF" w:rsidP="002A38DF">
            <w:pPr>
              <w:rPr>
                <w:rFonts w:asciiTheme="majorHAnsi" w:eastAsia="Verdana" w:hAnsiTheme="majorHAnsi" w:cstheme="majorHAnsi"/>
                <w:sz w:val="18"/>
                <w:szCs w:val="18"/>
              </w:rPr>
            </w:pPr>
            <w:r w:rsidRPr="00AE324F">
              <w:rPr>
                <w:rFonts w:asciiTheme="majorHAnsi" w:hAnsiTheme="majorHAnsi" w:cstheme="majorHAnsi"/>
                <w:color w:val="000000"/>
                <w:sz w:val="18"/>
                <w:szCs w:val="18"/>
              </w:rPr>
              <w:t>Native Hawaiian or Other Pacific Islander</w:t>
            </w:r>
          </w:p>
        </w:tc>
        <w:tc>
          <w:tcPr>
            <w:tcW w:w="1890" w:type="dxa"/>
            <w:shd w:val="clear" w:color="auto" w:fill="auto"/>
            <w:noWrap/>
            <w:vAlign w:val="bottom"/>
          </w:tcPr>
          <w:p w14:paraId="6BC5F481" w14:textId="2E0B63C5" w:rsidR="002A38DF" w:rsidRPr="007577C9" w:rsidRDefault="002A38DF" w:rsidP="007577C9">
            <w:pPr>
              <w:jc w:val="center"/>
              <w:rPr>
                <w:rFonts w:asciiTheme="majorHAnsi" w:eastAsia="Verdana" w:hAnsiTheme="majorHAnsi" w:cstheme="majorHAnsi"/>
                <w:sz w:val="18"/>
                <w:szCs w:val="18"/>
                <w:highlight w:val="yellow"/>
              </w:rPr>
            </w:pPr>
            <w:r w:rsidRPr="007577C9">
              <w:rPr>
                <w:rFonts w:asciiTheme="majorHAnsi" w:hAnsiTheme="majorHAnsi" w:cstheme="majorHAnsi"/>
                <w:color w:val="000000"/>
                <w:sz w:val="18"/>
                <w:szCs w:val="18"/>
              </w:rPr>
              <w:t>300</w:t>
            </w:r>
          </w:p>
        </w:tc>
      </w:tr>
      <w:tr w:rsidR="002A38DF" w:rsidRPr="00EA1C17" w14:paraId="5D129367" w14:textId="77777777" w:rsidTr="00063FFA">
        <w:trPr>
          <w:cantSplit/>
          <w:trHeight w:val="280"/>
        </w:trPr>
        <w:tc>
          <w:tcPr>
            <w:tcW w:w="2025" w:type="dxa"/>
            <w:shd w:val="clear" w:color="auto" w:fill="auto"/>
            <w:noWrap/>
            <w:vAlign w:val="bottom"/>
          </w:tcPr>
          <w:p w14:paraId="0D7C26DC" w14:textId="77777777" w:rsidR="002A38DF" w:rsidRPr="00AE324F" w:rsidRDefault="002A38DF" w:rsidP="002A38DF">
            <w:pPr>
              <w:rPr>
                <w:rFonts w:asciiTheme="majorHAnsi" w:eastAsia="Verdana" w:hAnsiTheme="majorHAnsi" w:cstheme="majorHAnsi"/>
                <w:sz w:val="18"/>
                <w:szCs w:val="18"/>
              </w:rPr>
            </w:pPr>
            <w:r w:rsidRPr="00AE324F">
              <w:rPr>
                <w:rFonts w:asciiTheme="majorHAnsi" w:hAnsiTheme="majorHAnsi" w:cstheme="majorHAnsi"/>
                <w:color w:val="000000"/>
                <w:sz w:val="18"/>
                <w:szCs w:val="18"/>
              </w:rPr>
              <w:t>Other</w:t>
            </w:r>
            <w:r w:rsidRPr="00AE324F">
              <w:rPr>
                <w:rStyle w:val="FootnoteReference"/>
                <w:rFonts w:asciiTheme="majorHAnsi" w:hAnsiTheme="majorHAnsi" w:cstheme="majorHAnsi"/>
                <w:color w:val="000000"/>
                <w:sz w:val="18"/>
                <w:szCs w:val="18"/>
              </w:rPr>
              <w:footnoteReference w:id="3"/>
            </w:r>
          </w:p>
        </w:tc>
        <w:tc>
          <w:tcPr>
            <w:tcW w:w="1890" w:type="dxa"/>
            <w:shd w:val="clear" w:color="auto" w:fill="auto"/>
            <w:noWrap/>
            <w:vAlign w:val="bottom"/>
          </w:tcPr>
          <w:p w14:paraId="6EEB89CE" w14:textId="05FF3F2E" w:rsidR="002A38DF" w:rsidRPr="007577C9" w:rsidRDefault="002A38DF" w:rsidP="007577C9">
            <w:pPr>
              <w:jc w:val="center"/>
              <w:rPr>
                <w:rFonts w:asciiTheme="majorHAnsi" w:eastAsia="Verdana" w:hAnsiTheme="majorHAnsi" w:cstheme="majorHAnsi"/>
                <w:sz w:val="18"/>
                <w:szCs w:val="18"/>
                <w:highlight w:val="yellow"/>
              </w:rPr>
            </w:pPr>
            <w:r w:rsidRPr="007577C9">
              <w:rPr>
                <w:rFonts w:asciiTheme="majorHAnsi" w:hAnsiTheme="majorHAnsi" w:cstheme="majorHAnsi"/>
                <w:color w:val="000000"/>
                <w:sz w:val="18"/>
                <w:szCs w:val="18"/>
              </w:rPr>
              <w:t>25,163</w:t>
            </w:r>
          </w:p>
        </w:tc>
      </w:tr>
      <w:tr w:rsidR="002A38DF" w:rsidRPr="00EA1C17" w14:paraId="76091CAB" w14:textId="77777777" w:rsidTr="00063FFA">
        <w:trPr>
          <w:cantSplit/>
          <w:trHeight w:val="280"/>
        </w:trPr>
        <w:tc>
          <w:tcPr>
            <w:tcW w:w="2025" w:type="dxa"/>
            <w:shd w:val="clear" w:color="auto" w:fill="auto"/>
            <w:noWrap/>
            <w:vAlign w:val="bottom"/>
          </w:tcPr>
          <w:p w14:paraId="2CADC217" w14:textId="77777777" w:rsidR="002A38DF" w:rsidRPr="00AE324F" w:rsidRDefault="002A38DF" w:rsidP="002A38DF">
            <w:pPr>
              <w:rPr>
                <w:rFonts w:asciiTheme="majorHAnsi" w:hAnsiTheme="majorHAnsi" w:cstheme="majorHAnsi"/>
                <w:color w:val="000000"/>
                <w:sz w:val="18"/>
                <w:szCs w:val="18"/>
              </w:rPr>
            </w:pPr>
            <w:r w:rsidRPr="00AE324F">
              <w:rPr>
                <w:rFonts w:asciiTheme="majorHAnsi" w:hAnsiTheme="majorHAnsi" w:cstheme="majorHAnsi"/>
                <w:color w:val="000000"/>
                <w:sz w:val="18"/>
                <w:szCs w:val="18"/>
              </w:rPr>
              <w:t>Unable to Obtain</w:t>
            </w:r>
            <w:r w:rsidRPr="00AE324F">
              <w:rPr>
                <w:rStyle w:val="FootnoteReference"/>
                <w:rFonts w:asciiTheme="majorHAnsi" w:hAnsiTheme="majorHAnsi" w:cstheme="majorHAnsi"/>
                <w:color w:val="000000"/>
                <w:sz w:val="18"/>
                <w:szCs w:val="18"/>
              </w:rPr>
              <w:footnoteReference w:id="4"/>
            </w:r>
          </w:p>
        </w:tc>
        <w:tc>
          <w:tcPr>
            <w:tcW w:w="1890" w:type="dxa"/>
            <w:shd w:val="clear" w:color="auto" w:fill="auto"/>
            <w:noWrap/>
            <w:vAlign w:val="bottom"/>
          </w:tcPr>
          <w:p w14:paraId="20FBC6DF" w14:textId="2C278D8C" w:rsidR="002A38DF" w:rsidRPr="007577C9" w:rsidRDefault="002A38DF" w:rsidP="007577C9">
            <w:pPr>
              <w:jc w:val="center"/>
              <w:rPr>
                <w:rFonts w:asciiTheme="majorHAnsi" w:eastAsia="Verdana" w:hAnsiTheme="majorHAnsi" w:cstheme="majorHAnsi"/>
                <w:sz w:val="18"/>
                <w:szCs w:val="18"/>
                <w:highlight w:val="yellow"/>
              </w:rPr>
            </w:pPr>
            <w:r w:rsidRPr="007577C9">
              <w:rPr>
                <w:rFonts w:asciiTheme="majorHAnsi" w:hAnsiTheme="majorHAnsi" w:cstheme="majorHAnsi"/>
                <w:color w:val="000000"/>
                <w:sz w:val="18"/>
                <w:szCs w:val="18"/>
              </w:rPr>
              <w:t>3,801</w:t>
            </w:r>
          </w:p>
        </w:tc>
      </w:tr>
      <w:tr w:rsidR="002A38DF" w:rsidRPr="00EA1C17" w14:paraId="258C8D95" w14:textId="77777777" w:rsidTr="00063FFA">
        <w:trPr>
          <w:cantSplit/>
          <w:trHeight w:val="280"/>
        </w:trPr>
        <w:tc>
          <w:tcPr>
            <w:tcW w:w="2025" w:type="dxa"/>
            <w:shd w:val="clear" w:color="auto" w:fill="auto"/>
            <w:noWrap/>
            <w:vAlign w:val="bottom"/>
          </w:tcPr>
          <w:p w14:paraId="569DCD26" w14:textId="77777777" w:rsidR="002A38DF" w:rsidRPr="00AE324F" w:rsidRDefault="002A38DF" w:rsidP="002A38DF">
            <w:pPr>
              <w:rPr>
                <w:rFonts w:asciiTheme="majorHAnsi" w:hAnsiTheme="majorHAnsi" w:cstheme="majorHAnsi"/>
                <w:color w:val="000000"/>
                <w:sz w:val="18"/>
                <w:szCs w:val="18"/>
              </w:rPr>
            </w:pPr>
            <w:r w:rsidRPr="00AE324F">
              <w:rPr>
                <w:rFonts w:asciiTheme="majorHAnsi" w:hAnsiTheme="majorHAnsi" w:cstheme="majorHAnsi"/>
                <w:color w:val="000000"/>
                <w:sz w:val="18"/>
                <w:szCs w:val="18"/>
              </w:rPr>
              <w:t>White</w:t>
            </w:r>
          </w:p>
        </w:tc>
        <w:tc>
          <w:tcPr>
            <w:tcW w:w="1890" w:type="dxa"/>
            <w:shd w:val="clear" w:color="auto" w:fill="auto"/>
            <w:noWrap/>
            <w:vAlign w:val="bottom"/>
          </w:tcPr>
          <w:p w14:paraId="7ED3FC8C" w14:textId="046DF26E" w:rsidR="002A38DF" w:rsidRPr="007577C9" w:rsidRDefault="002A38DF" w:rsidP="007577C9">
            <w:pPr>
              <w:jc w:val="center"/>
              <w:rPr>
                <w:rFonts w:asciiTheme="majorHAnsi" w:eastAsia="Verdana" w:hAnsiTheme="majorHAnsi" w:cstheme="majorHAnsi"/>
                <w:sz w:val="18"/>
                <w:szCs w:val="18"/>
                <w:highlight w:val="yellow"/>
              </w:rPr>
            </w:pPr>
            <w:r w:rsidRPr="007577C9">
              <w:rPr>
                <w:rFonts w:asciiTheme="majorHAnsi" w:hAnsiTheme="majorHAnsi" w:cstheme="majorHAnsi"/>
                <w:color w:val="000000"/>
                <w:sz w:val="18"/>
                <w:szCs w:val="18"/>
              </w:rPr>
              <w:t>335,809</w:t>
            </w:r>
          </w:p>
        </w:tc>
      </w:tr>
      <w:tr w:rsidR="007577C9" w:rsidRPr="00EA1C17" w14:paraId="691C7455" w14:textId="77777777" w:rsidTr="00063FFA">
        <w:trPr>
          <w:cantSplit/>
          <w:trHeight w:val="250"/>
        </w:trPr>
        <w:tc>
          <w:tcPr>
            <w:tcW w:w="2025" w:type="dxa"/>
            <w:shd w:val="clear" w:color="auto" w:fill="E2EFD9" w:themeFill="accent6" w:themeFillTint="33"/>
            <w:noWrap/>
          </w:tcPr>
          <w:p w14:paraId="1C205763" w14:textId="1477AAD5" w:rsidR="007577C9" w:rsidRPr="00AE324F" w:rsidRDefault="007577C9" w:rsidP="007577C9">
            <w:pPr>
              <w:jc w:val="center"/>
              <w:rPr>
                <w:rFonts w:asciiTheme="majorHAnsi" w:eastAsia="Verdana" w:hAnsiTheme="majorHAnsi" w:cstheme="majorHAnsi"/>
                <w:sz w:val="18"/>
                <w:szCs w:val="18"/>
              </w:rPr>
            </w:pPr>
            <w:r w:rsidRPr="00AE324F">
              <w:rPr>
                <w:rFonts w:asciiTheme="majorHAnsi" w:eastAsia="Verdana" w:hAnsiTheme="majorHAnsi" w:cstheme="majorHAnsi"/>
                <w:sz w:val="18"/>
                <w:szCs w:val="18"/>
              </w:rPr>
              <w:t>Total</w:t>
            </w:r>
          </w:p>
        </w:tc>
        <w:tc>
          <w:tcPr>
            <w:tcW w:w="1890" w:type="dxa"/>
            <w:shd w:val="clear" w:color="auto" w:fill="E2EFD9" w:themeFill="accent6" w:themeFillTint="33"/>
            <w:noWrap/>
          </w:tcPr>
          <w:p w14:paraId="4DE169FF" w14:textId="77777777" w:rsidR="007577C9" w:rsidRPr="007577C9" w:rsidRDefault="007577C9" w:rsidP="007577C9">
            <w:pPr>
              <w:jc w:val="center"/>
              <w:rPr>
                <w:rFonts w:asciiTheme="majorHAnsi" w:eastAsia="Times New Roman" w:hAnsiTheme="majorHAnsi" w:cstheme="majorHAnsi"/>
                <w:color w:val="000000"/>
                <w:sz w:val="18"/>
                <w:szCs w:val="18"/>
              </w:rPr>
            </w:pPr>
            <w:r w:rsidRPr="007577C9">
              <w:rPr>
                <w:rFonts w:asciiTheme="majorHAnsi" w:hAnsiTheme="majorHAnsi" w:cstheme="majorHAnsi"/>
                <w:color w:val="000000"/>
                <w:sz w:val="18"/>
                <w:szCs w:val="18"/>
              </w:rPr>
              <w:t>499,254</w:t>
            </w:r>
          </w:p>
          <w:p w14:paraId="1FC524AB" w14:textId="54BC4DE5" w:rsidR="007577C9" w:rsidRPr="007577C9" w:rsidRDefault="007577C9" w:rsidP="007577C9">
            <w:pPr>
              <w:jc w:val="center"/>
              <w:rPr>
                <w:rFonts w:asciiTheme="majorHAnsi" w:eastAsia="Verdana" w:hAnsiTheme="majorHAnsi" w:cstheme="majorHAnsi"/>
                <w:sz w:val="18"/>
                <w:szCs w:val="18"/>
                <w:highlight w:val="yellow"/>
              </w:rPr>
            </w:pPr>
          </w:p>
        </w:tc>
      </w:tr>
    </w:tbl>
    <w:p w14:paraId="6390FF4D" w14:textId="77777777" w:rsidR="00771764" w:rsidRDefault="00771764" w:rsidP="00C655E5">
      <w:pPr>
        <w:pStyle w:val="ListParagraph"/>
        <w:tabs>
          <w:tab w:val="left" w:pos="4455"/>
        </w:tabs>
      </w:pPr>
      <w:r>
        <w:t xml:space="preserve">                   </w:t>
      </w:r>
    </w:p>
    <w:p w14:paraId="1BA600FB" w14:textId="52320259" w:rsidR="001049C7" w:rsidRDefault="001049C7" w:rsidP="00C655E5">
      <w:pPr>
        <w:pStyle w:val="ListParagraph"/>
        <w:tabs>
          <w:tab w:val="left" w:pos="4455"/>
        </w:tabs>
      </w:pPr>
    </w:p>
    <w:p w14:paraId="63B87801" w14:textId="77777777" w:rsidR="001049C7" w:rsidRDefault="001049C7" w:rsidP="001049C7">
      <w:pPr>
        <w:pStyle w:val="ListParagraph"/>
        <w:tabs>
          <w:tab w:val="left" w:pos="3570"/>
        </w:tabs>
      </w:pPr>
      <w:r>
        <w:tab/>
      </w:r>
    </w:p>
    <w:p w14:paraId="593E9B08" w14:textId="14284549" w:rsidR="001049C7" w:rsidRDefault="001049C7" w:rsidP="001049C7">
      <w:pPr>
        <w:pStyle w:val="ListParagraph"/>
        <w:tabs>
          <w:tab w:val="left" w:pos="3570"/>
        </w:tabs>
      </w:pPr>
      <w:r>
        <w:br w:type="textWrapping" w:clear="all"/>
      </w:r>
    </w:p>
    <w:p w14:paraId="67F6CC4C" w14:textId="02086418" w:rsidR="002A38DF" w:rsidRDefault="002A38DF" w:rsidP="001049C7">
      <w:pPr>
        <w:pStyle w:val="ListParagraph"/>
        <w:tabs>
          <w:tab w:val="left" w:pos="3570"/>
        </w:tabs>
      </w:pPr>
    </w:p>
    <w:p w14:paraId="16F49016" w14:textId="3F486BA5" w:rsidR="002A38DF" w:rsidRDefault="002A38DF" w:rsidP="001049C7">
      <w:pPr>
        <w:pStyle w:val="ListParagraph"/>
        <w:tabs>
          <w:tab w:val="left" w:pos="3570"/>
        </w:tabs>
      </w:pPr>
    </w:p>
    <w:p w14:paraId="585666A4" w14:textId="05AC8948" w:rsidR="002A38DF" w:rsidRDefault="002A38DF" w:rsidP="001049C7">
      <w:pPr>
        <w:pStyle w:val="ListParagraph"/>
        <w:tabs>
          <w:tab w:val="left" w:pos="3570"/>
        </w:tabs>
      </w:pPr>
    </w:p>
    <w:p w14:paraId="471B519E" w14:textId="77777777" w:rsidR="002A38DF" w:rsidRDefault="002A38DF" w:rsidP="001049C7">
      <w:pPr>
        <w:pStyle w:val="ListParagraph"/>
        <w:tabs>
          <w:tab w:val="left" w:pos="3570"/>
        </w:tabs>
      </w:pPr>
    </w:p>
    <w:p w14:paraId="7AA52B23" w14:textId="7B14BD90" w:rsidR="001049C7" w:rsidRPr="00385151" w:rsidRDefault="001049C7" w:rsidP="00385151">
      <w:pPr>
        <w:tabs>
          <w:tab w:val="left" w:pos="4455"/>
        </w:tabs>
        <w:rPr>
          <w:b/>
          <w:bCs/>
        </w:rPr>
      </w:pPr>
      <w:r w:rsidRPr="00385151">
        <w:rPr>
          <w:b/>
          <w:bCs/>
        </w:rPr>
        <w:t>GSMC Patient Panel</w:t>
      </w:r>
      <w:r w:rsidR="002A38DF">
        <w:rPr>
          <w:b/>
          <w:bCs/>
        </w:rPr>
        <w:t xml:space="preserve">                                                  </w:t>
      </w:r>
      <w:r w:rsidR="002A38DF" w:rsidRPr="00385151">
        <w:rPr>
          <w:b/>
          <w:bCs/>
        </w:rPr>
        <w:t>GSMC Inpatient Psychiatric Patient Panel</w:t>
      </w:r>
    </w:p>
    <w:tbl>
      <w:tblPr>
        <w:tblStyle w:val="TableGrid"/>
        <w:tblpPr w:leftFromText="180" w:rightFromText="180" w:vertAnchor="text" w:tblpY="1"/>
        <w:tblOverlap w:val="never"/>
        <w:tblW w:w="3915" w:type="dxa"/>
        <w:tblLook w:val="04A0" w:firstRow="1" w:lastRow="0" w:firstColumn="1" w:lastColumn="0" w:noHBand="0" w:noVBand="1"/>
      </w:tblPr>
      <w:tblGrid>
        <w:gridCol w:w="2025"/>
        <w:gridCol w:w="1890"/>
      </w:tblGrid>
      <w:tr w:rsidR="00385151" w:rsidRPr="00CF4184" w14:paraId="36937D03" w14:textId="77777777" w:rsidTr="005A46B5">
        <w:trPr>
          <w:cantSplit/>
          <w:trHeight w:val="280"/>
          <w:tblHeader/>
        </w:trPr>
        <w:tc>
          <w:tcPr>
            <w:tcW w:w="2025" w:type="dxa"/>
            <w:noWrap/>
            <w:vAlign w:val="center"/>
          </w:tcPr>
          <w:p w14:paraId="2D74E650" w14:textId="77777777" w:rsidR="00385151" w:rsidRPr="00CF4184" w:rsidRDefault="00385151" w:rsidP="00385151">
            <w:pPr>
              <w:jc w:val="center"/>
              <w:rPr>
                <w:rFonts w:ascii="Arial" w:eastAsia="Verdana" w:hAnsi="Arial" w:cs="Arial"/>
                <w:sz w:val="18"/>
                <w:szCs w:val="18"/>
              </w:rPr>
            </w:pPr>
            <w:r w:rsidRPr="00CF4184">
              <w:rPr>
                <w:rFonts w:asciiTheme="majorHAnsi" w:eastAsia="Verdana" w:hAnsiTheme="majorHAnsi" w:cstheme="majorHAnsi"/>
                <w:sz w:val="18"/>
                <w:szCs w:val="18"/>
              </w:rPr>
              <w:t>Demographic Measure</w:t>
            </w:r>
          </w:p>
        </w:tc>
        <w:tc>
          <w:tcPr>
            <w:tcW w:w="1890" w:type="dxa"/>
            <w:shd w:val="clear" w:color="auto" w:fill="B4C6E7" w:themeFill="accent1" w:themeFillTint="66"/>
            <w:noWrap/>
          </w:tcPr>
          <w:p w14:paraId="78B443A1" w14:textId="5AE10615" w:rsidR="00385151" w:rsidRPr="00CF4184" w:rsidRDefault="00385151" w:rsidP="00385151">
            <w:pPr>
              <w:jc w:val="center"/>
              <w:rPr>
                <w:rFonts w:asciiTheme="majorHAnsi" w:eastAsia="Verdana" w:hAnsiTheme="majorHAnsi" w:cstheme="majorHAnsi"/>
                <w:b/>
                <w:bCs/>
                <w:sz w:val="18"/>
                <w:szCs w:val="18"/>
              </w:rPr>
            </w:pPr>
            <w:r>
              <w:rPr>
                <w:rFonts w:asciiTheme="majorHAnsi" w:eastAsia="Verdana" w:hAnsiTheme="majorHAnsi" w:cstheme="majorHAnsi"/>
                <w:b/>
                <w:bCs/>
                <w:sz w:val="18"/>
                <w:szCs w:val="18"/>
              </w:rPr>
              <w:t>FY19 (Q1-Q4)</w:t>
            </w:r>
          </w:p>
        </w:tc>
      </w:tr>
      <w:tr w:rsidR="00385151" w:rsidRPr="00CF4184" w14:paraId="562AEC3C" w14:textId="77777777" w:rsidTr="005A46B5">
        <w:trPr>
          <w:cantSplit/>
          <w:trHeight w:val="280"/>
          <w:tblHeader/>
        </w:trPr>
        <w:tc>
          <w:tcPr>
            <w:tcW w:w="2025" w:type="dxa"/>
            <w:noWrap/>
            <w:vAlign w:val="center"/>
          </w:tcPr>
          <w:p w14:paraId="532FA9F1" w14:textId="77777777" w:rsidR="00385151" w:rsidRPr="00CF4184" w:rsidRDefault="00385151" w:rsidP="00385151">
            <w:pPr>
              <w:jc w:val="center"/>
              <w:rPr>
                <w:rFonts w:asciiTheme="majorHAnsi" w:eastAsia="Verdana" w:hAnsiTheme="majorHAnsi" w:cstheme="majorHAnsi"/>
                <w:sz w:val="18"/>
                <w:szCs w:val="18"/>
              </w:rPr>
            </w:pPr>
          </w:p>
        </w:tc>
        <w:tc>
          <w:tcPr>
            <w:tcW w:w="1890" w:type="dxa"/>
            <w:noWrap/>
            <w:vAlign w:val="center"/>
          </w:tcPr>
          <w:p w14:paraId="669751D3" w14:textId="77777777" w:rsidR="00385151" w:rsidRPr="00CF4184" w:rsidRDefault="00385151" w:rsidP="00385151">
            <w:pPr>
              <w:jc w:val="center"/>
              <w:rPr>
                <w:rFonts w:asciiTheme="majorHAnsi" w:eastAsia="Verdana" w:hAnsiTheme="majorHAnsi" w:cstheme="majorHAnsi"/>
                <w:sz w:val="18"/>
                <w:szCs w:val="18"/>
              </w:rPr>
            </w:pPr>
            <w:r w:rsidRPr="00CF4184">
              <w:rPr>
                <w:rFonts w:asciiTheme="majorHAnsi" w:eastAsia="Verdana" w:hAnsiTheme="majorHAnsi" w:cstheme="majorHAnsi"/>
                <w:sz w:val="18"/>
                <w:szCs w:val="18"/>
              </w:rPr>
              <w:t>Count</w:t>
            </w:r>
          </w:p>
        </w:tc>
      </w:tr>
      <w:tr w:rsidR="00385151" w:rsidRPr="00702EAF" w14:paraId="3FFC594F" w14:textId="77777777" w:rsidTr="005A46B5">
        <w:trPr>
          <w:cantSplit/>
          <w:trHeight w:val="280"/>
        </w:trPr>
        <w:tc>
          <w:tcPr>
            <w:tcW w:w="2025" w:type="dxa"/>
            <w:shd w:val="clear" w:color="auto" w:fill="DEEAF6" w:themeFill="accent5" w:themeFillTint="33"/>
            <w:noWrap/>
          </w:tcPr>
          <w:p w14:paraId="47B598CE" w14:textId="77777777" w:rsidR="00385151" w:rsidRPr="00702EAF" w:rsidRDefault="00385151" w:rsidP="00385151">
            <w:pPr>
              <w:jc w:val="center"/>
              <w:rPr>
                <w:rFonts w:asciiTheme="majorHAnsi" w:eastAsia="Verdana" w:hAnsiTheme="majorHAnsi" w:cstheme="majorHAnsi"/>
                <w:b/>
                <w:bCs/>
                <w:sz w:val="18"/>
                <w:szCs w:val="18"/>
                <w:highlight w:val="yellow"/>
              </w:rPr>
            </w:pPr>
            <w:r w:rsidRPr="00201745">
              <w:rPr>
                <w:rFonts w:asciiTheme="majorHAnsi" w:eastAsia="Verdana" w:hAnsiTheme="majorHAnsi" w:cstheme="majorHAnsi"/>
                <w:b/>
                <w:bCs/>
                <w:sz w:val="18"/>
                <w:szCs w:val="18"/>
              </w:rPr>
              <w:t>Age</w:t>
            </w:r>
          </w:p>
        </w:tc>
        <w:tc>
          <w:tcPr>
            <w:tcW w:w="1890" w:type="dxa"/>
            <w:shd w:val="clear" w:color="auto" w:fill="DEEAF6" w:themeFill="accent5" w:themeFillTint="33"/>
            <w:noWrap/>
          </w:tcPr>
          <w:p w14:paraId="1CB3FCF7" w14:textId="77777777" w:rsidR="00385151" w:rsidRPr="00702EAF" w:rsidRDefault="00385151" w:rsidP="00385151">
            <w:pPr>
              <w:jc w:val="center"/>
              <w:rPr>
                <w:rFonts w:ascii="Arial" w:eastAsia="Verdana" w:hAnsi="Arial" w:cs="Arial"/>
                <w:sz w:val="18"/>
                <w:szCs w:val="18"/>
                <w:highlight w:val="yellow"/>
              </w:rPr>
            </w:pPr>
          </w:p>
        </w:tc>
      </w:tr>
      <w:tr w:rsidR="00771764" w:rsidRPr="00EA1C17" w14:paraId="583B5F73" w14:textId="77777777" w:rsidTr="005A46B5">
        <w:trPr>
          <w:cantSplit/>
          <w:trHeight w:val="197"/>
        </w:trPr>
        <w:tc>
          <w:tcPr>
            <w:tcW w:w="2025" w:type="dxa"/>
            <w:noWrap/>
            <w:hideMark/>
          </w:tcPr>
          <w:p w14:paraId="4EFB13C6" w14:textId="77777777" w:rsidR="00771764" w:rsidRPr="00201745" w:rsidRDefault="00771764" w:rsidP="00771764">
            <w:pPr>
              <w:rPr>
                <w:rFonts w:asciiTheme="majorHAnsi" w:eastAsia="Verdana" w:hAnsiTheme="majorHAnsi" w:cstheme="majorHAnsi"/>
                <w:sz w:val="18"/>
                <w:szCs w:val="18"/>
              </w:rPr>
            </w:pPr>
            <w:r w:rsidRPr="00201745">
              <w:rPr>
                <w:rFonts w:asciiTheme="majorHAnsi" w:eastAsia="Verdana" w:hAnsiTheme="majorHAnsi" w:cstheme="majorHAnsi"/>
                <w:sz w:val="18"/>
                <w:szCs w:val="18"/>
              </w:rPr>
              <w:t>0 to 18</w:t>
            </w:r>
          </w:p>
        </w:tc>
        <w:tc>
          <w:tcPr>
            <w:tcW w:w="1890" w:type="dxa"/>
            <w:noWrap/>
            <w:vAlign w:val="bottom"/>
            <w:hideMark/>
          </w:tcPr>
          <w:p w14:paraId="1132783C" w14:textId="21814A9D" w:rsidR="00771764" w:rsidRPr="008C138D" w:rsidRDefault="00771764" w:rsidP="007577C9">
            <w:pPr>
              <w:jc w:val="center"/>
              <w:rPr>
                <w:rFonts w:asciiTheme="majorHAnsi" w:eastAsia="Verdana" w:hAnsiTheme="majorHAnsi" w:cstheme="majorHAnsi"/>
                <w:sz w:val="18"/>
                <w:szCs w:val="18"/>
              </w:rPr>
            </w:pPr>
            <w:r w:rsidRPr="008C138D">
              <w:rPr>
                <w:rFonts w:asciiTheme="majorHAnsi" w:hAnsiTheme="majorHAnsi" w:cstheme="majorHAnsi"/>
                <w:color w:val="000000"/>
                <w:sz w:val="18"/>
                <w:szCs w:val="18"/>
              </w:rPr>
              <w:t>8,840</w:t>
            </w:r>
          </w:p>
        </w:tc>
      </w:tr>
      <w:tr w:rsidR="00771764" w:rsidRPr="00EA1C17" w14:paraId="5D83160F" w14:textId="77777777" w:rsidTr="005A46B5">
        <w:trPr>
          <w:cantSplit/>
          <w:trHeight w:val="224"/>
        </w:trPr>
        <w:tc>
          <w:tcPr>
            <w:tcW w:w="2025" w:type="dxa"/>
            <w:noWrap/>
            <w:hideMark/>
          </w:tcPr>
          <w:p w14:paraId="78C9ADD1" w14:textId="77777777" w:rsidR="00771764" w:rsidRPr="00201745" w:rsidRDefault="00771764" w:rsidP="00771764">
            <w:pPr>
              <w:rPr>
                <w:rFonts w:asciiTheme="majorHAnsi" w:eastAsia="Verdana" w:hAnsiTheme="majorHAnsi" w:cstheme="majorHAnsi"/>
                <w:sz w:val="18"/>
                <w:szCs w:val="18"/>
              </w:rPr>
            </w:pPr>
            <w:r w:rsidRPr="00201745">
              <w:rPr>
                <w:rFonts w:asciiTheme="majorHAnsi" w:eastAsia="Verdana" w:hAnsiTheme="majorHAnsi" w:cstheme="majorHAnsi"/>
                <w:sz w:val="18"/>
                <w:szCs w:val="18"/>
              </w:rPr>
              <w:t>19 to 45</w:t>
            </w:r>
          </w:p>
        </w:tc>
        <w:tc>
          <w:tcPr>
            <w:tcW w:w="1890" w:type="dxa"/>
            <w:noWrap/>
            <w:vAlign w:val="bottom"/>
            <w:hideMark/>
          </w:tcPr>
          <w:p w14:paraId="6C1E3278" w14:textId="781829D8" w:rsidR="00771764" w:rsidRPr="008C138D" w:rsidRDefault="00771764" w:rsidP="007577C9">
            <w:pPr>
              <w:jc w:val="center"/>
              <w:rPr>
                <w:rFonts w:asciiTheme="majorHAnsi" w:eastAsia="Verdana" w:hAnsiTheme="majorHAnsi" w:cstheme="majorHAnsi"/>
                <w:sz w:val="18"/>
                <w:szCs w:val="18"/>
              </w:rPr>
            </w:pPr>
            <w:r w:rsidRPr="008C138D">
              <w:rPr>
                <w:rFonts w:asciiTheme="majorHAnsi" w:hAnsiTheme="majorHAnsi" w:cstheme="majorHAnsi"/>
                <w:color w:val="000000"/>
                <w:sz w:val="18"/>
                <w:szCs w:val="18"/>
              </w:rPr>
              <w:t>27,958</w:t>
            </w:r>
          </w:p>
        </w:tc>
      </w:tr>
      <w:tr w:rsidR="00771764" w:rsidRPr="00EA1C17" w14:paraId="1014F7E6" w14:textId="77777777" w:rsidTr="005A46B5">
        <w:trPr>
          <w:cantSplit/>
          <w:trHeight w:val="233"/>
        </w:trPr>
        <w:tc>
          <w:tcPr>
            <w:tcW w:w="2025" w:type="dxa"/>
            <w:noWrap/>
            <w:hideMark/>
          </w:tcPr>
          <w:p w14:paraId="08F23005" w14:textId="77777777" w:rsidR="00771764" w:rsidRPr="00201745" w:rsidRDefault="00771764" w:rsidP="00771764">
            <w:pPr>
              <w:rPr>
                <w:rFonts w:asciiTheme="majorHAnsi" w:eastAsia="Verdana" w:hAnsiTheme="majorHAnsi" w:cstheme="majorHAnsi"/>
                <w:sz w:val="18"/>
                <w:szCs w:val="18"/>
              </w:rPr>
            </w:pPr>
            <w:r w:rsidRPr="00201745">
              <w:rPr>
                <w:rFonts w:asciiTheme="majorHAnsi" w:eastAsia="Verdana" w:hAnsiTheme="majorHAnsi" w:cstheme="majorHAnsi"/>
                <w:sz w:val="18"/>
                <w:szCs w:val="18"/>
              </w:rPr>
              <w:t>46</w:t>
            </w:r>
            <w:r>
              <w:rPr>
                <w:rFonts w:asciiTheme="majorHAnsi" w:eastAsia="Verdana" w:hAnsiTheme="majorHAnsi" w:cstheme="majorHAnsi"/>
                <w:sz w:val="18"/>
                <w:szCs w:val="18"/>
              </w:rPr>
              <w:t xml:space="preserve"> to </w:t>
            </w:r>
            <w:r w:rsidRPr="00201745">
              <w:rPr>
                <w:rFonts w:asciiTheme="majorHAnsi" w:eastAsia="Verdana" w:hAnsiTheme="majorHAnsi" w:cstheme="majorHAnsi"/>
                <w:sz w:val="18"/>
                <w:szCs w:val="18"/>
              </w:rPr>
              <w:t>64</w:t>
            </w:r>
          </w:p>
        </w:tc>
        <w:tc>
          <w:tcPr>
            <w:tcW w:w="1890" w:type="dxa"/>
            <w:noWrap/>
            <w:vAlign w:val="bottom"/>
            <w:hideMark/>
          </w:tcPr>
          <w:p w14:paraId="4E28D8E0" w14:textId="520A483E" w:rsidR="00771764" w:rsidRPr="008C138D" w:rsidRDefault="00771764" w:rsidP="007577C9">
            <w:pPr>
              <w:jc w:val="center"/>
              <w:rPr>
                <w:rFonts w:asciiTheme="majorHAnsi" w:eastAsia="Verdana" w:hAnsiTheme="majorHAnsi" w:cstheme="majorHAnsi"/>
                <w:sz w:val="18"/>
                <w:szCs w:val="18"/>
              </w:rPr>
            </w:pPr>
            <w:r w:rsidRPr="008C138D">
              <w:rPr>
                <w:rFonts w:asciiTheme="majorHAnsi" w:hAnsiTheme="majorHAnsi" w:cstheme="majorHAnsi"/>
                <w:color w:val="000000"/>
                <w:sz w:val="18"/>
                <w:szCs w:val="18"/>
              </w:rPr>
              <w:t>27,879</w:t>
            </w:r>
          </w:p>
        </w:tc>
      </w:tr>
      <w:tr w:rsidR="00771764" w:rsidRPr="00EA1C17" w14:paraId="60B41BA3" w14:textId="77777777" w:rsidTr="005A46B5">
        <w:trPr>
          <w:cantSplit/>
          <w:trHeight w:val="233"/>
        </w:trPr>
        <w:tc>
          <w:tcPr>
            <w:tcW w:w="2025" w:type="dxa"/>
            <w:noWrap/>
          </w:tcPr>
          <w:p w14:paraId="0F76E2F6" w14:textId="77777777" w:rsidR="00771764" w:rsidRPr="00201745" w:rsidRDefault="00771764" w:rsidP="00771764">
            <w:pPr>
              <w:rPr>
                <w:rFonts w:asciiTheme="majorHAnsi" w:eastAsia="Verdana" w:hAnsiTheme="majorHAnsi" w:cstheme="majorHAnsi"/>
                <w:sz w:val="18"/>
                <w:szCs w:val="18"/>
              </w:rPr>
            </w:pPr>
            <w:r w:rsidRPr="00201745">
              <w:rPr>
                <w:rFonts w:asciiTheme="majorHAnsi" w:eastAsia="Verdana" w:hAnsiTheme="majorHAnsi" w:cstheme="majorHAnsi"/>
                <w:sz w:val="18"/>
                <w:szCs w:val="18"/>
              </w:rPr>
              <w:t>65+</w:t>
            </w:r>
          </w:p>
        </w:tc>
        <w:tc>
          <w:tcPr>
            <w:tcW w:w="1890" w:type="dxa"/>
            <w:noWrap/>
            <w:vAlign w:val="bottom"/>
          </w:tcPr>
          <w:p w14:paraId="5EEDB7E1" w14:textId="6F824744" w:rsidR="00771764" w:rsidRPr="008C138D" w:rsidRDefault="00771764" w:rsidP="007577C9">
            <w:pPr>
              <w:jc w:val="center"/>
              <w:rPr>
                <w:rFonts w:asciiTheme="majorHAnsi" w:eastAsia="Verdana" w:hAnsiTheme="majorHAnsi" w:cstheme="majorHAnsi"/>
                <w:sz w:val="18"/>
                <w:szCs w:val="18"/>
              </w:rPr>
            </w:pPr>
            <w:r w:rsidRPr="008C138D">
              <w:rPr>
                <w:rFonts w:asciiTheme="majorHAnsi" w:hAnsiTheme="majorHAnsi" w:cstheme="majorHAnsi"/>
                <w:color w:val="000000"/>
                <w:sz w:val="18"/>
                <w:szCs w:val="18"/>
              </w:rPr>
              <w:t>22,058</w:t>
            </w:r>
          </w:p>
        </w:tc>
      </w:tr>
      <w:tr w:rsidR="00385151" w:rsidRPr="00EA1C17" w14:paraId="486C1365" w14:textId="77777777" w:rsidTr="005A46B5">
        <w:trPr>
          <w:cantSplit/>
          <w:trHeight w:val="251"/>
        </w:trPr>
        <w:tc>
          <w:tcPr>
            <w:tcW w:w="2025" w:type="dxa"/>
            <w:shd w:val="clear" w:color="auto" w:fill="E2EFD9" w:themeFill="accent6" w:themeFillTint="33"/>
            <w:noWrap/>
            <w:hideMark/>
          </w:tcPr>
          <w:p w14:paraId="78952171" w14:textId="77777777" w:rsidR="00385151" w:rsidRPr="00201745" w:rsidRDefault="00385151" w:rsidP="00385151">
            <w:pPr>
              <w:jc w:val="center"/>
              <w:rPr>
                <w:rFonts w:asciiTheme="majorHAnsi" w:eastAsia="Verdana" w:hAnsiTheme="majorHAnsi" w:cstheme="majorHAnsi"/>
                <w:sz w:val="18"/>
                <w:szCs w:val="18"/>
              </w:rPr>
            </w:pPr>
            <w:r w:rsidRPr="00201745">
              <w:rPr>
                <w:rFonts w:asciiTheme="majorHAnsi" w:eastAsia="Verdana" w:hAnsiTheme="majorHAnsi" w:cstheme="majorHAnsi"/>
                <w:sz w:val="18"/>
                <w:szCs w:val="18"/>
              </w:rPr>
              <w:t>Total</w:t>
            </w:r>
          </w:p>
        </w:tc>
        <w:tc>
          <w:tcPr>
            <w:tcW w:w="1890" w:type="dxa"/>
            <w:shd w:val="clear" w:color="auto" w:fill="E2EFD9" w:themeFill="accent6" w:themeFillTint="33"/>
            <w:noWrap/>
            <w:hideMark/>
          </w:tcPr>
          <w:p w14:paraId="0C30D51B" w14:textId="3FBED442" w:rsidR="00385151" w:rsidRPr="008C138D" w:rsidRDefault="007577C9" w:rsidP="007577C9">
            <w:pPr>
              <w:jc w:val="center"/>
              <w:rPr>
                <w:rFonts w:asciiTheme="majorHAnsi" w:eastAsia="Verdana" w:hAnsiTheme="majorHAnsi" w:cstheme="majorHAnsi"/>
                <w:sz w:val="18"/>
                <w:szCs w:val="18"/>
              </w:rPr>
            </w:pPr>
            <w:r>
              <w:rPr>
                <w:rFonts w:asciiTheme="majorHAnsi" w:eastAsia="Verdana" w:hAnsiTheme="majorHAnsi" w:cstheme="majorHAnsi"/>
                <w:sz w:val="18"/>
                <w:szCs w:val="18"/>
              </w:rPr>
              <w:t>86,735</w:t>
            </w:r>
          </w:p>
        </w:tc>
      </w:tr>
      <w:tr w:rsidR="00385151" w:rsidRPr="00EA1C17" w14:paraId="0A68023B" w14:textId="77777777" w:rsidTr="005A46B5">
        <w:trPr>
          <w:cantSplit/>
          <w:trHeight w:val="280"/>
        </w:trPr>
        <w:tc>
          <w:tcPr>
            <w:tcW w:w="2025" w:type="dxa"/>
            <w:shd w:val="clear" w:color="auto" w:fill="DEEAF6" w:themeFill="accent5" w:themeFillTint="33"/>
            <w:noWrap/>
          </w:tcPr>
          <w:p w14:paraId="7530F86F" w14:textId="77777777" w:rsidR="00385151" w:rsidRPr="00702EAF" w:rsidRDefault="00385151" w:rsidP="00385151">
            <w:pPr>
              <w:jc w:val="center"/>
              <w:rPr>
                <w:rFonts w:asciiTheme="majorHAnsi" w:eastAsia="Verdana" w:hAnsiTheme="majorHAnsi" w:cstheme="majorHAnsi"/>
                <w:sz w:val="18"/>
                <w:szCs w:val="18"/>
                <w:highlight w:val="yellow"/>
              </w:rPr>
            </w:pPr>
            <w:r w:rsidRPr="00201745">
              <w:rPr>
                <w:rFonts w:asciiTheme="majorHAnsi" w:eastAsia="Verdana" w:hAnsiTheme="majorHAnsi" w:cstheme="majorHAnsi"/>
                <w:b/>
                <w:bCs/>
                <w:sz w:val="18"/>
                <w:szCs w:val="18"/>
              </w:rPr>
              <w:t>Gender</w:t>
            </w:r>
          </w:p>
        </w:tc>
        <w:tc>
          <w:tcPr>
            <w:tcW w:w="1890" w:type="dxa"/>
            <w:shd w:val="clear" w:color="auto" w:fill="DEEAF6" w:themeFill="accent5" w:themeFillTint="33"/>
            <w:noWrap/>
          </w:tcPr>
          <w:p w14:paraId="72B7A5FE" w14:textId="77777777" w:rsidR="00385151" w:rsidRPr="008C138D" w:rsidRDefault="00385151" w:rsidP="007577C9">
            <w:pPr>
              <w:jc w:val="center"/>
              <w:rPr>
                <w:rFonts w:asciiTheme="majorHAnsi" w:eastAsia="Verdana" w:hAnsiTheme="majorHAnsi" w:cstheme="majorHAnsi"/>
                <w:sz w:val="18"/>
                <w:szCs w:val="18"/>
                <w:highlight w:val="yellow"/>
              </w:rPr>
            </w:pPr>
          </w:p>
        </w:tc>
      </w:tr>
      <w:tr w:rsidR="00385151" w:rsidRPr="00EA1C17" w14:paraId="4A2C1EE7" w14:textId="77777777" w:rsidTr="005A46B5">
        <w:trPr>
          <w:cantSplit/>
          <w:trHeight w:val="152"/>
        </w:trPr>
        <w:tc>
          <w:tcPr>
            <w:tcW w:w="2025" w:type="dxa"/>
            <w:shd w:val="clear" w:color="auto" w:fill="auto"/>
            <w:noWrap/>
          </w:tcPr>
          <w:p w14:paraId="532A35C6" w14:textId="77777777" w:rsidR="00385151" w:rsidRPr="0004070C" w:rsidRDefault="00385151" w:rsidP="00385151">
            <w:pPr>
              <w:rPr>
                <w:rFonts w:asciiTheme="majorHAnsi" w:eastAsia="Verdana" w:hAnsiTheme="majorHAnsi" w:cstheme="majorHAnsi"/>
                <w:sz w:val="18"/>
                <w:szCs w:val="18"/>
              </w:rPr>
            </w:pPr>
            <w:r w:rsidRPr="0004070C">
              <w:rPr>
                <w:rFonts w:asciiTheme="majorHAnsi" w:eastAsia="Verdana" w:hAnsiTheme="majorHAnsi" w:cstheme="majorHAnsi"/>
                <w:sz w:val="18"/>
                <w:szCs w:val="18"/>
              </w:rPr>
              <w:t>Female</w:t>
            </w:r>
          </w:p>
        </w:tc>
        <w:tc>
          <w:tcPr>
            <w:tcW w:w="1890" w:type="dxa"/>
            <w:shd w:val="clear" w:color="auto" w:fill="auto"/>
            <w:noWrap/>
            <w:vAlign w:val="bottom"/>
          </w:tcPr>
          <w:p w14:paraId="155DCA71" w14:textId="38140182" w:rsidR="00385151" w:rsidRPr="0004070C" w:rsidRDefault="0004070C" w:rsidP="007577C9">
            <w:pPr>
              <w:jc w:val="center"/>
              <w:rPr>
                <w:rFonts w:asciiTheme="majorHAnsi" w:eastAsia="Verdana" w:hAnsiTheme="majorHAnsi" w:cstheme="majorHAnsi"/>
                <w:sz w:val="18"/>
                <w:szCs w:val="18"/>
              </w:rPr>
            </w:pPr>
            <w:r w:rsidRPr="0004070C">
              <w:rPr>
                <w:rFonts w:asciiTheme="majorHAnsi" w:eastAsia="Verdana" w:hAnsiTheme="majorHAnsi" w:cstheme="majorHAnsi"/>
                <w:sz w:val="18"/>
                <w:szCs w:val="18"/>
              </w:rPr>
              <w:t>Pending</w:t>
            </w:r>
          </w:p>
        </w:tc>
      </w:tr>
      <w:tr w:rsidR="00385151" w:rsidRPr="00EA1C17" w14:paraId="44C6119C" w14:textId="77777777" w:rsidTr="005A46B5">
        <w:trPr>
          <w:cantSplit/>
          <w:trHeight w:val="251"/>
        </w:trPr>
        <w:tc>
          <w:tcPr>
            <w:tcW w:w="2025" w:type="dxa"/>
            <w:shd w:val="clear" w:color="auto" w:fill="auto"/>
            <w:noWrap/>
          </w:tcPr>
          <w:p w14:paraId="19AA5332" w14:textId="77777777" w:rsidR="00385151" w:rsidRPr="0004070C" w:rsidRDefault="00385151" w:rsidP="00385151">
            <w:pPr>
              <w:rPr>
                <w:rFonts w:asciiTheme="majorHAnsi" w:eastAsia="Verdana" w:hAnsiTheme="majorHAnsi" w:cstheme="majorHAnsi"/>
                <w:sz w:val="18"/>
                <w:szCs w:val="18"/>
              </w:rPr>
            </w:pPr>
            <w:r w:rsidRPr="0004070C">
              <w:rPr>
                <w:rFonts w:asciiTheme="majorHAnsi" w:eastAsia="Verdana" w:hAnsiTheme="majorHAnsi" w:cstheme="majorHAnsi"/>
                <w:sz w:val="18"/>
                <w:szCs w:val="18"/>
              </w:rPr>
              <w:t>Male</w:t>
            </w:r>
          </w:p>
        </w:tc>
        <w:tc>
          <w:tcPr>
            <w:tcW w:w="1890" w:type="dxa"/>
            <w:shd w:val="clear" w:color="auto" w:fill="auto"/>
            <w:noWrap/>
            <w:vAlign w:val="bottom"/>
          </w:tcPr>
          <w:p w14:paraId="36465F62" w14:textId="6B322CCF" w:rsidR="00385151" w:rsidRPr="0004070C" w:rsidRDefault="0004070C" w:rsidP="007577C9">
            <w:pPr>
              <w:jc w:val="center"/>
              <w:rPr>
                <w:rFonts w:asciiTheme="majorHAnsi" w:eastAsia="Verdana" w:hAnsiTheme="majorHAnsi" w:cstheme="majorHAnsi"/>
                <w:sz w:val="18"/>
                <w:szCs w:val="18"/>
              </w:rPr>
            </w:pPr>
            <w:r w:rsidRPr="0004070C">
              <w:rPr>
                <w:rFonts w:asciiTheme="majorHAnsi" w:eastAsia="Verdana" w:hAnsiTheme="majorHAnsi" w:cstheme="majorHAnsi"/>
                <w:sz w:val="18"/>
                <w:szCs w:val="18"/>
              </w:rPr>
              <w:t>Pending</w:t>
            </w:r>
          </w:p>
        </w:tc>
      </w:tr>
      <w:tr w:rsidR="00385151" w:rsidRPr="00EA1C17" w14:paraId="58785FF2" w14:textId="77777777" w:rsidTr="005A46B5">
        <w:trPr>
          <w:cantSplit/>
          <w:trHeight w:val="170"/>
        </w:trPr>
        <w:tc>
          <w:tcPr>
            <w:tcW w:w="2025" w:type="dxa"/>
            <w:shd w:val="clear" w:color="auto" w:fill="auto"/>
            <w:noWrap/>
          </w:tcPr>
          <w:p w14:paraId="7D9E73CC" w14:textId="693A9A14" w:rsidR="00385151" w:rsidRPr="0004070C" w:rsidRDefault="00385151" w:rsidP="00385151">
            <w:pPr>
              <w:rPr>
                <w:rFonts w:asciiTheme="majorHAnsi" w:eastAsia="Verdana" w:hAnsiTheme="majorHAnsi" w:cstheme="majorHAnsi"/>
                <w:sz w:val="18"/>
                <w:szCs w:val="18"/>
              </w:rPr>
            </w:pPr>
            <w:r w:rsidRPr="0004070C">
              <w:rPr>
                <w:rFonts w:asciiTheme="majorHAnsi" w:eastAsia="Verdana" w:hAnsiTheme="majorHAnsi" w:cstheme="majorHAnsi"/>
                <w:sz w:val="18"/>
                <w:szCs w:val="18"/>
              </w:rPr>
              <w:t>Unknown</w:t>
            </w:r>
          </w:p>
        </w:tc>
        <w:tc>
          <w:tcPr>
            <w:tcW w:w="1890" w:type="dxa"/>
            <w:shd w:val="clear" w:color="auto" w:fill="auto"/>
            <w:noWrap/>
            <w:vAlign w:val="bottom"/>
          </w:tcPr>
          <w:p w14:paraId="42CD490D" w14:textId="37347883" w:rsidR="00385151" w:rsidRPr="0004070C" w:rsidRDefault="0004070C" w:rsidP="007577C9">
            <w:pPr>
              <w:jc w:val="center"/>
              <w:rPr>
                <w:rFonts w:asciiTheme="majorHAnsi" w:eastAsia="Verdana" w:hAnsiTheme="majorHAnsi" w:cstheme="majorHAnsi"/>
                <w:sz w:val="18"/>
                <w:szCs w:val="18"/>
              </w:rPr>
            </w:pPr>
            <w:r w:rsidRPr="0004070C">
              <w:rPr>
                <w:rFonts w:asciiTheme="majorHAnsi" w:eastAsia="Verdana" w:hAnsiTheme="majorHAnsi" w:cstheme="majorHAnsi"/>
                <w:sz w:val="18"/>
                <w:szCs w:val="18"/>
              </w:rPr>
              <w:t>Pending</w:t>
            </w:r>
          </w:p>
        </w:tc>
      </w:tr>
      <w:tr w:rsidR="00385151" w:rsidRPr="00EA1C17" w14:paraId="032B7A59" w14:textId="77777777" w:rsidTr="005A46B5">
        <w:trPr>
          <w:cantSplit/>
          <w:trHeight w:val="280"/>
        </w:trPr>
        <w:tc>
          <w:tcPr>
            <w:tcW w:w="2025" w:type="dxa"/>
            <w:shd w:val="clear" w:color="auto" w:fill="E2EFD9" w:themeFill="accent6" w:themeFillTint="33"/>
            <w:noWrap/>
          </w:tcPr>
          <w:p w14:paraId="1D05BA28" w14:textId="77777777" w:rsidR="00385151" w:rsidRPr="00AE324F" w:rsidRDefault="00385151" w:rsidP="00385151">
            <w:pPr>
              <w:jc w:val="center"/>
              <w:rPr>
                <w:rFonts w:asciiTheme="majorHAnsi" w:eastAsia="Verdana" w:hAnsiTheme="majorHAnsi" w:cstheme="majorHAnsi"/>
                <w:sz w:val="18"/>
                <w:szCs w:val="18"/>
              </w:rPr>
            </w:pPr>
            <w:r w:rsidRPr="00AE324F">
              <w:rPr>
                <w:rFonts w:asciiTheme="majorHAnsi" w:eastAsia="Verdana" w:hAnsiTheme="majorHAnsi" w:cstheme="majorHAnsi"/>
                <w:sz w:val="18"/>
                <w:szCs w:val="18"/>
              </w:rPr>
              <w:t>Total</w:t>
            </w:r>
          </w:p>
        </w:tc>
        <w:tc>
          <w:tcPr>
            <w:tcW w:w="1890" w:type="dxa"/>
            <w:shd w:val="clear" w:color="auto" w:fill="E2EFD9" w:themeFill="accent6" w:themeFillTint="33"/>
            <w:noWrap/>
          </w:tcPr>
          <w:p w14:paraId="7FC351F1" w14:textId="6D2BA83A" w:rsidR="00385151" w:rsidRPr="008C138D" w:rsidRDefault="007577C9" w:rsidP="007577C9">
            <w:pPr>
              <w:jc w:val="center"/>
              <w:rPr>
                <w:rFonts w:asciiTheme="majorHAnsi" w:eastAsia="Verdana" w:hAnsiTheme="majorHAnsi" w:cstheme="majorHAnsi"/>
                <w:sz w:val="18"/>
                <w:szCs w:val="18"/>
              </w:rPr>
            </w:pPr>
            <w:r>
              <w:rPr>
                <w:rFonts w:asciiTheme="majorHAnsi" w:eastAsia="Verdana" w:hAnsiTheme="majorHAnsi" w:cstheme="majorHAnsi"/>
                <w:sz w:val="18"/>
                <w:szCs w:val="18"/>
              </w:rPr>
              <w:t>86,735</w:t>
            </w:r>
          </w:p>
        </w:tc>
      </w:tr>
      <w:tr w:rsidR="00385151" w:rsidRPr="00EA1C17" w14:paraId="013833F9" w14:textId="77777777" w:rsidTr="005A46B5">
        <w:trPr>
          <w:cantSplit/>
          <w:trHeight w:val="280"/>
        </w:trPr>
        <w:tc>
          <w:tcPr>
            <w:tcW w:w="2025" w:type="dxa"/>
            <w:shd w:val="clear" w:color="auto" w:fill="DEEAF6" w:themeFill="accent5" w:themeFillTint="33"/>
            <w:noWrap/>
            <w:vAlign w:val="bottom"/>
          </w:tcPr>
          <w:p w14:paraId="36015C1C" w14:textId="77777777" w:rsidR="00385151" w:rsidRPr="00AE324F" w:rsidRDefault="00385151" w:rsidP="00385151">
            <w:pPr>
              <w:jc w:val="center"/>
              <w:rPr>
                <w:rFonts w:asciiTheme="majorHAnsi" w:eastAsia="Verdana" w:hAnsiTheme="majorHAnsi" w:cstheme="majorHAnsi"/>
                <w:sz w:val="18"/>
                <w:szCs w:val="18"/>
              </w:rPr>
            </w:pPr>
            <w:r w:rsidRPr="00AE324F">
              <w:rPr>
                <w:rFonts w:asciiTheme="majorHAnsi" w:hAnsiTheme="majorHAnsi" w:cstheme="majorHAnsi"/>
                <w:b/>
                <w:bCs/>
                <w:color w:val="000000"/>
                <w:sz w:val="18"/>
                <w:szCs w:val="18"/>
              </w:rPr>
              <w:t>Race</w:t>
            </w:r>
          </w:p>
        </w:tc>
        <w:tc>
          <w:tcPr>
            <w:tcW w:w="1890" w:type="dxa"/>
            <w:shd w:val="clear" w:color="auto" w:fill="DEEAF6" w:themeFill="accent5" w:themeFillTint="33"/>
            <w:noWrap/>
            <w:vAlign w:val="bottom"/>
          </w:tcPr>
          <w:p w14:paraId="6D37655B" w14:textId="77777777" w:rsidR="00385151" w:rsidRPr="008C138D" w:rsidRDefault="00385151" w:rsidP="007577C9">
            <w:pPr>
              <w:jc w:val="center"/>
              <w:rPr>
                <w:rFonts w:asciiTheme="majorHAnsi" w:eastAsia="Verdana" w:hAnsiTheme="majorHAnsi" w:cstheme="majorHAnsi"/>
                <w:sz w:val="18"/>
                <w:szCs w:val="18"/>
                <w:highlight w:val="yellow"/>
              </w:rPr>
            </w:pPr>
          </w:p>
        </w:tc>
      </w:tr>
      <w:tr w:rsidR="002A38DF" w:rsidRPr="00EA1C17" w14:paraId="67D93CFA" w14:textId="77777777" w:rsidTr="005A46B5">
        <w:trPr>
          <w:cantSplit/>
          <w:trHeight w:val="280"/>
        </w:trPr>
        <w:tc>
          <w:tcPr>
            <w:tcW w:w="2025" w:type="dxa"/>
            <w:shd w:val="clear" w:color="auto" w:fill="auto"/>
            <w:noWrap/>
            <w:vAlign w:val="bottom"/>
          </w:tcPr>
          <w:p w14:paraId="642E77C0" w14:textId="77777777" w:rsidR="002A38DF" w:rsidRPr="00AE324F" w:rsidRDefault="002A38DF" w:rsidP="002A38DF">
            <w:pPr>
              <w:rPr>
                <w:rFonts w:asciiTheme="majorHAnsi" w:eastAsia="Verdana" w:hAnsiTheme="majorHAnsi" w:cstheme="majorHAnsi"/>
                <w:sz w:val="18"/>
                <w:szCs w:val="18"/>
              </w:rPr>
            </w:pPr>
            <w:r w:rsidRPr="00AE324F">
              <w:rPr>
                <w:rFonts w:asciiTheme="majorHAnsi" w:hAnsiTheme="majorHAnsi" w:cstheme="majorHAnsi"/>
                <w:color w:val="000000"/>
                <w:sz w:val="18"/>
                <w:szCs w:val="18"/>
              </w:rPr>
              <w:t>African American</w:t>
            </w:r>
          </w:p>
        </w:tc>
        <w:tc>
          <w:tcPr>
            <w:tcW w:w="1890" w:type="dxa"/>
            <w:shd w:val="clear" w:color="auto" w:fill="auto"/>
            <w:noWrap/>
            <w:vAlign w:val="bottom"/>
          </w:tcPr>
          <w:p w14:paraId="65B4E59A" w14:textId="3BC8D372" w:rsidR="002A38DF" w:rsidRPr="008C138D" w:rsidRDefault="002A38DF" w:rsidP="007577C9">
            <w:pPr>
              <w:jc w:val="center"/>
              <w:rPr>
                <w:rFonts w:asciiTheme="majorHAnsi" w:eastAsia="Verdana" w:hAnsiTheme="majorHAnsi" w:cstheme="majorHAnsi"/>
                <w:sz w:val="18"/>
                <w:szCs w:val="18"/>
              </w:rPr>
            </w:pPr>
            <w:r w:rsidRPr="008C138D">
              <w:rPr>
                <w:rFonts w:asciiTheme="majorHAnsi" w:hAnsiTheme="majorHAnsi" w:cstheme="majorHAnsi"/>
                <w:color w:val="000000"/>
                <w:sz w:val="18"/>
                <w:szCs w:val="18"/>
              </w:rPr>
              <w:t>20,647</w:t>
            </w:r>
          </w:p>
        </w:tc>
      </w:tr>
      <w:tr w:rsidR="002A38DF" w:rsidRPr="00EA1C17" w14:paraId="7A451F3D" w14:textId="77777777" w:rsidTr="005A46B5">
        <w:trPr>
          <w:cantSplit/>
          <w:trHeight w:val="280"/>
        </w:trPr>
        <w:tc>
          <w:tcPr>
            <w:tcW w:w="2025" w:type="dxa"/>
            <w:shd w:val="clear" w:color="auto" w:fill="auto"/>
            <w:noWrap/>
            <w:vAlign w:val="bottom"/>
          </w:tcPr>
          <w:p w14:paraId="14054293" w14:textId="77777777" w:rsidR="002A38DF" w:rsidRPr="00AE324F" w:rsidRDefault="002A38DF" w:rsidP="002A38DF">
            <w:pPr>
              <w:rPr>
                <w:rFonts w:asciiTheme="majorHAnsi" w:eastAsia="Verdana" w:hAnsiTheme="majorHAnsi" w:cstheme="majorHAnsi"/>
                <w:sz w:val="18"/>
                <w:szCs w:val="18"/>
              </w:rPr>
            </w:pPr>
            <w:r w:rsidRPr="00AE324F">
              <w:rPr>
                <w:rFonts w:asciiTheme="majorHAnsi" w:hAnsiTheme="majorHAnsi" w:cstheme="majorHAnsi"/>
                <w:color w:val="000000"/>
                <w:sz w:val="18"/>
                <w:szCs w:val="18"/>
              </w:rPr>
              <w:t>American Indian or Alaska Native</w:t>
            </w:r>
          </w:p>
        </w:tc>
        <w:tc>
          <w:tcPr>
            <w:tcW w:w="1890" w:type="dxa"/>
            <w:shd w:val="clear" w:color="auto" w:fill="auto"/>
            <w:noWrap/>
            <w:vAlign w:val="bottom"/>
          </w:tcPr>
          <w:p w14:paraId="28D7CFA1" w14:textId="22649030" w:rsidR="002A38DF" w:rsidRPr="008C138D" w:rsidRDefault="002A38DF" w:rsidP="007577C9">
            <w:pPr>
              <w:jc w:val="center"/>
              <w:rPr>
                <w:rFonts w:asciiTheme="majorHAnsi" w:eastAsia="Verdana" w:hAnsiTheme="majorHAnsi" w:cstheme="majorHAnsi"/>
                <w:sz w:val="18"/>
                <w:szCs w:val="18"/>
              </w:rPr>
            </w:pPr>
            <w:r w:rsidRPr="008C138D">
              <w:rPr>
                <w:rFonts w:asciiTheme="majorHAnsi" w:hAnsiTheme="majorHAnsi" w:cstheme="majorHAnsi"/>
                <w:color w:val="000000"/>
                <w:sz w:val="18"/>
                <w:szCs w:val="18"/>
              </w:rPr>
              <w:t>119</w:t>
            </w:r>
          </w:p>
        </w:tc>
      </w:tr>
      <w:tr w:rsidR="002A38DF" w:rsidRPr="00EA1C17" w14:paraId="252797DD" w14:textId="77777777" w:rsidTr="005A46B5">
        <w:trPr>
          <w:cantSplit/>
          <w:trHeight w:val="280"/>
        </w:trPr>
        <w:tc>
          <w:tcPr>
            <w:tcW w:w="2025" w:type="dxa"/>
            <w:shd w:val="clear" w:color="auto" w:fill="auto"/>
            <w:noWrap/>
            <w:vAlign w:val="bottom"/>
          </w:tcPr>
          <w:p w14:paraId="48CC5980" w14:textId="77777777" w:rsidR="002A38DF" w:rsidRPr="00AE324F" w:rsidRDefault="002A38DF" w:rsidP="002A38DF">
            <w:pPr>
              <w:rPr>
                <w:rFonts w:asciiTheme="majorHAnsi" w:eastAsia="Verdana" w:hAnsiTheme="majorHAnsi" w:cstheme="majorHAnsi"/>
                <w:sz w:val="18"/>
                <w:szCs w:val="18"/>
              </w:rPr>
            </w:pPr>
            <w:r w:rsidRPr="00AE324F">
              <w:rPr>
                <w:rFonts w:asciiTheme="majorHAnsi" w:hAnsiTheme="majorHAnsi" w:cstheme="majorHAnsi"/>
                <w:color w:val="000000"/>
                <w:sz w:val="18"/>
                <w:szCs w:val="18"/>
              </w:rPr>
              <w:t>Asian</w:t>
            </w:r>
          </w:p>
        </w:tc>
        <w:tc>
          <w:tcPr>
            <w:tcW w:w="1890" w:type="dxa"/>
            <w:shd w:val="clear" w:color="auto" w:fill="auto"/>
            <w:noWrap/>
            <w:vAlign w:val="bottom"/>
          </w:tcPr>
          <w:p w14:paraId="62926488" w14:textId="06FC37C4" w:rsidR="002A38DF" w:rsidRPr="008C138D" w:rsidRDefault="002A38DF" w:rsidP="007577C9">
            <w:pPr>
              <w:jc w:val="center"/>
              <w:rPr>
                <w:rFonts w:asciiTheme="majorHAnsi" w:eastAsia="Verdana" w:hAnsiTheme="majorHAnsi" w:cstheme="majorHAnsi"/>
                <w:sz w:val="18"/>
                <w:szCs w:val="18"/>
              </w:rPr>
            </w:pPr>
            <w:r w:rsidRPr="008C138D">
              <w:rPr>
                <w:rFonts w:asciiTheme="majorHAnsi" w:hAnsiTheme="majorHAnsi" w:cstheme="majorHAnsi"/>
                <w:color w:val="000000"/>
                <w:sz w:val="18"/>
                <w:szCs w:val="18"/>
              </w:rPr>
              <w:t>878</w:t>
            </w:r>
          </w:p>
        </w:tc>
      </w:tr>
      <w:tr w:rsidR="002A38DF" w:rsidRPr="00EA1C17" w14:paraId="78114725" w14:textId="77777777" w:rsidTr="005A46B5">
        <w:trPr>
          <w:cantSplit/>
          <w:trHeight w:val="280"/>
        </w:trPr>
        <w:tc>
          <w:tcPr>
            <w:tcW w:w="2025" w:type="dxa"/>
            <w:shd w:val="clear" w:color="auto" w:fill="auto"/>
            <w:noWrap/>
            <w:vAlign w:val="bottom"/>
          </w:tcPr>
          <w:p w14:paraId="7AF9C6AF" w14:textId="14D7244D" w:rsidR="002A38DF" w:rsidRPr="00AE324F" w:rsidRDefault="002A38DF" w:rsidP="002A38DF">
            <w:pPr>
              <w:rPr>
                <w:rFonts w:asciiTheme="majorHAnsi" w:eastAsia="Verdana" w:hAnsiTheme="majorHAnsi" w:cstheme="majorHAnsi"/>
                <w:sz w:val="18"/>
                <w:szCs w:val="18"/>
              </w:rPr>
            </w:pPr>
            <w:r w:rsidRPr="00AE324F">
              <w:rPr>
                <w:rFonts w:asciiTheme="majorHAnsi" w:hAnsiTheme="majorHAnsi" w:cstheme="majorHAnsi"/>
                <w:color w:val="000000"/>
                <w:sz w:val="18"/>
                <w:szCs w:val="18"/>
              </w:rPr>
              <w:t>Declined</w:t>
            </w:r>
          </w:p>
        </w:tc>
        <w:tc>
          <w:tcPr>
            <w:tcW w:w="1890" w:type="dxa"/>
            <w:shd w:val="clear" w:color="auto" w:fill="auto"/>
            <w:noWrap/>
            <w:vAlign w:val="bottom"/>
          </w:tcPr>
          <w:p w14:paraId="5B4819C3" w14:textId="14F401C5" w:rsidR="002A38DF" w:rsidRPr="008C138D" w:rsidRDefault="002A38DF" w:rsidP="007577C9">
            <w:pPr>
              <w:jc w:val="center"/>
              <w:rPr>
                <w:rFonts w:asciiTheme="majorHAnsi" w:eastAsia="Verdana" w:hAnsiTheme="majorHAnsi" w:cstheme="majorHAnsi"/>
                <w:sz w:val="18"/>
                <w:szCs w:val="18"/>
              </w:rPr>
            </w:pPr>
            <w:r w:rsidRPr="008C138D">
              <w:rPr>
                <w:rFonts w:asciiTheme="majorHAnsi" w:hAnsiTheme="majorHAnsi" w:cstheme="majorHAnsi"/>
                <w:color w:val="000000"/>
                <w:sz w:val="18"/>
                <w:szCs w:val="18"/>
              </w:rPr>
              <w:t>853</w:t>
            </w:r>
          </w:p>
        </w:tc>
      </w:tr>
      <w:tr w:rsidR="002A38DF" w:rsidRPr="00EA1C17" w14:paraId="5B2646E7" w14:textId="77777777" w:rsidTr="005A46B5">
        <w:trPr>
          <w:cantSplit/>
          <w:trHeight w:val="280"/>
        </w:trPr>
        <w:tc>
          <w:tcPr>
            <w:tcW w:w="2025" w:type="dxa"/>
            <w:shd w:val="clear" w:color="auto" w:fill="auto"/>
            <w:noWrap/>
            <w:vAlign w:val="bottom"/>
          </w:tcPr>
          <w:p w14:paraId="49E35991" w14:textId="77777777" w:rsidR="002A38DF" w:rsidRPr="00AE324F" w:rsidRDefault="002A38DF" w:rsidP="002A38DF">
            <w:pPr>
              <w:rPr>
                <w:rFonts w:asciiTheme="majorHAnsi" w:eastAsia="Verdana" w:hAnsiTheme="majorHAnsi" w:cstheme="majorHAnsi"/>
                <w:sz w:val="18"/>
                <w:szCs w:val="18"/>
              </w:rPr>
            </w:pPr>
            <w:r w:rsidRPr="00AE324F">
              <w:rPr>
                <w:rFonts w:asciiTheme="majorHAnsi" w:hAnsiTheme="majorHAnsi" w:cstheme="majorHAnsi"/>
                <w:color w:val="000000"/>
                <w:sz w:val="18"/>
                <w:szCs w:val="18"/>
              </w:rPr>
              <w:t>Hispanic</w:t>
            </w:r>
          </w:p>
        </w:tc>
        <w:tc>
          <w:tcPr>
            <w:tcW w:w="1890" w:type="dxa"/>
            <w:shd w:val="clear" w:color="auto" w:fill="auto"/>
            <w:noWrap/>
            <w:vAlign w:val="bottom"/>
          </w:tcPr>
          <w:p w14:paraId="31EFE4B8" w14:textId="6FF49271" w:rsidR="002A38DF" w:rsidRPr="008C138D" w:rsidRDefault="002A38DF" w:rsidP="007577C9">
            <w:pPr>
              <w:jc w:val="center"/>
              <w:rPr>
                <w:rFonts w:asciiTheme="majorHAnsi" w:eastAsia="Verdana" w:hAnsiTheme="majorHAnsi" w:cstheme="majorHAnsi"/>
                <w:sz w:val="18"/>
                <w:szCs w:val="18"/>
              </w:rPr>
            </w:pPr>
            <w:r w:rsidRPr="008C138D">
              <w:rPr>
                <w:rFonts w:asciiTheme="majorHAnsi" w:hAnsiTheme="majorHAnsi" w:cstheme="majorHAnsi"/>
                <w:color w:val="000000"/>
                <w:sz w:val="18"/>
                <w:szCs w:val="18"/>
              </w:rPr>
              <w:t>5,032</w:t>
            </w:r>
          </w:p>
        </w:tc>
      </w:tr>
      <w:tr w:rsidR="002A38DF" w:rsidRPr="00EA1C17" w14:paraId="167037DA" w14:textId="77777777" w:rsidTr="005A46B5">
        <w:trPr>
          <w:cantSplit/>
          <w:trHeight w:val="280"/>
        </w:trPr>
        <w:tc>
          <w:tcPr>
            <w:tcW w:w="2025" w:type="dxa"/>
            <w:shd w:val="clear" w:color="auto" w:fill="auto"/>
            <w:noWrap/>
            <w:vAlign w:val="bottom"/>
          </w:tcPr>
          <w:p w14:paraId="667AE083" w14:textId="77777777" w:rsidR="002A38DF" w:rsidRPr="00AE324F" w:rsidRDefault="002A38DF" w:rsidP="002A38DF">
            <w:pPr>
              <w:rPr>
                <w:rFonts w:asciiTheme="majorHAnsi" w:eastAsia="Verdana" w:hAnsiTheme="majorHAnsi" w:cstheme="majorHAnsi"/>
                <w:sz w:val="18"/>
                <w:szCs w:val="18"/>
              </w:rPr>
            </w:pPr>
            <w:r w:rsidRPr="00AE324F">
              <w:rPr>
                <w:rFonts w:asciiTheme="majorHAnsi" w:hAnsiTheme="majorHAnsi" w:cstheme="majorHAnsi"/>
                <w:color w:val="000000"/>
                <w:sz w:val="18"/>
                <w:szCs w:val="18"/>
              </w:rPr>
              <w:t>Native Hawaiian or Other Pacific Islander</w:t>
            </w:r>
          </w:p>
        </w:tc>
        <w:tc>
          <w:tcPr>
            <w:tcW w:w="1890" w:type="dxa"/>
            <w:shd w:val="clear" w:color="auto" w:fill="auto"/>
            <w:noWrap/>
            <w:vAlign w:val="bottom"/>
          </w:tcPr>
          <w:p w14:paraId="1303DE34" w14:textId="14A2FBE1" w:rsidR="002A38DF" w:rsidRPr="008C138D" w:rsidRDefault="002A38DF" w:rsidP="007577C9">
            <w:pPr>
              <w:jc w:val="center"/>
              <w:rPr>
                <w:rFonts w:asciiTheme="majorHAnsi" w:eastAsia="Verdana" w:hAnsiTheme="majorHAnsi" w:cstheme="majorHAnsi"/>
                <w:sz w:val="18"/>
                <w:szCs w:val="18"/>
                <w:highlight w:val="yellow"/>
              </w:rPr>
            </w:pPr>
            <w:r w:rsidRPr="008C138D">
              <w:rPr>
                <w:rFonts w:asciiTheme="majorHAnsi" w:hAnsiTheme="majorHAnsi" w:cstheme="majorHAnsi"/>
                <w:color w:val="000000"/>
                <w:sz w:val="18"/>
                <w:szCs w:val="18"/>
              </w:rPr>
              <w:t>49</w:t>
            </w:r>
          </w:p>
        </w:tc>
      </w:tr>
      <w:tr w:rsidR="002A38DF" w:rsidRPr="00EA1C17" w14:paraId="1DC2D628" w14:textId="77777777" w:rsidTr="005A46B5">
        <w:trPr>
          <w:cantSplit/>
          <w:trHeight w:val="280"/>
        </w:trPr>
        <w:tc>
          <w:tcPr>
            <w:tcW w:w="2025" w:type="dxa"/>
            <w:shd w:val="clear" w:color="auto" w:fill="auto"/>
            <w:noWrap/>
            <w:vAlign w:val="bottom"/>
          </w:tcPr>
          <w:p w14:paraId="6A1B5A31" w14:textId="1C984DA1" w:rsidR="002A38DF" w:rsidRPr="00AE324F" w:rsidRDefault="002A38DF" w:rsidP="002A38DF">
            <w:pPr>
              <w:rPr>
                <w:rFonts w:asciiTheme="majorHAnsi" w:eastAsia="Verdana" w:hAnsiTheme="majorHAnsi" w:cstheme="majorHAnsi"/>
                <w:sz w:val="18"/>
                <w:szCs w:val="18"/>
              </w:rPr>
            </w:pPr>
            <w:r w:rsidRPr="00AE324F">
              <w:rPr>
                <w:rFonts w:asciiTheme="majorHAnsi" w:hAnsiTheme="majorHAnsi" w:cstheme="majorHAnsi"/>
                <w:color w:val="000000"/>
                <w:sz w:val="18"/>
                <w:szCs w:val="18"/>
              </w:rPr>
              <w:t>Other</w:t>
            </w:r>
          </w:p>
        </w:tc>
        <w:tc>
          <w:tcPr>
            <w:tcW w:w="1890" w:type="dxa"/>
            <w:shd w:val="clear" w:color="auto" w:fill="auto"/>
            <w:noWrap/>
            <w:vAlign w:val="bottom"/>
          </w:tcPr>
          <w:p w14:paraId="36600C40" w14:textId="4BA59FE8" w:rsidR="002A38DF" w:rsidRPr="008C138D" w:rsidRDefault="002A38DF" w:rsidP="007577C9">
            <w:pPr>
              <w:jc w:val="center"/>
              <w:rPr>
                <w:rFonts w:asciiTheme="majorHAnsi" w:eastAsia="Verdana" w:hAnsiTheme="majorHAnsi" w:cstheme="majorHAnsi"/>
                <w:sz w:val="18"/>
                <w:szCs w:val="18"/>
                <w:highlight w:val="yellow"/>
              </w:rPr>
            </w:pPr>
            <w:r w:rsidRPr="008C138D">
              <w:rPr>
                <w:rFonts w:asciiTheme="majorHAnsi" w:hAnsiTheme="majorHAnsi" w:cstheme="majorHAnsi"/>
                <w:color w:val="000000"/>
                <w:sz w:val="18"/>
                <w:szCs w:val="18"/>
              </w:rPr>
              <w:t>5,393</w:t>
            </w:r>
          </w:p>
        </w:tc>
      </w:tr>
      <w:tr w:rsidR="002A38DF" w:rsidRPr="00EA1C17" w14:paraId="483C1D95" w14:textId="77777777" w:rsidTr="005A46B5">
        <w:trPr>
          <w:cantSplit/>
          <w:trHeight w:val="280"/>
        </w:trPr>
        <w:tc>
          <w:tcPr>
            <w:tcW w:w="2025" w:type="dxa"/>
            <w:shd w:val="clear" w:color="auto" w:fill="auto"/>
            <w:noWrap/>
            <w:vAlign w:val="bottom"/>
          </w:tcPr>
          <w:p w14:paraId="569E8D61" w14:textId="6C99BFA0" w:rsidR="002A38DF" w:rsidRPr="00AE324F" w:rsidRDefault="002A38DF" w:rsidP="002A38DF">
            <w:pPr>
              <w:rPr>
                <w:rFonts w:asciiTheme="majorHAnsi" w:hAnsiTheme="majorHAnsi" w:cstheme="majorHAnsi"/>
                <w:color w:val="000000"/>
                <w:sz w:val="18"/>
                <w:szCs w:val="18"/>
              </w:rPr>
            </w:pPr>
            <w:r w:rsidRPr="00AE324F">
              <w:rPr>
                <w:rFonts w:asciiTheme="majorHAnsi" w:hAnsiTheme="majorHAnsi" w:cstheme="majorHAnsi"/>
                <w:color w:val="000000"/>
                <w:sz w:val="18"/>
                <w:szCs w:val="18"/>
              </w:rPr>
              <w:t>Unable to Obtain</w:t>
            </w:r>
          </w:p>
        </w:tc>
        <w:tc>
          <w:tcPr>
            <w:tcW w:w="1890" w:type="dxa"/>
            <w:shd w:val="clear" w:color="auto" w:fill="auto"/>
            <w:noWrap/>
            <w:vAlign w:val="bottom"/>
          </w:tcPr>
          <w:p w14:paraId="1BA29BB5" w14:textId="2BF477D3" w:rsidR="002A38DF" w:rsidRPr="008C138D" w:rsidRDefault="002A38DF" w:rsidP="007577C9">
            <w:pPr>
              <w:jc w:val="center"/>
              <w:rPr>
                <w:rFonts w:asciiTheme="majorHAnsi" w:eastAsia="Verdana" w:hAnsiTheme="majorHAnsi" w:cstheme="majorHAnsi"/>
                <w:sz w:val="18"/>
                <w:szCs w:val="18"/>
                <w:highlight w:val="yellow"/>
              </w:rPr>
            </w:pPr>
            <w:r w:rsidRPr="008C138D">
              <w:rPr>
                <w:rFonts w:asciiTheme="majorHAnsi" w:hAnsiTheme="majorHAnsi" w:cstheme="majorHAnsi"/>
                <w:color w:val="000000"/>
                <w:sz w:val="18"/>
                <w:szCs w:val="18"/>
              </w:rPr>
              <w:t>500</w:t>
            </w:r>
          </w:p>
        </w:tc>
      </w:tr>
      <w:tr w:rsidR="002A38DF" w:rsidRPr="00EA1C17" w14:paraId="683D922E" w14:textId="77777777" w:rsidTr="005A46B5">
        <w:trPr>
          <w:cantSplit/>
          <w:trHeight w:val="280"/>
        </w:trPr>
        <w:tc>
          <w:tcPr>
            <w:tcW w:w="2025" w:type="dxa"/>
            <w:shd w:val="clear" w:color="auto" w:fill="auto"/>
            <w:noWrap/>
            <w:vAlign w:val="bottom"/>
          </w:tcPr>
          <w:p w14:paraId="4547CB20" w14:textId="77777777" w:rsidR="002A38DF" w:rsidRPr="00AE324F" w:rsidRDefault="002A38DF" w:rsidP="002A38DF">
            <w:pPr>
              <w:rPr>
                <w:rFonts w:asciiTheme="majorHAnsi" w:hAnsiTheme="majorHAnsi" w:cstheme="majorHAnsi"/>
                <w:color w:val="000000"/>
                <w:sz w:val="18"/>
                <w:szCs w:val="18"/>
              </w:rPr>
            </w:pPr>
            <w:r w:rsidRPr="00AE324F">
              <w:rPr>
                <w:rFonts w:asciiTheme="majorHAnsi" w:hAnsiTheme="majorHAnsi" w:cstheme="majorHAnsi"/>
                <w:color w:val="000000"/>
                <w:sz w:val="18"/>
                <w:szCs w:val="18"/>
              </w:rPr>
              <w:t>White</w:t>
            </w:r>
          </w:p>
        </w:tc>
        <w:tc>
          <w:tcPr>
            <w:tcW w:w="1890" w:type="dxa"/>
            <w:shd w:val="clear" w:color="auto" w:fill="auto"/>
            <w:noWrap/>
            <w:vAlign w:val="bottom"/>
          </w:tcPr>
          <w:p w14:paraId="6E4856F9" w14:textId="5CA5ACBF" w:rsidR="002A38DF" w:rsidRPr="008C138D" w:rsidRDefault="002A38DF" w:rsidP="007577C9">
            <w:pPr>
              <w:jc w:val="center"/>
              <w:rPr>
                <w:rFonts w:asciiTheme="majorHAnsi" w:eastAsia="Verdana" w:hAnsiTheme="majorHAnsi" w:cstheme="majorHAnsi"/>
                <w:sz w:val="18"/>
                <w:szCs w:val="18"/>
                <w:highlight w:val="yellow"/>
              </w:rPr>
            </w:pPr>
            <w:r w:rsidRPr="008C138D">
              <w:rPr>
                <w:rFonts w:asciiTheme="majorHAnsi" w:hAnsiTheme="majorHAnsi" w:cstheme="majorHAnsi"/>
                <w:color w:val="000000"/>
                <w:sz w:val="18"/>
                <w:szCs w:val="18"/>
              </w:rPr>
              <w:t>53,264</w:t>
            </w:r>
          </w:p>
        </w:tc>
      </w:tr>
      <w:tr w:rsidR="00385151" w:rsidRPr="00EA1C17" w14:paraId="6FAF9A36" w14:textId="77777777" w:rsidTr="005A46B5">
        <w:trPr>
          <w:cantSplit/>
          <w:trHeight w:val="280"/>
        </w:trPr>
        <w:tc>
          <w:tcPr>
            <w:tcW w:w="2025" w:type="dxa"/>
            <w:shd w:val="clear" w:color="auto" w:fill="E2EFD9" w:themeFill="accent6" w:themeFillTint="33"/>
            <w:noWrap/>
            <w:vAlign w:val="bottom"/>
          </w:tcPr>
          <w:p w14:paraId="1D1DD524" w14:textId="77777777" w:rsidR="00385151" w:rsidRPr="00AE324F" w:rsidRDefault="00385151" w:rsidP="00385151">
            <w:pPr>
              <w:jc w:val="center"/>
              <w:rPr>
                <w:rFonts w:asciiTheme="majorHAnsi" w:eastAsia="Verdana" w:hAnsiTheme="majorHAnsi" w:cstheme="majorHAnsi"/>
                <w:sz w:val="18"/>
                <w:szCs w:val="18"/>
              </w:rPr>
            </w:pPr>
            <w:r w:rsidRPr="00AE324F">
              <w:rPr>
                <w:rFonts w:asciiTheme="majorHAnsi" w:hAnsiTheme="majorHAnsi" w:cstheme="majorHAnsi"/>
                <w:color w:val="000000"/>
                <w:sz w:val="18"/>
                <w:szCs w:val="18"/>
              </w:rPr>
              <w:t>Total</w:t>
            </w:r>
          </w:p>
        </w:tc>
        <w:tc>
          <w:tcPr>
            <w:tcW w:w="1890" w:type="dxa"/>
            <w:shd w:val="clear" w:color="auto" w:fill="E2EFD9" w:themeFill="accent6" w:themeFillTint="33"/>
            <w:noWrap/>
            <w:vAlign w:val="bottom"/>
          </w:tcPr>
          <w:p w14:paraId="1C86852C" w14:textId="3EE19F6C" w:rsidR="00385151" w:rsidRPr="00EA1C17" w:rsidRDefault="007577C9" w:rsidP="00385151">
            <w:pPr>
              <w:jc w:val="center"/>
              <w:rPr>
                <w:rFonts w:asciiTheme="majorHAnsi" w:eastAsia="Verdana" w:hAnsiTheme="majorHAnsi" w:cstheme="majorHAnsi"/>
                <w:sz w:val="18"/>
                <w:szCs w:val="18"/>
                <w:highlight w:val="yellow"/>
              </w:rPr>
            </w:pPr>
            <w:r>
              <w:rPr>
                <w:rFonts w:asciiTheme="majorHAnsi" w:eastAsia="Verdana" w:hAnsiTheme="majorHAnsi" w:cstheme="majorHAnsi"/>
                <w:sz w:val="18"/>
                <w:szCs w:val="18"/>
              </w:rPr>
              <w:t>86,735</w:t>
            </w:r>
          </w:p>
        </w:tc>
      </w:tr>
    </w:tbl>
    <w:tbl>
      <w:tblPr>
        <w:tblStyle w:val="TableGrid"/>
        <w:tblpPr w:leftFromText="180" w:rightFromText="180" w:vertAnchor="text" w:horzAnchor="page" w:tblpX="5731" w:tblpY="-19"/>
        <w:tblOverlap w:val="never"/>
        <w:tblW w:w="3915" w:type="dxa"/>
        <w:tblLook w:val="04A0" w:firstRow="1" w:lastRow="0" w:firstColumn="1" w:lastColumn="0" w:noHBand="0" w:noVBand="1"/>
      </w:tblPr>
      <w:tblGrid>
        <w:gridCol w:w="2025"/>
        <w:gridCol w:w="1890"/>
      </w:tblGrid>
      <w:tr w:rsidR="002A38DF" w:rsidRPr="00CF4184" w14:paraId="40FDDDAE" w14:textId="77777777" w:rsidTr="005A46B5">
        <w:trPr>
          <w:cantSplit/>
          <w:trHeight w:val="280"/>
          <w:tblHeader/>
        </w:trPr>
        <w:tc>
          <w:tcPr>
            <w:tcW w:w="2025" w:type="dxa"/>
            <w:noWrap/>
            <w:vAlign w:val="center"/>
          </w:tcPr>
          <w:p w14:paraId="1BD3FBC0" w14:textId="77777777" w:rsidR="002A38DF" w:rsidRPr="00CF4184" w:rsidRDefault="002A38DF" w:rsidP="002A38DF">
            <w:pPr>
              <w:jc w:val="center"/>
              <w:rPr>
                <w:rFonts w:ascii="Arial" w:eastAsia="Verdana" w:hAnsi="Arial" w:cs="Arial"/>
                <w:sz w:val="18"/>
                <w:szCs w:val="18"/>
              </w:rPr>
            </w:pPr>
            <w:r w:rsidRPr="00CF4184">
              <w:rPr>
                <w:rFonts w:asciiTheme="majorHAnsi" w:eastAsia="Verdana" w:hAnsiTheme="majorHAnsi" w:cstheme="majorHAnsi"/>
                <w:sz w:val="18"/>
                <w:szCs w:val="18"/>
              </w:rPr>
              <w:t>Demographic Measure</w:t>
            </w:r>
          </w:p>
        </w:tc>
        <w:tc>
          <w:tcPr>
            <w:tcW w:w="1890" w:type="dxa"/>
            <w:shd w:val="clear" w:color="auto" w:fill="B4C6E7" w:themeFill="accent1" w:themeFillTint="66"/>
            <w:noWrap/>
          </w:tcPr>
          <w:p w14:paraId="2E6DAFCB" w14:textId="05B346A6" w:rsidR="002A38DF" w:rsidRPr="00CF4184" w:rsidRDefault="002A38DF" w:rsidP="002A38DF">
            <w:pPr>
              <w:jc w:val="center"/>
              <w:rPr>
                <w:rFonts w:asciiTheme="majorHAnsi" w:eastAsia="Verdana" w:hAnsiTheme="majorHAnsi" w:cstheme="majorHAnsi"/>
                <w:b/>
                <w:bCs/>
                <w:sz w:val="18"/>
                <w:szCs w:val="18"/>
              </w:rPr>
            </w:pPr>
            <w:r>
              <w:rPr>
                <w:rFonts w:asciiTheme="majorHAnsi" w:eastAsia="Verdana" w:hAnsiTheme="majorHAnsi" w:cstheme="majorHAnsi"/>
                <w:b/>
                <w:bCs/>
                <w:sz w:val="18"/>
                <w:szCs w:val="18"/>
              </w:rPr>
              <w:t>FY19 (Q1-Q4)</w:t>
            </w:r>
          </w:p>
        </w:tc>
      </w:tr>
      <w:tr w:rsidR="002A38DF" w:rsidRPr="00CF4184" w14:paraId="583EF451" w14:textId="77777777" w:rsidTr="005A46B5">
        <w:trPr>
          <w:cantSplit/>
          <w:trHeight w:val="280"/>
          <w:tblHeader/>
        </w:trPr>
        <w:tc>
          <w:tcPr>
            <w:tcW w:w="2025" w:type="dxa"/>
            <w:noWrap/>
            <w:vAlign w:val="center"/>
          </w:tcPr>
          <w:p w14:paraId="662E3B5E" w14:textId="77777777" w:rsidR="002A38DF" w:rsidRPr="00CF4184" w:rsidRDefault="002A38DF" w:rsidP="002A38DF">
            <w:pPr>
              <w:jc w:val="center"/>
              <w:rPr>
                <w:rFonts w:asciiTheme="majorHAnsi" w:eastAsia="Verdana" w:hAnsiTheme="majorHAnsi" w:cstheme="majorHAnsi"/>
                <w:sz w:val="18"/>
                <w:szCs w:val="18"/>
              </w:rPr>
            </w:pPr>
          </w:p>
        </w:tc>
        <w:tc>
          <w:tcPr>
            <w:tcW w:w="1890" w:type="dxa"/>
            <w:noWrap/>
            <w:vAlign w:val="center"/>
          </w:tcPr>
          <w:p w14:paraId="16A87937" w14:textId="77777777" w:rsidR="002A38DF" w:rsidRPr="00CF4184" w:rsidRDefault="002A38DF" w:rsidP="002A38DF">
            <w:pPr>
              <w:jc w:val="center"/>
              <w:rPr>
                <w:rFonts w:asciiTheme="majorHAnsi" w:eastAsia="Verdana" w:hAnsiTheme="majorHAnsi" w:cstheme="majorHAnsi"/>
                <w:sz w:val="18"/>
                <w:szCs w:val="18"/>
              </w:rPr>
            </w:pPr>
            <w:r w:rsidRPr="00CF4184">
              <w:rPr>
                <w:rFonts w:asciiTheme="majorHAnsi" w:eastAsia="Verdana" w:hAnsiTheme="majorHAnsi" w:cstheme="majorHAnsi"/>
                <w:sz w:val="18"/>
                <w:szCs w:val="18"/>
              </w:rPr>
              <w:t>Count</w:t>
            </w:r>
          </w:p>
        </w:tc>
      </w:tr>
      <w:tr w:rsidR="002A38DF" w:rsidRPr="00702EAF" w14:paraId="04081967" w14:textId="77777777" w:rsidTr="005A46B5">
        <w:trPr>
          <w:cantSplit/>
          <w:trHeight w:val="280"/>
        </w:trPr>
        <w:tc>
          <w:tcPr>
            <w:tcW w:w="2025" w:type="dxa"/>
            <w:shd w:val="clear" w:color="auto" w:fill="DEEAF6" w:themeFill="accent5" w:themeFillTint="33"/>
            <w:noWrap/>
          </w:tcPr>
          <w:p w14:paraId="022FB041" w14:textId="77777777" w:rsidR="002A38DF" w:rsidRPr="00702EAF" w:rsidRDefault="002A38DF" w:rsidP="002A38DF">
            <w:pPr>
              <w:jc w:val="center"/>
              <w:rPr>
                <w:rFonts w:asciiTheme="majorHAnsi" w:eastAsia="Verdana" w:hAnsiTheme="majorHAnsi" w:cstheme="majorHAnsi"/>
                <w:b/>
                <w:bCs/>
                <w:sz w:val="18"/>
                <w:szCs w:val="18"/>
                <w:highlight w:val="yellow"/>
              </w:rPr>
            </w:pPr>
            <w:r w:rsidRPr="00201745">
              <w:rPr>
                <w:rFonts w:asciiTheme="majorHAnsi" w:eastAsia="Verdana" w:hAnsiTheme="majorHAnsi" w:cstheme="majorHAnsi"/>
                <w:b/>
                <w:bCs/>
                <w:sz w:val="18"/>
                <w:szCs w:val="18"/>
              </w:rPr>
              <w:t>Age</w:t>
            </w:r>
          </w:p>
        </w:tc>
        <w:tc>
          <w:tcPr>
            <w:tcW w:w="1890" w:type="dxa"/>
            <w:shd w:val="clear" w:color="auto" w:fill="DEEAF6" w:themeFill="accent5" w:themeFillTint="33"/>
            <w:noWrap/>
          </w:tcPr>
          <w:p w14:paraId="7A896582" w14:textId="77777777" w:rsidR="002A38DF" w:rsidRPr="00702EAF" w:rsidRDefault="002A38DF" w:rsidP="002A38DF">
            <w:pPr>
              <w:jc w:val="center"/>
              <w:rPr>
                <w:rFonts w:ascii="Arial" w:eastAsia="Verdana" w:hAnsi="Arial" w:cs="Arial"/>
                <w:sz w:val="18"/>
                <w:szCs w:val="18"/>
                <w:highlight w:val="yellow"/>
              </w:rPr>
            </w:pPr>
          </w:p>
        </w:tc>
      </w:tr>
      <w:tr w:rsidR="00DC27AF" w:rsidRPr="00702EAF" w14:paraId="63F63A61" w14:textId="77777777" w:rsidTr="005A46B5">
        <w:trPr>
          <w:cantSplit/>
          <w:trHeight w:val="280"/>
        </w:trPr>
        <w:tc>
          <w:tcPr>
            <w:tcW w:w="2025" w:type="dxa"/>
            <w:shd w:val="clear" w:color="auto" w:fill="auto"/>
            <w:noWrap/>
          </w:tcPr>
          <w:p w14:paraId="337779A3" w14:textId="278BA61D" w:rsidR="00DC27AF" w:rsidRPr="00201745" w:rsidRDefault="00DC27AF" w:rsidP="00DC27AF">
            <w:pPr>
              <w:rPr>
                <w:rFonts w:asciiTheme="majorHAnsi" w:eastAsia="Verdana" w:hAnsiTheme="majorHAnsi" w:cstheme="majorHAnsi"/>
                <w:b/>
                <w:bCs/>
                <w:sz w:val="18"/>
                <w:szCs w:val="18"/>
              </w:rPr>
            </w:pPr>
            <w:r>
              <w:rPr>
                <w:rFonts w:asciiTheme="majorHAnsi" w:eastAsia="Verdana" w:hAnsiTheme="majorHAnsi" w:cstheme="majorHAnsi"/>
                <w:sz w:val="18"/>
                <w:szCs w:val="18"/>
              </w:rPr>
              <w:t>0</w:t>
            </w:r>
            <w:r w:rsidRPr="00201745">
              <w:rPr>
                <w:rFonts w:asciiTheme="majorHAnsi" w:eastAsia="Verdana" w:hAnsiTheme="majorHAnsi" w:cstheme="majorHAnsi"/>
                <w:sz w:val="18"/>
                <w:szCs w:val="18"/>
              </w:rPr>
              <w:t xml:space="preserve"> to </w:t>
            </w:r>
            <w:r>
              <w:rPr>
                <w:rFonts w:asciiTheme="majorHAnsi" w:eastAsia="Verdana" w:hAnsiTheme="majorHAnsi" w:cstheme="majorHAnsi"/>
                <w:sz w:val="18"/>
                <w:szCs w:val="18"/>
              </w:rPr>
              <w:t>18</w:t>
            </w:r>
          </w:p>
        </w:tc>
        <w:tc>
          <w:tcPr>
            <w:tcW w:w="1890" w:type="dxa"/>
            <w:shd w:val="clear" w:color="auto" w:fill="auto"/>
            <w:noWrap/>
          </w:tcPr>
          <w:p w14:paraId="098239F6" w14:textId="33705CC9" w:rsidR="00DC27AF" w:rsidRPr="008C138D" w:rsidRDefault="00DC27AF" w:rsidP="002A38DF">
            <w:pPr>
              <w:jc w:val="center"/>
              <w:rPr>
                <w:rFonts w:asciiTheme="majorHAnsi" w:eastAsia="Verdana" w:hAnsiTheme="majorHAnsi" w:cstheme="majorHAnsi"/>
                <w:sz w:val="18"/>
                <w:szCs w:val="18"/>
                <w:highlight w:val="yellow"/>
              </w:rPr>
            </w:pPr>
            <w:r w:rsidRPr="008C138D">
              <w:rPr>
                <w:rFonts w:asciiTheme="majorHAnsi" w:eastAsia="Verdana" w:hAnsiTheme="majorHAnsi" w:cstheme="majorHAnsi"/>
                <w:sz w:val="18"/>
                <w:szCs w:val="18"/>
              </w:rPr>
              <w:t>0</w:t>
            </w:r>
          </w:p>
        </w:tc>
      </w:tr>
      <w:tr w:rsidR="001B4DA4" w:rsidRPr="00EA1C17" w14:paraId="0C6F72AF" w14:textId="77777777" w:rsidTr="005A46B5">
        <w:trPr>
          <w:cantSplit/>
          <w:trHeight w:val="197"/>
        </w:trPr>
        <w:tc>
          <w:tcPr>
            <w:tcW w:w="2025" w:type="dxa"/>
            <w:noWrap/>
            <w:hideMark/>
          </w:tcPr>
          <w:p w14:paraId="45C3417C" w14:textId="78A451F9" w:rsidR="001B4DA4" w:rsidRPr="00201745" w:rsidRDefault="00DC27AF" w:rsidP="002A38DF">
            <w:pPr>
              <w:rPr>
                <w:rFonts w:asciiTheme="majorHAnsi" w:eastAsia="Verdana" w:hAnsiTheme="majorHAnsi" w:cstheme="majorHAnsi"/>
                <w:sz w:val="18"/>
                <w:szCs w:val="18"/>
              </w:rPr>
            </w:pPr>
            <w:r>
              <w:rPr>
                <w:rFonts w:asciiTheme="majorHAnsi" w:eastAsia="Verdana" w:hAnsiTheme="majorHAnsi" w:cstheme="majorHAnsi"/>
                <w:sz w:val="18"/>
                <w:szCs w:val="18"/>
              </w:rPr>
              <w:t>19</w:t>
            </w:r>
            <w:r w:rsidR="001B4DA4" w:rsidRPr="00201745">
              <w:rPr>
                <w:rFonts w:asciiTheme="majorHAnsi" w:eastAsia="Verdana" w:hAnsiTheme="majorHAnsi" w:cstheme="majorHAnsi"/>
                <w:sz w:val="18"/>
                <w:szCs w:val="18"/>
              </w:rPr>
              <w:t xml:space="preserve"> to 45</w:t>
            </w:r>
          </w:p>
        </w:tc>
        <w:tc>
          <w:tcPr>
            <w:tcW w:w="1890" w:type="dxa"/>
            <w:noWrap/>
            <w:vAlign w:val="bottom"/>
            <w:hideMark/>
          </w:tcPr>
          <w:p w14:paraId="6EB40D4F" w14:textId="431B212A" w:rsidR="001B4DA4" w:rsidRPr="008C138D" w:rsidRDefault="001B4DA4" w:rsidP="002A38DF">
            <w:pPr>
              <w:jc w:val="center"/>
              <w:rPr>
                <w:rFonts w:asciiTheme="majorHAnsi" w:eastAsia="Verdana" w:hAnsiTheme="majorHAnsi" w:cstheme="majorHAnsi"/>
                <w:sz w:val="18"/>
                <w:szCs w:val="18"/>
              </w:rPr>
            </w:pPr>
            <w:r w:rsidRPr="008C138D">
              <w:rPr>
                <w:rFonts w:asciiTheme="majorHAnsi" w:hAnsiTheme="majorHAnsi" w:cstheme="majorHAnsi"/>
                <w:color w:val="000000"/>
                <w:sz w:val="18"/>
                <w:szCs w:val="18"/>
              </w:rPr>
              <w:t>1095</w:t>
            </w:r>
          </w:p>
        </w:tc>
      </w:tr>
      <w:tr w:rsidR="001B4DA4" w:rsidRPr="00EA1C17" w14:paraId="1430BDED" w14:textId="77777777" w:rsidTr="005A46B5">
        <w:trPr>
          <w:cantSplit/>
          <w:trHeight w:val="224"/>
        </w:trPr>
        <w:tc>
          <w:tcPr>
            <w:tcW w:w="2025" w:type="dxa"/>
            <w:noWrap/>
            <w:hideMark/>
          </w:tcPr>
          <w:p w14:paraId="2A8F551A" w14:textId="1F5AE8B0" w:rsidR="001B4DA4" w:rsidRPr="00201745" w:rsidRDefault="001B4DA4" w:rsidP="002A38DF">
            <w:pPr>
              <w:rPr>
                <w:rFonts w:asciiTheme="majorHAnsi" w:eastAsia="Verdana" w:hAnsiTheme="majorHAnsi" w:cstheme="majorHAnsi"/>
                <w:sz w:val="18"/>
                <w:szCs w:val="18"/>
              </w:rPr>
            </w:pPr>
            <w:r w:rsidRPr="00201745">
              <w:rPr>
                <w:rFonts w:asciiTheme="majorHAnsi" w:eastAsia="Verdana" w:hAnsiTheme="majorHAnsi" w:cstheme="majorHAnsi"/>
                <w:sz w:val="18"/>
                <w:szCs w:val="18"/>
              </w:rPr>
              <w:t>46</w:t>
            </w:r>
            <w:r>
              <w:rPr>
                <w:rFonts w:asciiTheme="majorHAnsi" w:eastAsia="Verdana" w:hAnsiTheme="majorHAnsi" w:cstheme="majorHAnsi"/>
                <w:sz w:val="18"/>
                <w:szCs w:val="18"/>
              </w:rPr>
              <w:t xml:space="preserve"> to </w:t>
            </w:r>
            <w:r w:rsidRPr="00201745">
              <w:rPr>
                <w:rFonts w:asciiTheme="majorHAnsi" w:eastAsia="Verdana" w:hAnsiTheme="majorHAnsi" w:cstheme="majorHAnsi"/>
                <w:sz w:val="18"/>
                <w:szCs w:val="18"/>
              </w:rPr>
              <w:t>64</w:t>
            </w:r>
          </w:p>
        </w:tc>
        <w:tc>
          <w:tcPr>
            <w:tcW w:w="1890" w:type="dxa"/>
            <w:noWrap/>
            <w:vAlign w:val="bottom"/>
            <w:hideMark/>
          </w:tcPr>
          <w:p w14:paraId="57C0A2C1" w14:textId="1A558857" w:rsidR="001B4DA4" w:rsidRPr="008C138D" w:rsidRDefault="001B4DA4" w:rsidP="002A38DF">
            <w:pPr>
              <w:jc w:val="center"/>
              <w:rPr>
                <w:rFonts w:asciiTheme="majorHAnsi" w:eastAsia="Verdana" w:hAnsiTheme="majorHAnsi" w:cstheme="majorHAnsi"/>
                <w:sz w:val="18"/>
                <w:szCs w:val="18"/>
              </w:rPr>
            </w:pPr>
            <w:r w:rsidRPr="008C138D">
              <w:rPr>
                <w:rFonts w:asciiTheme="majorHAnsi" w:hAnsiTheme="majorHAnsi" w:cstheme="majorHAnsi"/>
                <w:color w:val="000000"/>
                <w:sz w:val="18"/>
                <w:szCs w:val="18"/>
              </w:rPr>
              <w:t>508</w:t>
            </w:r>
          </w:p>
        </w:tc>
      </w:tr>
      <w:tr w:rsidR="001B4DA4" w:rsidRPr="00EA1C17" w14:paraId="25704C79" w14:textId="77777777" w:rsidTr="005A46B5">
        <w:trPr>
          <w:cantSplit/>
          <w:trHeight w:val="233"/>
        </w:trPr>
        <w:tc>
          <w:tcPr>
            <w:tcW w:w="2025" w:type="dxa"/>
            <w:noWrap/>
            <w:hideMark/>
          </w:tcPr>
          <w:p w14:paraId="2CF2F195" w14:textId="0F9FECF6" w:rsidR="001B4DA4" w:rsidRPr="00201745" w:rsidRDefault="001B4DA4" w:rsidP="002A38DF">
            <w:pPr>
              <w:rPr>
                <w:rFonts w:asciiTheme="majorHAnsi" w:eastAsia="Verdana" w:hAnsiTheme="majorHAnsi" w:cstheme="majorHAnsi"/>
                <w:sz w:val="18"/>
                <w:szCs w:val="18"/>
              </w:rPr>
            </w:pPr>
            <w:r w:rsidRPr="00201745">
              <w:rPr>
                <w:rFonts w:asciiTheme="majorHAnsi" w:eastAsia="Verdana" w:hAnsiTheme="majorHAnsi" w:cstheme="majorHAnsi"/>
                <w:sz w:val="18"/>
                <w:szCs w:val="18"/>
              </w:rPr>
              <w:t>65+</w:t>
            </w:r>
          </w:p>
        </w:tc>
        <w:tc>
          <w:tcPr>
            <w:tcW w:w="1890" w:type="dxa"/>
            <w:noWrap/>
            <w:vAlign w:val="bottom"/>
            <w:hideMark/>
          </w:tcPr>
          <w:p w14:paraId="7F2ABBB7" w14:textId="408615B6" w:rsidR="001B4DA4" w:rsidRPr="008C138D" w:rsidRDefault="001B4DA4" w:rsidP="002A38DF">
            <w:pPr>
              <w:jc w:val="center"/>
              <w:rPr>
                <w:rFonts w:asciiTheme="majorHAnsi" w:eastAsia="Verdana" w:hAnsiTheme="majorHAnsi" w:cstheme="majorHAnsi"/>
                <w:sz w:val="18"/>
                <w:szCs w:val="18"/>
              </w:rPr>
            </w:pPr>
            <w:r w:rsidRPr="008C138D">
              <w:rPr>
                <w:rFonts w:asciiTheme="majorHAnsi" w:hAnsiTheme="majorHAnsi" w:cstheme="majorHAnsi"/>
                <w:color w:val="000000"/>
                <w:sz w:val="18"/>
                <w:szCs w:val="18"/>
              </w:rPr>
              <w:t>225</w:t>
            </w:r>
          </w:p>
        </w:tc>
      </w:tr>
      <w:tr w:rsidR="001B4DA4" w:rsidRPr="00EA1C17" w14:paraId="00B924DC" w14:textId="77777777" w:rsidTr="005A46B5">
        <w:trPr>
          <w:cantSplit/>
          <w:trHeight w:val="233"/>
        </w:trPr>
        <w:tc>
          <w:tcPr>
            <w:tcW w:w="2025" w:type="dxa"/>
            <w:shd w:val="clear" w:color="auto" w:fill="E2EFD9" w:themeFill="accent6" w:themeFillTint="33"/>
            <w:noWrap/>
          </w:tcPr>
          <w:p w14:paraId="6032947F" w14:textId="3ECA4CD1" w:rsidR="001B4DA4" w:rsidRPr="00201745" w:rsidRDefault="001B4DA4" w:rsidP="002A38DF">
            <w:pPr>
              <w:rPr>
                <w:rFonts w:asciiTheme="majorHAnsi" w:eastAsia="Verdana" w:hAnsiTheme="majorHAnsi" w:cstheme="majorHAnsi"/>
                <w:sz w:val="18"/>
                <w:szCs w:val="18"/>
              </w:rPr>
            </w:pPr>
            <w:r w:rsidRPr="00201745">
              <w:rPr>
                <w:rFonts w:asciiTheme="majorHAnsi" w:eastAsia="Verdana" w:hAnsiTheme="majorHAnsi" w:cstheme="majorHAnsi"/>
                <w:sz w:val="18"/>
                <w:szCs w:val="18"/>
              </w:rPr>
              <w:t>Total</w:t>
            </w:r>
          </w:p>
        </w:tc>
        <w:tc>
          <w:tcPr>
            <w:tcW w:w="1890" w:type="dxa"/>
            <w:shd w:val="clear" w:color="auto" w:fill="E2EFD9" w:themeFill="accent6" w:themeFillTint="33"/>
            <w:noWrap/>
          </w:tcPr>
          <w:p w14:paraId="0F77C47A" w14:textId="16DC91C6" w:rsidR="001B4DA4" w:rsidRPr="008C138D" w:rsidRDefault="007577C9" w:rsidP="002A38DF">
            <w:pPr>
              <w:jc w:val="center"/>
              <w:rPr>
                <w:rFonts w:asciiTheme="majorHAnsi" w:eastAsia="Verdana" w:hAnsiTheme="majorHAnsi" w:cstheme="majorHAnsi"/>
                <w:sz w:val="18"/>
                <w:szCs w:val="18"/>
              </w:rPr>
            </w:pPr>
            <w:r>
              <w:rPr>
                <w:rFonts w:asciiTheme="majorHAnsi" w:eastAsia="Verdana" w:hAnsiTheme="majorHAnsi" w:cstheme="majorHAnsi"/>
                <w:sz w:val="18"/>
                <w:szCs w:val="18"/>
              </w:rPr>
              <w:t>1,828</w:t>
            </w:r>
          </w:p>
        </w:tc>
      </w:tr>
      <w:tr w:rsidR="001B4DA4" w:rsidRPr="00EA1C17" w14:paraId="1AC0D872" w14:textId="77777777" w:rsidTr="005A46B5">
        <w:trPr>
          <w:cantSplit/>
          <w:trHeight w:val="251"/>
        </w:trPr>
        <w:tc>
          <w:tcPr>
            <w:tcW w:w="2025" w:type="dxa"/>
            <w:shd w:val="clear" w:color="auto" w:fill="DEEAF6" w:themeFill="accent5" w:themeFillTint="33"/>
            <w:noWrap/>
            <w:hideMark/>
          </w:tcPr>
          <w:p w14:paraId="59C7C9A9" w14:textId="641151D7" w:rsidR="001B4DA4" w:rsidRPr="00201745" w:rsidRDefault="001B4DA4" w:rsidP="002A38DF">
            <w:pPr>
              <w:jc w:val="center"/>
              <w:rPr>
                <w:rFonts w:asciiTheme="majorHAnsi" w:eastAsia="Verdana" w:hAnsiTheme="majorHAnsi" w:cstheme="majorHAnsi"/>
                <w:sz w:val="18"/>
                <w:szCs w:val="18"/>
              </w:rPr>
            </w:pPr>
            <w:r w:rsidRPr="00201745">
              <w:rPr>
                <w:rFonts w:asciiTheme="majorHAnsi" w:eastAsia="Verdana" w:hAnsiTheme="majorHAnsi" w:cstheme="majorHAnsi"/>
                <w:b/>
                <w:bCs/>
                <w:sz w:val="18"/>
                <w:szCs w:val="18"/>
              </w:rPr>
              <w:t>Gender</w:t>
            </w:r>
          </w:p>
        </w:tc>
        <w:tc>
          <w:tcPr>
            <w:tcW w:w="1890" w:type="dxa"/>
            <w:shd w:val="clear" w:color="auto" w:fill="DEEAF6" w:themeFill="accent5" w:themeFillTint="33"/>
            <w:noWrap/>
            <w:hideMark/>
          </w:tcPr>
          <w:p w14:paraId="60904C02" w14:textId="77777777" w:rsidR="001B4DA4" w:rsidRPr="008C138D" w:rsidRDefault="001B4DA4" w:rsidP="002A38DF">
            <w:pPr>
              <w:jc w:val="center"/>
              <w:rPr>
                <w:rFonts w:asciiTheme="majorHAnsi" w:eastAsia="Verdana" w:hAnsiTheme="majorHAnsi" w:cstheme="majorHAnsi"/>
                <w:sz w:val="18"/>
                <w:szCs w:val="18"/>
              </w:rPr>
            </w:pPr>
          </w:p>
        </w:tc>
      </w:tr>
      <w:tr w:rsidR="001B4DA4" w:rsidRPr="00EA1C17" w14:paraId="6080CBB7" w14:textId="77777777" w:rsidTr="005A46B5">
        <w:trPr>
          <w:cantSplit/>
          <w:trHeight w:val="280"/>
        </w:trPr>
        <w:tc>
          <w:tcPr>
            <w:tcW w:w="2025" w:type="dxa"/>
            <w:shd w:val="clear" w:color="auto" w:fill="auto"/>
            <w:noWrap/>
          </w:tcPr>
          <w:p w14:paraId="733C6095" w14:textId="75AF6DBF" w:rsidR="001B4DA4" w:rsidRPr="0004070C" w:rsidRDefault="001B4DA4" w:rsidP="00684D7E">
            <w:pPr>
              <w:rPr>
                <w:rFonts w:asciiTheme="majorHAnsi" w:eastAsia="Verdana" w:hAnsiTheme="majorHAnsi" w:cstheme="majorHAnsi"/>
                <w:sz w:val="18"/>
                <w:szCs w:val="18"/>
              </w:rPr>
            </w:pPr>
            <w:r w:rsidRPr="0004070C">
              <w:rPr>
                <w:rFonts w:asciiTheme="majorHAnsi" w:eastAsia="Verdana" w:hAnsiTheme="majorHAnsi" w:cstheme="majorHAnsi"/>
                <w:sz w:val="18"/>
                <w:szCs w:val="18"/>
              </w:rPr>
              <w:t>Female</w:t>
            </w:r>
          </w:p>
        </w:tc>
        <w:tc>
          <w:tcPr>
            <w:tcW w:w="1890" w:type="dxa"/>
            <w:shd w:val="clear" w:color="auto" w:fill="auto"/>
            <w:noWrap/>
            <w:vAlign w:val="bottom"/>
          </w:tcPr>
          <w:p w14:paraId="6E5225CB" w14:textId="68973BF5" w:rsidR="001B4DA4" w:rsidRPr="0004070C" w:rsidRDefault="0004070C" w:rsidP="002A38DF">
            <w:pPr>
              <w:jc w:val="center"/>
              <w:rPr>
                <w:rFonts w:asciiTheme="majorHAnsi" w:eastAsia="Verdana" w:hAnsiTheme="majorHAnsi" w:cstheme="majorHAnsi"/>
                <w:sz w:val="18"/>
                <w:szCs w:val="18"/>
              </w:rPr>
            </w:pPr>
            <w:r w:rsidRPr="0004070C">
              <w:rPr>
                <w:rFonts w:asciiTheme="majorHAnsi" w:eastAsia="Verdana" w:hAnsiTheme="majorHAnsi" w:cstheme="majorHAnsi"/>
                <w:sz w:val="18"/>
                <w:szCs w:val="18"/>
              </w:rPr>
              <w:t>Pending</w:t>
            </w:r>
          </w:p>
        </w:tc>
      </w:tr>
      <w:tr w:rsidR="001B4DA4" w:rsidRPr="00EA1C17" w14:paraId="5D4EBF99" w14:textId="77777777" w:rsidTr="005A46B5">
        <w:trPr>
          <w:cantSplit/>
          <w:trHeight w:val="152"/>
        </w:trPr>
        <w:tc>
          <w:tcPr>
            <w:tcW w:w="2025" w:type="dxa"/>
            <w:shd w:val="clear" w:color="auto" w:fill="auto"/>
            <w:noWrap/>
          </w:tcPr>
          <w:p w14:paraId="481405C5" w14:textId="61294C05" w:rsidR="001B4DA4" w:rsidRPr="0004070C" w:rsidRDefault="001B4DA4" w:rsidP="002A38DF">
            <w:pPr>
              <w:rPr>
                <w:rFonts w:asciiTheme="majorHAnsi" w:eastAsia="Verdana" w:hAnsiTheme="majorHAnsi" w:cstheme="majorHAnsi"/>
                <w:sz w:val="18"/>
                <w:szCs w:val="18"/>
              </w:rPr>
            </w:pPr>
            <w:r w:rsidRPr="0004070C">
              <w:rPr>
                <w:rFonts w:asciiTheme="majorHAnsi" w:eastAsia="Verdana" w:hAnsiTheme="majorHAnsi" w:cstheme="majorHAnsi"/>
                <w:sz w:val="18"/>
                <w:szCs w:val="18"/>
              </w:rPr>
              <w:t>Male</w:t>
            </w:r>
          </w:p>
        </w:tc>
        <w:tc>
          <w:tcPr>
            <w:tcW w:w="1890" w:type="dxa"/>
            <w:shd w:val="clear" w:color="auto" w:fill="auto"/>
            <w:noWrap/>
            <w:vAlign w:val="bottom"/>
          </w:tcPr>
          <w:p w14:paraId="432E2BAF" w14:textId="2FAA90B2" w:rsidR="001B4DA4" w:rsidRPr="0004070C" w:rsidRDefault="0004070C" w:rsidP="002A38DF">
            <w:pPr>
              <w:jc w:val="center"/>
              <w:rPr>
                <w:rFonts w:asciiTheme="majorHAnsi" w:eastAsia="Verdana" w:hAnsiTheme="majorHAnsi" w:cstheme="majorHAnsi"/>
                <w:sz w:val="18"/>
                <w:szCs w:val="18"/>
              </w:rPr>
            </w:pPr>
            <w:r w:rsidRPr="0004070C">
              <w:rPr>
                <w:rFonts w:asciiTheme="majorHAnsi" w:hAnsiTheme="majorHAnsi" w:cstheme="majorHAnsi"/>
                <w:color w:val="000000"/>
                <w:sz w:val="18"/>
                <w:szCs w:val="18"/>
              </w:rPr>
              <w:t>Pending</w:t>
            </w:r>
            <w:r w:rsidR="001B4DA4" w:rsidRPr="0004070C">
              <w:rPr>
                <w:rFonts w:asciiTheme="majorHAnsi" w:hAnsiTheme="majorHAnsi" w:cstheme="majorHAnsi"/>
                <w:color w:val="000000"/>
                <w:sz w:val="18"/>
                <w:szCs w:val="18"/>
              </w:rPr>
              <w:t xml:space="preserve">                                                 </w:t>
            </w:r>
          </w:p>
        </w:tc>
      </w:tr>
      <w:tr w:rsidR="001B4DA4" w:rsidRPr="00EA1C17" w14:paraId="6DEEAB5B" w14:textId="77777777" w:rsidTr="005A46B5">
        <w:trPr>
          <w:cantSplit/>
          <w:trHeight w:val="251"/>
        </w:trPr>
        <w:tc>
          <w:tcPr>
            <w:tcW w:w="2025" w:type="dxa"/>
            <w:shd w:val="clear" w:color="auto" w:fill="auto"/>
            <w:noWrap/>
          </w:tcPr>
          <w:p w14:paraId="3119476B" w14:textId="1B9F5E68" w:rsidR="001B4DA4" w:rsidRPr="0004070C" w:rsidRDefault="001B4DA4" w:rsidP="002A38DF">
            <w:pPr>
              <w:rPr>
                <w:rFonts w:asciiTheme="majorHAnsi" w:eastAsia="Verdana" w:hAnsiTheme="majorHAnsi" w:cstheme="majorHAnsi"/>
                <w:sz w:val="18"/>
                <w:szCs w:val="18"/>
              </w:rPr>
            </w:pPr>
            <w:r w:rsidRPr="0004070C">
              <w:rPr>
                <w:rFonts w:asciiTheme="majorHAnsi" w:eastAsia="Verdana" w:hAnsiTheme="majorHAnsi" w:cstheme="majorHAnsi"/>
                <w:sz w:val="18"/>
                <w:szCs w:val="18"/>
              </w:rPr>
              <w:t>Unknown</w:t>
            </w:r>
          </w:p>
        </w:tc>
        <w:tc>
          <w:tcPr>
            <w:tcW w:w="1890" w:type="dxa"/>
            <w:shd w:val="clear" w:color="auto" w:fill="auto"/>
            <w:noWrap/>
            <w:vAlign w:val="bottom"/>
          </w:tcPr>
          <w:p w14:paraId="31D5B0DC" w14:textId="6EF48317" w:rsidR="001B4DA4" w:rsidRPr="0004070C" w:rsidRDefault="0004070C" w:rsidP="002A38DF">
            <w:pPr>
              <w:jc w:val="center"/>
              <w:rPr>
                <w:rFonts w:asciiTheme="majorHAnsi" w:eastAsia="Verdana" w:hAnsiTheme="majorHAnsi" w:cstheme="majorHAnsi"/>
                <w:sz w:val="18"/>
                <w:szCs w:val="18"/>
              </w:rPr>
            </w:pPr>
            <w:r w:rsidRPr="0004070C">
              <w:rPr>
                <w:rFonts w:asciiTheme="majorHAnsi" w:hAnsiTheme="majorHAnsi" w:cstheme="majorHAnsi"/>
                <w:color w:val="000000"/>
                <w:sz w:val="18"/>
                <w:szCs w:val="18"/>
              </w:rPr>
              <w:t>Pending</w:t>
            </w:r>
            <w:r w:rsidR="001B4DA4" w:rsidRPr="0004070C">
              <w:rPr>
                <w:rFonts w:asciiTheme="majorHAnsi" w:hAnsiTheme="majorHAnsi" w:cstheme="majorHAnsi"/>
                <w:color w:val="000000"/>
                <w:sz w:val="18"/>
                <w:szCs w:val="18"/>
              </w:rPr>
              <w:t xml:space="preserve">                                                   </w:t>
            </w:r>
          </w:p>
        </w:tc>
      </w:tr>
      <w:tr w:rsidR="001B4DA4" w:rsidRPr="00EA1C17" w14:paraId="00D18FBB" w14:textId="77777777" w:rsidTr="005A46B5">
        <w:trPr>
          <w:cantSplit/>
          <w:trHeight w:val="170"/>
        </w:trPr>
        <w:tc>
          <w:tcPr>
            <w:tcW w:w="2025" w:type="dxa"/>
            <w:shd w:val="clear" w:color="auto" w:fill="E2EFD9" w:themeFill="accent6" w:themeFillTint="33"/>
            <w:noWrap/>
          </w:tcPr>
          <w:p w14:paraId="7830AE2D" w14:textId="4EC245C0" w:rsidR="001B4DA4" w:rsidRPr="00771764" w:rsidRDefault="001B4DA4" w:rsidP="002A38DF">
            <w:pPr>
              <w:rPr>
                <w:rFonts w:asciiTheme="majorHAnsi" w:eastAsia="Verdana" w:hAnsiTheme="majorHAnsi" w:cstheme="majorHAnsi"/>
                <w:sz w:val="18"/>
                <w:szCs w:val="18"/>
                <w:highlight w:val="yellow"/>
              </w:rPr>
            </w:pPr>
            <w:r w:rsidRPr="00AE324F">
              <w:rPr>
                <w:rFonts w:asciiTheme="majorHAnsi" w:eastAsia="Verdana" w:hAnsiTheme="majorHAnsi" w:cstheme="majorHAnsi"/>
                <w:sz w:val="18"/>
                <w:szCs w:val="18"/>
              </w:rPr>
              <w:t>Total</w:t>
            </w:r>
          </w:p>
        </w:tc>
        <w:tc>
          <w:tcPr>
            <w:tcW w:w="1890" w:type="dxa"/>
            <w:shd w:val="clear" w:color="auto" w:fill="E2EFD9" w:themeFill="accent6" w:themeFillTint="33"/>
            <w:noWrap/>
          </w:tcPr>
          <w:p w14:paraId="7E96F8BE" w14:textId="3EFACAC1" w:rsidR="001B4DA4" w:rsidRPr="008C138D" w:rsidRDefault="007577C9" w:rsidP="002A38DF">
            <w:pPr>
              <w:jc w:val="center"/>
              <w:rPr>
                <w:rFonts w:asciiTheme="majorHAnsi" w:eastAsia="Verdana" w:hAnsiTheme="majorHAnsi" w:cstheme="majorHAnsi"/>
                <w:sz w:val="18"/>
                <w:szCs w:val="18"/>
                <w:highlight w:val="yellow"/>
              </w:rPr>
            </w:pPr>
            <w:r>
              <w:rPr>
                <w:rFonts w:asciiTheme="majorHAnsi" w:eastAsia="Verdana" w:hAnsiTheme="majorHAnsi" w:cstheme="majorHAnsi"/>
                <w:sz w:val="18"/>
                <w:szCs w:val="18"/>
              </w:rPr>
              <w:t>1,828</w:t>
            </w:r>
          </w:p>
        </w:tc>
      </w:tr>
      <w:tr w:rsidR="001B4DA4" w:rsidRPr="00EA1C17" w14:paraId="2AD89312" w14:textId="77777777" w:rsidTr="005A46B5">
        <w:trPr>
          <w:cantSplit/>
          <w:trHeight w:val="280"/>
        </w:trPr>
        <w:tc>
          <w:tcPr>
            <w:tcW w:w="2025" w:type="dxa"/>
            <w:shd w:val="clear" w:color="auto" w:fill="DEEAF6" w:themeFill="accent5" w:themeFillTint="33"/>
            <w:noWrap/>
            <w:vAlign w:val="bottom"/>
          </w:tcPr>
          <w:p w14:paraId="0283B268" w14:textId="059AC102" w:rsidR="001B4DA4" w:rsidRPr="00AE324F" w:rsidRDefault="001B4DA4" w:rsidP="002A38DF">
            <w:pPr>
              <w:jc w:val="center"/>
              <w:rPr>
                <w:rFonts w:asciiTheme="majorHAnsi" w:eastAsia="Verdana" w:hAnsiTheme="majorHAnsi" w:cstheme="majorHAnsi"/>
                <w:sz w:val="18"/>
                <w:szCs w:val="18"/>
              </w:rPr>
            </w:pPr>
            <w:r w:rsidRPr="00AE324F">
              <w:rPr>
                <w:rFonts w:asciiTheme="majorHAnsi" w:hAnsiTheme="majorHAnsi" w:cstheme="majorHAnsi"/>
                <w:b/>
                <w:bCs/>
                <w:color w:val="000000"/>
                <w:sz w:val="18"/>
                <w:szCs w:val="18"/>
              </w:rPr>
              <w:t>Race</w:t>
            </w:r>
          </w:p>
        </w:tc>
        <w:tc>
          <w:tcPr>
            <w:tcW w:w="1890" w:type="dxa"/>
            <w:shd w:val="clear" w:color="auto" w:fill="DEEAF6" w:themeFill="accent5" w:themeFillTint="33"/>
            <w:noWrap/>
            <w:vAlign w:val="bottom"/>
          </w:tcPr>
          <w:p w14:paraId="115FFF7A" w14:textId="77777777" w:rsidR="001B4DA4" w:rsidRPr="008C138D" w:rsidRDefault="001B4DA4" w:rsidP="002A38DF">
            <w:pPr>
              <w:jc w:val="center"/>
              <w:rPr>
                <w:rFonts w:asciiTheme="majorHAnsi" w:eastAsia="Verdana" w:hAnsiTheme="majorHAnsi" w:cstheme="majorHAnsi"/>
                <w:sz w:val="18"/>
                <w:szCs w:val="18"/>
              </w:rPr>
            </w:pPr>
          </w:p>
        </w:tc>
      </w:tr>
      <w:tr w:rsidR="001B4DA4" w:rsidRPr="00EA1C17" w14:paraId="5803B161" w14:textId="77777777" w:rsidTr="005A46B5">
        <w:trPr>
          <w:cantSplit/>
          <w:trHeight w:val="280"/>
        </w:trPr>
        <w:tc>
          <w:tcPr>
            <w:tcW w:w="2025" w:type="dxa"/>
            <w:shd w:val="clear" w:color="auto" w:fill="auto"/>
            <w:noWrap/>
            <w:vAlign w:val="bottom"/>
          </w:tcPr>
          <w:p w14:paraId="518ED704" w14:textId="00901F4D" w:rsidR="001B4DA4" w:rsidRPr="00AE324F" w:rsidRDefault="001B4DA4" w:rsidP="007577C9">
            <w:pPr>
              <w:rPr>
                <w:rFonts w:asciiTheme="majorHAnsi" w:eastAsia="Verdana" w:hAnsiTheme="majorHAnsi" w:cstheme="majorHAnsi"/>
                <w:sz w:val="18"/>
                <w:szCs w:val="18"/>
              </w:rPr>
            </w:pPr>
            <w:r w:rsidRPr="00AE324F">
              <w:rPr>
                <w:rFonts w:asciiTheme="majorHAnsi" w:hAnsiTheme="majorHAnsi" w:cstheme="majorHAnsi"/>
                <w:color w:val="000000"/>
                <w:sz w:val="18"/>
                <w:szCs w:val="18"/>
              </w:rPr>
              <w:t>African American</w:t>
            </w:r>
          </w:p>
        </w:tc>
        <w:tc>
          <w:tcPr>
            <w:tcW w:w="1890" w:type="dxa"/>
            <w:shd w:val="clear" w:color="auto" w:fill="auto"/>
            <w:noWrap/>
            <w:vAlign w:val="bottom"/>
          </w:tcPr>
          <w:p w14:paraId="6FDBA2DB" w14:textId="340D8E76" w:rsidR="001B4DA4" w:rsidRPr="008C138D" w:rsidRDefault="001B4DA4" w:rsidP="002A38DF">
            <w:pPr>
              <w:jc w:val="center"/>
              <w:rPr>
                <w:rFonts w:asciiTheme="majorHAnsi" w:eastAsia="Verdana" w:hAnsiTheme="majorHAnsi" w:cstheme="majorHAnsi"/>
                <w:sz w:val="18"/>
                <w:szCs w:val="18"/>
                <w:highlight w:val="yellow"/>
              </w:rPr>
            </w:pPr>
            <w:r w:rsidRPr="008C138D">
              <w:rPr>
                <w:rFonts w:asciiTheme="majorHAnsi" w:hAnsiTheme="majorHAnsi" w:cstheme="majorHAnsi"/>
                <w:color w:val="000000"/>
                <w:sz w:val="18"/>
                <w:szCs w:val="18"/>
              </w:rPr>
              <w:t>107</w:t>
            </w:r>
          </w:p>
        </w:tc>
      </w:tr>
      <w:tr w:rsidR="001B4DA4" w:rsidRPr="00EA1C17" w14:paraId="76114165" w14:textId="77777777" w:rsidTr="005A46B5">
        <w:trPr>
          <w:cantSplit/>
          <w:trHeight w:val="280"/>
        </w:trPr>
        <w:tc>
          <w:tcPr>
            <w:tcW w:w="2025" w:type="dxa"/>
            <w:shd w:val="clear" w:color="auto" w:fill="auto"/>
            <w:noWrap/>
            <w:vAlign w:val="bottom"/>
          </w:tcPr>
          <w:p w14:paraId="20B8BFF7" w14:textId="4E7FB339" w:rsidR="001B4DA4" w:rsidRPr="00AE324F" w:rsidRDefault="001B4DA4" w:rsidP="002A38DF">
            <w:pPr>
              <w:rPr>
                <w:rFonts w:asciiTheme="majorHAnsi" w:eastAsia="Verdana" w:hAnsiTheme="majorHAnsi" w:cstheme="majorHAnsi"/>
                <w:sz w:val="18"/>
                <w:szCs w:val="18"/>
              </w:rPr>
            </w:pPr>
            <w:r w:rsidRPr="00AE324F">
              <w:rPr>
                <w:rFonts w:asciiTheme="majorHAnsi" w:hAnsiTheme="majorHAnsi" w:cstheme="majorHAnsi"/>
                <w:color w:val="000000"/>
                <w:sz w:val="18"/>
                <w:szCs w:val="18"/>
              </w:rPr>
              <w:t>American Indian or Alaska Native</w:t>
            </w:r>
            <w:r>
              <w:rPr>
                <w:rFonts w:asciiTheme="majorHAnsi" w:hAnsiTheme="majorHAnsi" w:cstheme="majorHAnsi"/>
                <w:color w:val="000000"/>
                <w:sz w:val="18"/>
                <w:szCs w:val="18"/>
              </w:rPr>
              <w:t>/Asian/ Declined</w:t>
            </w:r>
            <w:r>
              <w:rPr>
                <w:rStyle w:val="FootnoteReference"/>
                <w:rFonts w:asciiTheme="majorHAnsi" w:hAnsiTheme="majorHAnsi" w:cstheme="majorHAnsi"/>
                <w:color w:val="000000"/>
                <w:sz w:val="18"/>
                <w:szCs w:val="18"/>
              </w:rPr>
              <w:footnoteReference w:id="5"/>
            </w:r>
          </w:p>
        </w:tc>
        <w:tc>
          <w:tcPr>
            <w:tcW w:w="1890" w:type="dxa"/>
            <w:shd w:val="clear" w:color="auto" w:fill="auto"/>
            <w:noWrap/>
            <w:vAlign w:val="bottom"/>
          </w:tcPr>
          <w:p w14:paraId="6AA92585" w14:textId="1650BA09" w:rsidR="001B4DA4" w:rsidRPr="008C138D" w:rsidRDefault="001B4DA4" w:rsidP="002A38DF">
            <w:pPr>
              <w:jc w:val="center"/>
              <w:rPr>
                <w:rFonts w:asciiTheme="majorHAnsi" w:eastAsia="Verdana" w:hAnsiTheme="majorHAnsi" w:cstheme="majorHAnsi"/>
                <w:sz w:val="18"/>
                <w:szCs w:val="18"/>
              </w:rPr>
            </w:pPr>
            <w:r w:rsidRPr="008C138D">
              <w:rPr>
                <w:rFonts w:asciiTheme="majorHAnsi" w:hAnsiTheme="majorHAnsi" w:cstheme="majorHAnsi"/>
                <w:color w:val="000000"/>
                <w:sz w:val="18"/>
                <w:szCs w:val="18"/>
              </w:rPr>
              <w:t>18</w:t>
            </w:r>
          </w:p>
        </w:tc>
      </w:tr>
      <w:tr w:rsidR="001B4DA4" w:rsidRPr="00EA1C17" w14:paraId="7FED0FAF" w14:textId="77777777" w:rsidTr="005A46B5">
        <w:trPr>
          <w:cantSplit/>
          <w:trHeight w:val="280"/>
        </w:trPr>
        <w:tc>
          <w:tcPr>
            <w:tcW w:w="2025" w:type="dxa"/>
            <w:shd w:val="clear" w:color="auto" w:fill="auto"/>
            <w:noWrap/>
            <w:vAlign w:val="bottom"/>
          </w:tcPr>
          <w:p w14:paraId="0F06B6FB" w14:textId="6D99CAB3" w:rsidR="001B4DA4" w:rsidRPr="00AE324F" w:rsidRDefault="001B4DA4" w:rsidP="002A38DF">
            <w:pPr>
              <w:rPr>
                <w:rFonts w:asciiTheme="majorHAnsi" w:eastAsia="Verdana" w:hAnsiTheme="majorHAnsi" w:cstheme="majorHAnsi"/>
                <w:sz w:val="18"/>
                <w:szCs w:val="18"/>
              </w:rPr>
            </w:pPr>
            <w:r w:rsidRPr="00AE324F">
              <w:rPr>
                <w:rFonts w:asciiTheme="majorHAnsi" w:hAnsiTheme="majorHAnsi" w:cstheme="majorHAnsi"/>
                <w:color w:val="000000"/>
                <w:sz w:val="18"/>
                <w:szCs w:val="18"/>
              </w:rPr>
              <w:t>Hispanic</w:t>
            </w:r>
          </w:p>
        </w:tc>
        <w:tc>
          <w:tcPr>
            <w:tcW w:w="1890" w:type="dxa"/>
            <w:shd w:val="clear" w:color="auto" w:fill="auto"/>
            <w:noWrap/>
            <w:vAlign w:val="bottom"/>
          </w:tcPr>
          <w:p w14:paraId="0FA67542" w14:textId="2AD302E2" w:rsidR="001B4DA4" w:rsidRPr="008C138D" w:rsidRDefault="001B4DA4" w:rsidP="002A38DF">
            <w:pPr>
              <w:jc w:val="center"/>
              <w:rPr>
                <w:rFonts w:asciiTheme="majorHAnsi" w:eastAsia="Verdana" w:hAnsiTheme="majorHAnsi" w:cstheme="majorHAnsi"/>
                <w:sz w:val="18"/>
                <w:szCs w:val="18"/>
              </w:rPr>
            </w:pPr>
            <w:r w:rsidRPr="008C138D">
              <w:rPr>
                <w:rFonts w:asciiTheme="majorHAnsi" w:hAnsiTheme="majorHAnsi" w:cstheme="majorHAnsi"/>
                <w:color w:val="000000"/>
                <w:sz w:val="18"/>
                <w:szCs w:val="18"/>
              </w:rPr>
              <w:t>57</w:t>
            </w:r>
          </w:p>
        </w:tc>
      </w:tr>
      <w:tr w:rsidR="001B4DA4" w:rsidRPr="00EA1C17" w14:paraId="0AFF5E9F" w14:textId="77777777" w:rsidTr="005A46B5">
        <w:trPr>
          <w:cantSplit/>
          <w:trHeight w:val="280"/>
        </w:trPr>
        <w:tc>
          <w:tcPr>
            <w:tcW w:w="2025" w:type="dxa"/>
            <w:shd w:val="clear" w:color="auto" w:fill="auto"/>
            <w:noWrap/>
            <w:vAlign w:val="bottom"/>
          </w:tcPr>
          <w:p w14:paraId="4B2B35D3" w14:textId="4B91D4BD" w:rsidR="001B4DA4" w:rsidRPr="00AE324F" w:rsidRDefault="001B4DA4" w:rsidP="002A38DF">
            <w:pPr>
              <w:rPr>
                <w:rFonts w:asciiTheme="majorHAnsi" w:eastAsia="Verdana" w:hAnsiTheme="majorHAnsi" w:cstheme="majorHAnsi"/>
                <w:sz w:val="18"/>
                <w:szCs w:val="18"/>
              </w:rPr>
            </w:pPr>
            <w:r w:rsidRPr="00AE324F">
              <w:rPr>
                <w:rFonts w:asciiTheme="majorHAnsi" w:hAnsiTheme="majorHAnsi" w:cstheme="majorHAnsi"/>
                <w:color w:val="000000"/>
                <w:sz w:val="18"/>
                <w:szCs w:val="18"/>
              </w:rPr>
              <w:t>Native Hawaiian or Other Pacific Islander</w:t>
            </w:r>
          </w:p>
        </w:tc>
        <w:tc>
          <w:tcPr>
            <w:tcW w:w="1890" w:type="dxa"/>
            <w:shd w:val="clear" w:color="auto" w:fill="auto"/>
            <w:noWrap/>
            <w:vAlign w:val="bottom"/>
          </w:tcPr>
          <w:p w14:paraId="53BCBF2F" w14:textId="403EB492" w:rsidR="001B4DA4" w:rsidRPr="008C138D" w:rsidRDefault="001B4DA4" w:rsidP="002A38DF">
            <w:pPr>
              <w:jc w:val="center"/>
              <w:rPr>
                <w:rFonts w:asciiTheme="majorHAnsi" w:eastAsia="Verdana" w:hAnsiTheme="majorHAnsi" w:cstheme="majorHAnsi"/>
                <w:sz w:val="18"/>
                <w:szCs w:val="18"/>
              </w:rPr>
            </w:pPr>
            <w:r w:rsidRPr="008C138D">
              <w:rPr>
                <w:rFonts w:asciiTheme="majorHAnsi" w:hAnsiTheme="majorHAnsi" w:cstheme="majorHAnsi"/>
                <w:color w:val="000000"/>
                <w:sz w:val="18"/>
                <w:szCs w:val="18"/>
              </w:rPr>
              <w:t>28</w:t>
            </w:r>
          </w:p>
        </w:tc>
      </w:tr>
      <w:tr w:rsidR="001B4DA4" w:rsidRPr="00EA1C17" w14:paraId="2289609D" w14:textId="77777777" w:rsidTr="005A46B5">
        <w:trPr>
          <w:cantSplit/>
          <w:trHeight w:val="280"/>
        </w:trPr>
        <w:tc>
          <w:tcPr>
            <w:tcW w:w="2025" w:type="dxa"/>
            <w:shd w:val="clear" w:color="auto" w:fill="auto"/>
            <w:noWrap/>
            <w:vAlign w:val="bottom"/>
          </w:tcPr>
          <w:p w14:paraId="01DDA67F" w14:textId="24768735" w:rsidR="001B4DA4" w:rsidRPr="00AE324F" w:rsidRDefault="001B4DA4" w:rsidP="002A38DF">
            <w:pPr>
              <w:rPr>
                <w:rFonts w:asciiTheme="majorHAnsi" w:eastAsia="Verdana" w:hAnsiTheme="majorHAnsi" w:cstheme="majorHAnsi"/>
                <w:sz w:val="18"/>
                <w:szCs w:val="18"/>
              </w:rPr>
            </w:pPr>
            <w:r w:rsidRPr="00AE324F">
              <w:rPr>
                <w:rFonts w:asciiTheme="majorHAnsi" w:hAnsiTheme="majorHAnsi" w:cstheme="majorHAnsi"/>
                <w:color w:val="000000"/>
                <w:sz w:val="18"/>
                <w:szCs w:val="18"/>
              </w:rPr>
              <w:t>Other</w:t>
            </w:r>
          </w:p>
        </w:tc>
        <w:tc>
          <w:tcPr>
            <w:tcW w:w="1890" w:type="dxa"/>
            <w:shd w:val="clear" w:color="auto" w:fill="auto"/>
            <w:noWrap/>
            <w:vAlign w:val="bottom"/>
          </w:tcPr>
          <w:p w14:paraId="2F491A79" w14:textId="6210F8AF" w:rsidR="001B4DA4" w:rsidRPr="008C138D" w:rsidRDefault="001B4DA4" w:rsidP="002A38DF">
            <w:pPr>
              <w:jc w:val="center"/>
              <w:rPr>
                <w:rFonts w:asciiTheme="majorHAnsi" w:eastAsia="Verdana" w:hAnsiTheme="majorHAnsi" w:cstheme="majorHAnsi"/>
                <w:sz w:val="18"/>
                <w:szCs w:val="18"/>
                <w:highlight w:val="yellow"/>
              </w:rPr>
            </w:pPr>
            <w:r w:rsidRPr="008C138D">
              <w:rPr>
                <w:rFonts w:asciiTheme="majorHAnsi" w:hAnsiTheme="majorHAnsi" w:cstheme="majorHAnsi"/>
                <w:color w:val="000000"/>
                <w:sz w:val="18"/>
                <w:szCs w:val="18"/>
              </w:rPr>
              <w:t>27</w:t>
            </w:r>
          </w:p>
        </w:tc>
      </w:tr>
      <w:tr w:rsidR="001B4DA4" w:rsidRPr="00EA1C17" w14:paraId="69C19954" w14:textId="77777777" w:rsidTr="005A46B5">
        <w:trPr>
          <w:cantSplit/>
          <w:trHeight w:val="280"/>
        </w:trPr>
        <w:tc>
          <w:tcPr>
            <w:tcW w:w="2025" w:type="dxa"/>
            <w:shd w:val="clear" w:color="auto" w:fill="auto"/>
            <w:noWrap/>
            <w:vAlign w:val="bottom"/>
          </w:tcPr>
          <w:p w14:paraId="0B4C2A8D" w14:textId="568DB085" w:rsidR="001B4DA4" w:rsidRPr="00AE324F" w:rsidRDefault="001B4DA4" w:rsidP="002A38DF">
            <w:pPr>
              <w:rPr>
                <w:rFonts w:asciiTheme="majorHAnsi" w:eastAsia="Verdana" w:hAnsiTheme="majorHAnsi" w:cstheme="majorHAnsi"/>
                <w:sz w:val="18"/>
                <w:szCs w:val="18"/>
              </w:rPr>
            </w:pPr>
            <w:r w:rsidRPr="00AE324F">
              <w:rPr>
                <w:rFonts w:asciiTheme="majorHAnsi" w:hAnsiTheme="majorHAnsi" w:cstheme="majorHAnsi"/>
                <w:color w:val="000000"/>
                <w:sz w:val="18"/>
                <w:szCs w:val="18"/>
              </w:rPr>
              <w:t>Unable to Obtain</w:t>
            </w:r>
          </w:p>
        </w:tc>
        <w:tc>
          <w:tcPr>
            <w:tcW w:w="1890" w:type="dxa"/>
            <w:shd w:val="clear" w:color="auto" w:fill="auto"/>
            <w:noWrap/>
            <w:vAlign w:val="bottom"/>
          </w:tcPr>
          <w:p w14:paraId="04090997" w14:textId="34FFDB03" w:rsidR="001B4DA4" w:rsidRPr="008C138D" w:rsidRDefault="001B4DA4" w:rsidP="002A38DF">
            <w:pPr>
              <w:jc w:val="center"/>
              <w:rPr>
                <w:rFonts w:asciiTheme="majorHAnsi" w:eastAsia="Verdana" w:hAnsiTheme="majorHAnsi" w:cstheme="majorHAnsi"/>
                <w:sz w:val="18"/>
                <w:szCs w:val="18"/>
                <w:highlight w:val="yellow"/>
              </w:rPr>
            </w:pPr>
            <w:r w:rsidRPr="008C138D">
              <w:rPr>
                <w:rFonts w:asciiTheme="majorHAnsi" w:hAnsiTheme="majorHAnsi" w:cstheme="majorHAnsi"/>
                <w:color w:val="000000"/>
                <w:sz w:val="18"/>
                <w:szCs w:val="18"/>
              </w:rPr>
              <w:t>1591</w:t>
            </w:r>
          </w:p>
        </w:tc>
      </w:tr>
      <w:tr w:rsidR="001B4DA4" w:rsidRPr="00EA1C17" w14:paraId="03CEA244" w14:textId="77777777" w:rsidTr="005A46B5">
        <w:trPr>
          <w:cantSplit/>
          <w:trHeight w:val="280"/>
        </w:trPr>
        <w:tc>
          <w:tcPr>
            <w:tcW w:w="2025" w:type="dxa"/>
            <w:shd w:val="clear" w:color="auto" w:fill="auto"/>
            <w:noWrap/>
            <w:vAlign w:val="bottom"/>
          </w:tcPr>
          <w:p w14:paraId="4324238D" w14:textId="4F0D0910" w:rsidR="001B4DA4" w:rsidRPr="00AE324F" w:rsidRDefault="001B4DA4" w:rsidP="002A38DF">
            <w:pPr>
              <w:rPr>
                <w:rFonts w:asciiTheme="majorHAnsi" w:hAnsiTheme="majorHAnsi" w:cstheme="majorHAnsi"/>
                <w:color w:val="000000"/>
                <w:sz w:val="18"/>
                <w:szCs w:val="18"/>
              </w:rPr>
            </w:pPr>
            <w:r w:rsidRPr="00AE324F">
              <w:rPr>
                <w:rFonts w:asciiTheme="majorHAnsi" w:hAnsiTheme="majorHAnsi" w:cstheme="majorHAnsi"/>
                <w:color w:val="000000"/>
                <w:sz w:val="18"/>
                <w:szCs w:val="18"/>
              </w:rPr>
              <w:t>White</w:t>
            </w:r>
          </w:p>
        </w:tc>
        <w:tc>
          <w:tcPr>
            <w:tcW w:w="1890" w:type="dxa"/>
            <w:shd w:val="clear" w:color="auto" w:fill="auto"/>
            <w:noWrap/>
            <w:vAlign w:val="bottom"/>
          </w:tcPr>
          <w:p w14:paraId="5C74B19C" w14:textId="1C777A7F" w:rsidR="001B4DA4" w:rsidRPr="008C138D" w:rsidRDefault="001B4DA4" w:rsidP="002A38DF">
            <w:pPr>
              <w:jc w:val="center"/>
              <w:rPr>
                <w:rFonts w:asciiTheme="majorHAnsi" w:eastAsia="Verdana" w:hAnsiTheme="majorHAnsi" w:cstheme="majorHAnsi"/>
                <w:sz w:val="18"/>
                <w:szCs w:val="18"/>
                <w:highlight w:val="yellow"/>
              </w:rPr>
            </w:pPr>
            <w:r w:rsidRPr="008C138D">
              <w:rPr>
                <w:rFonts w:asciiTheme="majorHAnsi" w:hAnsiTheme="majorHAnsi" w:cstheme="majorHAnsi"/>
                <w:color w:val="000000"/>
                <w:sz w:val="18"/>
                <w:szCs w:val="18"/>
              </w:rPr>
              <w:t>107</w:t>
            </w:r>
          </w:p>
        </w:tc>
      </w:tr>
      <w:tr w:rsidR="001B4DA4" w:rsidRPr="00EA1C17" w14:paraId="3179118C" w14:textId="77777777" w:rsidTr="005A46B5">
        <w:trPr>
          <w:cantSplit/>
          <w:trHeight w:val="280"/>
        </w:trPr>
        <w:tc>
          <w:tcPr>
            <w:tcW w:w="2025" w:type="dxa"/>
            <w:shd w:val="clear" w:color="auto" w:fill="E2EFD9" w:themeFill="accent6" w:themeFillTint="33"/>
            <w:noWrap/>
            <w:vAlign w:val="bottom"/>
          </w:tcPr>
          <w:p w14:paraId="2933B018" w14:textId="413F86D8" w:rsidR="001B4DA4" w:rsidRPr="00AE324F" w:rsidRDefault="001B4DA4" w:rsidP="002A38DF">
            <w:pPr>
              <w:rPr>
                <w:rFonts w:asciiTheme="majorHAnsi" w:hAnsiTheme="majorHAnsi" w:cstheme="majorHAnsi"/>
                <w:color w:val="000000"/>
                <w:sz w:val="18"/>
                <w:szCs w:val="18"/>
              </w:rPr>
            </w:pPr>
            <w:r w:rsidRPr="00AE324F">
              <w:rPr>
                <w:rFonts w:asciiTheme="majorHAnsi" w:hAnsiTheme="majorHAnsi" w:cstheme="majorHAnsi"/>
                <w:color w:val="000000"/>
                <w:sz w:val="18"/>
                <w:szCs w:val="18"/>
              </w:rPr>
              <w:t>Total</w:t>
            </w:r>
          </w:p>
        </w:tc>
        <w:tc>
          <w:tcPr>
            <w:tcW w:w="1890" w:type="dxa"/>
            <w:shd w:val="clear" w:color="auto" w:fill="E2EFD9" w:themeFill="accent6" w:themeFillTint="33"/>
            <w:noWrap/>
            <w:vAlign w:val="bottom"/>
          </w:tcPr>
          <w:p w14:paraId="3EF754B2" w14:textId="364113A6" w:rsidR="001B4DA4" w:rsidRPr="00EA1C17" w:rsidRDefault="007577C9" w:rsidP="002A38DF">
            <w:pPr>
              <w:jc w:val="center"/>
              <w:rPr>
                <w:rFonts w:asciiTheme="majorHAnsi" w:eastAsia="Verdana" w:hAnsiTheme="majorHAnsi" w:cstheme="majorHAnsi"/>
                <w:sz w:val="18"/>
                <w:szCs w:val="18"/>
                <w:highlight w:val="yellow"/>
              </w:rPr>
            </w:pPr>
            <w:r>
              <w:rPr>
                <w:rFonts w:asciiTheme="majorHAnsi" w:eastAsia="Verdana" w:hAnsiTheme="majorHAnsi" w:cstheme="majorHAnsi"/>
                <w:sz w:val="18"/>
                <w:szCs w:val="18"/>
              </w:rPr>
              <w:t>1,828</w:t>
            </w:r>
          </w:p>
        </w:tc>
      </w:tr>
    </w:tbl>
    <w:p w14:paraId="1EC6CAE4" w14:textId="1BA51437" w:rsidR="001049C7" w:rsidRPr="00385151" w:rsidRDefault="001049C7" w:rsidP="00385151">
      <w:pPr>
        <w:tabs>
          <w:tab w:val="left" w:pos="4455"/>
        </w:tabs>
        <w:rPr>
          <w:b/>
          <w:bCs/>
        </w:rPr>
      </w:pPr>
    </w:p>
    <w:p w14:paraId="053A0B0E" w14:textId="4B5B6F7C" w:rsidR="001049C7" w:rsidRDefault="00385151" w:rsidP="00C655E5">
      <w:pPr>
        <w:pStyle w:val="ListParagraph"/>
        <w:tabs>
          <w:tab w:val="left" w:pos="4455"/>
        </w:tabs>
      </w:pPr>
      <w:r>
        <w:br w:type="textWrapping" w:clear="all"/>
      </w:r>
    </w:p>
    <w:p w14:paraId="65D9B82B" w14:textId="77777777" w:rsidR="001049C7" w:rsidRDefault="001049C7" w:rsidP="00C655E5">
      <w:pPr>
        <w:pStyle w:val="ListParagraph"/>
        <w:tabs>
          <w:tab w:val="left" w:pos="4455"/>
        </w:tabs>
      </w:pPr>
    </w:p>
    <w:p w14:paraId="34A23863" w14:textId="560B65B2" w:rsidR="00965C03" w:rsidRPr="007577C9" w:rsidRDefault="00C655E5" w:rsidP="00015A57">
      <w:pPr>
        <w:pStyle w:val="ListParagraph"/>
        <w:numPr>
          <w:ilvl w:val="0"/>
          <w:numId w:val="3"/>
        </w:numPr>
        <w:rPr>
          <w:b/>
          <w:bCs/>
        </w:rPr>
      </w:pPr>
      <w:r w:rsidRPr="00965C03">
        <w:rPr>
          <w:b/>
          <w:bCs/>
        </w:rPr>
        <w:t>Provide the cities/towns that make up the primary service area of Steward NE.</w:t>
      </w:r>
    </w:p>
    <w:p w14:paraId="462EF98D" w14:textId="1E83183F" w:rsidR="001B4DA4" w:rsidRDefault="001B4DA4" w:rsidP="00015A57">
      <w:pPr>
        <w:ind w:left="360"/>
        <w:jc w:val="both"/>
      </w:pPr>
      <w:r w:rsidRPr="00684D7E">
        <w:rPr>
          <w:u w:val="single"/>
        </w:rPr>
        <w:t>Response</w:t>
      </w:r>
      <w:r w:rsidRPr="00684D7E">
        <w:t>:</w:t>
      </w:r>
      <w:r w:rsidRPr="00771764">
        <w:t xml:space="preserve"> </w:t>
      </w:r>
      <w:r>
        <w:t xml:space="preserve"> The primary service area of Steward NE </w:t>
      </w:r>
      <w:proofErr w:type="gramStart"/>
      <w:r w:rsidR="00684D7E">
        <w:t>includes:</w:t>
      </w:r>
      <w:proofErr w:type="gramEnd"/>
      <w:r>
        <w:t xml:space="preserve"> </w:t>
      </w:r>
      <w:r w:rsidR="00684D7E">
        <w:t>Taunton, Brockton, Methuen, Lawrence, Fall River, Haverhill, Brighton, Stoughton, Norwood, Dorchester Center, Mansfield, Quincy, Raynham, Bridgewater, Middleborough Center Historic District, Canton, New Bedford, Salem, and Randolph.</w:t>
      </w:r>
    </w:p>
    <w:p w14:paraId="1323332F" w14:textId="77777777" w:rsidR="001B4DA4" w:rsidRDefault="001B4DA4" w:rsidP="001B4DA4">
      <w:pPr>
        <w:pStyle w:val="ListParagraph"/>
      </w:pPr>
    </w:p>
    <w:p w14:paraId="56A8CB6A" w14:textId="2792CF7F" w:rsidR="00C655E5" w:rsidRPr="00965C03" w:rsidRDefault="00C655E5" w:rsidP="00015A57">
      <w:pPr>
        <w:pStyle w:val="ListParagraph"/>
        <w:numPr>
          <w:ilvl w:val="0"/>
          <w:numId w:val="3"/>
        </w:numPr>
        <w:rPr>
          <w:b/>
          <w:bCs/>
        </w:rPr>
      </w:pPr>
      <w:proofErr w:type="gramStart"/>
      <w:r w:rsidRPr="00965C03">
        <w:rPr>
          <w:b/>
          <w:bCs/>
        </w:rPr>
        <w:t>In order to</w:t>
      </w:r>
      <w:proofErr w:type="gramEnd"/>
      <w:r w:rsidRPr="00965C03">
        <w:rPr>
          <w:b/>
          <w:bCs/>
        </w:rPr>
        <w:t xml:space="preserve"> obtain a better understanding of GSMC Inpatient psychiatric patients, please provide the following:</w:t>
      </w:r>
    </w:p>
    <w:p w14:paraId="24908EAE" w14:textId="58639752" w:rsidR="00C655E5" w:rsidRPr="00965C03" w:rsidRDefault="00C655E5" w:rsidP="00C655E5">
      <w:pPr>
        <w:pStyle w:val="ListParagraph"/>
        <w:numPr>
          <w:ilvl w:val="1"/>
          <w:numId w:val="3"/>
        </w:numPr>
        <w:rPr>
          <w:b/>
          <w:bCs/>
        </w:rPr>
      </w:pPr>
      <w:bookmarkStart w:id="1" w:name="_Hlk125717313"/>
      <w:r w:rsidRPr="00965C03">
        <w:rPr>
          <w:b/>
          <w:bCs/>
        </w:rPr>
        <w:t xml:space="preserve">Payer mix for GSMC Inpatient Psychiatric Unit patients for FY21, or the most recent year available.   </w:t>
      </w:r>
      <w:bookmarkEnd w:id="1"/>
    </w:p>
    <w:p w14:paraId="7FB1103C" w14:textId="46C8B9C5" w:rsidR="001B4DA4" w:rsidRDefault="001B4DA4" w:rsidP="001B4DA4">
      <w:pPr>
        <w:pStyle w:val="ListParagraph"/>
        <w:ind w:left="1440"/>
        <w:rPr>
          <w:b/>
          <w:bCs/>
          <w:color w:val="FF0000"/>
        </w:rPr>
      </w:pPr>
    </w:p>
    <w:p w14:paraId="1D8B8AAB" w14:textId="38C76976" w:rsidR="001B4DA4" w:rsidRDefault="001B4DA4" w:rsidP="001B4DA4">
      <w:pPr>
        <w:pStyle w:val="ListParagraph"/>
        <w:ind w:left="1440"/>
      </w:pPr>
      <w:r w:rsidRPr="001B4DA4">
        <w:rPr>
          <w:u w:val="single"/>
        </w:rPr>
        <w:lastRenderedPageBreak/>
        <w:t>Response</w:t>
      </w:r>
      <w:r w:rsidRPr="001B4DA4">
        <w:t>:</w:t>
      </w:r>
      <w:r>
        <w:t xml:space="preserve"> </w:t>
      </w:r>
      <w:r w:rsidR="00C20F55">
        <w:t>Please refer to the table below for payer mix for GSMC Inpatient Psychiatric Unit patients for FY21.</w:t>
      </w:r>
    </w:p>
    <w:p w14:paraId="72E45F58" w14:textId="3E2AB558" w:rsidR="001B4DA4" w:rsidRDefault="001B4DA4" w:rsidP="001B4DA4">
      <w:pPr>
        <w:pStyle w:val="ListParagraph"/>
        <w:ind w:left="1440"/>
      </w:pPr>
    </w:p>
    <w:tbl>
      <w:tblPr>
        <w:tblStyle w:val="TableGrid"/>
        <w:tblW w:w="5216" w:type="dxa"/>
        <w:jc w:val="center"/>
        <w:tblLook w:val="04A0" w:firstRow="1" w:lastRow="0" w:firstColumn="1" w:lastColumn="0" w:noHBand="0" w:noVBand="1"/>
      </w:tblPr>
      <w:tblGrid>
        <w:gridCol w:w="3475"/>
        <w:gridCol w:w="1741"/>
      </w:tblGrid>
      <w:tr w:rsidR="001B4DA4" w:rsidRPr="00AE324F" w14:paraId="5024C16F" w14:textId="77777777" w:rsidTr="00675FBD">
        <w:trPr>
          <w:cantSplit/>
          <w:trHeight w:val="280"/>
          <w:tblHeader/>
          <w:jc w:val="center"/>
        </w:trPr>
        <w:tc>
          <w:tcPr>
            <w:tcW w:w="3475" w:type="dxa"/>
            <w:shd w:val="clear" w:color="auto" w:fill="DEEAF6" w:themeFill="accent5" w:themeFillTint="33"/>
            <w:noWrap/>
            <w:vAlign w:val="bottom"/>
          </w:tcPr>
          <w:p w14:paraId="5A1ADEBD" w14:textId="77777777" w:rsidR="001B4DA4" w:rsidRPr="00AE324F" w:rsidRDefault="001B4DA4" w:rsidP="00A53371">
            <w:pPr>
              <w:jc w:val="center"/>
              <w:rPr>
                <w:rFonts w:asciiTheme="majorHAnsi" w:eastAsia="Verdana" w:hAnsiTheme="majorHAnsi" w:cstheme="majorHAnsi"/>
                <w:sz w:val="18"/>
                <w:szCs w:val="18"/>
              </w:rPr>
            </w:pPr>
            <w:r w:rsidRPr="00AE324F">
              <w:rPr>
                <w:rFonts w:asciiTheme="majorHAnsi" w:hAnsiTheme="majorHAnsi" w:cstheme="majorHAnsi"/>
                <w:b/>
                <w:bCs/>
                <w:color w:val="000000"/>
                <w:sz w:val="18"/>
                <w:szCs w:val="18"/>
              </w:rPr>
              <w:t>Payer</w:t>
            </w:r>
          </w:p>
        </w:tc>
        <w:tc>
          <w:tcPr>
            <w:tcW w:w="1741" w:type="dxa"/>
            <w:shd w:val="clear" w:color="auto" w:fill="DEEAF6" w:themeFill="accent5" w:themeFillTint="33"/>
            <w:noWrap/>
            <w:vAlign w:val="bottom"/>
          </w:tcPr>
          <w:p w14:paraId="53DFEA1A" w14:textId="7B8E2244" w:rsidR="001B4DA4" w:rsidRPr="00AE324F" w:rsidRDefault="001B4DA4" w:rsidP="00A53371">
            <w:pPr>
              <w:jc w:val="center"/>
              <w:rPr>
                <w:rFonts w:asciiTheme="majorHAnsi" w:eastAsia="Verdana" w:hAnsiTheme="majorHAnsi" w:cstheme="majorHAnsi"/>
                <w:b/>
                <w:bCs/>
                <w:sz w:val="18"/>
                <w:szCs w:val="18"/>
              </w:rPr>
            </w:pPr>
            <w:r w:rsidRPr="00AE324F">
              <w:rPr>
                <w:rFonts w:asciiTheme="majorHAnsi" w:eastAsia="Verdana" w:hAnsiTheme="majorHAnsi" w:cstheme="majorHAnsi"/>
                <w:b/>
                <w:bCs/>
                <w:sz w:val="18"/>
                <w:szCs w:val="18"/>
              </w:rPr>
              <w:t>FY</w:t>
            </w:r>
            <w:r>
              <w:rPr>
                <w:rFonts w:asciiTheme="majorHAnsi" w:eastAsia="Verdana" w:hAnsiTheme="majorHAnsi" w:cstheme="majorHAnsi"/>
                <w:b/>
                <w:bCs/>
                <w:sz w:val="18"/>
                <w:szCs w:val="18"/>
              </w:rPr>
              <w:t>21</w:t>
            </w:r>
          </w:p>
        </w:tc>
      </w:tr>
      <w:tr w:rsidR="001B4DA4" w:rsidRPr="00AE324F" w14:paraId="5FA9AA6E" w14:textId="77777777" w:rsidTr="003636F5">
        <w:trPr>
          <w:cantSplit/>
          <w:trHeight w:val="280"/>
          <w:jc w:val="center"/>
        </w:trPr>
        <w:tc>
          <w:tcPr>
            <w:tcW w:w="3475" w:type="dxa"/>
            <w:shd w:val="clear" w:color="auto" w:fill="auto"/>
            <w:noWrap/>
            <w:vAlign w:val="bottom"/>
          </w:tcPr>
          <w:p w14:paraId="2D1D9EEF" w14:textId="77777777" w:rsidR="001B4DA4" w:rsidRPr="00AE324F" w:rsidRDefault="001B4DA4" w:rsidP="001B4DA4">
            <w:pPr>
              <w:rPr>
                <w:rFonts w:asciiTheme="majorHAnsi" w:eastAsia="Verdana" w:hAnsiTheme="majorHAnsi" w:cstheme="majorHAnsi"/>
                <w:sz w:val="18"/>
                <w:szCs w:val="18"/>
              </w:rPr>
            </w:pPr>
            <w:r w:rsidRPr="00AE324F">
              <w:rPr>
                <w:rFonts w:asciiTheme="majorHAnsi" w:hAnsiTheme="majorHAnsi" w:cstheme="majorHAnsi"/>
                <w:color w:val="000000"/>
                <w:sz w:val="18"/>
                <w:szCs w:val="18"/>
              </w:rPr>
              <w:t>Commercial PPO/Indemnity</w:t>
            </w:r>
          </w:p>
        </w:tc>
        <w:tc>
          <w:tcPr>
            <w:tcW w:w="1741" w:type="dxa"/>
            <w:shd w:val="clear" w:color="auto" w:fill="auto"/>
            <w:noWrap/>
            <w:vAlign w:val="center"/>
          </w:tcPr>
          <w:p w14:paraId="646707F8" w14:textId="09053FD2" w:rsidR="001B4DA4" w:rsidRPr="00C20F55" w:rsidRDefault="001B4DA4" w:rsidP="001B4DA4">
            <w:pPr>
              <w:jc w:val="center"/>
              <w:rPr>
                <w:rFonts w:asciiTheme="majorHAnsi" w:hAnsiTheme="majorHAnsi" w:cstheme="majorHAnsi"/>
                <w:color w:val="000000"/>
                <w:sz w:val="18"/>
                <w:szCs w:val="18"/>
                <w:highlight w:val="yellow"/>
              </w:rPr>
            </w:pPr>
            <w:r w:rsidRPr="00C20F55">
              <w:rPr>
                <w:rFonts w:asciiTheme="majorHAnsi" w:hAnsiTheme="majorHAnsi" w:cstheme="majorHAnsi"/>
                <w:color w:val="000000"/>
                <w:sz w:val="18"/>
                <w:szCs w:val="18"/>
              </w:rPr>
              <w:t>1.93%</w:t>
            </w:r>
          </w:p>
        </w:tc>
      </w:tr>
      <w:tr w:rsidR="001B4DA4" w:rsidRPr="00AE324F" w14:paraId="698BB8AE" w14:textId="77777777" w:rsidTr="003636F5">
        <w:trPr>
          <w:cantSplit/>
          <w:trHeight w:val="280"/>
          <w:jc w:val="center"/>
        </w:trPr>
        <w:tc>
          <w:tcPr>
            <w:tcW w:w="3475" w:type="dxa"/>
            <w:shd w:val="clear" w:color="auto" w:fill="auto"/>
            <w:noWrap/>
            <w:vAlign w:val="bottom"/>
          </w:tcPr>
          <w:p w14:paraId="0AFC2909" w14:textId="77777777" w:rsidR="001B4DA4" w:rsidRPr="00AE324F" w:rsidRDefault="001B4DA4" w:rsidP="001B4DA4">
            <w:pPr>
              <w:rPr>
                <w:rFonts w:asciiTheme="majorHAnsi" w:eastAsia="Verdana" w:hAnsiTheme="majorHAnsi" w:cstheme="majorHAnsi"/>
                <w:sz w:val="18"/>
                <w:szCs w:val="18"/>
              </w:rPr>
            </w:pPr>
            <w:r w:rsidRPr="00AE324F">
              <w:rPr>
                <w:rFonts w:asciiTheme="majorHAnsi" w:hAnsiTheme="majorHAnsi" w:cstheme="majorHAnsi"/>
                <w:color w:val="000000"/>
                <w:sz w:val="18"/>
                <w:szCs w:val="18"/>
              </w:rPr>
              <w:t>Commercial HMO/POS</w:t>
            </w:r>
          </w:p>
        </w:tc>
        <w:tc>
          <w:tcPr>
            <w:tcW w:w="1741" w:type="dxa"/>
            <w:shd w:val="clear" w:color="auto" w:fill="auto"/>
            <w:noWrap/>
            <w:vAlign w:val="center"/>
          </w:tcPr>
          <w:p w14:paraId="06BF0767" w14:textId="296E07A6" w:rsidR="001B4DA4" w:rsidRPr="00C20F55" w:rsidRDefault="001B4DA4" w:rsidP="001B4DA4">
            <w:pPr>
              <w:jc w:val="center"/>
              <w:rPr>
                <w:rFonts w:asciiTheme="majorHAnsi" w:eastAsia="Verdana" w:hAnsiTheme="majorHAnsi" w:cstheme="majorHAnsi"/>
                <w:sz w:val="18"/>
                <w:szCs w:val="18"/>
                <w:highlight w:val="yellow"/>
              </w:rPr>
            </w:pPr>
            <w:r w:rsidRPr="00C20F55">
              <w:rPr>
                <w:rFonts w:asciiTheme="majorHAnsi" w:hAnsiTheme="majorHAnsi" w:cstheme="majorHAnsi"/>
                <w:color w:val="000000"/>
                <w:sz w:val="18"/>
                <w:szCs w:val="18"/>
              </w:rPr>
              <w:t>2.45%</w:t>
            </w:r>
          </w:p>
        </w:tc>
      </w:tr>
      <w:tr w:rsidR="001B4DA4" w:rsidRPr="00AE324F" w14:paraId="706EA645" w14:textId="77777777" w:rsidTr="003636F5">
        <w:trPr>
          <w:cantSplit/>
          <w:trHeight w:val="280"/>
          <w:jc w:val="center"/>
        </w:trPr>
        <w:tc>
          <w:tcPr>
            <w:tcW w:w="3475" w:type="dxa"/>
            <w:shd w:val="clear" w:color="auto" w:fill="auto"/>
            <w:noWrap/>
            <w:vAlign w:val="bottom"/>
          </w:tcPr>
          <w:p w14:paraId="3038E93E" w14:textId="77777777" w:rsidR="001B4DA4" w:rsidRPr="00AE324F" w:rsidRDefault="001B4DA4" w:rsidP="001B4DA4">
            <w:pPr>
              <w:rPr>
                <w:rFonts w:asciiTheme="majorHAnsi" w:eastAsia="Verdana" w:hAnsiTheme="majorHAnsi" w:cstheme="majorHAnsi"/>
                <w:sz w:val="18"/>
                <w:szCs w:val="18"/>
              </w:rPr>
            </w:pPr>
            <w:r w:rsidRPr="00AE324F">
              <w:rPr>
                <w:rFonts w:asciiTheme="majorHAnsi" w:hAnsiTheme="majorHAnsi" w:cstheme="majorHAnsi"/>
                <w:color w:val="000000"/>
                <w:sz w:val="18"/>
                <w:szCs w:val="18"/>
              </w:rPr>
              <w:t>MassHealth</w:t>
            </w:r>
          </w:p>
        </w:tc>
        <w:tc>
          <w:tcPr>
            <w:tcW w:w="1741" w:type="dxa"/>
            <w:shd w:val="clear" w:color="auto" w:fill="auto"/>
            <w:noWrap/>
            <w:vAlign w:val="center"/>
          </w:tcPr>
          <w:p w14:paraId="1258B6EF" w14:textId="7D283328" w:rsidR="001B4DA4" w:rsidRPr="00C20F55" w:rsidRDefault="001B4DA4" w:rsidP="001B4DA4">
            <w:pPr>
              <w:jc w:val="center"/>
              <w:rPr>
                <w:rFonts w:asciiTheme="majorHAnsi" w:eastAsia="Verdana" w:hAnsiTheme="majorHAnsi" w:cstheme="majorHAnsi"/>
                <w:sz w:val="18"/>
                <w:szCs w:val="18"/>
                <w:highlight w:val="yellow"/>
              </w:rPr>
            </w:pPr>
            <w:r w:rsidRPr="00C20F55">
              <w:rPr>
                <w:rFonts w:asciiTheme="majorHAnsi" w:hAnsiTheme="majorHAnsi" w:cstheme="majorHAnsi"/>
                <w:color w:val="000000"/>
                <w:sz w:val="18"/>
                <w:szCs w:val="18"/>
              </w:rPr>
              <w:t>9.99%</w:t>
            </w:r>
          </w:p>
        </w:tc>
      </w:tr>
      <w:tr w:rsidR="001B4DA4" w:rsidRPr="00AE324F" w14:paraId="076909BA" w14:textId="77777777" w:rsidTr="003636F5">
        <w:trPr>
          <w:cantSplit/>
          <w:trHeight w:val="280"/>
          <w:jc w:val="center"/>
        </w:trPr>
        <w:tc>
          <w:tcPr>
            <w:tcW w:w="3475" w:type="dxa"/>
            <w:shd w:val="clear" w:color="auto" w:fill="auto"/>
            <w:noWrap/>
            <w:vAlign w:val="bottom"/>
          </w:tcPr>
          <w:p w14:paraId="5FED8ECA" w14:textId="77777777" w:rsidR="001B4DA4" w:rsidRPr="00AE324F" w:rsidRDefault="001B4DA4" w:rsidP="001B4DA4">
            <w:pPr>
              <w:rPr>
                <w:rFonts w:asciiTheme="majorHAnsi" w:eastAsia="Verdana" w:hAnsiTheme="majorHAnsi" w:cstheme="majorHAnsi"/>
                <w:sz w:val="18"/>
                <w:szCs w:val="18"/>
              </w:rPr>
            </w:pPr>
            <w:r w:rsidRPr="00AE324F">
              <w:rPr>
                <w:rFonts w:asciiTheme="majorHAnsi" w:hAnsiTheme="majorHAnsi" w:cstheme="majorHAnsi"/>
                <w:color w:val="000000"/>
                <w:sz w:val="18"/>
                <w:szCs w:val="18"/>
              </w:rPr>
              <w:t>Managed Medicaid</w:t>
            </w:r>
          </w:p>
        </w:tc>
        <w:tc>
          <w:tcPr>
            <w:tcW w:w="1741" w:type="dxa"/>
            <w:shd w:val="clear" w:color="auto" w:fill="auto"/>
            <w:noWrap/>
            <w:vAlign w:val="center"/>
          </w:tcPr>
          <w:p w14:paraId="378BC09D" w14:textId="0A3F8D28" w:rsidR="001B4DA4" w:rsidRPr="00C20F55" w:rsidRDefault="001B4DA4" w:rsidP="001B4DA4">
            <w:pPr>
              <w:jc w:val="center"/>
              <w:rPr>
                <w:rFonts w:asciiTheme="majorHAnsi" w:eastAsia="Verdana" w:hAnsiTheme="majorHAnsi" w:cstheme="majorHAnsi"/>
                <w:sz w:val="18"/>
                <w:szCs w:val="18"/>
                <w:highlight w:val="yellow"/>
              </w:rPr>
            </w:pPr>
            <w:r w:rsidRPr="00C20F55">
              <w:rPr>
                <w:rFonts w:asciiTheme="majorHAnsi" w:hAnsiTheme="majorHAnsi" w:cstheme="majorHAnsi"/>
                <w:color w:val="000000"/>
                <w:sz w:val="18"/>
                <w:szCs w:val="18"/>
              </w:rPr>
              <w:t>3.30%</w:t>
            </w:r>
          </w:p>
        </w:tc>
      </w:tr>
      <w:tr w:rsidR="001B4DA4" w:rsidRPr="00AE324F" w14:paraId="3A6D1152" w14:textId="77777777" w:rsidTr="003636F5">
        <w:trPr>
          <w:cantSplit/>
          <w:trHeight w:val="280"/>
          <w:jc w:val="center"/>
        </w:trPr>
        <w:tc>
          <w:tcPr>
            <w:tcW w:w="3475" w:type="dxa"/>
            <w:shd w:val="clear" w:color="auto" w:fill="auto"/>
            <w:noWrap/>
            <w:vAlign w:val="bottom"/>
          </w:tcPr>
          <w:p w14:paraId="63A6CB02" w14:textId="77777777" w:rsidR="001B4DA4" w:rsidRPr="00AE324F" w:rsidRDefault="001B4DA4" w:rsidP="001B4DA4">
            <w:pPr>
              <w:rPr>
                <w:rFonts w:asciiTheme="majorHAnsi" w:eastAsia="Verdana" w:hAnsiTheme="majorHAnsi" w:cstheme="majorHAnsi"/>
                <w:sz w:val="18"/>
                <w:szCs w:val="18"/>
              </w:rPr>
            </w:pPr>
            <w:r w:rsidRPr="00AE324F">
              <w:rPr>
                <w:rFonts w:asciiTheme="majorHAnsi" w:hAnsiTheme="majorHAnsi" w:cstheme="majorHAnsi"/>
                <w:color w:val="000000"/>
                <w:sz w:val="18"/>
                <w:szCs w:val="18"/>
              </w:rPr>
              <w:t>Commercial Medicare</w:t>
            </w:r>
          </w:p>
        </w:tc>
        <w:tc>
          <w:tcPr>
            <w:tcW w:w="1741" w:type="dxa"/>
            <w:shd w:val="clear" w:color="auto" w:fill="auto"/>
            <w:noWrap/>
            <w:vAlign w:val="center"/>
          </w:tcPr>
          <w:p w14:paraId="10C6EC8A" w14:textId="4316E251" w:rsidR="001B4DA4" w:rsidRPr="00C20F55" w:rsidRDefault="001B4DA4" w:rsidP="001B4DA4">
            <w:pPr>
              <w:jc w:val="center"/>
              <w:rPr>
                <w:rFonts w:asciiTheme="majorHAnsi" w:eastAsia="Verdana" w:hAnsiTheme="majorHAnsi" w:cstheme="majorHAnsi"/>
                <w:sz w:val="18"/>
                <w:szCs w:val="18"/>
                <w:highlight w:val="yellow"/>
              </w:rPr>
            </w:pPr>
            <w:r w:rsidRPr="00C20F55">
              <w:rPr>
                <w:rFonts w:asciiTheme="majorHAnsi" w:hAnsiTheme="majorHAnsi" w:cstheme="majorHAnsi"/>
                <w:color w:val="000000"/>
                <w:sz w:val="18"/>
                <w:szCs w:val="18"/>
              </w:rPr>
              <w:t>7.65%</w:t>
            </w:r>
          </w:p>
        </w:tc>
      </w:tr>
      <w:tr w:rsidR="001B4DA4" w:rsidRPr="00AE324F" w14:paraId="54214E64" w14:textId="77777777" w:rsidTr="003636F5">
        <w:trPr>
          <w:cantSplit/>
          <w:trHeight w:val="280"/>
          <w:jc w:val="center"/>
        </w:trPr>
        <w:tc>
          <w:tcPr>
            <w:tcW w:w="3475" w:type="dxa"/>
            <w:shd w:val="clear" w:color="auto" w:fill="auto"/>
            <w:noWrap/>
            <w:vAlign w:val="bottom"/>
          </w:tcPr>
          <w:p w14:paraId="053E508F" w14:textId="77777777" w:rsidR="001B4DA4" w:rsidRPr="00321095" w:rsidRDefault="001B4DA4" w:rsidP="001B4DA4">
            <w:pPr>
              <w:rPr>
                <w:rFonts w:asciiTheme="majorHAnsi" w:eastAsia="Verdana" w:hAnsiTheme="majorHAnsi" w:cstheme="majorHAnsi"/>
                <w:sz w:val="18"/>
                <w:szCs w:val="18"/>
              </w:rPr>
            </w:pPr>
            <w:r w:rsidRPr="00321095">
              <w:rPr>
                <w:rFonts w:asciiTheme="majorHAnsi" w:hAnsiTheme="majorHAnsi" w:cstheme="majorHAnsi"/>
                <w:color w:val="000000"/>
                <w:sz w:val="18"/>
                <w:szCs w:val="18"/>
              </w:rPr>
              <w:t>Medicare FFS</w:t>
            </w:r>
          </w:p>
        </w:tc>
        <w:tc>
          <w:tcPr>
            <w:tcW w:w="1741" w:type="dxa"/>
            <w:shd w:val="clear" w:color="auto" w:fill="auto"/>
            <w:noWrap/>
            <w:vAlign w:val="center"/>
          </w:tcPr>
          <w:p w14:paraId="42A5224A" w14:textId="5FF50C66" w:rsidR="001B4DA4" w:rsidRPr="00C20F55" w:rsidRDefault="001B4DA4" w:rsidP="001B4DA4">
            <w:pPr>
              <w:jc w:val="center"/>
              <w:rPr>
                <w:rFonts w:asciiTheme="majorHAnsi" w:eastAsia="Verdana" w:hAnsiTheme="majorHAnsi" w:cstheme="majorHAnsi"/>
                <w:sz w:val="18"/>
                <w:szCs w:val="18"/>
                <w:highlight w:val="yellow"/>
              </w:rPr>
            </w:pPr>
            <w:r w:rsidRPr="00C20F55">
              <w:rPr>
                <w:rFonts w:asciiTheme="majorHAnsi" w:hAnsiTheme="majorHAnsi" w:cstheme="majorHAnsi"/>
                <w:color w:val="000000"/>
                <w:sz w:val="18"/>
                <w:szCs w:val="18"/>
              </w:rPr>
              <w:t>41.02%</w:t>
            </w:r>
          </w:p>
        </w:tc>
      </w:tr>
      <w:tr w:rsidR="001B4DA4" w:rsidRPr="00AE324F" w14:paraId="614A9326" w14:textId="77777777" w:rsidTr="003636F5">
        <w:trPr>
          <w:cantSplit/>
          <w:trHeight w:val="280"/>
          <w:jc w:val="center"/>
        </w:trPr>
        <w:tc>
          <w:tcPr>
            <w:tcW w:w="3475" w:type="dxa"/>
            <w:shd w:val="clear" w:color="auto" w:fill="auto"/>
            <w:noWrap/>
            <w:vAlign w:val="bottom"/>
          </w:tcPr>
          <w:p w14:paraId="1CC9468B" w14:textId="77777777" w:rsidR="001B4DA4" w:rsidRPr="00321095" w:rsidRDefault="001B4DA4" w:rsidP="001B4DA4">
            <w:pPr>
              <w:rPr>
                <w:rFonts w:asciiTheme="majorHAnsi" w:hAnsiTheme="majorHAnsi" w:cstheme="majorHAnsi"/>
                <w:color w:val="000000"/>
                <w:sz w:val="18"/>
                <w:szCs w:val="18"/>
              </w:rPr>
            </w:pPr>
            <w:r w:rsidRPr="00321095">
              <w:rPr>
                <w:rFonts w:asciiTheme="majorHAnsi" w:hAnsiTheme="majorHAnsi" w:cstheme="majorHAnsi"/>
                <w:color w:val="000000"/>
                <w:sz w:val="18"/>
                <w:szCs w:val="18"/>
              </w:rPr>
              <w:t>All Other</w:t>
            </w:r>
            <w:r w:rsidRPr="00321095">
              <w:rPr>
                <w:rStyle w:val="FootnoteReference"/>
                <w:rFonts w:asciiTheme="majorHAnsi" w:hAnsiTheme="majorHAnsi" w:cstheme="majorHAnsi"/>
                <w:color w:val="000000"/>
                <w:sz w:val="18"/>
                <w:szCs w:val="18"/>
              </w:rPr>
              <w:footnoteReference w:id="6"/>
            </w:r>
          </w:p>
        </w:tc>
        <w:tc>
          <w:tcPr>
            <w:tcW w:w="1741" w:type="dxa"/>
            <w:shd w:val="clear" w:color="auto" w:fill="auto"/>
            <w:noWrap/>
            <w:vAlign w:val="center"/>
          </w:tcPr>
          <w:p w14:paraId="70A411C5" w14:textId="56E99020" w:rsidR="001B4DA4" w:rsidRPr="00C20F55" w:rsidRDefault="001B4DA4" w:rsidP="001B4DA4">
            <w:pPr>
              <w:jc w:val="center"/>
              <w:rPr>
                <w:rFonts w:asciiTheme="majorHAnsi" w:hAnsiTheme="majorHAnsi" w:cstheme="majorHAnsi"/>
                <w:color w:val="000000"/>
                <w:sz w:val="18"/>
                <w:szCs w:val="18"/>
                <w:highlight w:val="yellow"/>
              </w:rPr>
            </w:pPr>
            <w:r w:rsidRPr="00C20F55">
              <w:rPr>
                <w:rFonts w:asciiTheme="majorHAnsi" w:hAnsiTheme="majorHAnsi" w:cstheme="majorHAnsi"/>
                <w:color w:val="000000"/>
                <w:sz w:val="18"/>
                <w:szCs w:val="18"/>
              </w:rPr>
              <w:t>33.66%</w:t>
            </w:r>
          </w:p>
        </w:tc>
      </w:tr>
      <w:tr w:rsidR="001B4DA4" w:rsidRPr="00321095" w14:paraId="2B25D5C6" w14:textId="77777777" w:rsidTr="003636F5">
        <w:trPr>
          <w:cantSplit/>
          <w:trHeight w:val="280"/>
          <w:jc w:val="center"/>
        </w:trPr>
        <w:tc>
          <w:tcPr>
            <w:tcW w:w="3475" w:type="dxa"/>
            <w:shd w:val="clear" w:color="auto" w:fill="E2EFD9" w:themeFill="accent6" w:themeFillTint="33"/>
            <w:noWrap/>
            <w:vAlign w:val="bottom"/>
          </w:tcPr>
          <w:p w14:paraId="04FBF7E5" w14:textId="77777777" w:rsidR="001B4DA4" w:rsidRPr="00321095" w:rsidRDefault="001B4DA4" w:rsidP="001B4DA4">
            <w:pPr>
              <w:rPr>
                <w:rFonts w:asciiTheme="majorHAnsi" w:eastAsia="Verdana" w:hAnsiTheme="majorHAnsi" w:cstheme="majorHAnsi"/>
                <w:sz w:val="18"/>
                <w:szCs w:val="18"/>
              </w:rPr>
            </w:pPr>
            <w:r w:rsidRPr="00321095">
              <w:rPr>
                <w:rFonts w:asciiTheme="majorHAnsi" w:hAnsiTheme="majorHAnsi" w:cstheme="majorHAnsi"/>
                <w:color w:val="000000"/>
                <w:sz w:val="18"/>
                <w:szCs w:val="18"/>
              </w:rPr>
              <w:t>Total</w:t>
            </w:r>
          </w:p>
        </w:tc>
        <w:tc>
          <w:tcPr>
            <w:tcW w:w="1741" w:type="dxa"/>
            <w:shd w:val="clear" w:color="auto" w:fill="E2EFD9" w:themeFill="accent6" w:themeFillTint="33"/>
            <w:noWrap/>
            <w:vAlign w:val="bottom"/>
          </w:tcPr>
          <w:p w14:paraId="5161AC8F" w14:textId="77777777" w:rsidR="001B4DA4" w:rsidRPr="00321095" w:rsidRDefault="001B4DA4" w:rsidP="00A53371">
            <w:pPr>
              <w:jc w:val="center"/>
              <w:rPr>
                <w:rFonts w:ascii="Calibri" w:hAnsi="Calibri"/>
                <w:color w:val="000000"/>
                <w:sz w:val="18"/>
                <w:szCs w:val="18"/>
              </w:rPr>
            </w:pPr>
            <w:r w:rsidRPr="00321095">
              <w:rPr>
                <w:rFonts w:ascii="Calibri" w:hAnsi="Calibri"/>
                <w:color w:val="000000"/>
                <w:sz w:val="18"/>
                <w:szCs w:val="18"/>
              </w:rPr>
              <w:t>100%</w:t>
            </w:r>
          </w:p>
        </w:tc>
      </w:tr>
      <w:tr w:rsidR="001B4DA4" w:rsidRPr="00321095" w14:paraId="2E575388" w14:textId="77777777" w:rsidTr="003636F5">
        <w:trPr>
          <w:cantSplit/>
          <w:trHeight w:val="280"/>
          <w:jc w:val="center"/>
        </w:trPr>
        <w:tc>
          <w:tcPr>
            <w:tcW w:w="3475" w:type="dxa"/>
            <w:shd w:val="clear" w:color="auto" w:fill="auto"/>
            <w:noWrap/>
            <w:vAlign w:val="bottom"/>
          </w:tcPr>
          <w:p w14:paraId="35CA0964" w14:textId="4E10273C" w:rsidR="001B4DA4" w:rsidRPr="00321095" w:rsidRDefault="001B4DA4" w:rsidP="001B4DA4">
            <w:pPr>
              <w:jc w:val="center"/>
              <w:rPr>
                <w:rFonts w:asciiTheme="majorHAnsi" w:hAnsiTheme="majorHAnsi" w:cstheme="majorHAnsi"/>
                <w:color w:val="000000"/>
                <w:sz w:val="18"/>
                <w:szCs w:val="18"/>
              </w:rPr>
            </w:pPr>
          </w:p>
        </w:tc>
        <w:tc>
          <w:tcPr>
            <w:tcW w:w="1741" w:type="dxa"/>
            <w:shd w:val="clear" w:color="auto" w:fill="auto"/>
            <w:noWrap/>
            <w:vAlign w:val="bottom"/>
          </w:tcPr>
          <w:p w14:paraId="22D707EA" w14:textId="5CBE0C13" w:rsidR="001B4DA4" w:rsidRPr="00321095" w:rsidRDefault="001B4DA4" w:rsidP="001B4DA4">
            <w:pPr>
              <w:jc w:val="center"/>
              <w:rPr>
                <w:rFonts w:ascii="Calibri" w:hAnsi="Calibri"/>
                <w:color w:val="000000"/>
                <w:sz w:val="18"/>
                <w:szCs w:val="18"/>
              </w:rPr>
            </w:pPr>
          </w:p>
        </w:tc>
      </w:tr>
      <w:tr w:rsidR="001B4DA4" w:rsidRPr="00321095" w14:paraId="529DFF57" w14:textId="77777777" w:rsidTr="003636F5">
        <w:trPr>
          <w:cantSplit/>
          <w:trHeight w:val="280"/>
          <w:jc w:val="center"/>
        </w:trPr>
        <w:tc>
          <w:tcPr>
            <w:tcW w:w="3475" w:type="dxa"/>
            <w:shd w:val="clear" w:color="auto" w:fill="auto"/>
            <w:noWrap/>
            <w:vAlign w:val="bottom"/>
          </w:tcPr>
          <w:p w14:paraId="6043BD69" w14:textId="1259901D" w:rsidR="001B4DA4" w:rsidRPr="00AE324F" w:rsidRDefault="001B4DA4" w:rsidP="001B4DA4">
            <w:pPr>
              <w:rPr>
                <w:rFonts w:asciiTheme="majorHAnsi" w:hAnsiTheme="majorHAnsi" w:cstheme="majorHAnsi"/>
                <w:b/>
                <w:bCs/>
                <w:color w:val="000000"/>
                <w:sz w:val="18"/>
                <w:szCs w:val="18"/>
              </w:rPr>
            </w:pPr>
            <w:r>
              <w:rPr>
                <w:rFonts w:asciiTheme="majorHAnsi" w:hAnsiTheme="majorHAnsi" w:cstheme="majorHAnsi"/>
                <w:color w:val="000000"/>
                <w:sz w:val="18"/>
                <w:szCs w:val="18"/>
              </w:rPr>
              <w:t>APM/ACO Contracts</w:t>
            </w:r>
          </w:p>
        </w:tc>
        <w:tc>
          <w:tcPr>
            <w:tcW w:w="1741" w:type="dxa"/>
            <w:shd w:val="clear" w:color="auto" w:fill="auto"/>
            <w:noWrap/>
            <w:vAlign w:val="center"/>
          </w:tcPr>
          <w:p w14:paraId="21C661AD" w14:textId="195285A5" w:rsidR="001B4DA4" w:rsidRPr="00C20F55" w:rsidRDefault="00C20F55" w:rsidP="001B4DA4">
            <w:pPr>
              <w:jc w:val="center"/>
              <w:rPr>
                <w:rFonts w:asciiTheme="majorHAnsi" w:eastAsia="Verdana" w:hAnsiTheme="majorHAnsi" w:cstheme="majorHAnsi"/>
                <w:sz w:val="18"/>
                <w:szCs w:val="18"/>
              </w:rPr>
            </w:pPr>
            <w:r w:rsidRPr="00C20F55">
              <w:rPr>
                <w:rFonts w:asciiTheme="majorHAnsi" w:eastAsia="Verdana" w:hAnsiTheme="majorHAnsi" w:cstheme="majorHAnsi"/>
                <w:sz w:val="18"/>
                <w:szCs w:val="18"/>
              </w:rPr>
              <w:t>14.45%</w:t>
            </w:r>
          </w:p>
        </w:tc>
      </w:tr>
      <w:tr w:rsidR="001B4DA4" w:rsidRPr="00321095" w14:paraId="58C5E710" w14:textId="77777777" w:rsidTr="003636F5">
        <w:trPr>
          <w:cantSplit/>
          <w:trHeight w:val="280"/>
          <w:jc w:val="center"/>
        </w:trPr>
        <w:tc>
          <w:tcPr>
            <w:tcW w:w="3475" w:type="dxa"/>
            <w:shd w:val="clear" w:color="auto" w:fill="auto"/>
            <w:noWrap/>
            <w:vAlign w:val="bottom"/>
          </w:tcPr>
          <w:p w14:paraId="2ECF7672" w14:textId="3B3E3FEF" w:rsidR="001B4DA4" w:rsidRDefault="001B4DA4" w:rsidP="001B4DA4">
            <w:pPr>
              <w:rPr>
                <w:rFonts w:asciiTheme="majorHAnsi" w:hAnsiTheme="majorHAnsi" w:cstheme="majorHAnsi"/>
                <w:color w:val="000000"/>
                <w:sz w:val="18"/>
                <w:szCs w:val="18"/>
              </w:rPr>
            </w:pPr>
            <w:r>
              <w:rPr>
                <w:rFonts w:asciiTheme="majorHAnsi" w:hAnsiTheme="majorHAnsi" w:cstheme="majorHAnsi"/>
                <w:color w:val="000000"/>
                <w:sz w:val="18"/>
                <w:szCs w:val="18"/>
              </w:rPr>
              <w:t>Non-APM/Non-ACO Contracts</w:t>
            </w:r>
          </w:p>
        </w:tc>
        <w:tc>
          <w:tcPr>
            <w:tcW w:w="1741" w:type="dxa"/>
            <w:shd w:val="clear" w:color="auto" w:fill="auto"/>
            <w:noWrap/>
            <w:vAlign w:val="center"/>
          </w:tcPr>
          <w:p w14:paraId="67FFBB6B" w14:textId="016BEDA9" w:rsidR="001B4DA4" w:rsidRPr="00C93157" w:rsidRDefault="00C20F55" w:rsidP="001B4DA4">
            <w:pPr>
              <w:jc w:val="center"/>
              <w:rPr>
                <w:rFonts w:asciiTheme="majorHAnsi" w:hAnsiTheme="majorHAnsi" w:cstheme="majorHAnsi"/>
                <w:color w:val="000000"/>
                <w:sz w:val="18"/>
                <w:szCs w:val="18"/>
              </w:rPr>
            </w:pPr>
            <w:r>
              <w:rPr>
                <w:rFonts w:asciiTheme="majorHAnsi" w:hAnsiTheme="majorHAnsi" w:cstheme="majorHAnsi"/>
                <w:color w:val="000000"/>
                <w:sz w:val="18"/>
                <w:szCs w:val="18"/>
              </w:rPr>
              <w:t>85.55%</w:t>
            </w:r>
          </w:p>
        </w:tc>
      </w:tr>
      <w:tr w:rsidR="001B4DA4" w:rsidRPr="00321095" w14:paraId="3F550E6C" w14:textId="77777777" w:rsidTr="003636F5">
        <w:trPr>
          <w:cantSplit/>
          <w:trHeight w:val="280"/>
          <w:jc w:val="center"/>
        </w:trPr>
        <w:tc>
          <w:tcPr>
            <w:tcW w:w="3475" w:type="dxa"/>
            <w:shd w:val="clear" w:color="auto" w:fill="E2EFD9" w:themeFill="accent6" w:themeFillTint="33"/>
            <w:noWrap/>
            <w:vAlign w:val="bottom"/>
          </w:tcPr>
          <w:p w14:paraId="2C0D3ED5" w14:textId="3D170C44" w:rsidR="001B4DA4" w:rsidRDefault="001B4DA4" w:rsidP="001B4DA4">
            <w:pPr>
              <w:jc w:val="center"/>
              <w:rPr>
                <w:rFonts w:asciiTheme="majorHAnsi" w:hAnsiTheme="majorHAnsi" w:cstheme="majorHAnsi"/>
                <w:color w:val="000000"/>
                <w:sz w:val="18"/>
                <w:szCs w:val="18"/>
              </w:rPr>
            </w:pPr>
            <w:r w:rsidRPr="00AE324F">
              <w:rPr>
                <w:rFonts w:asciiTheme="majorHAnsi" w:hAnsiTheme="majorHAnsi" w:cstheme="majorHAnsi"/>
                <w:color w:val="000000"/>
                <w:sz w:val="18"/>
                <w:szCs w:val="18"/>
              </w:rPr>
              <w:t>Total</w:t>
            </w:r>
          </w:p>
        </w:tc>
        <w:tc>
          <w:tcPr>
            <w:tcW w:w="1741" w:type="dxa"/>
            <w:shd w:val="clear" w:color="auto" w:fill="E2EFD9" w:themeFill="accent6" w:themeFillTint="33"/>
            <w:noWrap/>
            <w:vAlign w:val="bottom"/>
          </w:tcPr>
          <w:p w14:paraId="13304F0B" w14:textId="383E6E09" w:rsidR="001B4DA4" w:rsidRPr="00C93157" w:rsidRDefault="001B4DA4" w:rsidP="001B4DA4">
            <w:pPr>
              <w:jc w:val="center"/>
              <w:rPr>
                <w:rFonts w:asciiTheme="majorHAnsi" w:eastAsia="Verdana" w:hAnsiTheme="majorHAnsi" w:cstheme="majorHAnsi"/>
                <w:sz w:val="18"/>
                <w:szCs w:val="18"/>
              </w:rPr>
            </w:pPr>
            <w:r w:rsidRPr="00AE324F">
              <w:rPr>
                <w:rFonts w:asciiTheme="majorHAnsi" w:hAnsiTheme="majorHAnsi" w:cstheme="majorHAnsi"/>
                <w:color w:val="000000"/>
                <w:sz w:val="18"/>
                <w:szCs w:val="18"/>
              </w:rPr>
              <w:t>100%</w:t>
            </w:r>
          </w:p>
        </w:tc>
      </w:tr>
    </w:tbl>
    <w:p w14:paraId="077BCCE9" w14:textId="77777777" w:rsidR="001B4DA4" w:rsidRPr="00794E44" w:rsidRDefault="001B4DA4" w:rsidP="001B4DA4">
      <w:pPr>
        <w:pStyle w:val="ListParagraph"/>
        <w:ind w:left="1440"/>
      </w:pPr>
    </w:p>
    <w:p w14:paraId="72900C1A" w14:textId="76C7F6A8" w:rsidR="00794E44" w:rsidRPr="00965C03" w:rsidRDefault="00C655E5" w:rsidP="00794E44">
      <w:pPr>
        <w:pStyle w:val="ListParagraph"/>
        <w:numPr>
          <w:ilvl w:val="1"/>
          <w:numId w:val="3"/>
        </w:numPr>
        <w:rPr>
          <w:b/>
          <w:bCs/>
          <w:color w:val="FF0000"/>
        </w:rPr>
      </w:pPr>
      <w:bookmarkStart w:id="2" w:name="_Hlk125717331"/>
      <w:r w:rsidRPr="00965C03">
        <w:rPr>
          <w:b/>
          <w:bCs/>
        </w:rPr>
        <w:t xml:space="preserve">Occupancy rate for GSMC’s inpatient psychiatric beds for FY21, or the most recent year available.  </w:t>
      </w:r>
      <w:bookmarkEnd w:id="2"/>
    </w:p>
    <w:p w14:paraId="704E913A" w14:textId="11264433" w:rsidR="00794E44" w:rsidRDefault="00794E44" w:rsidP="00794E44">
      <w:pPr>
        <w:pStyle w:val="ListParagraph"/>
        <w:ind w:left="1440"/>
      </w:pPr>
    </w:p>
    <w:p w14:paraId="04132230" w14:textId="64BAEDE6" w:rsidR="00794E44" w:rsidRDefault="00794E44" w:rsidP="00965C03">
      <w:pPr>
        <w:pStyle w:val="ListParagraph"/>
        <w:ind w:left="1440"/>
        <w:jc w:val="both"/>
        <w:rPr>
          <w:rFonts w:eastAsia="Times New Roman"/>
        </w:rPr>
      </w:pPr>
      <w:r w:rsidRPr="001B4DA4">
        <w:rPr>
          <w:u w:val="single"/>
        </w:rPr>
        <w:t>Response</w:t>
      </w:r>
      <w:r w:rsidRPr="001B4DA4">
        <w:t>:</w:t>
      </w:r>
      <w:r>
        <w:t xml:space="preserve"> </w:t>
      </w:r>
      <w:r w:rsidRPr="00794E44">
        <w:rPr>
          <w:rFonts w:eastAsia="Times New Roman"/>
        </w:rPr>
        <w:t xml:space="preserve">The occupancy rate for </w:t>
      </w:r>
      <w:r w:rsidRPr="00D1364E">
        <w:t xml:space="preserve">GSMC’s inpatient psychiatric beds </w:t>
      </w:r>
      <w:r>
        <w:t xml:space="preserve">for </w:t>
      </w:r>
      <w:r w:rsidRPr="00794E44">
        <w:rPr>
          <w:rFonts w:eastAsia="Times New Roman"/>
        </w:rPr>
        <w:t>FY21</w:t>
      </w:r>
      <w:r w:rsidR="000B57AA">
        <w:rPr>
          <w:rStyle w:val="FootnoteReference"/>
          <w:rFonts w:eastAsia="Times New Roman"/>
        </w:rPr>
        <w:footnoteReference w:id="7"/>
      </w:r>
      <w:r w:rsidRPr="00794E44">
        <w:rPr>
          <w:rFonts w:eastAsia="Times New Roman"/>
        </w:rPr>
        <w:t xml:space="preserve"> was 87.5% (average daily census of 14). The occupancy rate for </w:t>
      </w:r>
      <w:r w:rsidRPr="00D1364E">
        <w:t>GSMC’s inpatient psychiatric beds</w:t>
      </w:r>
      <w:r w:rsidR="000B57AA">
        <w:t xml:space="preserve"> was 30%</w:t>
      </w:r>
      <w:r w:rsidRPr="00D1364E">
        <w:t xml:space="preserve"> </w:t>
      </w:r>
      <w:r>
        <w:t>for the most recent year available</w:t>
      </w:r>
      <w:r w:rsidR="000B57AA">
        <w:t xml:space="preserve"> through </w:t>
      </w:r>
      <w:r>
        <w:t>February 2022</w:t>
      </w:r>
      <w:r w:rsidR="007577C9">
        <w:rPr>
          <w:rStyle w:val="FootnoteReference"/>
          <w:rFonts w:eastAsia="Times New Roman"/>
        </w:rPr>
        <w:footnoteReference w:id="8"/>
      </w:r>
      <w:r>
        <w:rPr>
          <w:rFonts w:eastAsia="Times New Roman"/>
        </w:rPr>
        <w:t>.</w:t>
      </w:r>
    </w:p>
    <w:p w14:paraId="6FD2C306" w14:textId="77777777" w:rsidR="00794E44" w:rsidRPr="00794E44" w:rsidRDefault="00794E44" w:rsidP="00794E44">
      <w:pPr>
        <w:pStyle w:val="ListParagraph"/>
        <w:ind w:left="1440"/>
        <w:rPr>
          <w:b/>
          <w:bCs/>
          <w:color w:val="FF0000"/>
        </w:rPr>
      </w:pPr>
    </w:p>
    <w:p w14:paraId="1DB3D28C" w14:textId="247CCD82" w:rsidR="00C655E5" w:rsidRPr="00965C03" w:rsidRDefault="00C655E5" w:rsidP="00C655E5">
      <w:pPr>
        <w:pStyle w:val="ListParagraph"/>
        <w:numPr>
          <w:ilvl w:val="1"/>
          <w:numId w:val="3"/>
        </w:numPr>
        <w:rPr>
          <w:b/>
          <w:bCs/>
        </w:rPr>
      </w:pPr>
      <w:r w:rsidRPr="00965C03">
        <w:rPr>
          <w:b/>
          <w:bCs/>
        </w:rPr>
        <w:t>City/town of origin for GSMC Inpatient Psychiatric Unit patients for FY21, or the most recent year available. Please combine counts less than 11 into another category to protect patient privacy and confidentiality.</w:t>
      </w:r>
    </w:p>
    <w:p w14:paraId="5D344D91" w14:textId="77777777" w:rsidR="007B5E06" w:rsidRDefault="007B5E06" w:rsidP="007B5E06">
      <w:pPr>
        <w:pStyle w:val="ListParagraph"/>
        <w:rPr>
          <w:highlight w:val="yellow"/>
          <w:u w:val="single"/>
        </w:rPr>
      </w:pPr>
    </w:p>
    <w:p w14:paraId="6216DC42" w14:textId="79B4DE58" w:rsidR="007B5E06" w:rsidRDefault="007B5E06" w:rsidP="00015A57">
      <w:pPr>
        <w:pStyle w:val="ListParagraph"/>
        <w:ind w:left="1440"/>
        <w:jc w:val="both"/>
      </w:pPr>
      <w:r w:rsidRPr="008C138D">
        <w:rPr>
          <w:u w:val="single"/>
        </w:rPr>
        <w:t>Response</w:t>
      </w:r>
      <w:r w:rsidRPr="008C138D">
        <w:t>:</w:t>
      </w:r>
      <w:r w:rsidRPr="00771764">
        <w:t xml:space="preserve"> </w:t>
      </w:r>
      <w:r>
        <w:t xml:space="preserve"> </w:t>
      </w:r>
      <w:r w:rsidR="007E6BE9">
        <w:t>F</w:t>
      </w:r>
      <w:r w:rsidR="008C138D">
        <w:t>or</w:t>
      </w:r>
      <w:r w:rsidR="007E6BE9">
        <w:t xml:space="preserve"> FY21, t</w:t>
      </w:r>
      <w:r>
        <w:t>he primary service area of GSMC Inpatient Psychiatric Unit patients include</w:t>
      </w:r>
      <w:r w:rsidR="007E6BE9">
        <w:t>d</w:t>
      </w:r>
      <w:r>
        <w:t xml:space="preserve">: </w:t>
      </w:r>
      <w:r w:rsidR="007E6BE9">
        <w:t xml:space="preserve">Taunton, Brockton, Stoughton, New Bedford, Attleboro, North Attleboro, Norton, Fall River, Quincy, Canton, Norwood, Mansfield, Dorchester Center, Bridgewater, New Bedford, Middleboro Center Historic District, Randolph, Plymouth, </w:t>
      </w:r>
      <w:proofErr w:type="gramStart"/>
      <w:r w:rsidR="007E6BE9">
        <w:t>Ray</w:t>
      </w:r>
      <w:r w:rsidR="008C138D">
        <w:t>n</w:t>
      </w:r>
      <w:r w:rsidR="007E6BE9">
        <w:t>ham</w:t>
      </w:r>
      <w:proofErr w:type="gramEnd"/>
      <w:r w:rsidR="007E6BE9">
        <w:t xml:space="preserve"> and N</w:t>
      </w:r>
      <w:r w:rsidR="008C138D">
        <w:t xml:space="preserve">orth Easton Historic District. </w:t>
      </w:r>
    </w:p>
    <w:p w14:paraId="39A2DE8F" w14:textId="77777777" w:rsidR="00C655E5" w:rsidRDefault="00C655E5" w:rsidP="00C655E5">
      <w:pPr>
        <w:pStyle w:val="ListParagraph"/>
      </w:pPr>
    </w:p>
    <w:p w14:paraId="3840F043" w14:textId="77777777" w:rsidR="00C655E5" w:rsidRPr="00965C03" w:rsidRDefault="00C655E5" w:rsidP="00C655E5">
      <w:pPr>
        <w:pStyle w:val="ListParagraph"/>
        <w:numPr>
          <w:ilvl w:val="0"/>
          <w:numId w:val="3"/>
        </w:numPr>
        <w:rPr>
          <w:b/>
          <w:bCs/>
        </w:rPr>
      </w:pPr>
      <w:bookmarkStart w:id="3" w:name="_Hlk125717347"/>
      <w:r w:rsidRPr="00965C03">
        <w:rPr>
          <w:b/>
          <w:bCs/>
        </w:rPr>
        <w:t xml:space="preserve">The application states that GSMC offers inpatient psychiatric treatment for those aged 65 years and older in 16 geriatric inpatient psychiatric beds (pg.5). However, the GSMC Inpatient Psychiatric Unit Patient Panel includes patients aged 19 to 64 (pg.6), and the largest percentage of patients at GSMC inpatient psychiatric were in the 19-45 age cohort (pg.6). </w:t>
      </w:r>
      <w:r w:rsidRPr="00965C03">
        <w:rPr>
          <w:b/>
          <w:bCs/>
        </w:rPr>
        <w:lastRenderedPageBreak/>
        <w:t>Please explain the geriatric beds distinction and how these beds will be used in the new behavioral health facility.</w:t>
      </w:r>
    </w:p>
    <w:bookmarkEnd w:id="3"/>
    <w:p w14:paraId="2E4E0BCA" w14:textId="77777777" w:rsidR="00C655E5" w:rsidRDefault="00C655E5" w:rsidP="00C655E5">
      <w:pPr>
        <w:pStyle w:val="ListParagraph"/>
        <w:tabs>
          <w:tab w:val="left" w:pos="4455"/>
        </w:tabs>
      </w:pPr>
    </w:p>
    <w:p w14:paraId="20BB91B8" w14:textId="72CB42AD" w:rsidR="0099703A" w:rsidRDefault="00827110" w:rsidP="00965C03">
      <w:pPr>
        <w:pStyle w:val="ListParagraph"/>
        <w:spacing w:line="252" w:lineRule="auto"/>
        <w:jc w:val="both"/>
        <w:rPr>
          <w:color w:val="70AD47"/>
        </w:rPr>
      </w:pPr>
      <w:r w:rsidRPr="001B4DA4">
        <w:rPr>
          <w:u w:val="single"/>
        </w:rPr>
        <w:t>Response</w:t>
      </w:r>
      <w:r w:rsidRPr="001B4DA4">
        <w:t>:</w:t>
      </w:r>
      <w:r>
        <w:t xml:space="preserve"> </w:t>
      </w:r>
      <w:r w:rsidR="0099703A">
        <w:t xml:space="preserve">The GSMC </w:t>
      </w:r>
      <w:r w:rsidR="00015A57">
        <w:t>I</w:t>
      </w:r>
      <w:r w:rsidR="0099703A">
        <w:t xml:space="preserve">npatient </w:t>
      </w:r>
      <w:r w:rsidR="00015A57">
        <w:t>P</w:t>
      </w:r>
      <w:r w:rsidR="0099703A">
        <w:t xml:space="preserve">sychiatric </w:t>
      </w:r>
      <w:r w:rsidR="00015A57">
        <w:t>U</w:t>
      </w:r>
      <w:r w:rsidR="0099703A">
        <w:t>nit patient panel includes all inpatient</w:t>
      </w:r>
      <w:r w:rsidR="008D686A">
        <w:t>s</w:t>
      </w:r>
      <w:r w:rsidR="0099703A">
        <w:t xml:space="preserve"> with a behavioral health </w:t>
      </w:r>
      <w:r w:rsidR="008D686A">
        <w:t xml:space="preserve">(“BH”) </w:t>
      </w:r>
      <w:r w:rsidR="0099703A">
        <w:t>diagnosis. While t</w:t>
      </w:r>
      <w:r w:rsidR="006A3877">
        <w:t xml:space="preserve">he </w:t>
      </w:r>
      <w:r w:rsidR="00015A57">
        <w:t>I</w:t>
      </w:r>
      <w:r w:rsidR="006A3877">
        <w:t xml:space="preserve">npatient </w:t>
      </w:r>
      <w:r w:rsidR="00015A57">
        <w:t>P</w:t>
      </w:r>
      <w:r w:rsidR="006A3877">
        <w:t xml:space="preserve">sychiatric </w:t>
      </w:r>
      <w:r w:rsidR="00015A57">
        <w:t>U</w:t>
      </w:r>
      <w:r w:rsidR="006A3877">
        <w:t>nit at GSMC focuses primarily on the geriatric population</w:t>
      </w:r>
      <w:r w:rsidR="0099703A">
        <w:t xml:space="preserve">, </w:t>
      </w:r>
      <w:r w:rsidR="006A3877">
        <w:t>younger adults are admitted to GSMC for dual diagnoses issues and once medically cleared, may require</w:t>
      </w:r>
      <w:r w:rsidR="0099703A">
        <w:t xml:space="preserve"> BH placement for stabilization</w:t>
      </w:r>
      <w:r w:rsidR="008D686A">
        <w:t xml:space="preserve"> at GSMC’s </w:t>
      </w:r>
      <w:r w:rsidR="00015A57">
        <w:t>I</w:t>
      </w:r>
      <w:r w:rsidR="008D686A">
        <w:t xml:space="preserve">npatient </w:t>
      </w:r>
      <w:r w:rsidR="00015A57">
        <w:t>P</w:t>
      </w:r>
      <w:r w:rsidR="008D686A">
        <w:t xml:space="preserve">sychiatric </w:t>
      </w:r>
      <w:r w:rsidR="00015A57">
        <w:t>U</w:t>
      </w:r>
      <w:r w:rsidR="008D686A">
        <w:t>nit.</w:t>
      </w:r>
      <w:r w:rsidR="0099703A">
        <w:t xml:space="preserve"> Additionally, the Department of Mental Health </w:t>
      </w:r>
      <w:r w:rsidR="008D686A">
        <w:t xml:space="preserve">requested that </w:t>
      </w:r>
      <w:r w:rsidR="0099703A">
        <w:t>GSMC</w:t>
      </w:r>
      <w:r w:rsidR="008D686A">
        <w:t xml:space="preserve"> </w:t>
      </w:r>
      <w:r w:rsidR="0099703A">
        <w:t>admit younger patients who are appropriate for a general psychiatry unit</w:t>
      </w:r>
      <w:r w:rsidR="00965C03">
        <w:t xml:space="preserve"> (“GPU”)</w:t>
      </w:r>
      <w:r w:rsidR="008D686A">
        <w:t xml:space="preserve"> to GSMC’s </w:t>
      </w:r>
      <w:r w:rsidR="00015A57">
        <w:t>I</w:t>
      </w:r>
      <w:r w:rsidR="008D686A">
        <w:t xml:space="preserve">npatient </w:t>
      </w:r>
      <w:r w:rsidR="00015A57">
        <w:t>P</w:t>
      </w:r>
      <w:r w:rsidR="008D686A">
        <w:t xml:space="preserve">sychiatric </w:t>
      </w:r>
      <w:r w:rsidR="00015A57">
        <w:t>U</w:t>
      </w:r>
      <w:r w:rsidR="008D686A">
        <w:t>nit</w:t>
      </w:r>
      <w:r w:rsidR="0099703A">
        <w:t xml:space="preserve">, and generally, these patients are between the ages of 55-65.  </w:t>
      </w:r>
    </w:p>
    <w:p w14:paraId="51EBA5E1" w14:textId="77777777" w:rsidR="0099703A" w:rsidRDefault="0099703A" w:rsidP="00965C03">
      <w:pPr>
        <w:pStyle w:val="ListParagraph"/>
        <w:spacing w:line="252" w:lineRule="auto"/>
        <w:jc w:val="both"/>
        <w:rPr>
          <w:color w:val="70AD47"/>
        </w:rPr>
      </w:pPr>
    </w:p>
    <w:p w14:paraId="38D7F146" w14:textId="62127344" w:rsidR="00827110" w:rsidRPr="008D686A" w:rsidRDefault="00827110" w:rsidP="00965C03">
      <w:pPr>
        <w:pStyle w:val="ListParagraph"/>
        <w:spacing w:line="252" w:lineRule="auto"/>
        <w:jc w:val="both"/>
      </w:pPr>
      <w:r w:rsidRPr="008D686A">
        <w:t xml:space="preserve">The </w:t>
      </w:r>
      <w:r w:rsidR="0099703A" w:rsidRPr="008D686A">
        <w:t xml:space="preserve">new behavioral health facility </w:t>
      </w:r>
      <w:r w:rsidRPr="008D686A">
        <w:t xml:space="preserve">will have </w:t>
      </w:r>
      <w:r w:rsidR="0099703A" w:rsidRPr="008D686A">
        <w:t>four</w:t>
      </w:r>
      <w:r w:rsidRPr="008D686A">
        <w:t xml:space="preserve"> units</w:t>
      </w:r>
      <w:r w:rsidR="0099703A" w:rsidRPr="008D686A">
        <w:t>:</w:t>
      </w:r>
      <w:r w:rsidRPr="008D686A">
        <w:t xml:space="preserve"> </w:t>
      </w:r>
      <w:r w:rsidR="008D686A" w:rsidRPr="008D686A">
        <w:t xml:space="preserve">two </w:t>
      </w:r>
      <w:r w:rsidRPr="008D686A">
        <w:t>dedicated to geriatric populations (</w:t>
      </w:r>
      <w:r w:rsidR="00015A57">
        <w:t xml:space="preserve">ages </w:t>
      </w:r>
      <w:r w:rsidRPr="008D686A">
        <w:t>65+)</w:t>
      </w:r>
      <w:r w:rsidR="005E356A">
        <w:t xml:space="preserve"> (38 beds)</w:t>
      </w:r>
      <w:r w:rsidRPr="008D686A">
        <w:t xml:space="preserve"> and </w:t>
      </w:r>
      <w:r w:rsidR="008D686A" w:rsidRPr="008D686A">
        <w:t>two</w:t>
      </w:r>
      <w:r w:rsidRPr="008D686A">
        <w:t xml:space="preserve"> dedicated to adult populations (</w:t>
      </w:r>
      <w:r w:rsidR="00015A57">
        <w:t xml:space="preserve">ages </w:t>
      </w:r>
      <w:r w:rsidRPr="008D686A">
        <w:t>18-65)</w:t>
      </w:r>
      <w:r w:rsidR="005E356A">
        <w:t xml:space="preserve"> (39 adult beds)</w:t>
      </w:r>
      <w:r w:rsidRPr="008D686A">
        <w:t xml:space="preserve">. The 16 </w:t>
      </w:r>
      <w:r w:rsidR="008D686A" w:rsidRPr="008D686A">
        <w:t xml:space="preserve">relocated </w:t>
      </w:r>
      <w:r w:rsidRPr="008D686A">
        <w:t>beds</w:t>
      </w:r>
      <w:r w:rsidR="00965C03">
        <w:t>, along with the additional 22 geriatric beds (totaling 38)</w:t>
      </w:r>
      <w:r w:rsidRPr="008D686A">
        <w:t xml:space="preserve"> </w:t>
      </w:r>
      <w:r w:rsidR="000B57AA">
        <w:t>care for the same types of patients as the GSMC unit</w:t>
      </w:r>
      <w:r w:rsidR="008D686A" w:rsidRPr="008D686A">
        <w:t>:</w:t>
      </w:r>
      <w:r w:rsidRPr="008D686A">
        <w:t xml:space="preserve"> geriatric</w:t>
      </w:r>
      <w:r w:rsidR="008D686A" w:rsidRPr="008D686A">
        <w:t>-</w:t>
      </w:r>
      <w:r w:rsidRPr="008D686A">
        <w:t xml:space="preserve">focused with the ability to </w:t>
      </w:r>
      <w:r w:rsidR="000B57AA">
        <w:t>care for</w:t>
      </w:r>
      <w:r w:rsidR="000B57AA" w:rsidRPr="008D686A">
        <w:t xml:space="preserve"> </w:t>
      </w:r>
      <w:r w:rsidRPr="008D686A">
        <w:t>some medical comorbidities on the unit.  </w:t>
      </w:r>
    </w:p>
    <w:p w14:paraId="0B8C073E" w14:textId="77777777" w:rsidR="00C655E5" w:rsidRDefault="00C655E5" w:rsidP="00C655E5">
      <w:pPr>
        <w:pStyle w:val="ListParagraph"/>
        <w:tabs>
          <w:tab w:val="left" w:pos="4455"/>
        </w:tabs>
      </w:pPr>
    </w:p>
    <w:p w14:paraId="15FE79CB" w14:textId="77777777" w:rsidR="00C655E5" w:rsidRPr="00965C03" w:rsidRDefault="00C655E5" w:rsidP="00C655E5">
      <w:pPr>
        <w:pStyle w:val="ListParagraph"/>
        <w:numPr>
          <w:ilvl w:val="0"/>
          <w:numId w:val="3"/>
        </w:numPr>
        <w:tabs>
          <w:tab w:val="left" w:pos="4455"/>
        </w:tabs>
        <w:rPr>
          <w:b/>
          <w:bCs/>
        </w:rPr>
      </w:pPr>
      <w:bookmarkStart w:id="4" w:name="_Hlk125717475"/>
      <w:r w:rsidRPr="00965C03">
        <w:rPr>
          <w:b/>
          <w:bCs/>
        </w:rPr>
        <w:t xml:space="preserve">The application states that since February 25, 2022, approximately 10 months, the 16 psychiatric beds at GSMC have been offline due to staffing shortages (Footnote 28). </w:t>
      </w:r>
    </w:p>
    <w:p w14:paraId="5E9327EB" w14:textId="24B5297F" w:rsidR="00C655E5" w:rsidRPr="00965C03" w:rsidRDefault="00C655E5" w:rsidP="00C655E5">
      <w:pPr>
        <w:pStyle w:val="ListParagraph"/>
        <w:numPr>
          <w:ilvl w:val="1"/>
          <w:numId w:val="3"/>
        </w:numPr>
        <w:tabs>
          <w:tab w:val="left" w:pos="4455"/>
        </w:tabs>
        <w:rPr>
          <w:b/>
          <w:bCs/>
        </w:rPr>
      </w:pPr>
      <w:r w:rsidRPr="00965C03">
        <w:rPr>
          <w:b/>
          <w:bCs/>
        </w:rPr>
        <w:t xml:space="preserve">How does GSMC plan to staff the 77 inpatient psychiatric beds in the new behavioral health facility? </w:t>
      </w:r>
    </w:p>
    <w:p w14:paraId="5505A089" w14:textId="610AC281" w:rsidR="00965C03" w:rsidRDefault="00965C03" w:rsidP="00965C03">
      <w:pPr>
        <w:pStyle w:val="ListParagraph"/>
        <w:tabs>
          <w:tab w:val="left" w:pos="4455"/>
        </w:tabs>
        <w:ind w:left="1440"/>
        <w:jc w:val="both"/>
      </w:pPr>
    </w:p>
    <w:p w14:paraId="74D4AF71" w14:textId="64DB8039" w:rsidR="00965C03" w:rsidRDefault="00965C03" w:rsidP="00965C03">
      <w:pPr>
        <w:tabs>
          <w:tab w:val="left" w:pos="4455"/>
        </w:tabs>
        <w:ind w:left="720"/>
        <w:jc w:val="both"/>
      </w:pPr>
      <w:r w:rsidRPr="00965C03">
        <w:rPr>
          <w:u w:val="single"/>
        </w:rPr>
        <w:t>Response</w:t>
      </w:r>
      <w:r>
        <w:t xml:space="preserve">: </w:t>
      </w:r>
      <w:r w:rsidRPr="00A73AD2">
        <w:rPr>
          <w:rFonts w:eastAsia="Times New Roman"/>
        </w:rPr>
        <w:t xml:space="preserve">The Inpatient Psychiatric Unit at GSMC was temporarily closed due to </w:t>
      </w:r>
      <w:r w:rsidR="00326CA8" w:rsidRPr="00A73AD2">
        <w:rPr>
          <w:rFonts w:eastAsia="Times New Roman"/>
        </w:rPr>
        <w:t>staffing shortage</w:t>
      </w:r>
      <w:r w:rsidR="00C43EA6" w:rsidRPr="00A73AD2">
        <w:rPr>
          <w:rFonts w:eastAsia="Times New Roman"/>
        </w:rPr>
        <w:t>s</w:t>
      </w:r>
      <w:r w:rsidR="00326CA8" w:rsidRPr="00A73AD2">
        <w:rPr>
          <w:rFonts w:eastAsia="Times New Roman"/>
        </w:rPr>
        <w:t>.</w:t>
      </w:r>
      <w:r w:rsidRPr="00A73AD2">
        <w:rPr>
          <w:rFonts w:eastAsia="Times New Roman"/>
        </w:rPr>
        <w:t xml:space="preserve"> </w:t>
      </w:r>
      <w:r w:rsidR="00C43EA6" w:rsidRPr="00A73AD2">
        <w:rPr>
          <w:rFonts w:eastAsia="Times New Roman"/>
        </w:rPr>
        <w:t>GSMC’s</w:t>
      </w:r>
      <w:r w:rsidRPr="00A73AD2">
        <w:rPr>
          <w:rFonts w:eastAsia="Times New Roman"/>
        </w:rPr>
        <w:t xml:space="preserve"> staffing plan</w:t>
      </w:r>
      <w:r w:rsidR="00C43EA6" w:rsidRPr="00A73AD2">
        <w:rPr>
          <w:rFonts w:eastAsia="Times New Roman"/>
        </w:rPr>
        <w:t xml:space="preserve"> for the new behavioral health facility is </w:t>
      </w:r>
      <w:r w:rsidRPr="00A73AD2">
        <w:rPr>
          <w:rFonts w:eastAsia="Times New Roman"/>
        </w:rPr>
        <w:t xml:space="preserve">multifaceted: 1) </w:t>
      </w:r>
      <w:r w:rsidR="00C43EA6" w:rsidRPr="00A73AD2">
        <w:rPr>
          <w:rFonts w:eastAsia="Times New Roman"/>
        </w:rPr>
        <w:t>GSMC</w:t>
      </w:r>
      <w:r w:rsidRPr="00A73AD2">
        <w:rPr>
          <w:rFonts w:eastAsia="Times New Roman"/>
        </w:rPr>
        <w:t xml:space="preserve"> will offer the opportunity to current staff with BH training to shift into the new facility</w:t>
      </w:r>
      <w:r w:rsidR="00C43EA6" w:rsidRPr="00A73AD2">
        <w:rPr>
          <w:rFonts w:eastAsia="Times New Roman"/>
        </w:rPr>
        <w:t>;</w:t>
      </w:r>
      <w:r w:rsidRPr="00A73AD2">
        <w:rPr>
          <w:rFonts w:eastAsia="Times New Roman"/>
        </w:rPr>
        <w:t xml:space="preserve"> 2) </w:t>
      </w:r>
      <w:r w:rsidR="00DF39EF" w:rsidRPr="00A73AD2">
        <w:rPr>
          <w:rFonts w:eastAsia="Times New Roman"/>
        </w:rPr>
        <w:t>GSMC</w:t>
      </w:r>
      <w:r w:rsidRPr="00A73AD2">
        <w:rPr>
          <w:rFonts w:eastAsia="Times New Roman"/>
        </w:rPr>
        <w:t xml:space="preserve"> will </w:t>
      </w:r>
      <w:r w:rsidR="000B57AA">
        <w:rPr>
          <w:rFonts w:eastAsia="Times New Roman"/>
        </w:rPr>
        <w:t>run</w:t>
      </w:r>
      <w:r w:rsidRPr="00A73AD2">
        <w:rPr>
          <w:rFonts w:eastAsia="Times New Roman"/>
        </w:rPr>
        <w:t xml:space="preserve"> a behavioral health nursing residency program for new graduates and existing nurses (both internal and external) who have an interest in being trained </w:t>
      </w:r>
      <w:r w:rsidR="000B57AA">
        <w:rPr>
          <w:rFonts w:eastAsia="Times New Roman"/>
        </w:rPr>
        <w:t>in providing BH care</w:t>
      </w:r>
      <w:r w:rsidRPr="00A73AD2">
        <w:rPr>
          <w:rFonts w:eastAsia="Times New Roman"/>
        </w:rPr>
        <w:t>; 3)</w:t>
      </w:r>
      <w:r w:rsidR="00DF39EF" w:rsidRPr="00A73AD2">
        <w:rPr>
          <w:rFonts w:eastAsia="Times New Roman"/>
        </w:rPr>
        <w:t xml:space="preserve"> GSMC</w:t>
      </w:r>
      <w:r w:rsidRPr="00A73AD2">
        <w:rPr>
          <w:rFonts w:eastAsia="Times New Roman"/>
        </w:rPr>
        <w:t xml:space="preserve"> will begin </w:t>
      </w:r>
      <w:r w:rsidR="00DF39EF" w:rsidRPr="00A73AD2">
        <w:rPr>
          <w:rFonts w:eastAsia="Times New Roman"/>
        </w:rPr>
        <w:t>the</w:t>
      </w:r>
      <w:r w:rsidRPr="00A73AD2">
        <w:rPr>
          <w:rFonts w:eastAsia="Times New Roman"/>
        </w:rPr>
        <w:t xml:space="preserve"> hiring processes </w:t>
      </w:r>
      <w:r w:rsidR="00DF39EF" w:rsidRPr="00A73AD2">
        <w:rPr>
          <w:rFonts w:eastAsia="Times New Roman"/>
        </w:rPr>
        <w:t>once</w:t>
      </w:r>
      <w:r w:rsidRPr="00A73AD2">
        <w:rPr>
          <w:rFonts w:eastAsia="Times New Roman"/>
        </w:rPr>
        <w:t xml:space="preserve"> th</w:t>
      </w:r>
      <w:r w:rsidR="00DF39EF" w:rsidRPr="00A73AD2">
        <w:rPr>
          <w:rFonts w:eastAsia="Times New Roman"/>
        </w:rPr>
        <w:t>e Proposed Project</w:t>
      </w:r>
      <w:r w:rsidRPr="00A73AD2">
        <w:rPr>
          <w:rFonts w:eastAsia="Times New Roman"/>
        </w:rPr>
        <w:t xml:space="preserve"> is approved and </w:t>
      </w:r>
      <w:r w:rsidR="000B57AA">
        <w:rPr>
          <w:rFonts w:eastAsia="Times New Roman"/>
        </w:rPr>
        <w:t>construction commences</w:t>
      </w:r>
      <w:r w:rsidRPr="00A73AD2">
        <w:rPr>
          <w:rFonts w:eastAsia="Times New Roman"/>
        </w:rPr>
        <w:t xml:space="preserve">, giving </w:t>
      </w:r>
      <w:r w:rsidR="00DF39EF" w:rsidRPr="00A73AD2">
        <w:rPr>
          <w:rFonts w:eastAsia="Times New Roman"/>
        </w:rPr>
        <w:t>GSMC</w:t>
      </w:r>
      <w:r w:rsidRPr="00A73AD2">
        <w:rPr>
          <w:rFonts w:eastAsia="Times New Roman"/>
        </w:rPr>
        <w:t xml:space="preserve"> 18-20 months to ensure adequate staffing to meet </w:t>
      </w:r>
      <w:r w:rsidR="00DF39EF" w:rsidRPr="00A73AD2">
        <w:rPr>
          <w:rFonts w:eastAsia="Times New Roman"/>
        </w:rPr>
        <w:t xml:space="preserve">its </w:t>
      </w:r>
      <w:r w:rsidRPr="00A73AD2">
        <w:rPr>
          <w:rFonts w:eastAsia="Times New Roman"/>
        </w:rPr>
        <w:t xml:space="preserve">plan. </w:t>
      </w:r>
      <w:r w:rsidR="00DF39EF" w:rsidRPr="00A73AD2">
        <w:rPr>
          <w:rFonts w:eastAsia="Times New Roman"/>
        </w:rPr>
        <w:t>GSMC is</w:t>
      </w:r>
      <w:r w:rsidRPr="00A73AD2">
        <w:rPr>
          <w:rFonts w:eastAsia="Times New Roman"/>
        </w:rPr>
        <w:t xml:space="preserve"> confident that having BH patients in a more appropriate setting (dedicated, appropriately laid out facility versus ED/IP unit) will make these positions more appealing for BH</w:t>
      </w:r>
      <w:r w:rsidR="00DF39EF" w:rsidRPr="00A73AD2">
        <w:rPr>
          <w:rFonts w:eastAsia="Times New Roman"/>
        </w:rPr>
        <w:t>-</w:t>
      </w:r>
      <w:r w:rsidRPr="00A73AD2">
        <w:rPr>
          <w:rFonts w:eastAsia="Times New Roman"/>
        </w:rPr>
        <w:t xml:space="preserve">focused Registered Nurses (“RN”) </w:t>
      </w:r>
      <w:r w:rsidR="000B57AA">
        <w:rPr>
          <w:rFonts w:eastAsia="Times New Roman"/>
        </w:rPr>
        <w:t xml:space="preserve">and in turn, </w:t>
      </w:r>
      <w:r w:rsidR="0004070C">
        <w:rPr>
          <w:rFonts w:eastAsia="Times New Roman"/>
        </w:rPr>
        <w:t>the</w:t>
      </w:r>
      <w:r w:rsidRPr="00A73AD2">
        <w:rPr>
          <w:rFonts w:eastAsia="Times New Roman"/>
        </w:rPr>
        <w:t xml:space="preserve"> ED/IP positions more appealing to </w:t>
      </w:r>
      <w:r w:rsidR="00FC5931">
        <w:rPr>
          <w:rFonts w:eastAsia="Times New Roman"/>
        </w:rPr>
        <w:t>other</w:t>
      </w:r>
      <w:r w:rsidRPr="00A73AD2">
        <w:rPr>
          <w:rFonts w:eastAsia="Times New Roman"/>
        </w:rPr>
        <w:t xml:space="preserve"> RNs.</w:t>
      </w:r>
    </w:p>
    <w:bookmarkEnd w:id="4"/>
    <w:p w14:paraId="1D52DA96" w14:textId="77777777" w:rsidR="00C655E5" w:rsidRDefault="00C655E5" w:rsidP="00C655E5">
      <w:pPr>
        <w:pStyle w:val="ListParagraph"/>
        <w:tabs>
          <w:tab w:val="left" w:pos="4455"/>
        </w:tabs>
      </w:pPr>
    </w:p>
    <w:p w14:paraId="0E986152" w14:textId="77777777" w:rsidR="00C655E5" w:rsidRPr="00965C03" w:rsidRDefault="00C655E5" w:rsidP="00C655E5">
      <w:pPr>
        <w:pStyle w:val="ListParagraph"/>
        <w:numPr>
          <w:ilvl w:val="0"/>
          <w:numId w:val="3"/>
        </w:numPr>
        <w:tabs>
          <w:tab w:val="left" w:pos="4455"/>
        </w:tabs>
        <w:rPr>
          <w:b/>
          <w:bCs/>
        </w:rPr>
      </w:pPr>
      <w:bookmarkStart w:id="5" w:name="_Hlk125717488"/>
      <w:r w:rsidRPr="00965C03">
        <w:rPr>
          <w:b/>
          <w:bCs/>
        </w:rPr>
        <w:t xml:space="preserve">The application states that Steward also has an average of 1,800 crisis evaluations per month in its EDs (pg.8). What is a crisis evaluation? </w:t>
      </w:r>
    </w:p>
    <w:bookmarkEnd w:id="5"/>
    <w:p w14:paraId="06DA3C71" w14:textId="77777777" w:rsidR="00C655E5" w:rsidRDefault="00C655E5" w:rsidP="00C655E5">
      <w:pPr>
        <w:pStyle w:val="ListParagraph"/>
        <w:tabs>
          <w:tab w:val="left" w:pos="4455"/>
        </w:tabs>
      </w:pPr>
    </w:p>
    <w:p w14:paraId="1EE67F19" w14:textId="08C2A3C6" w:rsidR="00C655E5" w:rsidRDefault="00DF39EF" w:rsidP="00DF39EF">
      <w:pPr>
        <w:pStyle w:val="ListParagraph"/>
        <w:jc w:val="both"/>
        <w:rPr>
          <w:rFonts w:eastAsia="Times New Roman"/>
        </w:rPr>
      </w:pPr>
      <w:r w:rsidRPr="00DF39EF">
        <w:rPr>
          <w:rFonts w:eastAsia="Times New Roman"/>
          <w:u w:val="single"/>
        </w:rPr>
        <w:t>Response</w:t>
      </w:r>
      <w:r>
        <w:rPr>
          <w:rFonts w:eastAsia="Times New Roman"/>
        </w:rPr>
        <w:t xml:space="preserve">: Crisis Evaluations </w:t>
      </w:r>
      <w:r w:rsidRPr="00DF39EF">
        <w:rPr>
          <w:rFonts w:eastAsia="Times New Roman"/>
        </w:rPr>
        <w:t xml:space="preserve">are patients who present to the Emergency Department in </w:t>
      </w:r>
      <w:r>
        <w:rPr>
          <w:rFonts w:eastAsia="Times New Roman"/>
        </w:rPr>
        <w:t xml:space="preserve">a </w:t>
      </w:r>
      <w:r w:rsidR="000B57AA">
        <w:rPr>
          <w:rFonts w:eastAsia="Times New Roman"/>
        </w:rPr>
        <w:t>b</w:t>
      </w:r>
      <w:r w:rsidR="000B57AA" w:rsidRPr="00DF39EF">
        <w:rPr>
          <w:rFonts w:eastAsia="Times New Roman"/>
        </w:rPr>
        <w:t xml:space="preserve">ehavioral </w:t>
      </w:r>
      <w:r w:rsidR="000B57AA">
        <w:rPr>
          <w:rFonts w:eastAsia="Times New Roman"/>
        </w:rPr>
        <w:t>h</w:t>
      </w:r>
      <w:r w:rsidR="000B57AA" w:rsidRPr="00DF39EF">
        <w:rPr>
          <w:rFonts w:eastAsia="Times New Roman"/>
        </w:rPr>
        <w:t xml:space="preserve">ealth </w:t>
      </w:r>
      <w:r w:rsidRPr="00DF39EF">
        <w:rPr>
          <w:rFonts w:eastAsia="Times New Roman"/>
        </w:rPr>
        <w:t xml:space="preserve">crisis. These patients are evaluated by BH clinicians in the Emergency Department to determine what level of care they require to address their </w:t>
      </w:r>
      <w:proofErr w:type="gramStart"/>
      <w:r w:rsidRPr="00DF39EF">
        <w:rPr>
          <w:rFonts w:eastAsia="Times New Roman"/>
        </w:rPr>
        <w:t>presenting</w:t>
      </w:r>
      <w:proofErr w:type="gramEnd"/>
      <w:r w:rsidRPr="00DF39EF">
        <w:rPr>
          <w:rFonts w:eastAsia="Times New Roman"/>
        </w:rPr>
        <w:t xml:space="preserve"> emergent medical condition. These clinicians work with the patient to identify existing resources/support in the community, assist in finding appropriate </w:t>
      </w:r>
      <w:r w:rsidR="00310D0F">
        <w:rPr>
          <w:rFonts w:eastAsia="Times New Roman"/>
        </w:rPr>
        <w:t>inpatient</w:t>
      </w:r>
      <w:r w:rsidRPr="00DF39EF">
        <w:rPr>
          <w:rFonts w:eastAsia="Times New Roman"/>
        </w:rPr>
        <w:t xml:space="preserve"> placement for them if needed, and arrange for</w:t>
      </w:r>
      <w:r w:rsidR="00310D0F">
        <w:rPr>
          <w:rFonts w:eastAsia="Times New Roman"/>
        </w:rPr>
        <w:t xml:space="preserve"> outpatient</w:t>
      </w:r>
      <w:r w:rsidRPr="00DF39EF">
        <w:rPr>
          <w:rFonts w:eastAsia="Times New Roman"/>
        </w:rPr>
        <w:t xml:space="preserve"> resources post-discharge. Their work is dictated by the patient’s needs.  </w:t>
      </w:r>
    </w:p>
    <w:p w14:paraId="6E6DD1FF" w14:textId="77777777" w:rsidR="00DF39EF" w:rsidRPr="00DF39EF" w:rsidRDefault="00DF39EF" w:rsidP="00DF39EF">
      <w:pPr>
        <w:pStyle w:val="ListParagraph"/>
        <w:jc w:val="both"/>
      </w:pPr>
    </w:p>
    <w:p w14:paraId="0BA694F6" w14:textId="77777777" w:rsidR="00C655E5" w:rsidRPr="00965C03" w:rsidRDefault="00C655E5" w:rsidP="00C655E5">
      <w:pPr>
        <w:pStyle w:val="ListParagraph"/>
        <w:numPr>
          <w:ilvl w:val="0"/>
          <w:numId w:val="3"/>
        </w:numPr>
        <w:tabs>
          <w:tab w:val="left" w:pos="4455"/>
        </w:tabs>
        <w:rPr>
          <w:b/>
          <w:bCs/>
        </w:rPr>
      </w:pPr>
      <w:r w:rsidRPr="00965C03">
        <w:rPr>
          <w:b/>
          <w:bCs/>
        </w:rPr>
        <w:t xml:space="preserve">The application states From </w:t>
      </w:r>
      <w:bookmarkStart w:id="6" w:name="_Hlk125717186"/>
      <w:r w:rsidRPr="00965C03">
        <w:rPr>
          <w:b/>
          <w:bCs/>
        </w:rPr>
        <w:t xml:space="preserve">January 1, </w:t>
      </w:r>
      <w:proofErr w:type="gramStart"/>
      <w:r w:rsidRPr="00965C03">
        <w:rPr>
          <w:b/>
          <w:bCs/>
        </w:rPr>
        <w:t>2022</w:t>
      </w:r>
      <w:proofErr w:type="gramEnd"/>
      <w:r w:rsidRPr="00965C03">
        <w:rPr>
          <w:b/>
          <w:bCs/>
        </w:rPr>
        <w:t xml:space="preserve"> through November 1, 2022, the GSMC ED evaluated 2,103 unique patients and the average boarding time was 34 hours (1 day and 10 hours) with a total of 71,782 boarder hours (pg.8). </w:t>
      </w:r>
    </w:p>
    <w:p w14:paraId="4429E574" w14:textId="77777777" w:rsidR="00310D0F" w:rsidRDefault="00310D0F" w:rsidP="00C655E5">
      <w:pPr>
        <w:pStyle w:val="ListParagraph"/>
        <w:tabs>
          <w:tab w:val="left" w:pos="4455"/>
        </w:tabs>
        <w:rPr>
          <w:b/>
          <w:bCs/>
        </w:rPr>
      </w:pPr>
      <w:bookmarkStart w:id="7" w:name="_Hlk125717536"/>
      <w:bookmarkEnd w:id="6"/>
    </w:p>
    <w:p w14:paraId="1555B721" w14:textId="1AEA768E" w:rsidR="00310D0F" w:rsidRDefault="00C655E5" w:rsidP="00310D0F">
      <w:pPr>
        <w:pStyle w:val="ListParagraph"/>
        <w:numPr>
          <w:ilvl w:val="1"/>
          <w:numId w:val="3"/>
        </w:numPr>
        <w:tabs>
          <w:tab w:val="left" w:pos="4455"/>
        </w:tabs>
        <w:rPr>
          <w:b/>
          <w:bCs/>
          <w:color w:val="FF0000"/>
        </w:rPr>
      </w:pPr>
      <w:r w:rsidRPr="00965C03">
        <w:rPr>
          <w:b/>
          <w:bCs/>
        </w:rPr>
        <w:t>What number of the unique patients were psychiatric patients, and what was the average boarding time and total boarding hours for psychiatric patients?</w:t>
      </w:r>
      <w:r w:rsidRPr="00444549">
        <w:t xml:space="preserve"> </w:t>
      </w:r>
      <w:bookmarkEnd w:id="7"/>
    </w:p>
    <w:p w14:paraId="00D85682" w14:textId="067B794B" w:rsidR="00310D0F" w:rsidRDefault="00310D0F" w:rsidP="00310D0F">
      <w:pPr>
        <w:pStyle w:val="ListParagraph"/>
        <w:tabs>
          <w:tab w:val="left" w:pos="4455"/>
        </w:tabs>
        <w:rPr>
          <w:b/>
          <w:bCs/>
          <w:color w:val="FF0000"/>
        </w:rPr>
      </w:pPr>
    </w:p>
    <w:p w14:paraId="13C05DC6" w14:textId="77777777" w:rsidR="00C655E5" w:rsidRDefault="00C655E5" w:rsidP="00C655E5">
      <w:pPr>
        <w:pStyle w:val="ListParagraph"/>
        <w:tabs>
          <w:tab w:val="left" w:pos="4455"/>
        </w:tabs>
        <w:ind w:left="1440"/>
      </w:pPr>
    </w:p>
    <w:tbl>
      <w:tblPr>
        <w:tblStyle w:val="TableGrid"/>
        <w:tblW w:w="0" w:type="auto"/>
        <w:tblInd w:w="1440" w:type="dxa"/>
        <w:tblLook w:val="04A0" w:firstRow="1" w:lastRow="0" w:firstColumn="1" w:lastColumn="0" w:noHBand="0" w:noVBand="1"/>
      </w:tblPr>
      <w:tblGrid>
        <w:gridCol w:w="2744"/>
        <w:gridCol w:w="1470"/>
        <w:gridCol w:w="1735"/>
        <w:gridCol w:w="1961"/>
      </w:tblGrid>
      <w:tr w:rsidR="00C655E5" w14:paraId="5CCF4CF9" w14:textId="77777777" w:rsidTr="00A53371">
        <w:tc>
          <w:tcPr>
            <w:tcW w:w="0" w:type="auto"/>
          </w:tcPr>
          <w:p w14:paraId="55DA367E" w14:textId="77777777" w:rsidR="00C655E5" w:rsidRDefault="00C655E5" w:rsidP="00A53371">
            <w:pPr>
              <w:pStyle w:val="ListParagraph"/>
              <w:tabs>
                <w:tab w:val="left" w:pos="4455"/>
              </w:tabs>
              <w:ind w:left="0"/>
            </w:pPr>
            <w:bookmarkStart w:id="8" w:name="_Hlk125717005"/>
          </w:p>
        </w:tc>
        <w:tc>
          <w:tcPr>
            <w:tcW w:w="0" w:type="auto"/>
            <w:shd w:val="clear" w:color="auto" w:fill="F2F2F2" w:themeFill="background1" w:themeFillShade="F2"/>
          </w:tcPr>
          <w:p w14:paraId="2F695724" w14:textId="77777777" w:rsidR="00C655E5" w:rsidRPr="00A766C3" w:rsidRDefault="00C655E5" w:rsidP="00A53371">
            <w:pPr>
              <w:pStyle w:val="ListParagraph"/>
              <w:tabs>
                <w:tab w:val="left" w:pos="4455"/>
              </w:tabs>
              <w:ind w:left="0"/>
              <w:jc w:val="center"/>
              <w:rPr>
                <w:b/>
                <w:bCs/>
              </w:rPr>
            </w:pPr>
            <w:r w:rsidRPr="00A766C3">
              <w:rPr>
                <w:b/>
                <w:bCs/>
              </w:rPr>
              <w:t>Unique Patients</w:t>
            </w:r>
          </w:p>
        </w:tc>
        <w:tc>
          <w:tcPr>
            <w:tcW w:w="0" w:type="auto"/>
            <w:shd w:val="clear" w:color="auto" w:fill="F2F2F2" w:themeFill="background1" w:themeFillShade="F2"/>
          </w:tcPr>
          <w:p w14:paraId="7740D1F9" w14:textId="77777777" w:rsidR="00C655E5" w:rsidRPr="00A766C3" w:rsidRDefault="00C655E5" w:rsidP="00A53371">
            <w:pPr>
              <w:pStyle w:val="ListParagraph"/>
              <w:tabs>
                <w:tab w:val="left" w:pos="4455"/>
              </w:tabs>
              <w:ind w:left="0"/>
              <w:jc w:val="center"/>
              <w:rPr>
                <w:b/>
                <w:bCs/>
              </w:rPr>
            </w:pPr>
            <w:r>
              <w:rPr>
                <w:b/>
                <w:bCs/>
              </w:rPr>
              <w:t>Total Boarder Hours</w:t>
            </w:r>
          </w:p>
        </w:tc>
        <w:tc>
          <w:tcPr>
            <w:tcW w:w="0" w:type="auto"/>
            <w:shd w:val="clear" w:color="auto" w:fill="F2F2F2" w:themeFill="background1" w:themeFillShade="F2"/>
          </w:tcPr>
          <w:p w14:paraId="0CC42BC1" w14:textId="77777777" w:rsidR="00C655E5" w:rsidRPr="00A766C3" w:rsidRDefault="00C655E5" w:rsidP="00A53371">
            <w:pPr>
              <w:pStyle w:val="ListParagraph"/>
              <w:tabs>
                <w:tab w:val="left" w:pos="4455"/>
              </w:tabs>
              <w:ind w:left="0"/>
              <w:jc w:val="center"/>
              <w:rPr>
                <w:b/>
                <w:bCs/>
              </w:rPr>
            </w:pPr>
            <w:r>
              <w:rPr>
                <w:b/>
                <w:bCs/>
              </w:rPr>
              <w:t>A</w:t>
            </w:r>
            <w:r w:rsidRPr="000C0238">
              <w:rPr>
                <w:b/>
                <w:bCs/>
              </w:rPr>
              <w:t xml:space="preserve">verage </w:t>
            </w:r>
            <w:r>
              <w:rPr>
                <w:b/>
                <w:bCs/>
              </w:rPr>
              <w:t>B</w:t>
            </w:r>
            <w:r w:rsidRPr="000C0238">
              <w:rPr>
                <w:b/>
                <w:bCs/>
              </w:rPr>
              <w:t xml:space="preserve">oarding </w:t>
            </w:r>
            <w:r>
              <w:rPr>
                <w:b/>
                <w:bCs/>
              </w:rPr>
              <w:t>T</w:t>
            </w:r>
            <w:r w:rsidRPr="000C0238">
              <w:rPr>
                <w:b/>
                <w:bCs/>
              </w:rPr>
              <w:t>ime</w:t>
            </w:r>
          </w:p>
        </w:tc>
      </w:tr>
      <w:tr w:rsidR="00C655E5" w14:paraId="2983F8D6" w14:textId="77777777" w:rsidTr="00A53371">
        <w:tc>
          <w:tcPr>
            <w:tcW w:w="0" w:type="auto"/>
          </w:tcPr>
          <w:p w14:paraId="17C8DFB3" w14:textId="3CC1D38A" w:rsidR="00C655E5" w:rsidRDefault="00C655E5" w:rsidP="00A53371">
            <w:pPr>
              <w:pStyle w:val="ListParagraph"/>
              <w:tabs>
                <w:tab w:val="left" w:pos="4455"/>
              </w:tabs>
              <w:ind w:left="0"/>
            </w:pPr>
            <w:r w:rsidRPr="00144AAB">
              <w:t>GSMC ED</w:t>
            </w:r>
            <w:r w:rsidR="00551A26">
              <w:t xml:space="preserve"> (non-psych</w:t>
            </w:r>
            <w:r w:rsidR="0004070C">
              <w:t>iatric</w:t>
            </w:r>
            <w:r w:rsidR="00C34FA8">
              <w:t xml:space="preserve"> patients</w:t>
            </w:r>
            <w:r w:rsidR="00551A26">
              <w:t>)</w:t>
            </w:r>
          </w:p>
        </w:tc>
        <w:tc>
          <w:tcPr>
            <w:tcW w:w="0" w:type="auto"/>
          </w:tcPr>
          <w:p w14:paraId="103A9771" w14:textId="5E5FBFD3" w:rsidR="00C655E5" w:rsidRDefault="00551A26" w:rsidP="00A53371">
            <w:pPr>
              <w:pStyle w:val="ListParagraph"/>
              <w:tabs>
                <w:tab w:val="left" w:pos="4455"/>
              </w:tabs>
              <w:ind w:left="0"/>
              <w:jc w:val="center"/>
            </w:pPr>
            <w:r w:rsidRPr="00310D0F">
              <w:rPr>
                <w:rFonts w:eastAsia="Times New Roman"/>
              </w:rPr>
              <w:t>42,970</w:t>
            </w:r>
          </w:p>
        </w:tc>
        <w:tc>
          <w:tcPr>
            <w:tcW w:w="0" w:type="auto"/>
          </w:tcPr>
          <w:p w14:paraId="32D0937B" w14:textId="359404BD" w:rsidR="00C655E5" w:rsidRDefault="008C06FF" w:rsidP="00A53371">
            <w:pPr>
              <w:pStyle w:val="ListParagraph"/>
              <w:tabs>
                <w:tab w:val="left" w:pos="4455"/>
              </w:tabs>
              <w:ind w:left="0"/>
              <w:jc w:val="center"/>
            </w:pPr>
            <w:r>
              <w:t>408,215</w:t>
            </w:r>
          </w:p>
        </w:tc>
        <w:tc>
          <w:tcPr>
            <w:tcW w:w="0" w:type="auto"/>
          </w:tcPr>
          <w:p w14:paraId="06B6AFD3" w14:textId="46457085" w:rsidR="00C655E5" w:rsidRDefault="008C06FF" w:rsidP="00A53371">
            <w:pPr>
              <w:pStyle w:val="ListParagraph"/>
              <w:tabs>
                <w:tab w:val="left" w:pos="4455"/>
              </w:tabs>
              <w:ind w:left="0"/>
              <w:jc w:val="center"/>
            </w:pPr>
            <w:r>
              <w:t>9.5</w:t>
            </w:r>
          </w:p>
        </w:tc>
      </w:tr>
      <w:tr w:rsidR="00551A26" w14:paraId="27380D1A" w14:textId="77777777" w:rsidTr="00A53371">
        <w:tc>
          <w:tcPr>
            <w:tcW w:w="0" w:type="auto"/>
          </w:tcPr>
          <w:p w14:paraId="46EDF2A6" w14:textId="77777777" w:rsidR="00551A26" w:rsidRDefault="00551A26" w:rsidP="00551A26">
            <w:pPr>
              <w:pStyle w:val="ListParagraph"/>
              <w:tabs>
                <w:tab w:val="left" w:pos="4455"/>
              </w:tabs>
              <w:ind w:left="0"/>
            </w:pPr>
            <w:r w:rsidRPr="00144AAB">
              <w:t>GSMC ED Psychiatric Patients</w:t>
            </w:r>
          </w:p>
        </w:tc>
        <w:tc>
          <w:tcPr>
            <w:tcW w:w="0" w:type="auto"/>
          </w:tcPr>
          <w:p w14:paraId="31829A08" w14:textId="741E0BF2" w:rsidR="00551A26" w:rsidRDefault="00F56706" w:rsidP="00551A26">
            <w:pPr>
              <w:pStyle w:val="ListParagraph"/>
              <w:tabs>
                <w:tab w:val="left" w:pos="4455"/>
              </w:tabs>
              <w:ind w:left="0"/>
            </w:pPr>
            <w:r>
              <w:t xml:space="preserve">       </w:t>
            </w:r>
            <w:r w:rsidR="00551A26">
              <w:t>2,103</w:t>
            </w:r>
          </w:p>
        </w:tc>
        <w:tc>
          <w:tcPr>
            <w:tcW w:w="0" w:type="auto"/>
          </w:tcPr>
          <w:p w14:paraId="7A5BE292" w14:textId="6BAA6EFE" w:rsidR="00551A26" w:rsidRDefault="00F56706" w:rsidP="00551A26">
            <w:pPr>
              <w:pStyle w:val="ListParagraph"/>
              <w:tabs>
                <w:tab w:val="left" w:pos="4455"/>
              </w:tabs>
              <w:ind w:left="0"/>
            </w:pPr>
            <w:r>
              <w:t xml:space="preserve">          </w:t>
            </w:r>
            <w:r w:rsidR="00551A26" w:rsidRPr="000C0238">
              <w:t>71,782</w:t>
            </w:r>
          </w:p>
        </w:tc>
        <w:tc>
          <w:tcPr>
            <w:tcW w:w="0" w:type="auto"/>
          </w:tcPr>
          <w:p w14:paraId="320FE7B0" w14:textId="37FEF526" w:rsidR="00551A26" w:rsidRDefault="00F56706" w:rsidP="00551A26">
            <w:pPr>
              <w:pStyle w:val="ListParagraph"/>
              <w:tabs>
                <w:tab w:val="left" w:pos="4455"/>
              </w:tabs>
              <w:ind w:left="0"/>
            </w:pPr>
            <w:r>
              <w:t xml:space="preserve">         </w:t>
            </w:r>
            <w:r w:rsidR="00551A26" w:rsidRPr="000C0238">
              <w:t>34 hours</w:t>
            </w:r>
          </w:p>
        </w:tc>
      </w:tr>
      <w:bookmarkEnd w:id="8"/>
    </w:tbl>
    <w:p w14:paraId="2C5B60D5" w14:textId="1BB29C7F" w:rsidR="00C655E5" w:rsidRDefault="00C655E5" w:rsidP="00C655E5">
      <w:pPr>
        <w:pStyle w:val="ListParagraph"/>
        <w:tabs>
          <w:tab w:val="left" w:pos="4455"/>
        </w:tabs>
        <w:ind w:left="1440"/>
      </w:pPr>
    </w:p>
    <w:p w14:paraId="44C7D5B6" w14:textId="080389C9" w:rsidR="00310D0F" w:rsidRPr="00310D0F" w:rsidRDefault="00310D0F" w:rsidP="00310D0F">
      <w:pPr>
        <w:pStyle w:val="ListParagraph"/>
        <w:tabs>
          <w:tab w:val="left" w:pos="4455"/>
        </w:tabs>
        <w:jc w:val="both"/>
        <w:rPr>
          <w:b/>
          <w:bCs/>
        </w:rPr>
      </w:pPr>
      <w:r w:rsidRPr="00310D0F">
        <w:rPr>
          <w:u w:val="single"/>
        </w:rPr>
        <w:t>Response</w:t>
      </w:r>
      <w:r w:rsidRPr="00310D0F">
        <w:t>:</w:t>
      </w:r>
      <w:r w:rsidRPr="00310D0F">
        <w:rPr>
          <w:b/>
          <w:bCs/>
        </w:rPr>
        <w:t xml:space="preserve"> </w:t>
      </w:r>
      <w:r w:rsidRPr="00310D0F">
        <w:rPr>
          <w:rFonts w:eastAsia="Times New Roman"/>
        </w:rPr>
        <w:t xml:space="preserve">The table above reflects data for the BH population presenting to the Emergency Department. During this same time period, from January 1, </w:t>
      </w:r>
      <w:proofErr w:type="gramStart"/>
      <w:r w:rsidRPr="00310D0F">
        <w:rPr>
          <w:rFonts w:eastAsia="Times New Roman"/>
        </w:rPr>
        <w:t>2022</w:t>
      </w:r>
      <w:proofErr w:type="gramEnd"/>
      <w:r w:rsidRPr="00310D0F">
        <w:rPr>
          <w:rFonts w:eastAsia="Times New Roman"/>
        </w:rPr>
        <w:t xml:space="preserve"> through November 1, 2022, GSMC saw 42,970 patients in its Emergency Department.  </w:t>
      </w:r>
    </w:p>
    <w:p w14:paraId="2E2A6E6F" w14:textId="2CDB57F1" w:rsidR="00310D0F" w:rsidRDefault="00310D0F" w:rsidP="00C655E5">
      <w:pPr>
        <w:pStyle w:val="ListParagraph"/>
        <w:tabs>
          <w:tab w:val="left" w:pos="4455"/>
        </w:tabs>
        <w:ind w:left="1440"/>
      </w:pPr>
    </w:p>
    <w:p w14:paraId="75C97431" w14:textId="77777777" w:rsidR="00310D0F" w:rsidRDefault="00310D0F" w:rsidP="00C655E5">
      <w:pPr>
        <w:pStyle w:val="ListParagraph"/>
        <w:tabs>
          <w:tab w:val="left" w:pos="4455"/>
        </w:tabs>
        <w:ind w:left="1440"/>
      </w:pPr>
    </w:p>
    <w:p w14:paraId="489EA2AC" w14:textId="0AC9A656" w:rsidR="00C655E5" w:rsidRDefault="00C655E5" w:rsidP="00C655E5">
      <w:pPr>
        <w:pStyle w:val="ListParagraph"/>
        <w:numPr>
          <w:ilvl w:val="1"/>
          <w:numId w:val="3"/>
        </w:numPr>
        <w:tabs>
          <w:tab w:val="left" w:pos="4455"/>
        </w:tabs>
        <w:rPr>
          <w:b/>
          <w:bCs/>
        </w:rPr>
      </w:pPr>
      <w:bookmarkStart w:id="9" w:name="_Hlk125717512"/>
      <w:r w:rsidRPr="00965C03">
        <w:rPr>
          <w:b/>
          <w:bCs/>
        </w:rPr>
        <w:t>Does the GSMC ED have a dedicated area/location for psychiatric/behavioral health boarders?</w:t>
      </w:r>
    </w:p>
    <w:p w14:paraId="74FEDB33" w14:textId="09F182D2" w:rsidR="00310D0F" w:rsidRDefault="00310D0F" w:rsidP="00310D0F">
      <w:pPr>
        <w:pStyle w:val="ListParagraph"/>
        <w:tabs>
          <w:tab w:val="left" w:pos="4455"/>
        </w:tabs>
        <w:rPr>
          <w:b/>
          <w:bCs/>
        </w:rPr>
      </w:pPr>
    </w:p>
    <w:p w14:paraId="11345C54" w14:textId="676B81B3" w:rsidR="00310D0F" w:rsidRPr="00965C03" w:rsidRDefault="00310D0F" w:rsidP="00310D0F">
      <w:pPr>
        <w:pStyle w:val="ListParagraph"/>
        <w:tabs>
          <w:tab w:val="left" w:pos="4455"/>
        </w:tabs>
        <w:jc w:val="both"/>
        <w:rPr>
          <w:b/>
          <w:bCs/>
        </w:rPr>
      </w:pPr>
      <w:r w:rsidRPr="00310D0F">
        <w:rPr>
          <w:u w:val="single"/>
        </w:rPr>
        <w:t>Response</w:t>
      </w:r>
      <w:r w:rsidRPr="00310D0F">
        <w:t>:</w:t>
      </w:r>
      <w:r>
        <w:rPr>
          <w:b/>
          <w:bCs/>
        </w:rPr>
        <w:t xml:space="preserve"> </w:t>
      </w:r>
      <w:r w:rsidRPr="00310D0F">
        <w:rPr>
          <w:rFonts w:eastAsia="Times New Roman"/>
        </w:rPr>
        <w:t>The GSMC ED has a behavioral health area with two isolation rooms, two rooms that can be quasi-isolation rooms</w:t>
      </w:r>
      <w:r>
        <w:rPr>
          <w:rFonts w:eastAsia="Times New Roman"/>
        </w:rPr>
        <w:t>,</w:t>
      </w:r>
      <w:r w:rsidRPr="00310D0F">
        <w:rPr>
          <w:rFonts w:eastAsia="Times New Roman"/>
        </w:rPr>
        <w:t xml:space="preserve"> and six other rooms. This area is not locked </w:t>
      </w:r>
      <w:r>
        <w:rPr>
          <w:rFonts w:eastAsia="Times New Roman"/>
        </w:rPr>
        <w:t>and</w:t>
      </w:r>
      <w:r w:rsidRPr="00310D0F">
        <w:rPr>
          <w:rFonts w:eastAsia="Times New Roman"/>
        </w:rPr>
        <w:t xml:space="preserve"> </w:t>
      </w:r>
      <w:r>
        <w:rPr>
          <w:rFonts w:eastAsia="Times New Roman"/>
        </w:rPr>
        <w:t>not</w:t>
      </w:r>
      <w:r w:rsidRPr="00310D0F">
        <w:rPr>
          <w:rFonts w:eastAsia="Times New Roman"/>
        </w:rPr>
        <w:t xml:space="preserve"> separated from the rest of the department.</w:t>
      </w:r>
      <w:r w:rsidR="00F56706">
        <w:rPr>
          <w:rFonts w:eastAsia="Times New Roman"/>
        </w:rPr>
        <w:t xml:space="preserve"> As a result of</w:t>
      </w:r>
      <w:r w:rsidRPr="00310D0F">
        <w:rPr>
          <w:rFonts w:eastAsia="Times New Roman"/>
        </w:rPr>
        <w:t xml:space="preserve"> </w:t>
      </w:r>
      <w:r w:rsidR="00FC5931">
        <w:rPr>
          <w:rFonts w:eastAsia="Times New Roman"/>
        </w:rPr>
        <w:t>GSMC’s</w:t>
      </w:r>
      <w:r w:rsidRPr="00310D0F">
        <w:rPr>
          <w:rFonts w:eastAsia="Times New Roman"/>
        </w:rPr>
        <w:t xml:space="preserve"> current running BH boarder census of 20+ </w:t>
      </w:r>
      <w:r>
        <w:rPr>
          <w:rFonts w:eastAsia="Times New Roman"/>
        </w:rPr>
        <w:t>patients</w:t>
      </w:r>
      <w:r w:rsidR="00F56706">
        <w:rPr>
          <w:rFonts w:eastAsia="Times New Roman"/>
        </w:rPr>
        <w:t xml:space="preserve">, </w:t>
      </w:r>
      <w:r w:rsidRPr="00310D0F">
        <w:rPr>
          <w:rFonts w:eastAsia="Times New Roman"/>
        </w:rPr>
        <w:t xml:space="preserve">BH patients </w:t>
      </w:r>
      <w:r w:rsidR="009107C9">
        <w:rPr>
          <w:rFonts w:eastAsia="Times New Roman"/>
        </w:rPr>
        <w:t xml:space="preserve">are cared for throughout the ED. </w:t>
      </w:r>
    </w:p>
    <w:bookmarkEnd w:id="9"/>
    <w:p w14:paraId="08D36B6B" w14:textId="77777777" w:rsidR="00C655E5" w:rsidRDefault="00C655E5" w:rsidP="00C655E5">
      <w:pPr>
        <w:pStyle w:val="ListParagraph"/>
        <w:tabs>
          <w:tab w:val="left" w:pos="4455"/>
        </w:tabs>
        <w:ind w:left="1440"/>
      </w:pPr>
    </w:p>
    <w:p w14:paraId="31CC8D90" w14:textId="0BB010E7" w:rsidR="00C655E5" w:rsidRDefault="00C655E5" w:rsidP="00C655E5">
      <w:pPr>
        <w:pStyle w:val="ListParagraph"/>
        <w:numPr>
          <w:ilvl w:val="0"/>
          <w:numId w:val="3"/>
        </w:numPr>
        <w:rPr>
          <w:b/>
          <w:bCs/>
        </w:rPr>
      </w:pPr>
      <w:bookmarkStart w:id="10" w:name="_Hlk125719867"/>
      <w:r w:rsidRPr="00965C03">
        <w:rPr>
          <w:b/>
          <w:bCs/>
        </w:rPr>
        <w:t xml:space="preserve">The application states, the facility will provide services to inpatients and outpatients, including electroconvulsive therapy (ECT), partial hospitalization program, trans-magnetic stimulation (TMS) and activity therapy (pg.1). </w:t>
      </w:r>
    </w:p>
    <w:p w14:paraId="7C85248A" w14:textId="77777777" w:rsidR="00310D0F" w:rsidRPr="00965C03" w:rsidRDefault="00310D0F" w:rsidP="00310D0F">
      <w:pPr>
        <w:pStyle w:val="ListParagraph"/>
        <w:rPr>
          <w:b/>
          <w:bCs/>
        </w:rPr>
      </w:pPr>
    </w:p>
    <w:p w14:paraId="0F5F8ECE" w14:textId="515E6542" w:rsidR="00C655E5" w:rsidRDefault="00C655E5" w:rsidP="00C655E5">
      <w:pPr>
        <w:pStyle w:val="ListParagraph"/>
        <w:numPr>
          <w:ilvl w:val="1"/>
          <w:numId w:val="3"/>
        </w:numPr>
        <w:rPr>
          <w:b/>
          <w:bCs/>
        </w:rPr>
      </w:pPr>
      <w:r w:rsidRPr="00965C03">
        <w:rPr>
          <w:b/>
          <w:bCs/>
        </w:rPr>
        <w:t>Were these services available at Norwood Hospital?</w:t>
      </w:r>
    </w:p>
    <w:p w14:paraId="2D5F6860" w14:textId="4E3DBC3E" w:rsidR="00310D0F" w:rsidRDefault="00310D0F" w:rsidP="00310D0F">
      <w:pPr>
        <w:pStyle w:val="ListParagraph"/>
        <w:ind w:left="1440"/>
        <w:rPr>
          <w:b/>
          <w:bCs/>
        </w:rPr>
      </w:pPr>
    </w:p>
    <w:p w14:paraId="316B8498" w14:textId="6D65774F" w:rsidR="00310D0F" w:rsidRPr="00310D0F" w:rsidRDefault="00310D0F" w:rsidP="00310D0F">
      <w:pPr>
        <w:ind w:left="720"/>
        <w:rPr>
          <w:b/>
          <w:bCs/>
        </w:rPr>
      </w:pPr>
      <w:r w:rsidRPr="00310D0F">
        <w:rPr>
          <w:u w:val="single"/>
        </w:rPr>
        <w:t>Response</w:t>
      </w:r>
      <w:r w:rsidRPr="00310D0F">
        <w:t>:</w:t>
      </w:r>
      <w:r>
        <w:t xml:space="preserve"> ECT was provided at Norwood. </w:t>
      </w:r>
      <w:r w:rsidR="00FC5931">
        <w:t>A p</w:t>
      </w:r>
      <w:r>
        <w:t>artial hospitalization program, TMS</w:t>
      </w:r>
      <w:r w:rsidR="00FC5931">
        <w:t>,</w:t>
      </w:r>
      <w:r w:rsidR="00201BB4">
        <w:t xml:space="preserve"> and activity therapy were not available at Norwood Hospital. </w:t>
      </w:r>
    </w:p>
    <w:p w14:paraId="5FF61EDE" w14:textId="6038753C" w:rsidR="00C655E5" w:rsidRDefault="00C655E5" w:rsidP="00C655E5">
      <w:pPr>
        <w:pStyle w:val="ListParagraph"/>
        <w:numPr>
          <w:ilvl w:val="1"/>
          <w:numId w:val="3"/>
        </w:numPr>
        <w:rPr>
          <w:b/>
          <w:bCs/>
        </w:rPr>
      </w:pPr>
      <w:r w:rsidRPr="00965C03">
        <w:rPr>
          <w:b/>
          <w:bCs/>
        </w:rPr>
        <w:t xml:space="preserve">Are these services currently available to GSMC patients? </w:t>
      </w:r>
    </w:p>
    <w:p w14:paraId="70F65A35" w14:textId="20D7F176" w:rsidR="00201BB4" w:rsidRPr="00201BB4" w:rsidRDefault="00201BB4" w:rsidP="00201BB4">
      <w:pPr>
        <w:ind w:left="720"/>
        <w:rPr>
          <w:b/>
          <w:bCs/>
        </w:rPr>
      </w:pPr>
      <w:r w:rsidRPr="00310D0F">
        <w:rPr>
          <w:u w:val="single"/>
        </w:rPr>
        <w:t>Response</w:t>
      </w:r>
      <w:r w:rsidRPr="00310D0F">
        <w:t>:</w:t>
      </w:r>
      <w:r>
        <w:t xml:space="preserve"> These services are not currently available to GSMC patients; GSMC currently </w:t>
      </w:r>
      <w:r w:rsidR="009107C9">
        <w:t>does not provide</w:t>
      </w:r>
      <w:r>
        <w:t xml:space="preserve"> outpatient BH services. </w:t>
      </w:r>
    </w:p>
    <w:p w14:paraId="000B2709" w14:textId="0B73CC59" w:rsidR="00C655E5" w:rsidRDefault="00C655E5" w:rsidP="00C655E5">
      <w:pPr>
        <w:pStyle w:val="ListParagraph"/>
        <w:numPr>
          <w:ilvl w:val="1"/>
          <w:numId w:val="3"/>
        </w:numPr>
        <w:rPr>
          <w:b/>
          <w:bCs/>
        </w:rPr>
      </w:pPr>
      <w:r w:rsidRPr="00965C03">
        <w:rPr>
          <w:b/>
          <w:bCs/>
        </w:rPr>
        <w:t>What is/will be the process for patients to access these outpatient services?</w:t>
      </w:r>
    </w:p>
    <w:p w14:paraId="747328A7" w14:textId="00EB82F6" w:rsidR="00201BB4" w:rsidRDefault="00201BB4" w:rsidP="00201BB4">
      <w:pPr>
        <w:pStyle w:val="ListParagraph"/>
        <w:ind w:left="1440"/>
        <w:rPr>
          <w:b/>
          <w:bCs/>
        </w:rPr>
      </w:pPr>
    </w:p>
    <w:p w14:paraId="660BC73F" w14:textId="021AA489" w:rsidR="00201BB4" w:rsidRPr="00201BB4" w:rsidRDefault="00201BB4" w:rsidP="00201BB4">
      <w:pPr>
        <w:ind w:left="720"/>
        <w:rPr>
          <w:b/>
          <w:bCs/>
        </w:rPr>
      </w:pPr>
      <w:r w:rsidRPr="00201BB4">
        <w:rPr>
          <w:u w:val="single"/>
        </w:rPr>
        <w:t>Response</w:t>
      </w:r>
      <w:r w:rsidRPr="00310D0F">
        <w:t>:</w:t>
      </w:r>
      <w:r>
        <w:t xml:space="preserve"> These services will be referral based.</w:t>
      </w:r>
    </w:p>
    <w:p w14:paraId="46E52576" w14:textId="77777777" w:rsidR="00C655E5" w:rsidRPr="00965C03" w:rsidRDefault="00C655E5" w:rsidP="00C655E5">
      <w:pPr>
        <w:pStyle w:val="ListParagraph"/>
        <w:numPr>
          <w:ilvl w:val="1"/>
          <w:numId w:val="3"/>
        </w:numPr>
        <w:rPr>
          <w:b/>
          <w:bCs/>
        </w:rPr>
      </w:pPr>
      <w:r w:rsidRPr="00965C03">
        <w:rPr>
          <w:b/>
          <w:bCs/>
        </w:rPr>
        <w:t>What is GSMC’s catchment area for providing ECT services?</w:t>
      </w:r>
    </w:p>
    <w:bookmarkEnd w:id="10"/>
    <w:p w14:paraId="5FDB0B9D" w14:textId="1328B2B8" w:rsidR="00C655E5" w:rsidRDefault="00C655E5" w:rsidP="00C655E5">
      <w:pPr>
        <w:pStyle w:val="ListParagraph"/>
        <w:ind w:left="1440"/>
      </w:pPr>
    </w:p>
    <w:p w14:paraId="1B5CF8F0" w14:textId="7518D5BB" w:rsidR="00201BB4" w:rsidRDefault="00201BB4" w:rsidP="00501F35">
      <w:pPr>
        <w:ind w:left="720"/>
        <w:jc w:val="both"/>
      </w:pPr>
      <w:r w:rsidRPr="00201BB4">
        <w:rPr>
          <w:u w:val="single"/>
        </w:rPr>
        <w:t>Response</w:t>
      </w:r>
      <w:r w:rsidRPr="00501F35">
        <w:t xml:space="preserve">: </w:t>
      </w:r>
      <w:r w:rsidRPr="00501F35">
        <w:rPr>
          <w:rFonts w:eastAsia="Times New Roman"/>
        </w:rPr>
        <w:t xml:space="preserve">It is difficult to identify specific catchment areas relative to BH given how scarce and spread out these resources are across the Commonwealth. GSMC’s likely primary catchment area </w:t>
      </w:r>
      <w:r w:rsidR="00501F35">
        <w:rPr>
          <w:rFonts w:eastAsia="Times New Roman"/>
        </w:rPr>
        <w:t>are</w:t>
      </w:r>
      <w:r w:rsidRPr="00501F35">
        <w:rPr>
          <w:rFonts w:eastAsia="Times New Roman"/>
        </w:rPr>
        <w:t xml:space="preserve"> its Primary and Secondary Service Areas. However, the patients that will be referred </w:t>
      </w:r>
      <w:r w:rsidR="00501F35" w:rsidRPr="00501F35">
        <w:rPr>
          <w:rFonts w:eastAsia="Times New Roman"/>
        </w:rPr>
        <w:t>to the</w:t>
      </w:r>
      <w:r w:rsidRPr="00501F35">
        <w:rPr>
          <w:rFonts w:eastAsia="Times New Roman"/>
        </w:rPr>
        <w:t xml:space="preserve"> new </w:t>
      </w:r>
      <w:r w:rsidR="00501F35" w:rsidRPr="00501F35">
        <w:rPr>
          <w:rFonts w:eastAsia="Times New Roman"/>
        </w:rPr>
        <w:t xml:space="preserve">BH </w:t>
      </w:r>
      <w:r w:rsidRPr="00501F35">
        <w:rPr>
          <w:rFonts w:eastAsia="Times New Roman"/>
        </w:rPr>
        <w:t xml:space="preserve">facility will likely be from across the state. </w:t>
      </w:r>
    </w:p>
    <w:p w14:paraId="71597527" w14:textId="3B8FEE90" w:rsidR="00C655E5" w:rsidRDefault="00C655E5" w:rsidP="00C655E5">
      <w:pPr>
        <w:pStyle w:val="ListParagraph"/>
        <w:numPr>
          <w:ilvl w:val="0"/>
          <w:numId w:val="3"/>
        </w:numPr>
        <w:spacing w:after="0" w:line="240" w:lineRule="auto"/>
        <w:rPr>
          <w:b/>
          <w:bCs/>
        </w:rPr>
      </w:pPr>
      <w:bookmarkStart w:id="11" w:name="_Hlk125717634"/>
      <w:r w:rsidRPr="00965C03">
        <w:rPr>
          <w:b/>
          <w:bCs/>
        </w:rPr>
        <w:t>The application states</w:t>
      </w:r>
      <w:r w:rsidRPr="00965C03">
        <w:rPr>
          <w:rFonts w:ascii="ArialMT" w:hAnsi="ArialMT" w:cs="ArialMT"/>
          <w:b/>
          <w:bCs/>
          <w:sz w:val="20"/>
          <w:szCs w:val="20"/>
        </w:rPr>
        <w:t xml:space="preserve"> </w:t>
      </w:r>
      <w:r w:rsidRPr="00965C03">
        <w:rPr>
          <w:b/>
          <w:bCs/>
        </w:rPr>
        <w:t>discharge plans are shared with the patient’s’ primary care provider, as well as a patient’s psychiatrist or other mental health provider to ensure care coordination (pg. 13). What is the discharge process for patients without a primary care provider</w:t>
      </w:r>
      <w:r w:rsidR="00A20718">
        <w:rPr>
          <w:b/>
          <w:bCs/>
        </w:rPr>
        <w:t xml:space="preserve"> </w:t>
      </w:r>
      <w:r w:rsidRPr="00965C03">
        <w:rPr>
          <w:b/>
          <w:bCs/>
        </w:rPr>
        <w:t>(PCP) or other mental health provider?</w:t>
      </w:r>
    </w:p>
    <w:p w14:paraId="5BDC78AF" w14:textId="66ED71E4" w:rsidR="00DE7AAE" w:rsidRDefault="00DE7AAE" w:rsidP="00DE7AAE">
      <w:pPr>
        <w:spacing w:after="0" w:line="240" w:lineRule="auto"/>
        <w:rPr>
          <w:b/>
          <w:bCs/>
        </w:rPr>
      </w:pPr>
    </w:p>
    <w:p w14:paraId="7F855162" w14:textId="56D27E67" w:rsidR="00A20718" w:rsidRDefault="00DE7AAE" w:rsidP="00A20718">
      <w:pPr>
        <w:ind w:left="720"/>
        <w:jc w:val="both"/>
      </w:pPr>
      <w:r w:rsidRPr="00201BB4">
        <w:rPr>
          <w:u w:val="single"/>
        </w:rPr>
        <w:t>Response</w:t>
      </w:r>
      <w:r w:rsidRPr="00501F35">
        <w:t>:</w:t>
      </w:r>
      <w:r w:rsidR="00A20718">
        <w:t xml:space="preserve"> </w:t>
      </w:r>
      <w:r w:rsidR="00A20718">
        <w:rPr>
          <w:color w:val="000000"/>
        </w:rPr>
        <w:t xml:space="preserve">For patients that do not have a designated primacy care provider (PCP) and/or </w:t>
      </w:r>
      <w:r w:rsidR="009107C9">
        <w:rPr>
          <w:color w:val="000000"/>
        </w:rPr>
        <w:t>BH</w:t>
      </w:r>
      <w:r w:rsidR="00A20718">
        <w:rPr>
          <w:color w:val="000000"/>
        </w:rPr>
        <w:t xml:space="preserve"> provider, appropriate referrals will be made for</w:t>
      </w:r>
      <w:r w:rsidR="009107C9">
        <w:rPr>
          <w:color w:val="000000"/>
        </w:rPr>
        <w:t xml:space="preserve"> the</w:t>
      </w:r>
      <w:r w:rsidR="00A20718">
        <w:rPr>
          <w:color w:val="000000"/>
        </w:rPr>
        <w:t xml:space="preserve"> patient to have an intake at a PCP clinic as well as a follow</w:t>
      </w:r>
      <w:r w:rsidR="00FC5931">
        <w:rPr>
          <w:color w:val="000000"/>
        </w:rPr>
        <w:t>-</w:t>
      </w:r>
      <w:r w:rsidR="00A20718">
        <w:rPr>
          <w:color w:val="000000"/>
        </w:rPr>
        <w:t xml:space="preserve">up/intake referral with a </w:t>
      </w:r>
      <w:r w:rsidR="009107C9">
        <w:rPr>
          <w:color w:val="000000"/>
        </w:rPr>
        <w:t>BH</w:t>
      </w:r>
      <w:r w:rsidR="00A20718">
        <w:rPr>
          <w:color w:val="000000"/>
        </w:rPr>
        <w:t xml:space="preserve"> provider. If the patient needs medication renewals/refills </w:t>
      </w:r>
      <w:r w:rsidR="009107C9">
        <w:rPr>
          <w:color w:val="000000"/>
        </w:rPr>
        <w:t>prescriptions</w:t>
      </w:r>
      <w:r w:rsidR="00A20718">
        <w:rPr>
          <w:color w:val="000000"/>
        </w:rPr>
        <w:t xml:space="preserve"> will be </w:t>
      </w:r>
      <w:r w:rsidR="00F56706">
        <w:rPr>
          <w:color w:val="000000"/>
        </w:rPr>
        <w:t xml:space="preserve">provided </w:t>
      </w:r>
      <w:r w:rsidR="009107C9">
        <w:rPr>
          <w:color w:val="000000"/>
        </w:rPr>
        <w:t>to ensure the patient has access to medication</w:t>
      </w:r>
      <w:r w:rsidR="00A20718">
        <w:rPr>
          <w:color w:val="000000"/>
        </w:rPr>
        <w:t xml:space="preserve"> until the patient </w:t>
      </w:r>
      <w:r w:rsidR="009107C9">
        <w:rPr>
          <w:color w:val="000000"/>
        </w:rPr>
        <w:t>has an</w:t>
      </w:r>
      <w:r w:rsidR="00A20718">
        <w:rPr>
          <w:color w:val="000000"/>
        </w:rPr>
        <w:t xml:space="preserve"> outpatient </w:t>
      </w:r>
      <w:r w:rsidR="009107C9">
        <w:rPr>
          <w:color w:val="000000"/>
        </w:rPr>
        <w:t>appointment with a PCP or BH provider</w:t>
      </w:r>
      <w:r w:rsidR="00A20718">
        <w:rPr>
          <w:color w:val="000000"/>
        </w:rPr>
        <w:t xml:space="preserve">. Clear instructions about how to manage any emergencies will be provided </w:t>
      </w:r>
      <w:r w:rsidR="009107C9">
        <w:rPr>
          <w:color w:val="000000"/>
        </w:rPr>
        <w:t xml:space="preserve">to </w:t>
      </w:r>
      <w:r w:rsidR="00F56706">
        <w:rPr>
          <w:color w:val="000000"/>
        </w:rPr>
        <w:t>patients</w:t>
      </w:r>
      <w:r w:rsidR="009107C9">
        <w:rPr>
          <w:color w:val="000000"/>
        </w:rPr>
        <w:t xml:space="preserve"> </w:t>
      </w:r>
      <w:r w:rsidR="00A20718">
        <w:rPr>
          <w:color w:val="000000"/>
        </w:rPr>
        <w:t>both verbally and in writing. Information, referrals, and contact information for patient</w:t>
      </w:r>
      <w:r w:rsidR="009107C9">
        <w:rPr>
          <w:color w:val="000000"/>
        </w:rPr>
        <w:t>s</w:t>
      </w:r>
      <w:r w:rsidR="00A20718">
        <w:rPr>
          <w:color w:val="000000"/>
        </w:rPr>
        <w:t xml:space="preserve"> to access </w:t>
      </w:r>
      <w:r w:rsidR="00FC5931">
        <w:rPr>
          <w:color w:val="000000"/>
        </w:rPr>
        <w:t>Community Behavioral Health Centers (</w:t>
      </w:r>
      <w:r w:rsidR="00A20718">
        <w:rPr>
          <w:color w:val="000000"/>
        </w:rPr>
        <w:t>CBHC</w:t>
      </w:r>
      <w:r w:rsidR="00FC5931">
        <w:rPr>
          <w:color w:val="000000"/>
        </w:rPr>
        <w:t>)</w:t>
      </w:r>
      <w:r w:rsidR="00CB7E9A">
        <w:rPr>
          <w:color w:val="000000"/>
        </w:rPr>
        <w:t xml:space="preserve"> or</w:t>
      </w:r>
      <w:r w:rsidR="00A20718">
        <w:rPr>
          <w:color w:val="000000"/>
        </w:rPr>
        <w:t xml:space="preserve"> </w:t>
      </w:r>
      <w:r w:rsidR="00CB7E9A">
        <w:rPr>
          <w:color w:val="000000"/>
        </w:rPr>
        <w:t>Community Crisis Stabilization (</w:t>
      </w:r>
      <w:r w:rsidR="00A20718">
        <w:rPr>
          <w:color w:val="000000"/>
        </w:rPr>
        <w:t>CCS</w:t>
      </w:r>
      <w:r w:rsidR="00CB7E9A">
        <w:rPr>
          <w:color w:val="000000"/>
        </w:rPr>
        <w:t>)</w:t>
      </w:r>
      <w:r w:rsidR="00A20718">
        <w:rPr>
          <w:color w:val="000000"/>
        </w:rPr>
        <w:t xml:space="preserve"> are </w:t>
      </w:r>
      <w:r w:rsidR="009107C9">
        <w:rPr>
          <w:color w:val="000000"/>
        </w:rPr>
        <w:t>included in</w:t>
      </w:r>
      <w:r w:rsidR="00A20718">
        <w:rPr>
          <w:color w:val="000000"/>
        </w:rPr>
        <w:t xml:space="preserve"> all discharge plans. These referrals will be made by the social worker working with the patient. Family meetings, when possible, will be held and family and caretakers (guardians, </w:t>
      </w:r>
      <w:r w:rsidR="00CB7E9A">
        <w:rPr>
          <w:color w:val="000000"/>
        </w:rPr>
        <w:t xml:space="preserve">health care </w:t>
      </w:r>
      <w:r w:rsidR="009107C9">
        <w:rPr>
          <w:color w:val="000000"/>
        </w:rPr>
        <w:t>proxies</w:t>
      </w:r>
      <w:r w:rsidR="00A20718">
        <w:rPr>
          <w:color w:val="000000"/>
        </w:rPr>
        <w:t xml:space="preserve"> and others) will be involved in treatment and discharge planning when possible and available. Any outside agency involved in patient care (DMH, DCF, and others) will be engaged by the treatment team from the beginning of the admission to plan accordingly for the duration of the hospitalization and for the aftercare plan.</w:t>
      </w:r>
    </w:p>
    <w:p w14:paraId="3E371A0F" w14:textId="18E7A1EF" w:rsidR="00DE7AAE" w:rsidRPr="00173285" w:rsidRDefault="00A20718" w:rsidP="00173285">
      <w:pPr>
        <w:ind w:left="720"/>
        <w:jc w:val="both"/>
      </w:pPr>
      <w:r>
        <w:rPr>
          <w:color w:val="000000"/>
        </w:rPr>
        <w:t>Whe</w:t>
      </w:r>
      <w:r w:rsidR="00173285">
        <w:rPr>
          <w:color w:val="000000"/>
        </w:rPr>
        <w:t>re</w:t>
      </w:r>
      <w:r>
        <w:rPr>
          <w:color w:val="000000"/>
        </w:rPr>
        <w:t xml:space="preserve"> appropriate</w:t>
      </w:r>
      <w:r w:rsidR="00173285">
        <w:rPr>
          <w:color w:val="000000"/>
        </w:rPr>
        <w:t>,</w:t>
      </w:r>
      <w:r>
        <w:rPr>
          <w:color w:val="000000"/>
        </w:rPr>
        <w:t xml:space="preserve"> patient care will be bridged until </w:t>
      </w:r>
      <w:r w:rsidR="00173285">
        <w:rPr>
          <w:color w:val="000000"/>
        </w:rPr>
        <w:t xml:space="preserve">they are </w:t>
      </w:r>
      <w:r>
        <w:rPr>
          <w:color w:val="000000"/>
        </w:rPr>
        <w:t xml:space="preserve">seen by outpatient providers (behavioral health and/or PCP) by utilizing intermediate level of care such as Partial Hospitalization Programs (PHPs). </w:t>
      </w:r>
    </w:p>
    <w:bookmarkEnd w:id="11"/>
    <w:p w14:paraId="0FF04152" w14:textId="77777777" w:rsidR="00C655E5" w:rsidRDefault="00C655E5" w:rsidP="00C655E5">
      <w:pPr>
        <w:pStyle w:val="ListParagraph"/>
      </w:pPr>
    </w:p>
    <w:p w14:paraId="0F06ACDA" w14:textId="77777777" w:rsidR="00C655E5" w:rsidRPr="00965C03" w:rsidRDefault="00C655E5" w:rsidP="00C655E5">
      <w:pPr>
        <w:pStyle w:val="ListParagraph"/>
        <w:numPr>
          <w:ilvl w:val="0"/>
          <w:numId w:val="3"/>
        </w:numPr>
        <w:rPr>
          <w:b/>
          <w:bCs/>
        </w:rPr>
      </w:pPr>
      <w:bookmarkStart w:id="12" w:name="_Hlk125717646"/>
      <w:r w:rsidRPr="00965C03">
        <w:rPr>
          <w:b/>
          <w:bCs/>
        </w:rPr>
        <w:t xml:space="preserve">What processes are in place to reduce avoidable readmissions for patients with a behavioral health diagnosis or comorbid (behavioral health and other medical condition) diagnosis. </w:t>
      </w:r>
    </w:p>
    <w:bookmarkEnd w:id="12"/>
    <w:p w14:paraId="0E21D44E" w14:textId="4879C33E" w:rsidR="00C655E5" w:rsidRDefault="00C655E5" w:rsidP="00C655E5">
      <w:pPr>
        <w:pStyle w:val="ListParagraph"/>
      </w:pPr>
    </w:p>
    <w:p w14:paraId="550FBC87" w14:textId="7ABCC2A7" w:rsidR="00173285" w:rsidRDefault="00DE7AAE" w:rsidP="00173285">
      <w:pPr>
        <w:ind w:left="720"/>
        <w:jc w:val="both"/>
      </w:pPr>
      <w:r w:rsidRPr="00201BB4">
        <w:rPr>
          <w:u w:val="single"/>
        </w:rPr>
        <w:t>Response</w:t>
      </w:r>
      <w:r w:rsidRPr="00501F35">
        <w:t>:</w:t>
      </w:r>
      <w:r w:rsidR="00173285">
        <w:t xml:space="preserve"> </w:t>
      </w:r>
      <w:r w:rsidR="00173285">
        <w:rPr>
          <w:color w:val="000000"/>
        </w:rPr>
        <w:t>Among the many factors that influence readmissions are follow-up after discharge from inpatient</w:t>
      </w:r>
      <w:r w:rsidR="00572850">
        <w:rPr>
          <w:color w:val="000000"/>
        </w:rPr>
        <w:t xml:space="preserve"> </w:t>
      </w:r>
      <w:r w:rsidR="00173285">
        <w:rPr>
          <w:color w:val="000000"/>
        </w:rPr>
        <w:t>care, rapid access to psychiatric services when needed</w:t>
      </w:r>
      <w:r w:rsidR="00572850">
        <w:rPr>
          <w:color w:val="000000"/>
        </w:rPr>
        <w:t>,</w:t>
      </w:r>
      <w:r w:rsidR="00173285">
        <w:rPr>
          <w:color w:val="000000"/>
        </w:rPr>
        <w:t xml:space="preserve"> and medication compliance. </w:t>
      </w:r>
      <w:r w:rsidR="00572850" w:rsidRPr="00666981">
        <w:rPr>
          <w:color w:val="000000"/>
        </w:rPr>
        <w:t>As discussed directly above</w:t>
      </w:r>
      <w:r w:rsidR="00413F83">
        <w:rPr>
          <w:color w:val="000000"/>
        </w:rPr>
        <w:t xml:space="preserve"> in No. 9</w:t>
      </w:r>
      <w:r w:rsidR="00572850" w:rsidRPr="00666981">
        <w:rPr>
          <w:color w:val="000000"/>
        </w:rPr>
        <w:t>,</w:t>
      </w:r>
      <w:r w:rsidR="00572850">
        <w:rPr>
          <w:color w:val="000000"/>
        </w:rPr>
        <w:t xml:space="preserve"> </w:t>
      </w:r>
      <w:r w:rsidR="00666981">
        <w:rPr>
          <w:color w:val="000000"/>
        </w:rPr>
        <w:t>appropriate referrals will be provided to patients without a designated PCP and/or behavioral health provider for follow-up and access</w:t>
      </w:r>
      <w:r w:rsidR="00173285">
        <w:rPr>
          <w:color w:val="000000"/>
        </w:rPr>
        <w:t xml:space="preserve"> to behavioral health providers and/or PCP in an outpatient setting. Easy/rapid access to behavioral </w:t>
      </w:r>
      <w:r w:rsidR="00173285">
        <w:rPr>
          <w:color w:val="000000"/>
        </w:rPr>
        <w:lastRenderedPageBreak/>
        <w:t xml:space="preserve">health systems during crisis can be obtained by contacting the </w:t>
      </w:r>
      <w:r w:rsidR="008D5022">
        <w:rPr>
          <w:color w:val="000000"/>
        </w:rPr>
        <w:t xml:space="preserve">community behavioral health </w:t>
      </w:r>
      <w:r w:rsidR="00173285">
        <w:rPr>
          <w:color w:val="000000"/>
        </w:rPr>
        <w:t xml:space="preserve">centers, </w:t>
      </w:r>
      <w:r w:rsidR="002E461D">
        <w:rPr>
          <w:color w:val="000000"/>
        </w:rPr>
        <w:t xml:space="preserve">psychiatric </w:t>
      </w:r>
      <w:r w:rsidR="00173285">
        <w:rPr>
          <w:color w:val="000000"/>
        </w:rPr>
        <w:t>emergency services in the community such as BEST team and others, and by visiting an emergency room for a psychiatric evaluation when appropriate. Medication management and compliance can be supported by referrals to behavioral health outpatient providers and PCP clinics</w:t>
      </w:r>
      <w:r w:rsidR="002E461D">
        <w:rPr>
          <w:color w:val="000000"/>
        </w:rPr>
        <w:t xml:space="preserve"> to</w:t>
      </w:r>
      <w:r w:rsidR="00173285">
        <w:rPr>
          <w:color w:val="000000"/>
        </w:rPr>
        <w:t xml:space="preserve"> address any concerns </w:t>
      </w:r>
      <w:r w:rsidR="002E461D">
        <w:rPr>
          <w:color w:val="000000"/>
        </w:rPr>
        <w:t xml:space="preserve">the </w:t>
      </w:r>
      <w:r w:rsidR="00173285">
        <w:rPr>
          <w:color w:val="000000"/>
        </w:rPr>
        <w:t xml:space="preserve">patient might have regarding medication, possible side effects, efficacy, etc. Simplification of treatment </w:t>
      </w:r>
      <w:r w:rsidR="00666981">
        <w:rPr>
          <w:color w:val="000000"/>
        </w:rPr>
        <w:t>to the extent</w:t>
      </w:r>
      <w:r w:rsidR="00173285">
        <w:rPr>
          <w:color w:val="000000"/>
        </w:rPr>
        <w:t xml:space="preserve"> possible can be achieved in both inpatient and outpatient settings. </w:t>
      </w:r>
    </w:p>
    <w:p w14:paraId="64F5C20A" w14:textId="77777777" w:rsidR="00DE7AAE" w:rsidRDefault="00DE7AAE" w:rsidP="00C655E5">
      <w:pPr>
        <w:pStyle w:val="ListParagraph"/>
      </w:pPr>
    </w:p>
    <w:p w14:paraId="123D7F32" w14:textId="117BD6AC" w:rsidR="00C655E5" w:rsidRDefault="00C655E5" w:rsidP="00965C03">
      <w:pPr>
        <w:pStyle w:val="ListParagraph"/>
        <w:numPr>
          <w:ilvl w:val="0"/>
          <w:numId w:val="3"/>
        </w:numPr>
        <w:rPr>
          <w:b/>
          <w:bCs/>
        </w:rPr>
      </w:pPr>
      <w:bookmarkStart w:id="13" w:name="_Hlk125718864"/>
      <w:r w:rsidRPr="00965C03">
        <w:rPr>
          <w:b/>
          <w:bCs/>
        </w:rPr>
        <w:t>The application states GSMC has a team of qualified medical interpreters to provide effective communication to Limited English Proficiency (LEP), deaf and hard of hearing (DHH) patients and has bilingual clinical staff (pg.12). Are bilingual clinical staff that assist with interpretation assessed for their clinical fluency in the patients’ language and competency in the provision of medical interpretation?</w:t>
      </w:r>
      <w:bookmarkEnd w:id="13"/>
    </w:p>
    <w:p w14:paraId="000FC1E5" w14:textId="636E202F" w:rsidR="00965C03" w:rsidRDefault="00965C03" w:rsidP="00965C03">
      <w:pPr>
        <w:pStyle w:val="ListParagraph"/>
        <w:rPr>
          <w:b/>
          <w:bCs/>
        </w:rPr>
      </w:pPr>
    </w:p>
    <w:p w14:paraId="56E73CAE" w14:textId="72DD2ED2" w:rsidR="00965C03" w:rsidRPr="0060533B" w:rsidRDefault="00DE7AAE" w:rsidP="0060533B">
      <w:pPr>
        <w:ind w:left="720"/>
        <w:jc w:val="both"/>
      </w:pPr>
      <w:r w:rsidRPr="00201BB4">
        <w:rPr>
          <w:u w:val="single"/>
        </w:rPr>
        <w:t>Response</w:t>
      </w:r>
      <w:r w:rsidRPr="00501F35">
        <w:t>:</w:t>
      </w:r>
      <w:r w:rsidR="00F56706">
        <w:t xml:space="preserve"> </w:t>
      </w:r>
      <w:r w:rsidR="00413F83" w:rsidRPr="001B7449">
        <w:rPr>
          <w:rFonts w:eastAsia="Times New Roman"/>
        </w:rPr>
        <w:t>Steward Heath Care System, LLC’s</w:t>
      </w:r>
      <w:r w:rsidR="00413F83">
        <w:rPr>
          <w:rFonts w:eastAsia="Times New Roman"/>
        </w:rPr>
        <w:t xml:space="preserve"> (“Steward”)</w:t>
      </w:r>
      <w:r w:rsidR="00666981">
        <w:rPr>
          <w:rStyle w:val="A2"/>
          <w:b w:val="0"/>
          <w:bCs w:val="0"/>
        </w:rPr>
        <w:t xml:space="preserve"> policy requires that providers and clinical staff who wish to use a language other than English in the provision of direct care demonstrate their proficiency in that language</w:t>
      </w:r>
      <w:r w:rsidR="0060533B">
        <w:rPr>
          <w:rStyle w:val="A2"/>
          <w:b w:val="0"/>
          <w:bCs w:val="0"/>
        </w:rPr>
        <w:t xml:space="preserve">. </w:t>
      </w:r>
      <w:r w:rsidR="00666981">
        <w:rPr>
          <w:rStyle w:val="A2"/>
          <w:rFonts w:ascii="Calibri" w:hAnsi="Calibri"/>
          <w:b w:val="0"/>
          <w:bCs w:val="0"/>
        </w:rPr>
        <w:t>The “Bilingual Clinician/Staff Language Assessment</w:t>
      </w:r>
      <w:r w:rsidR="00413F83">
        <w:rPr>
          <w:rStyle w:val="A2"/>
          <w:rFonts w:ascii="Calibri" w:hAnsi="Calibri"/>
          <w:b w:val="0"/>
          <w:bCs w:val="0"/>
        </w:rPr>
        <w:t>”</w:t>
      </w:r>
      <w:r w:rsidR="00666981">
        <w:rPr>
          <w:rStyle w:val="A2"/>
          <w:rFonts w:ascii="Calibri" w:hAnsi="Calibri"/>
          <w:b w:val="0"/>
          <w:bCs w:val="0"/>
        </w:rPr>
        <w:t xml:space="preserve"> (BCSLA) program has been implemented across Steward to ensure all staff </w:t>
      </w:r>
      <w:proofErr w:type="gramStart"/>
      <w:r w:rsidR="00666981">
        <w:rPr>
          <w:rStyle w:val="A2"/>
          <w:rFonts w:ascii="Calibri" w:hAnsi="Calibri"/>
          <w:b w:val="0"/>
          <w:bCs w:val="0"/>
        </w:rPr>
        <w:t>are in compliance with</w:t>
      </w:r>
      <w:proofErr w:type="gramEnd"/>
      <w:r w:rsidR="00666981">
        <w:rPr>
          <w:rStyle w:val="A2"/>
          <w:rFonts w:ascii="Calibri" w:hAnsi="Calibri"/>
          <w:b w:val="0"/>
          <w:bCs w:val="0"/>
        </w:rPr>
        <w:t xml:space="preserve"> Federal laws related to communicating with patients who speak another language. </w:t>
      </w:r>
      <w:r w:rsidR="0060533B">
        <w:rPr>
          <w:rStyle w:val="A2"/>
          <w:rFonts w:ascii="Calibri" w:hAnsi="Calibri"/>
          <w:b w:val="0"/>
          <w:bCs w:val="0"/>
        </w:rPr>
        <w:t xml:space="preserve"> </w:t>
      </w:r>
      <w:r w:rsidR="00666981">
        <w:rPr>
          <w:rStyle w:val="A2"/>
          <w:rFonts w:ascii="Calibri" w:hAnsi="Calibri"/>
          <w:b w:val="0"/>
          <w:bCs w:val="0"/>
        </w:rPr>
        <w:t>Staff who pass the BCSLA, become a Qualified Bilingual Staff (QBS) member and are allowed, if they choose, to communicate directly with patients/families in this language.</w:t>
      </w:r>
      <w:r w:rsidR="00666981">
        <w:rPr>
          <w:rStyle w:val="A2"/>
          <w:rFonts w:ascii="Calibri" w:hAnsi="Calibri"/>
          <w:b w:val="0"/>
          <w:bCs w:val="0"/>
          <w:i/>
          <w:iCs/>
        </w:rPr>
        <w:t xml:space="preserve"> </w:t>
      </w:r>
      <w:r w:rsidR="00666981" w:rsidRPr="0060533B">
        <w:rPr>
          <w:rStyle w:val="A2"/>
          <w:rFonts w:ascii="Calibri" w:hAnsi="Calibri"/>
          <w:b w:val="0"/>
          <w:bCs w:val="0"/>
        </w:rPr>
        <w:t>Staff</w:t>
      </w:r>
      <w:r w:rsidR="00666981">
        <w:rPr>
          <w:rStyle w:val="A2"/>
          <w:rFonts w:ascii="Calibri" w:hAnsi="Calibri"/>
          <w:b w:val="0"/>
          <w:bCs w:val="0"/>
        </w:rPr>
        <w:t xml:space="preserve"> who do not pass the BCSLA, can no longer communicate clinically with patients in another language; however, they can still speak to patients in that language for all non-clinical care issues. </w:t>
      </w:r>
      <w:r w:rsidR="00666981">
        <w:rPr>
          <w:rStyle w:val="A2"/>
          <w:b w:val="0"/>
          <w:bCs w:val="0"/>
        </w:rPr>
        <w:t xml:space="preserve">Staff who do not pass the </w:t>
      </w:r>
      <w:proofErr w:type="gramStart"/>
      <w:r w:rsidR="00666981">
        <w:rPr>
          <w:rStyle w:val="A2"/>
          <w:b w:val="0"/>
          <w:bCs w:val="0"/>
        </w:rPr>
        <w:t>BCSLA,</w:t>
      </w:r>
      <w:proofErr w:type="gramEnd"/>
      <w:r w:rsidR="00666981">
        <w:rPr>
          <w:rStyle w:val="A2"/>
          <w:b w:val="0"/>
          <w:bCs w:val="0"/>
        </w:rPr>
        <w:t xml:space="preserve"> must </w:t>
      </w:r>
      <w:r w:rsidR="00413F83">
        <w:rPr>
          <w:rStyle w:val="A2"/>
          <w:b w:val="0"/>
          <w:bCs w:val="0"/>
        </w:rPr>
        <w:t xml:space="preserve">always </w:t>
      </w:r>
      <w:r w:rsidR="00666981">
        <w:rPr>
          <w:rStyle w:val="A2"/>
          <w:b w:val="0"/>
          <w:bCs w:val="0"/>
        </w:rPr>
        <w:t>utilize a qualified interpreter to communicate clinically with patients.</w:t>
      </w:r>
    </w:p>
    <w:p w14:paraId="6AFDC70D" w14:textId="140D59D6" w:rsidR="00C655E5" w:rsidRDefault="00C655E5" w:rsidP="00C655E5">
      <w:pPr>
        <w:pStyle w:val="ListParagraph"/>
        <w:numPr>
          <w:ilvl w:val="0"/>
          <w:numId w:val="3"/>
        </w:numPr>
        <w:spacing w:line="256" w:lineRule="auto"/>
        <w:rPr>
          <w:b/>
          <w:bCs/>
        </w:rPr>
      </w:pPr>
      <w:r w:rsidRPr="00965C03">
        <w:rPr>
          <w:b/>
          <w:bCs/>
        </w:rPr>
        <w:t xml:space="preserve">The application states that three presentations were conducted to fulfill the community engagement requirement (pg.14). </w:t>
      </w:r>
    </w:p>
    <w:p w14:paraId="5F3C2083" w14:textId="77777777" w:rsidR="008D712D" w:rsidRPr="00965C03" w:rsidRDefault="008D712D" w:rsidP="008D712D">
      <w:pPr>
        <w:pStyle w:val="ListParagraph"/>
        <w:spacing w:line="256" w:lineRule="auto"/>
        <w:rPr>
          <w:b/>
          <w:bCs/>
        </w:rPr>
      </w:pPr>
    </w:p>
    <w:p w14:paraId="24CA1DC8" w14:textId="77777777" w:rsidR="00C655E5" w:rsidRPr="00965C03" w:rsidRDefault="00C655E5" w:rsidP="00C655E5">
      <w:pPr>
        <w:pStyle w:val="ListParagraph"/>
        <w:numPr>
          <w:ilvl w:val="1"/>
          <w:numId w:val="3"/>
        </w:numPr>
        <w:spacing w:line="256" w:lineRule="auto"/>
        <w:ind w:left="1080"/>
        <w:rPr>
          <w:b/>
          <w:bCs/>
        </w:rPr>
      </w:pPr>
      <w:r w:rsidRPr="00965C03">
        <w:rPr>
          <w:b/>
          <w:bCs/>
        </w:rPr>
        <w:t xml:space="preserve">How many attendees were at each of the presentations? </w:t>
      </w:r>
    </w:p>
    <w:p w14:paraId="78E55666" w14:textId="77777777" w:rsidR="00C655E5" w:rsidRDefault="00C655E5" w:rsidP="00C655E5">
      <w:pPr>
        <w:pStyle w:val="ListParagraph"/>
        <w:spacing w:line="256" w:lineRule="auto"/>
        <w:ind w:left="1080"/>
      </w:pPr>
    </w:p>
    <w:p w14:paraId="3A16CE16" w14:textId="73AB7751" w:rsidR="00DE7AAE" w:rsidRDefault="00DE7AAE" w:rsidP="00C655E5">
      <w:pPr>
        <w:pStyle w:val="ListParagraph"/>
        <w:spacing w:after="0" w:line="240" w:lineRule="auto"/>
        <w:jc w:val="both"/>
      </w:pPr>
      <w:r w:rsidRPr="00201BB4">
        <w:rPr>
          <w:u w:val="single"/>
        </w:rPr>
        <w:t>Response</w:t>
      </w:r>
      <w:r w:rsidRPr="00501F35">
        <w:t>:</w:t>
      </w:r>
      <w:r w:rsidR="008D712D">
        <w:t xml:space="preserve"> The following presentations were listed in the application:</w:t>
      </w:r>
    </w:p>
    <w:p w14:paraId="1BAB849A" w14:textId="77777777" w:rsidR="00DE7AAE" w:rsidRPr="00413F83" w:rsidRDefault="00DE7AAE" w:rsidP="00C655E5">
      <w:pPr>
        <w:pStyle w:val="ListParagraph"/>
        <w:spacing w:after="0" w:line="240" w:lineRule="auto"/>
        <w:jc w:val="both"/>
        <w:rPr>
          <w:rFonts w:asciiTheme="majorHAnsi" w:eastAsia="Arial" w:hAnsiTheme="majorHAnsi" w:cstheme="majorHAnsi"/>
          <w:kern w:val="2"/>
          <w:sz w:val="18"/>
          <w:szCs w:val="18"/>
        </w:rPr>
      </w:pPr>
    </w:p>
    <w:p w14:paraId="1130719B" w14:textId="12927E8E" w:rsidR="00C655E5" w:rsidRPr="00413F83" w:rsidRDefault="00C655E5" w:rsidP="008D712D">
      <w:pPr>
        <w:pStyle w:val="ListParagraph"/>
        <w:numPr>
          <w:ilvl w:val="0"/>
          <w:numId w:val="6"/>
        </w:numPr>
        <w:spacing w:after="0" w:line="240" w:lineRule="auto"/>
        <w:jc w:val="both"/>
        <w:rPr>
          <w:rFonts w:eastAsia="Arial" w:cstheme="minorHAnsi"/>
          <w:kern w:val="2"/>
        </w:rPr>
      </w:pPr>
      <w:r w:rsidRPr="00413F83">
        <w:rPr>
          <w:rFonts w:eastAsia="Arial" w:cstheme="minorHAnsi"/>
          <w:kern w:val="2"/>
        </w:rPr>
        <w:t>Presentation to PFAC on December 14, 2022</w:t>
      </w:r>
    </w:p>
    <w:p w14:paraId="0A83062D" w14:textId="7913AF48" w:rsidR="00C655E5" w:rsidRPr="00413F83" w:rsidRDefault="008D712D" w:rsidP="008D712D">
      <w:pPr>
        <w:pStyle w:val="ListParagraph"/>
        <w:spacing w:after="0" w:line="240" w:lineRule="auto"/>
        <w:ind w:firstLine="360"/>
        <w:jc w:val="both"/>
        <w:rPr>
          <w:rFonts w:eastAsia="Arial" w:cstheme="minorHAnsi"/>
          <w:kern w:val="2"/>
        </w:rPr>
      </w:pPr>
      <w:r w:rsidRPr="00413F83">
        <w:rPr>
          <w:rFonts w:eastAsia="Arial" w:cstheme="minorHAnsi"/>
          <w:kern w:val="2"/>
        </w:rPr>
        <w:t xml:space="preserve">Five people </w:t>
      </w:r>
      <w:r w:rsidR="00413F83" w:rsidRPr="00413F83">
        <w:rPr>
          <w:rFonts w:eastAsia="Arial" w:cstheme="minorHAnsi"/>
          <w:kern w:val="2"/>
        </w:rPr>
        <w:t>attended</w:t>
      </w:r>
      <w:r w:rsidRPr="00413F83">
        <w:rPr>
          <w:rFonts w:eastAsia="Arial" w:cstheme="minorHAnsi"/>
          <w:kern w:val="2"/>
        </w:rPr>
        <w:t xml:space="preserve"> this presentation</w:t>
      </w:r>
      <w:r w:rsidR="00C655E5" w:rsidRPr="00413F83">
        <w:rPr>
          <w:rFonts w:eastAsia="Arial" w:cstheme="minorHAnsi"/>
          <w:kern w:val="2"/>
        </w:rPr>
        <w:t>.</w:t>
      </w:r>
    </w:p>
    <w:p w14:paraId="5F90AF08" w14:textId="77777777" w:rsidR="00C655E5" w:rsidRPr="00413F83" w:rsidRDefault="00C655E5" w:rsidP="00C655E5">
      <w:pPr>
        <w:pStyle w:val="ListParagraph"/>
        <w:spacing w:after="0" w:line="240" w:lineRule="auto"/>
        <w:jc w:val="both"/>
        <w:rPr>
          <w:rFonts w:eastAsia="Arial" w:cstheme="minorHAnsi"/>
          <w:kern w:val="2"/>
        </w:rPr>
      </w:pPr>
    </w:p>
    <w:p w14:paraId="4C97B912" w14:textId="7412DC18" w:rsidR="00C655E5" w:rsidRPr="00413F83" w:rsidRDefault="00C655E5" w:rsidP="008D712D">
      <w:pPr>
        <w:pStyle w:val="ListParagraph"/>
        <w:numPr>
          <w:ilvl w:val="0"/>
          <w:numId w:val="6"/>
        </w:numPr>
        <w:spacing w:after="0" w:line="240" w:lineRule="auto"/>
        <w:jc w:val="both"/>
        <w:rPr>
          <w:rFonts w:eastAsia="Arial" w:cstheme="minorHAnsi"/>
        </w:rPr>
      </w:pPr>
      <w:r w:rsidRPr="00413F83">
        <w:rPr>
          <w:rFonts w:cstheme="minorHAnsi"/>
        </w:rPr>
        <w:t>Presentation at the January 2023 session of the Brockton City Council</w:t>
      </w:r>
    </w:p>
    <w:p w14:paraId="11EBC2D5" w14:textId="3541D120" w:rsidR="008D712D" w:rsidRPr="00413F83" w:rsidRDefault="008D712D" w:rsidP="008D712D">
      <w:pPr>
        <w:pStyle w:val="ListParagraph"/>
        <w:spacing w:after="0" w:line="240" w:lineRule="auto"/>
        <w:ind w:left="1080"/>
        <w:jc w:val="both"/>
        <w:rPr>
          <w:rFonts w:cstheme="minorHAnsi"/>
        </w:rPr>
      </w:pPr>
      <w:r w:rsidRPr="00413F83">
        <w:rPr>
          <w:rFonts w:cstheme="minorHAnsi"/>
        </w:rPr>
        <w:t xml:space="preserve">GSMC did not get on the Brockton City Council (“BCC”) agenda for </w:t>
      </w:r>
      <w:r w:rsidR="00413F83">
        <w:rPr>
          <w:rFonts w:cstheme="minorHAnsi"/>
        </w:rPr>
        <w:t xml:space="preserve">the </w:t>
      </w:r>
      <w:r w:rsidRPr="00413F83">
        <w:rPr>
          <w:rFonts w:cstheme="minorHAnsi"/>
        </w:rPr>
        <w:t xml:space="preserve">January 2023 session and is </w:t>
      </w:r>
      <w:r w:rsidR="009708E0" w:rsidRPr="00413F83">
        <w:rPr>
          <w:rFonts w:cstheme="minorHAnsi"/>
        </w:rPr>
        <w:t xml:space="preserve">actively </w:t>
      </w:r>
      <w:r w:rsidRPr="00413F83">
        <w:rPr>
          <w:rFonts w:cstheme="minorHAnsi"/>
        </w:rPr>
        <w:t xml:space="preserve">working with the BCC President to get on </w:t>
      </w:r>
      <w:r w:rsidR="00413F83">
        <w:rPr>
          <w:rFonts w:cstheme="minorHAnsi"/>
        </w:rPr>
        <w:t xml:space="preserve">another session’s </w:t>
      </w:r>
      <w:r w:rsidRPr="00413F83">
        <w:rPr>
          <w:rFonts w:cstheme="minorHAnsi"/>
        </w:rPr>
        <w:t>agenda</w:t>
      </w:r>
      <w:r w:rsidR="00413F83">
        <w:rPr>
          <w:rFonts w:cstheme="minorHAnsi"/>
        </w:rPr>
        <w:t>.</w:t>
      </w:r>
    </w:p>
    <w:p w14:paraId="0DD285F6" w14:textId="7A1D89BD" w:rsidR="008D712D" w:rsidRPr="00413F83" w:rsidRDefault="008D712D" w:rsidP="008D712D">
      <w:pPr>
        <w:spacing w:after="0" w:line="240" w:lineRule="auto"/>
        <w:jc w:val="both"/>
        <w:rPr>
          <w:rFonts w:eastAsia="Arial" w:cstheme="minorHAnsi"/>
        </w:rPr>
      </w:pPr>
    </w:p>
    <w:p w14:paraId="5F0BBEDC" w14:textId="190DCE8D" w:rsidR="008D712D" w:rsidRPr="00413F83" w:rsidRDefault="00C655E5" w:rsidP="008D712D">
      <w:pPr>
        <w:pStyle w:val="ListParagraph"/>
        <w:numPr>
          <w:ilvl w:val="0"/>
          <w:numId w:val="6"/>
        </w:numPr>
        <w:spacing w:after="0" w:line="240" w:lineRule="auto"/>
        <w:jc w:val="both"/>
        <w:rPr>
          <w:rFonts w:eastAsia="Arial" w:cstheme="minorHAnsi"/>
        </w:rPr>
      </w:pPr>
      <w:r w:rsidRPr="00413F83">
        <w:rPr>
          <w:rFonts w:cstheme="minorHAnsi"/>
        </w:rPr>
        <w:t>Presentation at a Community open Forum on January 5, 2023</w:t>
      </w:r>
    </w:p>
    <w:p w14:paraId="55B2013E" w14:textId="24A577D8" w:rsidR="008D712D" w:rsidRDefault="008D712D" w:rsidP="008D712D">
      <w:pPr>
        <w:pStyle w:val="ListParagraph"/>
        <w:spacing w:after="0" w:line="240" w:lineRule="auto"/>
        <w:ind w:left="1080"/>
        <w:jc w:val="both"/>
        <w:rPr>
          <w:rFonts w:cstheme="minorHAnsi"/>
        </w:rPr>
      </w:pPr>
      <w:r w:rsidRPr="00413F83">
        <w:rPr>
          <w:rFonts w:cstheme="minorHAnsi"/>
        </w:rPr>
        <w:t xml:space="preserve">This presentation has been delayed until GSMC presents first to the BCC. GSMC would like to sequence the presentations so that the BCC receives notice prior to the public.  </w:t>
      </w:r>
    </w:p>
    <w:p w14:paraId="67BB3975" w14:textId="77777777" w:rsidR="006000F8" w:rsidRPr="005566DD" w:rsidRDefault="006000F8" w:rsidP="006000F8">
      <w:pPr>
        <w:pStyle w:val="ListParagraph"/>
        <w:numPr>
          <w:ilvl w:val="0"/>
          <w:numId w:val="6"/>
        </w:numPr>
        <w:spacing w:after="0" w:line="240" w:lineRule="auto"/>
        <w:jc w:val="both"/>
        <w:rPr>
          <w:rFonts w:eastAsia="Arial" w:cstheme="minorHAnsi"/>
        </w:rPr>
      </w:pPr>
      <w:r>
        <w:rPr>
          <w:rFonts w:cstheme="minorHAnsi"/>
        </w:rPr>
        <w:lastRenderedPageBreak/>
        <w:t>The following additional community engagement activities were conducted:</w:t>
      </w:r>
    </w:p>
    <w:p w14:paraId="1498256F" w14:textId="77777777" w:rsidR="006000F8" w:rsidRDefault="006000F8" w:rsidP="006000F8">
      <w:pPr>
        <w:pStyle w:val="xmsonormal"/>
      </w:pPr>
    </w:p>
    <w:p w14:paraId="2BE0C454" w14:textId="77777777" w:rsidR="006000F8" w:rsidRDefault="006000F8" w:rsidP="006000F8">
      <w:pPr>
        <w:pStyle w:val="xmsolistparagraph"/>
        <w:numPr>
          <w:ilvl w:val="0"/>
          <w:numId w:val="7"/>
        </w:numPr>
        <w:rPr>
          <w:rFonts w:eastAsia="Times New Roman"/>
        </w:rPr>
      </w:pPr>
      <w:r>
        <w:rPr>
          <w:rFonts w:eastAsia="Times New Roman"/>
        </w:rPr>
        <w:t>10/7/22- Good Samaritan President meeting with Mayor Sullivan to introduce the project.</w:t>
      </w:r>
    </w:p>
    <w:p w14:paraId="68D89C69" w14:textId="77777777" w:rsidR="006000F8" w:rsidRDefault="006000F8" w:rsidP="006000F8">
      <w:pPr>
        <w:pStyle w:val="xmsolistparagraph"/>
        <w:rPr>
          <w:rFonts w:eastAsia="Times New Roman"/>
        </w:rPr>
      </w:pPr>
    </w:p>
    <w:p w14:paraId="58F55670" w14:textId="77777777" w:rsidR="006000F8" w:rsidRDefault="006000F8" w:rsidP="006000F8">
      <w:pPr>
        <w:pStyle w:val="xmsolistparagraph"/>
        <w:numPr>
          <w:ilvl w:val="0"/>
          <w:numId w:val="7"/>
        </w:numPr>
        <w:rPr>
          <w:rFonts w:eastAsia="Times New Roman"/>
        </w:rPr>
      </w:pPr>
      <w:r>
        <w:rPr>
          <w:rFonts w:eastAsia="Times New Roman"/>
        </w:rPr>
        <w:t>10/21/22- Mayor, City CFO (Troy Clarkson), and Building Commissioner (Jim Plouffe) had site visit to proposed project site with GSMC Leadership.</w:t>
      </w:r>
    </w:p>
    <w:p w14:paraId="5701EEE9" w14:textId="77777777" w:rsidR="006000F8" w:rsidRDefault="006000F8" w:rsidP="006000F8">
      <w:pPr>
        <w:pStyle w:val="xmsolistparagraph"/>
        <w:ind w:left="1800"/>
        <w:rPr>
          <w:rFonts w:eastAsia="Times New Roman"/>
        </w:rPr>
      </w:pPr>
    </w:p>
    <w:p w14:paraId="003753E3" w14:textId="77777777" w:rsidR="006000F8" w:rsidRDefault="006000F8" w:rsidP="006000F8">
      <w:pPr>
        <w:pStyle w:val="xmsolistparagraph"/>
        <w:numPr>
          <w:ilvl w:val="0"/>
          <w:numId w:val="7"/>
        </w:numPr>
        <w:rPr>
          <w:rFonts w:eastAsia="Times New Roman"/>
        </w:rPr>
      </w:pPr>
      <w:r>
        <w:rPr>
          <w:rFonts w:eastAsia="Times New Roman"/>
        </w:rPr>
        <w:t>11/7/22- Meeting at City Hall with Mayor and all Department Heads, Steward Design Team, Mr. Hesketh, Mr. Tetrault (COO).</w:t>
      </w:r>
    </w:p>
    <w:p w14:paraId="6599ECE0" w14:textId="77777777" w:rsidR="006000F8" w:rsidRDefault="006000F8" w:rsidP="006000F8">
      <w:pPr>
        <w:pStyle w:val="xmsolistparagraph"/>
        <w:ind w:left="0"/>
        <w:rPr>
          <w:rFonts w:eastAsia="Times New Roman"/>
        </w:rPr>
      </w:pPr>
    </w:p>
    <w:p w14:paraId="5D213D2B" w14:textId="77777777" w:rsidR="006000F8" w:rsidRDefault="006000F8" w:rsidP="006000F8">
      <w:pPr>
        <w:pStyle w:val="xmsolistparagraph"/>
        <w:numPr>
          <w:ilvl w:val="0"/>
          <w:numId w:val="7"/>
        </w:numPr>
        <w:rPr>
          <w:rFonts w:eastAsia="Times New Roman"/>
        </w:rPr>
      </w:pPr>
      <w:r>
        <w:rPr>
          <w:rFonts w:eastAsia="Times New Roman"/>
        </w:rPr>
        <w:t>City of Brockton Town Planning Board process for building permit approval: June 2023 to November 2023.</w:t>
      </w:r>
    </w:p>
    <w:p w14:paraId="7AF36D76" w14:textId="77777777" w:rsidR="006000F8" w:rsidRPr="00413F83" w:rsidRDefault="006000F8" w:rsidP="008D712D">
      <w:pPr>
        <w:pStyle w:val="ListParagraph"/>
        <w:spacing w:after="0" w:line="240" w:lineRule="auto"/>
        <w:ind w:left="1080"/>
        <w:jc w:val="both"/>
        <w:rPr>
          <w:rFonts w:eastAsia="Arial" w:cstheme="minorHAnsi"/>
        </w:rPr>
      </w:pPr>
    </w:p>
    <w:p w14:paraId="6D49CBE1" w14:textId="77777777" w:rsidR="00C655E5" w:rsidRDefault="00C655E5" w:rsidP="00C655E5">
      <w:pPr>
        <w:pStyle w:val="ListParagraph"/>
        <w:spacing w:line="256" w:lineRule="auto"/>
        <w:ind w:left="1080"/>
      </w:pPr>
    </w:p>
    <w:p w14:paraId="2922CD4D" w14:textId="1AD7ABEF" w:rsidR="00C655E5" w:rsidRDefault="00C655E5" w:rsidP="00C655E5">
      <w:pPr>
        <w:pStyle w:val="ListParagraph"/>
        <w:numPr>
          <w:ilvl w:val="0"/>
          <w:numId w:val="3"/>
        </w:numPr>
        <w:rPr>
          <w:b/>
          <w:bCs/>
        </w:rPr>
      </w:pPr>
      <w:bookmarkStart w:id="14" w:name="_Hlk125721304"/>
      <w:r w:rsidRPr="00965C03">
        <w:rPr>
          <w:b/>
          <w:bCs/>
        </w:rPr>
        <w:t xml:space="preserve">Which domains are screened for with </w:t>
      </w:r>
      <w:proofErr w:type="spellStart"/>
      <w:r w:rsidRPr="00965C03">
        <w:rPr>
          <w:b/>
          <w:bCs/>
        </w:rPr>
        <w:t>SDoH</w:t>
      </w:r>
      <w:proofErr w:type="spellEnd"/>
      <w:r w:rsidRPr="00965C03">
        <w:rPr>
          <w:b/>
          <w:bCs/>
        </w:rPr>
        <w:t xml:space="preserve"> screening?</w:t>
      </w:r>
    </w:p>
    <w:p w14:paraId="5EEBB595" w14:textId="1E0AD067" w:rsidR="00310D0F" w:rsidRDefault="00310D0F" w:rsidP="00310D0F">
      <w:pPr>
        <w:pStyle w:val="ListParagraph"/>
        <w:rPr>
          <w:b/>
          <w:bCs/>
        </w:rPr>
      </w:pPr>
    </w:p>
    <w:p w14:paraId="3257E593" w14:textId="5D666F98" w:rsidR="009708E0" w:rsidRPr="00DE7AAE" w:rsidRDefault="00DE7AAE" w:rsidP="001B7449">
      <w:pPr>
        <w:pStyle w:val="ListParagraph"/>
        <w:jc w:val="both"/>
      </w:pPr>
      <w:r w:rsidRPr="00201BB4">
        <w:rPr>
          <w:u w:val="single"/>
        </w:rPr>
        <w:t>Response</w:t>
      </w:r>
      <w:r w:rsidRPr="00501F35">
        <w:t>:</w:t>
      </w:r>
      <w:r w:rsidR="009708E0">
        <w:t xml:space="preserve"> </w:t>
      </w:r>
      <w:r w:rsidR="009708E0" w:rsidRPr="001B7449">
        <w:rPr>
          <w:rFonts w:eastAsia="Times New Roman"/>
        </w:rPr>
        <w:t xml:space="preserve">Current </w:t>
      </w:r>
      <w:r w:rsidR="00413F83">
        <w:rPr>
          <w:rFonts w:eastAsia="Times New Roman"/>
        </w:rPr>
        <w:t>social determinants of health (“</w:t>
      </w:r>
      <w:proofErr w:type="spellStart"/>
      <w:r w:rsidR="009708E0" w:rsidRPr="001B7449">
        <w:rPr>
          <w:rFonts w:eastAsia="Times New Roman"/>
        </w:rPr>
        <w:t>SDoH</w:t>
      </w:r>
      <w:proofErr w:type="spellEnd"/>
      <w:r w:rsidR="00413F83">
        <w:rPr>
          <w:rFonts w:eastAsia="Times New Roman"/>
        </w:rPr>
        <w:t>”)</w:t>
      </w:r>
      <w:r w:rsidR="009708E0" w:rsidRPr="001B7449">
        <w:rPr>
          <w:rFonts w:eastAsia="Times New Roman"/>
        </w:rPr>
        <w:t xml:space="preserve"> screening as part of GSMC’s BH evaluation looks at the following </w:t>
      </w:r>
      <w:proofErr w:type="spellStart"/>
      <w:r w:rsidR="009708E0" w:rsidRPr="001B7449">
        <w:rPr>
          <w:rFonts w:eastAsia="Times New Roman"/>
        </w:rPr>
        <w:t>SDoH</w:t>
      </w:r>
      <w:proofErr w:type="spellEnd"/>
      <w:r w:rsidR="009708E0" w:rsidRPr="001B7449">
        <w:rPr>
          <w:rFonts w:eastAsia="Times New Roman"/>
        </w:rPr>
        <w:t xml:space="preserve"> areas: 1) </w:t>
      </w:r>
      <w:r w:rsidR="002E461D">
        <w:rPr>
          <w:rFonts w:eastAsia="Times New Roman"/>
        </w:rPr>
        <w:t>h</w:t>
      </w:r>
      <w:r w:rsidR="002E461D" w:rsidRPr="001B7449">
        <w:rPr>
          <w:rFonts w:eastAsia="Times New Roman"/>
        </w:rPr>
        <w:t xml:space="preserve">ousing </w:t>
      </w:r>
      <w:r w:rsidR="009708E0" w:rsidRPr="001B7449">
        <w:rPr>
          <w:rFonts w:eastAsia="Times New Roman"/>
        </w:rPr>
        <w:t>situation and accessibility</w:t>
      </w:r>
      <w:r w:rsidR="00413F83">
        <w:rPr>
          <w:rFonts w:eastAsia="Times New Roman"/>
        </w:rPr>
        <w:t>;</w:t>
      </w:r>
      <w:r w:rsidR="009708E0" w:rsidRPr="001B7449">
        <w:rPr>
          <w:rFonts w:eastAsia="Times New Roman"/>
        </w:rPr>
        <w:t xml:space="preserve"> 2) support systems including family and friend involvement and support</w:t>
      </w:r>
      <w:r w:rsidR="00413F83">
        <w:rPr>
          <w:rFonts w:eastAsia="Times New Roman"/>
        </w:rPr>
        <w:t>;</w:t>
      </w:r>
      <w:r w:rsidR="009708E0" w:rsidRPr="001B7449">
        <w:rPr>
          <w:rFonts w:eastAsia="Times New Roman"/>
        </w:rPr>
        <w:t xml:space="preserve"> 3) education and level of comprehension</w:t>
      </w:r>
      <w:r w:rsidR="00413F83">
        <w:rPr>
          <w:rFonts w:eastAsia="Times New Roman"/>
        </w:rPr>
        <w:t>;</w:t>
      </w:r>
      <w:r w:rsidR="009708E0" w:rsidRPr="001B7449">
        <w:rPr>
          <w:rFonts w:eastAsia="Times New Roman"/>
        </w:rPr>
        <w:t xml:space="preserve"> 4) employment status and barriers to employment</w:t>
      </w:r>
      <w:r w:rsidR="00413F83">
        <w:rPr>
          <w:rFonts w:eastAsia="Times New Roman"/>
        </w:rPr>
        <w:t>;</w:t>
      </w:r>
      <w:r w:rsidR="009708E0" w:rsidRPr="001B7449">
        <w:rPr>
          <w:rFonts w:eastAsia="Times New Roman"/>
        </w:rPr>
        <w:t xml:space="preserve"> 5) legal issues presenting challenges</w:t>
      </w:r>
      <w:r w:rsidR="00413F83">
        <w:rPr>
          <w:rFonts w:eastAsia="Times New Roman"/>
        </w:rPr>
        <w:t xml:space="preserve">; </w:t>
      </w:r>
      <w:r w:rsidR="009708E0" w:rsidRPr="001B7449">
        <w:rPr>
          <w:rFonts w:eastAsia="Times New Roman"/>
        </w:rPr>
        <w:t>6) language and literacy skills</w:t>
      </w:r>
      <w:r w:rsidR="00413F83">
        <w:rPr>
          <w:rFonts w:eastAsia="Times New Roman"/>
        </w:rPr>
        <w:t>;</w:t>
      </w:r>
      <w:r w:rsidR="009708E0" w:rsidRPr="001B7449">
        <w:rPr>
          <w:rFonts w:eastAsia="Times New Roman"/>
        </w:rPr>
        <w:t xml:space="preserve"> 7) abuse and trauma history</w:t>
      </w:r>
      <w:r w:rsidR="00413F83">
        <w:rPr>
          <w:rFonts w:eastAsia="Times New Roman"/>
        </w:rPr>
        <w:t>;</w:t>
      </w:r>
      <w:r w:rsidR="009708E0" w:rsidRPr="001B7449">
        <w:rPr>
          <w:rFonts w:eastAsia="Times New Roman"/>
        </w:rPr>
        <w:t xml:space="preserve"> and 8) </w:t>
      </w:r>
      <w:r w:rsidR="00413F83">
        <w:rPr>
          <w:rFonts w:eastAsia="Times New Roman"/>
        </w:rPr>
        <w:t>s</w:t>
      </w:r>
      <w:r w:rsidR="009708E0" w:rsidRPr="001B7449">
        <w:rPr>
          <w:rFonts w:eastAsia="Times New Roman"/>
        </w:rPr>
        <w:t>piritual, religious, and cultural circumstances.</w:t>
      </w:r>
    </w:p>
    <w:p w14:paraId="142ED595" w14:textId="77777777" w:rsidR="009708E0" w:rsidRPr="00965C03" w:rsidRDefault="009708E0" w:rsidP="00310D0F">
      <w:pPr>
        <w:pStyle w:val="ListParagraph"/>
        <w:rPr>
          <w:b/>
          <w:bCs/>
        </w:rPr>
      </w:pPr>
    </w:p>
    <w:p w14:paraId="46F48692" w14:textId="4649C73D" w:rsidR="00207025" w:rsidRDefault="00C655E5" w:rsidP="00965C03">
      <w:pPr>
        <w:pStyle w:val="ListParagraph"/>
        <w:numPr>
          <w:ilvl w:val="0"/>
          <w:numId w:val="3"/>
        </w:numPr>
        <w:rPr>
          <w:b/>
          <w:bCs/>
        </w:rPr>
      </w:pPr>
      <w:bookmarkStart w:id="15" w:name="_Hlk125718996"/>
      <w:bookmarkEnd w:id="14"/>
      <w:r w:rsidRPr="00965C03">
        <w:rPr>
          <w:b/>
          <w:bCs/>
        </w:rPr>
        <w:t>The literature points to disparities in utilization of mental health services by age, income, payer, and race/ethnicity.</w:t>
      </w:r>
      <w:r w:rsidRPr="00965C03">
        <w:rPr>
          <w:rStyle w:val="FootnoteReference"/>
          <w:b/>
          <w:bCs/>
        </w:rPr>
        <w:footnoteReference w:id="9"/>
      </w:r>
      <w:r w:rsidRPr="00965C03">
        <w:rPr>
          <w:b/>
          <w:bCs/>
        </w:rPr>
        <w:t xml:space="preserve"> Does GSMC collaborate with local demographic-specific organizations to better serve the mental health of the communities it serves.  </w:t>
      </w:r>
      <w:bookmarkEnd w:id="15"/>
    </w:p>
    <w:p w14:paraId="16E09E67" w14:textId="77777777" w:rsidR="00413F83" w:rsidRDefault="00413F83" w:rsidP="001B7449">
      <w:pPr>
        <w:pStyle w:val="ListParagraph"/>
        <w:jc w:val="both"/>
        <w:rPr>
          <w:u w:val="single"/>
        </w:rPr>
      </w:pPr>
    </w:p>
    <w:p w14:paraId="31FA3304" w14:textId="0F22D8B3" w:rsidR="009708E0" w:rsidRPr="009708E0" w:rsidRDefault="009708E0" w:rsidP="001B7449">
      <w:pPr>
        <w:pStyle w:val="ListParagraph"/>
        <w:jc w:val="both"/>
      </w:pPr>
      <w:r w:rsidRPr="00201BB4">
        <w:rPr>
          <w:u w:val="single"/>
        </w:rPr>
        <w:t>Response</w:t>
      </w:r>
      <w:r w:rsidRPr="00501F35">
        <w:t>:</w:t>
      </w:r>
      <w:r>
        <w:t xml:space="preserve"> </w:t>
      </w:r>
      <w:r w:rsidRPr="001B7449">
        <w:t xml:space="preserve">Yes, this is an integral part of </w:t>
      </w:r>
      <w:r w:rsidRPr="001B7449">
        <w:rPr>
          <w:rFonts w:eastAsia="Times New Roman"/>
        </w:rPr>
        <w:t>Steward</w:t>
      </w:r>
      <w:r w:rsidR="00413F83">
        <w:rPr>
          <w:rFonts w:eastAsia="Times New Roman"/>
        </w:rPr>
        <w:t xml:space="preserve">’s </w:t>
      </w:r>
      <w:r w:rsidRPr="001B7449">
        <w:t xml:space="preserve">Community Health Needs Assessment (CHNA) process. </w:t>
      </w:r>
      <w:r w:rsidR="001B7449" w:rsidRPr="001B7449">
        <w:t xml:space="preserve">Steward </w:t>
      </w:r>
      <w:r w:rsidRPr="001B7449">
        <w:t>worked with the Brockton Chapter of the NAACP, the Veteran’s Association, the Cape Verdean Women United group, the Brockton Area Multiservice Agency, Old Colony Elder Services, and the Family and Community Resources group to identify major concerns and focus areas within their specific represented populations. Providing culturally competent</w:t>
      </w:r>
      <w:r w:rsidR="00893A31">
        <w:t xml:space="preserve"> care</w:t>
      </w:r>
      <w:r w:rsidRPr="001B7449">
        <w:t xml:space="preserve"> is an incredibly important part of </w:t>
      </w:r>
      <w:r w:rsidR="001B7449" w:rsidRPr="001B7449">
        <w:t>Steward’s</w:t>
      </w:r>
      <w:r w:rsidRPr="001B7449">
        <w:t xml:space="preserve"> mission with </w:t>
      </w:r>
      <w:proofErr w:type="gramStart"/>
      <w:r w:rsidRPr="001B7449">
        <w:t>the majority of</w:t>
      </w:r>
      <w:proofErr w:type="gramEnd"/>
      <w:r w:rsidRPr="001B7449">
        <w:t xml:space="preserve"> </w:t>
      </w:r>
      <w:r w:rsidR="001B7449" w:rsidRPr="001B7449">
        <w:t>its</w:t>
      </w:r>
      <w:r w:rsidRPr="001B7449">
        <w:t xml:space="preserve"> communities served being racially and economically diverse. </w:t>
      </w:r>
    </w:p>
    <w:p w14:paraId="176D4807" w14:textId="1A3305AF" w:rsidR="00DE7AAE" w:rsidRPr="00DE7AAE" w:rsidRDefault="00DE7AAE" w:rsidP="009708E0">
      <w:pPr>
        <w:ind w:left="720"/>
      </w:pPr>
    </w:p>
    <w:sectPr w:rsidR="00DE7AAE" w:rsidRPr="00DE7AA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77E62" w14:textId="77777777" w:rsidR="00CC4775" w:rsidRDefault="00CC4775" w:rsidP="00FB665D">
      <w:pPr>
        <w:spacing w:after="0" w:line="240" w:lineRule="auto"/>
      </w:pPr>
      <w:r>
        <w:separator/>
      </w:r>
    </w:p>
  </w:endnote>
  <w:endnote w:type="continuationSeparator" w:id="0">
    <w:p w14:paraId="174F8542" w14:textId="77777777" w:rsidR="00CC4775" w:rsidRDefault="00CC4775" w:rsidP="00FB6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hiller">
    <w:panose1 w:val="040204040310070206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adeGothic Bold">
    <w:altName w:val="Calibri"/>
    <w:charset w:val="00"/>
    <w:family w:val="auto"/>
    <w:pitch w:val="default"/>
  </w:font>
  <w:font w:name="TradeGothic CondEighteen">
    <w:charset w:val="00"/>
    <w:family w:val="auto"/>
    <w:pitch w:val="default"/>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5143948"/>
      <w:docPartObj>
        <w:docPartGallery w:val="Page Numbers (Bottom of Page)"/>
        <w:docPartUnique/>
      </w:docPartObj>
    </w:sdtPr>
    <w:sdtEndPr>
      <w:rPr>
        <w:noProof/>
      </w:rPr>
    </w:sdtEndPr>
    <w:sdtContent>
      <w:p w14:paraId="2EA640B7" w14:textId="515398B2" w:rsidR="00C655E5" w:rsidRDefault="00C655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F856B5" w14:textId="77777777" w:rsidR="00C655E5" w:rsidRDefault="00C655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B371A" w14:textId="77777777" w:rsidR="00CC4775" w:rsidRDefault="00CC4775" w:rsidP="00FB665D">
      <w:pPr>
        <w:spacing w:after="0" w:line="240" w:lineRule="auto"/>
      </w:pPr>
      <w:r>
        <w:separator/>
      </w:r>
    </w:p>
  </w:footnote>
  <w:footnote w:type="continuationSeparator" w:id="0">
    <w:p w14:paraId="42820124" w14:textId="77777777" w:rsidR="00CC4775" w:rsidRDefault="00CC4775" w:rsidP="00FB665D">
      <w:pPr>
        <w:spacing w:after="0" w:line="240" w:lineRule="auto"/>
      </w:pPr>
      <w:r>
        <w:continuationSeparator/>
      </w:r>
    </w:p>
  </w:footnote>
  <w:footnote w:id="1">
    <w:p w14:paraId="03A7D446" w14:textId="77777777" w:rsidR="001049C7" w:rsidRPr="00893A31" w:rsidRDefault="001049C7" w:rsidP="001049C7">
      <w:pPr>
        <w:pStyle w:val="FootnoteText"/>
        <w:jc w:val="both"/>
        <w:rPr>
          <w:rFonts w:cstheme="minorHAnsi"/>
          <w:sz w:val="16"/>
          <w:szCs w:val="16"/>
        </w:rPr>
      </w:pPr>
      <w:r w:rsidRPr="00893A31">
        <w:rPr>
          <w:rStyle w:val="FootnoteReference"/>
          <w:rFonts w:cstheme="minorHAnsi"/>
          <w:sz w:val="18"/>
        </w:rPr>
        <w:footnoteRef/>
      </w:r>
      <w:r w:rsidRPr="00893A31">
        <w:rPr>
          <w:rFonts w:cstheme="minorHAnsi"/>
          <w:sz w:val="18"/>
        </w:rPr>
        <w:t xml:space="preserve"> “Unknown” is defined as not recorded as male or female.</w:t>
      </w:r>
      <w:r w:rsidRPr="00893A31">
        <w:rPr>
          <w:rFonts w:cstheme="minorHAnsi"/>
          <w:sz w:val="16"/>
          <w:szCs w:val="16"/>
        </w:rPr>
        <w:t xml:space="preserve"> </w:t>
      </w:r>
    </w:p>
  </w:footnote>
  <w:footnote w:id="2">
    <w:p w14:paraId="58872A6A" w14:textId="77777777" w:rsidR="002A38DF" w:rsidRPr="00893A31" w:rsidRDefault="002A38DF" w:rsidP="001049C7">
      <w:pPr>
        <w:pStyle w:val="FootnoteText"/>
        <w:jc w:val="both"/>
        <w:rPr>
          <w:rFonts w:cstheme="minorHAnsi"/>
          <w:sz w:val="18"/>
        </w:rPr>
      </w:pPr>
      <w:r w:rsidRPr="00893A31">
        <w:rPr>
          <w:rStyle w:val="FootnoteReference"/>
          <w:rFonts w:cstheme="minorHAnsi"/>
          <w:sz w:val="18"/>
        </w:rPr>
        <w:footnoteRef/>
      </w:r>
      <w:r w:rsidRPr="00893A31">
        <w:rPr>
          <w:rFonts w:cstheme="minorHAnsi"/>
          <w:sz w:val="18"/>
        </w:rPr>
        <w:t xml:space="preserve"> “Declined” indicates the patient declined to provide.</w:t>
      </w:r>
    </w:p>
  </w:footnote>
  <w:footnote w:id="3">
    <w:p w14:paraId="54730C0F" w14:textId="77777777" w:rsidR="002A38DF" w:rsidRPr="00893A31" w:rsidRDefault="002A38DF" w:rsidP="001049C7">
      <w:pPr>
        <w:pStyle w:val="FootnoteText"/>
        <w:jc w:val="both"/>
        <w:rPr>
          <w:rFonts w:cstheme="minorHAnsi"/>
          <w:sz w:val="18"/>
        </w:rPr>
      </w:pPr>
      <w:r w:rsidRPr="00893A31">
        <w:rPr>
          <w:rStyle w:val="FootnoteReference"/>
          <w:rFonts w:cstheme="minorHAnsi"/>
          <w:sz w:val="18"/>
        </w:rPr>
        <w:footnoteRef/>
      </w:r>
      <w:r w:rsidRPr="00893A31">
        <w:rPr>
          <w:rFonts w:cstheme="minorHAnsi"/>
          <w:sz w:val="18"/>
        </w:rPr>
        <w:t xml:space="preserve"> “Other” indicates not included in any of the categories mentioned in the table</w:t>
      </w:r>
      <w:r w:rsidRPr="00893A31">
        <w:rPr>
          <w:rFonts w:cstheme="minorHAnsi"/>
          <w:sz w:val="18"/>
          <w:szCs w:val="18"/>
        </w:rPr>
        <w:t>.</w:t>
      </w:r>
      <w:r w:rsidRPr="00893A31">
        <w:rPr>
          <w:rFonts w:cstheme="minorHAnsi"/>
          <w:sz w:val="18"/>
        </w:rPr>
        <w:t xml:space="preserve"> </w:t>
      </w:r>
    </w:p>
  </w:footnote>
  <w:footnote w:id="4">
    <w:p w14:paraId="5CA27656" w14:textId="77777777" w:rsidR="002A38DF" w:rsidRPr="007577C9" w:rsidRDefault="002A38DF" w:rsidP="001049C7">
      <w:pPr>
        <w:pStyle w:val="FootnoteText"/>
        <w:jc w:val="both"/>
        <w:rPr>
          <w:rFonts w:asciiTheme="majorHAnsi" w:hAnsiTheme="majorHAnsi" w:cstheme="majorHAnsi"/>
          <w:sz w:val="18"/>
        </w:rPr>
      </w:pPr>
      <w:r w:rsidRPr="00893A31">
        <w:rPr>
          <w:rStyle w:val="FootnoteReference"/>
          <w:rFonts w:cstheme="minorHAnsi"/>
          <w:sz w:val="18"/>
        </w:rPr>
        <w:footnoteRef/>
      </w:r>
      <w:r w:rsidRPr="00893A31">
        <w:rPr>
          <w:rFonts w:cstheme="minorHAnsi"/>
          <w:sz w:val="18"/>
        </w:rPr>
        <w:t xml:space="preserve"> “Unable to Obtain” indicates staff was unable to obtain from the patient due to trauma situations or patient </w:t>
      </w:r>
      <w:r w:rsidRPr="00893A31">
        <w:rPr>
          <w:rFonts w:cstheme="minorHAnsi"/>
          <w:sz w:val="18"/>
          <w:szCs w:val="18"/>
        </w:rPr>
        <w:t>was</w:t>
      </w:r>
      <w:r w:rsidRPr="00893A31">
        <w:rPr>
          <w:rFonts w:cstheme="minorHAnsi"/>
          <w:sz w:val="18"/>
        </w:rPr>
        <w:t xml:space="preserve"> unconscious.</w:t>
      </w:r>
    </w:p>
  </w:footnote>
  <w:footnote w:id="5">
    <w:p w14:paraId="140B67EA" w14:textId="77777777" w:rsidR="001B4DA4" w:rsidRPr="00893A31" w:rsidRDefault="001B4DA4">
      <w:pPr>
        <w:pStyle w:val="FootnoteText"/>
        <w:rPr>
          <w:rFonts w:cstheme="minorHAnsi"/>
        </w:rPr>
      </w:pPr>
      <w:r w:rsidRPr="00893A31">
        <w:rPr>
          <w:rStyle w:val="FootnoteReference"/>
          <w:rFonts w:cstheme="minorHAnsi"/>
        </w:rPr>
        <w:footnoteRef/>
      </w:r>
      <w:r w:rsidRPr="00893A31">
        <w:rPr>
          <w:rFonts w:cstheme="minorHAnsi"/>
        </w:rPr>
        <w:t xml:space="preserve"> Includes “</w:t>
      </w:r>
      <w:r w:rsidRPr="00893A31">
        <w:rPr>
          <w:rFonts w:cstheme="minorHAnsi"/>
          <w:color w:val="000000"/>
          <w:sz w:val="18"/>
          <w:szCs w:val="18"/>
        </w:rPr>
        <w:t xml:space="preserve">American Indian or Alaska Native”, “Asian” and “Declined” for patient confidentiality. </w:t>
      </w:r>
    </w:p>
  </w:footnote>
  <w:footnote w:id="6">
    <w:p w14:paraId="6586CF04" w14:textId="77777777" w:rsidR="001B4DA4" w:rsidRPr="007577C9" w:rsidRDefault="001B4DA4" w:rsidP="001B4DA4">
      <w:pPr>
        <w:pStyle w:val="FootnoteText"/>
        <w:jc w:val="both"/>
        <w:rPr>
          <w:rFonts w:cstheme="minorHAnsi"/>
          <w:sz w:val="18"/>
          <w:szCs w:val="18"/>
        </w:rPr>
      </w:pPr>
      <w:r w:rsidRPr="007577C9">
        <w:rPr>
          <w:rStyle w:val="FootnoteReference"/>
          <w:rFonts w:cstheme="minorHAnsi"/>
          <w:sz w:val="18"/>
          <w:szCs w:val="18"/>
        </w:rPr>
        <w:footnoteRef/>
      </w:r>
      <w:r w:rsidRPr="007577C9">
        <w:rPr>
          <w:rFonts w:cstheme="minorHAnsi"/>
          <w:sz w:val="18"/>
          <w:szCs w:val="18"/>
        </w:rPr>
        <w:t xml:space="preserve"> “All Other” includes but is not limited to: Medicaid-Other; Noninsurance payors; QHP-Connector Plans; and Self-pay/free care.</w:t>
      </w:r>
    </w:p>
  </w:footnote>
  <w:footnote w:id="7">
    <w:p w14:paraId="7B255B1E" w14:textId="2FC6794A" w:rsidR="000B57AA" w:rsidRDefault="000B57AA">
      <w:pPr>
        <w:pStyle w:val="FootnoteText"/>
      </w:pPr>
      <w:r>
        <w:rPr>
          <w:rStyle w:val="FootnoteReference"/>
        </w:rPr>
        <w:footnoteRef/>
      </w:r>
      <w:r>
        <w:t xml:space="preserve"> The Applicant’s F</w:t>
      </w:r>
      <w:r w:rsidR="0004070C">
        <w:t xml:space="preserve">iscal </w:t>
      </w:r>
      <w:r>
        <w:t>Y</w:t>
      </w:r>
      <w:r w:rsidR="0004070C">
        <w:t>ear</w:t>
      </w:r>
      <w:r>
        <w:t xml:space="preserve"> is January 1- December 31.</w:t>
      </w:r>
    </w:p>
  </w:footnote>
  <w:footnote w:id="8">
    <w:p w14:paraId="2B4A715F" w14:textId="6C27C92C" w:rsidR="007577C9" w:rsidRDefault="007577C9">
      <w:pPr>
        <w:pStyle w:val="FootnoteText"/>
      </w:pPr>
      <w:r w:rsidRPr="007577C9">
        <w:rPr>
          <w:rStyle w:val="FootnoteReference"/>
          <w:rFonts w:cstheme="minorHAnsi"/>
          <w:sz w:val="18"/>
          <w:szCs w:val="18"/>
        </w:rPr>
        <w:footnoteRef/>
      </w:r>
      <w:r w:rsidRPr="007577C9">
        <w:rPr>
          <w:rFonts w:cstheme="minorHAnsi"/>
          <w:sz w:val="18"/>
          <w:szCs w:val="18"/>
        </w:rPr>
        <w:t xml:space="preserve"> Occupancy rate began to decrease in November 2021 due to staffing shortages</w:t>
      </w:r>
      <w:r w:rsidR="000B57AA">
        <w:rPr>
          <w:rFonts w:cstheme="minorHAnsi"/>
          <w:sz w:val="18"/>
          <w:szCs w:val="18"/>
        </w:rPr>
        <w:t>, requiring the beds to be offline</w:t>
      </w:r>
      <w:r w:rsidRPr="007577C9">
        <w:rPr>
          <w:rFonts w:cstheme="minorHAnsi"/>
          <w:sz w:val="18"/>
          <w:szCs w:val="18"/>
        </w:rPr>
        <w:t>.</w:t>
      </w:r>
      <w:r>
        <w:t xml:space="preserve"> </w:t>
      </w:r>
    </w:p>
  </w:footnote>
  <w:footnote w:id="9">
    <w:p w14:paraId="7DA04032" w14:textId="5475860E" w:rsidR="00C655E5" w:rsidRPr="00893A31" w:rsidRDefault="00C655E5" w:rsidP="00C655E5">
      <w:pPr>
        <w:pStyle w:val="FootnoteText"/>
        <w:rPr>
          <w:rFonts w:cstheme="minorHAnsi"/>
          <w:sz w:val="18"/>
          <w:szCs w:val="18"/>
        </w:rPr>
      </w:pPr>
      <w:r w:rsidRPr="00893A31">
        <w:rPr>
          <w:rStyle w:val="FootnoteReference"/>
          <w:rFonts w:cstheme="minorHAnsi"/>
          <w:sz w:val="18"/>
          <w:szCs w:val="18"/>
        </w:rPr>
        <w:footnoteRef/>
      </w:r>
      <w:r w:rsidRPr="00893A31">
        <w:rPr>
          <w:rFonts w:cstheme="minorHAnsi"/>
          <w:sz w:val="18"/>
          <w:szCs w:val="18"/>
        </w:rPr>
        <w:t xml:space="preserve"> </w:t>
      </w:r>
      <w:r w:rsidR="00015A57" w:rsidRPr="00893A31">
        <w:rPr>
          <w:rFonts w:cstheme="minorHAnsi"/>
          <w:sz w:val="18"/>
          <w:szCs w:val="18"/>
        </w:rPr>
        <w:t xml:space="preserve">(1) </w:t>
      </w:r>
      <w:r w:rsidRPr="00893A31">
        <w:rPr>
          <w:rFonts w:cstheme="minorHAnsi"/>
          <w:sz w:val="18"/>
          <w:szCs w:val="18"/>
        </w:rPr>
        <w:t xml:space="preserve">Blue Cross Blue Shield of Massachusetts Foundation. NORC. Behavioral Health During the First Year of the </w:t>
      </w:r>
    </w:p>
    <w:p w14:paraId="07CBB0A9" w14:textId="2EB6C81D" w:rsidR="00C655E5" w:rsidRPr="00893A31" w:rsidRDefault="00C655E5" w:rsidP="00C655E5">
      <w:pPr>
        <w:pStyle w:val="FootnoteText"/>
        <w:rPr>
          <w:rFonts w:cstheme="minorHAnsi"/>
          <w:sz w:val="18"/>
          <w:szCs w:val="18"/>
        </w:rPr>
      </w:pPr>
      <w:r w:rsidRPr="00893A31">
        <w:rPr>
          <w:rFonts w:cstheme="minorHAnsi"/>
          <w:sz w:val="18"/>
          <w:szCs w:val="18"/>
        </w:rPr>
        <w:t>COVID-19 Pandemic: An Update on Need and Access in Massachusetts 2020/2021. 2) CHIA Behavioral Health</w:t>
      </w:r>
    </w:p>
    <w:p w14:paraId="2C44E57D" w14:textId="77777777" w:rsidR="00C655E5" w:rsidRDefault="00C655E5" w:rsidP="00C655E5">
      <w:pPr>
        <w:pStyle w:val="FootnoteText"/>
      </w:pPr>
      <w:r w:rsidRPr="00893A31">
        <w:rPr>
          <w:rFonts w:cstheme="minorHAnsi"/>
          <w:sz w:val="18"/>
          <w:szCs w:val="18"/>
        </w:rPr>
        <w:t>&amp; Readmissions In Massachusetts Acute Care Hospitals SFY 2020. 3) Center for Health Information and Analysis (CHIA). Massachusetts Acute Care Hospital Inpatient Discharge Data 4) FFY 2016-2021. 4) KFF Mental Health in Massachusetts. 5) CCIS Spotlight: Mental Health.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C4642" w14:textId="58D41328" w:rsidR="00FB665D" w:rsidRPr="00872E44" w:rsidRDefault="00FB665D" w:rsidP="00771764">
    <w:pPr>
      <w:pStyle w:val="Header"/>
      <w:spacing w:after="0" w:line="240" w:lineRule="auto"/>
      <w:jc w:val="center"/>
      <w:rPr>
        <w:b/>
        <w:bCs/>
        <w:sz w:val="28"/>
        <w:szCs w:val="28"/>
      </w:rPr>
    </w:pPr>
    <w:r>
      <w:rPr>
        <w:b/>
        <w:bCs/>
        <w:sz w:val="28"/>
        <w:szCs w:val="28"/>
      </w:rPr>
      <w:t>Steward Health Care System, LLC</w:t>
    </w:r>
    <w:r w:rsidR="00771764">
      <w:rPr>
        <w:b/>
        <w:bCs/>
        <w:sz w:val="28"/>
        <w:szCs w:val="28"/>
      </w:rPr>
      <w:t xml:space="preserve"> - </w:t>
    </w:r>
    <w:r>
      <w:rPr>
        <w:b/>
        <w:bCs/>
        <w:sz w:val="28"/>
        <w:szCs w:val="28"/>
      </w:rPr>
      <w:t xml:space="preserve">Good Samaritan Medical Center </w:t>
    </w:r>
  </w:p>
  <w:p w14:paraId="6BCC5355" w14:textId="307F650C" w:rsidR="00FB665D" w:rsidRDefault="00771764" w:rsidP="00771764">
    <w:pPr>
      <w:pStyle w:val="Header"/>
      <w:spacing w:after="0" w:line="240" w:lineRule="auto"/>
      <w:jc w:val="center"/>
      <w:rPr>
        <w:b/>
        <w:bCs/>
        <w:sz w:val="28"/>
        <w:szCs w:val="28"/>
      </w:rPr>
    </w:pPr>
    <w:proofErr w:type="spellStart"/>
    <w:r>
      <w:rPr>
        <w:b/>
        <w:bCs/>
        <w:sz w:val="28"/>
        <w:szCs w:val="28"/>
      </w:rPr>
      <w:t>DoN</w:t>
    </w:r>
    <w:proofErr w:type="spellEnd"/>
    <w:r>
      <w:rPr>
        <w:b/>
        <w:bCs/>
        <w:sz w:val="28"/>
        <w:szCs w:val="28"/>
      </w:rPr>
      <w:t xml:space="preserve"> </w:t>
    </w:r>
    <w:r w:rsidR="00FB665D">
      <w:rPr>
        <w:b/>
        <w:bCs/>
        <w:sz w:val="28"/>
        <w:szCs w:val="28"/>
      </w:rPr>
      <w:t xml:space="preserve">Application </w:t>
    </w:r>
    <w:r w:rsidR="00FB665D" w:rsidRPr="004B35D9">
      <w:rPr>
        <w:b/>
        <w:bCs/>
        <w:sz w:val="28"/>
        <w:szCs w:val="28"/>
      </w:rPr>
      <w:t># 22111516</w:t>
    </w:r>
  </w:p>
  <w:p w14:paraId="22543E19" w14:textId="183C5D04" w:rsidR="00771764" w:rsidRPr="00771764" w:rsidRDefault="00771764" w:rsidP="00771764">
    <w:pPr>
      <w:pStyle w:val="Header"/>
      <w:spacing w:after="0" w:line="240" w:lineRule="auto"/>
      <w:jc w:val="center"/>
      <w:rPr>
        <w:b/>
        <w:bCs/>
        <w:sz w:val="28"/>
        <w:szCs w:val="28"/>
      </w:rPr>
    </w:pPr>
    <w:r>
      <w:rPr>
        <w:b/>
        <w:bCs/>
        <w:sz w:val="28"/>
        <w:szCs w:val="28"/>
      </w:rPr>
      <w:t xml:space="preserve">Applicant Responses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F785F"/>
    <w:multiLevelType w:val="hybridMultilevel"/>
    <w:tmpl w:val="F3406236"/>
    <w:lvl w:ilvl="0" w:tplc="A886CBCC">
      <w:start w:val="1"/>
      <w:numFmt w:val="bullet"/>
      <w:pStyle w:val="HBsbul"/>
      <w:lvlText w:val=""/>
      <w:lvlJc w:val="left"/>
      <w:pPr>
        <w:tabs>
          <w:tab w:val="num" w:pos="720"/>
        </w:tabs>
        <w:ind w:left="72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9A11E8"/>
    <w:multiLevelType w:val="hybridMultilevel"/>
    <w:tmpl w:val="4694F2FE"/>
    <w:lvl w:ilvl="0" w:tplc="58ECB79A">
      <w:start w:val="1"/>
      <w:numFmt w:val="bullet"/>
      <w:pStyle w:val="HBbul"/>
      <w:lvlText w:val=""/>
      <w:lvlJc w:val="left"/>
      <w:pPr>
        <w:tabs>
          <w:tab w:val="num" w:pos="360"/>
        </w:tabs>
        <w:ind w:left="360" w:hanging="360"/>
      </w:pPr>
      <w:rPr>
        <w:rFonts w:ascii="Wingdings" w:hAnsi="Wingdings"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964655"/>
    <w:multiLevelType w:val="multilevel"/>
    <w:tmpl w:val="FA786600"/>
    <w:lvl w:ilvl="0">
      <w:start w:val="1"/>
      <w:numFmt w:val="bullet"/>
      <w:lvlText w:val=""/>
      <w:lvlJc w:val="left"/>
      <w:pPr>
        <w:tabs>
          <w:tab w:val="num" w:pos="1800"/>
        </w:tabs>
        <w:ind w:left="1800" w:hanging="360"/>
      </w:pPr>
      <w:rPr>
        <w:rFonts w:ascii="Symbol" w:hAnsi="Symbol" w:hint="default"/>
        <w:sz w:val="20"/>
      </w:rPr>
    </w:lvl>
    <w:lvl w:ilvl="1">
      <w:start w:val="1"/>
      <w:numFmt w:val="bullet"/>
      <w:lvlText w:val=""/>
      <w:lvlJc w:val="left"/>
      <w:pPr>
        <w:tabs>
          <w:tab w:val="num" w:pos="2520"/>
        </w:tabs>
        <w:ind w:left="2520" w:hanging="360"/>
      </w:pPr>
      <w:rPr>
        <w:rFonts w:ascii="Symbol" w:hAnsi="Symbol" w:hint="default"/>
        <w:sz w:val="20"/>
      </w:rPr>
    </w:lvl>
    <w:lvl w:ilvl="2">
      <w:start w:val="1"/>
      <w:numFmt w:val="bullet"/>
      <w:lvlText w:val=""/>
      <w:lvlJc w:val="left"/>
      <w:pPr>
        <w:tabs>
          <w:tab w:val="num" w:pos="3240"/>
        </w:tabs>
        <w:ind w:left="3240" w:hanging="360"/>
      </w:pPr>
      <w:rPr>
        <w:rFonts w:ascii="Symbol" w:hAnsi="Symbol" w:hint="default"/>
        <w:sz w:val="20"/>
      </w:rPr>
    </w:lvl>
    <w:lvl w:ilvl="3">
      <w:start w:val="1"/>
      <w:numFmt w:val="bullet"/>
      <w:lvlText w:val=""/>
      <w:lvlJc w:val="left"/>
      <w:pPr>
        <w:tabs>
          <w:tab w:val="num" w:pos="3960"/>
        </w:tabs>
        <w:ind w:left="3960" w:hanging="360"/>
      </w:pPr>
      <w:rPr>
        <w:rFonts w:ascii="Symbol" w:hAnsi="Symbol" w:hint="default"/>
        <w:sz w:val="20"/>
      </w:rPr>
    </w:lvl>
    <w:lvl w:ilvl="4">
      <w:start w:val="1"/>
      <w:numFmt w:val="bullet"/>
      <w:lvlText w:val=""/>
      <w:lvlJc w:val="left"/>
      <w:pPr>
        <w:tabs>
          <w:tab w:val="num" w:pos="4680"/>
        </w:tabs>
        <w:ind w:left="4680" w:hanging="360"/>
      </w:pPr>
      <w:rPr>
        <w:rFonts w:ascii="Symbol" w:hAnsi="Symbol" w:hint="default"/>
        <w:sz w:val="20"/>
      </w:rPr>
    </w:lvl>
    <w:lvl w:ilvl="5">
      <w:start w:val="1"/>
      <w:numFmt w:val="bullet"/>
      <w:lvlText w:val=""/>
      <w:lvlJc w:val="left"/>
      <w:pPr>
        <w:tabs>
          <w:tab w:val="num" w:pos="5400"/>
        </w:tabs>
        <w:ind w:left="5400" w:hanging="360"/>
      </w:pPr>
      <w:rPr>
        <w:rFonts w:ascii="Symbol" w:hAnsi="Symbol" w:hint="default"/>
        <w:sz w:val="20"/>
      </w:rPr>
    </w:lvl>
    <w:lvl w:ilvl="6">
      <w:start w:val="1"/>
      <w:numFmt w:val="bullet"/>
      <w:lvlText w:val=""/>
      <w:lvlJc w:val="left"/>
      <w:pPr>
        <w:tabs>
          <w:tab w:val="num" w:pos="6120"/>
        </w:tabs>
        <w:ind w:left="6120" w:hanging="360"/>
      </w:pPr>
      <w:rPr>
        <w:rFonts w:ascii="Symbol" w:hAnsi="Symbol" w:hint="default"/>
        <w:sz w:val="20"/>
      </w:rPr>
    </w:lvl>
    <w:lvl w:ilvl="7">
      <w:start w:val="1"/>
      <w:numFmt w:val="bullet"/>
      <w:lvlText w:val=""/>
      <w:lvlJc w:val="left"/>
      <w:pPr>
        <w:tabs>
          <w:tab w:val="num" w:pos="6840"/>
        </w:tabs>
        <w:ind w:left="6840" w:hanging="360"/>
      </w:pPr>
      <w:rPr>
        <w:rFonts w:ascii="Symbol" w:hAnsi="Symbol" w:hint="default"/>
        <w:sz w:val="20"/>
      </w:rPr>
    </w:lvl>
    <w:lvl w:ilvl="8">
      <w:start w:val="1"/>
      <w:numFmt w:val="bullet"/>
      <w:lvlText w:val=""/>
      <w:lvlJc w:val="left"/>
      <w:pPr>
        <w:tabs>
          <w:tab w:val="num" w:pos="7560"/>
        </w:tabs>
        <w:ind w:left="7560" w:hanging="360"/>
      </w:pPr>
      <w:rPr>
        <w:rFonts w:ascii="Symbol" w:hAnsi="Symbol" w:hint="default"/>
        <w:sz w:val="20"/>
      </w:rPr>
    </w:lvl>
  </w:abstractNum>
  <w:abstractNum w:abstractNumId="3" w15:restartNumberingAfterBreak="0">
    <w:nsid w:val="34536E01"/>
    <w:multiLevelType w:val="hybridMultilevel"/>
    <w:tmpl w:val="FFFFFFFF"/>
    <w:lvl w:ilvl="0" w:tplc="FFFFFFFF">
      <w:start w:val="1"/>
      <w:numFmt w:val="decimal"/>
      <w:lvlText w:val=""/>
      <w:lvlJc w:val="left"/>
      <w:pPr>
        <w:ind w:left="720" w:firstLine="0"/>
      </w:pPr>
    </w:lvl>
    <w:lvl w:ilvl="1" w:tplc="FFFFFFFF">
      <w:numFmt w:val="decimal"/>
      <w:lvlText w:val=""/>
      <w:lvlJc w:val="left"/>
      <w:pPr>
        <w:ind w:left="720" w:firstLine="0"/>
      </w:pPr>
    </w:lvl>
    <w:lvl w:ilvl="2" w:tplc="FFFFFFFF">
      <w:numFmt w:val="decimal"/>
      <w:lvlText w:val=""/>
      <w:lvlJc w:val="left"/>
      <w:pPr>
        <w:ind w:left="720" w:firstLine="0"/>
      </w:pPr>
    </w:lvl>
    <w:lvl w:ilvl="3" w:tplc="FFFFFFFF">
      <w:numFmt w:val="decimal"/>
      <w:lvlText w:val=""/>
      <w:lvlJc w:val="left"/>
      <w:pPr>
        <w:ind w:left="720" w:firstLine="0"/>
      </w:pPr>
    </w:lvl>
    <w:lvl w:ilvl="4" w:tplc="FFFFFFFF">
      <w:numFmt w:val="decimal"/>
      <w:lvlText w:val=""/>
      <w:lvlJc w:val="left"/>
      <w:pPr>
        <w:ind w:left="720" w:firstLine="0"/>
      </w:pPr>
    </w:lvl>
    <w:lvl w:ilvl="5" w:tplc="FFFFFFFF">
      <w:numFmt w:val="decimal"/>
      <w:lvlText w:val=""/>
      <w:lvlJc w:val="left"/>
      <w:pPr>
        <w:ind w:left="720" w:firstLine="0"/>
      </w:pPr>
    </w:lvl>
    <w:lvl w:ilvl="6" w:tplc="FFFFFFFF">
      <w:numFmt w:val="decimal"/>
      <w:lvlText w:val=""/>
      <w:lvlJc w:val="left"/>
      <w:pPr>
        <w:ind w:left="720" w:firstLine="0"/>
      </w:pPr>
    </w:lvl>
    <w:lvl w:ilvl="7" w:tplc="FFFFFFFF">
      <w:numFmt w:val="decimal"/>
      <w:lvlText w:val=""/>
      <w:lvlJc w:val="left"/>
      <w:pPr>
        <w:ind w:left="720" w:firstLine="0"/>
      </w:pPr>
    </w:lvl>
    <w:lvl w:ilvl="8" w:tplc="FFFFFFFF">
      <w:numFmt w:val="decimal"/>
      <w:lvlText w:val=""/>
      <w:lvlJc w:val="left"/>
      <w:pPr>
        <w:ind w:left="720" w:firstLine="0"/>
      </w:pPr>
    </w:lvl>
  </w:abstractNum>
  <w:abstractNum w:abstractNumId="4" w15:restartNumberingAfterBreak="0">
    <w:nsid w:val="36CA3199"/>
    <w:multiLevelType w:val="hybridMultilevel"/>
    <w:tmpl w:val="1884E6EC"/>
    <w:lvl w:ilvl="0" w:tplc="0409000F">
      <w:start w:val="1"/>
      <w:numFmt w:val="decimal"/>
      <w:lvlText w:val="%1."/>
      <w:lvlJc w:val="left"/>
      <w:pPr>
        <w:ind w:left="720" w:hanging="360"/>
      </w:pPr>
      <w:rPr>
        <w:rFonts w:hint="default"/>
      </w:rPr>
    </w:lvl>
    <w:lvl w:ilvl="1" w:tplc="A16423DC">
      <w:start w:val="1"/>
      <w:numFmt w:val="lowerLetter"/>
      <w:lvlText w:val="%2."/>
      <w:lvlJc w:val="left"/>
      <w:pPr>
        <w:ind w:left="1440" w:hanging="360"/>
      </w:pPr>
      <w:rPr>
        <w:b/>
        <w:bCs/>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38172D"/>
    <w:multiLevelType w:val="hybridMultilevel"/>
    <w:tmpl w:val="B41C468A"/>
    <w:lvl w:ilvl="0" w:tplc="926A6CD2">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4D86457"/>
    <w:multiLevelType w:val="hybridMultilevel"/>
    <w:tmpl w:val="5C6E7B48"/>
    <w:lvl w:ilvl="0" w:tplc="8E84EB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66985680">
    <w:abstractNumId w:val="1"/>
  </w:num>
  <w:num w:numId="2" w16cid:durableId="389112835">
    <w:abstractNumId w:val="0"/>
  </w:num>
  <w:num w:numId="3" w16cid:durableId="961347990">
    <w:abstractNumId w:val="4"/>
  </w:num>
  <w:num w:numId="4" w16cid:durableId="11522569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08785469">
    <w:abstractNumId w:val="3"/>
    <w:lvlOverride w:ilvl="0">
      <w:startOverride w:val="1"/>
    </w:lvlOverride>
    <w:lvlOverride w:ilvl="1"/>
    <w:lvlOverride w:ilvl="2"/>
    <w:lvlOverride w:ilvl="3"/>
    <w:lvlOverride w:ilvl="4"/>
    <w:lvlOverride w:ilvl="5"/>
    <w:lvlOverride w:ilvl="6"/>
    <w:lvlOverride w:ilvl="7"/>
    <w:lvlOverride w:ilvl="8"/>
  </w:num>
  <w:num w:numId="6" w16cid:durableId="1142191986">
    <w:abstractNumId w:val="6"/>
  </w:num>
  <w:num w:numId="7" w16cid:durableId="18657487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65D"/>
    <w:rsid w:val="00015A57"/>
    <w:rsid w:val="0004070C"/>
    <w:rsid w:val="00063FFA"/>
    <w:rsid w:val="000B57AA"/>
    <w:rsid w:val="001049C7"/>
    <w:rsid w:val="00173285"/>
    <w:rsid w:val="001B4DA4"/>
    <w:rsid w:val="001B7449"/>
    <w:rsid w:val="00201BB4"/>
    <w:rsid w:val="00207025"/>
    <w:rsid w:val="002A38DF"/>
    <w:rsid w:val="002E461D"/>
    <w:rsid w:val="00310D0F"/>
    <w:rsid w:val="00326CA8"/>
    <w:rsid w:val="003636F5"/>
    <w:rsid w:val="00385151"/>
    <w:rsid w:val="003D3C71"/>
    <w:rsid w:val="00413F83"/>
    <w:rsid w:val="00441834"/>
    <w:rsid w:val="00494EF3"/>
    <w:rsid w:val="00501F35"/>
    <w:rsid w:val="00551A26"/>
    <w:rsid w:val="00572850"/>
    <w:rsid w:val="005A46B5"/>
    <w:rsid w:val="005C31F9"/>
    <w:rsid w:val="005D2A80"/>
    <w:rsid w:val="005E356A"/>
    <w:rsid w:val="006000F8"/>
    <w:rsid w:val="0060533B"/>
    <w:rsid w:val="00666981"/>
    <w:rsid w:val="00675FBD"/>
    <w:rsid w:val="00684D7E"/>
    <w:rsid w:val="006A3877"/>
    <w:rsid w:val="007577C9"/>
    <w:rsid w:val="00771764"/>
    <w:rsid w:val="00794E44"/>
    <w:rsid w:val="007B5E06"/>
    <w:rsid w:val="007D6410"/>
    <w:rsid w:val="007E6BE9"/>
    <w:rsid w:val="00827110"/>
    <w:rsid w:val="00882EF8"/>
    <w:rsid w:val="00893A31"/>
    <w:rsid w:val="008C06FF"/>
    <w:rsid w:val="008C138D"/>
    <w:rsid w:val="008D5022"/>
    <w:rsid w:val="008D686A"/>
    <w:rsid w:val="008D712D"/>
    <w:rsid w:val="009107C9"/>
    <w:rsid w:val="009536EA"/>
    <w:rsid w:val="00965C03"/>
    <w:rsid w:val="009708E0"/>
    <w:rsid w:val="0099703A"/>
    <w:rsid w:val="00A03CE1"/>
    <w:rsid w:val="00A20718"/>
    <w:rsid w:val="00A73AD2"/>
    <w:rsid w:val="00C20F55"/>
    <w:rsid w:val="00C31B08"/>
    <w:rsid w:val="00C34FA8"/>
    <w:rsid w:val="00C43EA6"/>
    <w:rsid w:val="00C655E5"/>
    <w:rsid w:val="00CB7E9A"/>
    <w:rsid w:val="00CC4775"/>
    <w:rsid w:val="00DC27AF"/>
    <w:rsid w:val="00DE7AAE"/>
    <w:rsid w:val="00DF39EF"/>
    <w:rsid w:val="00F03EE6"/>
    <w:rsid w:val="00F07059"/>
    <w:rsid w:val="00F156C3"/>
    <w:rsid w:val="00F56706"/>
    <w:rsid w:val="00FB665D"/>
    <w:rsid w:val="00FC5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5325F"/>
  <w15:chartTrackingRefBased/>
  <w15:docId w15:val="{38347300-97EC-4505-8EA6-1B7F309C8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5E5"/>
    <w:rPr>
      <w:rFonts w:eastAsiaTheme="minorHAnsi"/>
    </w:rPr>
  </w:style>
  <w:style w:type="paragraph" w:styleId="Heading1">
    <w:name w:val="heading 1"/>
    <w:basedOn w:val="Normal"/>
    <w:next w:val="Normal"/>
    <w:link w:val="Heading1Char"/>
    <w:uiPriority w:val="1"/>
    <w:qFormat/>
    <w:rsid w:val="00C31B08"/>
    <w:pPr>
      <w:spacing w:after="240"/>
      <w:outlineLvl w:val="0"/>
    </w:pPr>
    <w:rPr>
      <w:snapToGrid w:val="0"/>
    </w:rPr>
  </w:style>
  <w:style w:type="paragraph" w:styleId="Heading2">
    <w:name w:val="heading 2"/>
    <w:basedOn w:val="Normal"/>
    <w:next w:val="Normal"/>
    <w:link w:val="Heading2Char"/>
    <w:uiPriority w:val="1"/>
    <w:qFormat/>
    <w:rsid w:val="00C31B08"/>
    <w:pPr>
      <w:spacing w:after="240"/>
      <w:outlineLvl w:val="1"/>
    </w:pPr>
    <w:rPr>
      <w:snapToGrid w:val="0"/>
    </w:rPr>
  </w:style>
  <w:style w:type="paragraph" w:styleId="Heading3">
    <w:name w:val="heading 3"/>
    <w:basedOn w:val="Normal"/>
    <w:next w:val="Normal"/>
    <w:link w:val="Heading3Char"/>
    <w:uiPriority w:val="1"/>
    <w:qFormat/>
    <w:rsid w:val="00C31B08"/>
    <w:pPr>
      <w:spacing w:after="240"/>
      <w:outlineLvl w:val="2"/>
    </w:pPr>
    <w:rPr>
      <w:snapToGrid w:val="0"/>
    </w:rPr>
  </w:style>
  <w:style w:type="paragraph" w:styleId="Heading4">
    <w:name w:val="heading 4"/>
    <w:basedOn w:val="Normal"/>
    <w:next w:val="Normal"/>
    <w:link w:val="Heading4Char"/>
    <w:uiPriority w:val="1"/>
    <w:qFormat/>
    <w:rsid w:val="00C31B08"/>
    <w:pPr>
      <w:spacing w:after="240"/>
      <w:outlineLvl w:val="3"/>
    </w:pPr>
    <w:rPr>
      <w:snapToGrid w:val="0"/>
    </w:rPr>
  </w:style>
  <w:style w:type="paragraph" w:styleId="Heading5">
    <w:name w:val="heading 5"/>
    <w:basedOn w:val="Normal"/>
    <w:next w:val="Normal"/>
    <w:link w:val="Heading5Char"/>
    <w:uiPriority w:val="1"/>
    <w:qFormat/>
    <w:rsid w:val="00C31B08"/>
    <w:pPr>
      <w:spacing w:after="240"/>
      <w:outlineLvl w:val="4"/>
    </w:pPr>
    <w:rPr>
      <w:snapToGrid w:val="0"/>
    </w:rPr>
  </w:style>
  <w:style w:type="paragraph" w:styleId="Heading6">
    <w:name w:val="heading 6"/>
    <w:basedOn w:val="Normal"/>
    <w:next w:val="Normal"/>
    <w:link w:val="Heading6Char"/>
    <w:uiPriority w:val="1"/>
    <w:qFormat/>
    <w:rsid w:val="00C31B08"/>
    <w:pPr>
      <w:tabs>
        <w:tab w:val="num" w:pos="2160"/>
      </w:tabs>
      <w:spacing w:after="240"/>
      <w:outlineLvl w:val="5"/>
    </w:pPr>
  </w:style>
  <w:style w:type="paragraph" w:styleId="Heading7">
    <w:name w:val="heading 7"/>
    <w:basedOn w:val="Normal"/>
    <w:next w:val="Normal"/>
    <w:link w:val="Heading7Char"/>
    <w:uiPriority w:val="1"/>
    <w:qFormat/>
    <w:rsid w:val="00C31B08"/>
    <w:pPr>
      <w:tabs>
        <w:tab w:val="num" w:pos="2520"/>
      </w:tabs>
      <w:spacing w:after="240"/>
      <w:outlineLvl w:val="6"/>
    </w:pPr>
  </w:style>
  <w:style w:type="paragraph" w:styleId="Heading8">
    <w:name w:val="heading 8"/>
    <w:basedOn w:val="Normal"/>
    <w:next w:val="Normal"/>
    <w:link w:val="Heading8Char"/>
    <w:uiPriority w:val="1"/>
    <w:qFormat/>
    <w:rsid w:val="00C31B08"/>
    <w:pPr>
      <w:tabs>
        <w:tab w:val="num" w:pos="2880"/>
      </w:tabs>
      <w:spacing w:after="240"/>
      <w:outlineLvl w:val="7"/>
    </w:pPr>
  </w:style>
  <w:style w:type="paragraph" w:styleId="Heading9">
    <w:name w:val="heading 9"/>
    <w:basedOn w:val="Normal"/>
    <w:next w:val="Normal"/>
    <w:link w:val="Heading9Char"/>
    <w:uiPriority w:val="1"/>
    <w:qFormat/>
    <w:rsid w:val="00C31B08"/>
    <w:pPr>
      <w:tabs>
        <w:tab w:val="num" w:pos="3240"/>
      </w:tabs>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Bb">
    <w:name w:val="HBb"/>
    <w:basedOn w:val="Normal"/>
    <w:uiPriority w:val="1"/>
    <w:qFormat/>
    <w:rsid w:val="00C31B08"/>
    <w:pPr>
      <w:spacing w:after="240"/>
      <w:ind w:firstLine="720"/>
    </w:pPr>
  </w:style>
  <w:style w:type="paragraph" w:customStyle="1" w:styleId="HBbd">
    <w:name w:val="HBbd"/>
    <w:basedOn w:val="Normal"/>
    <w:uiPriority w:val="1"/>
    <w:qFormat/>
    <w:rsid w:val="00C31B08"/>
    <w:pPr>
      <w:spacing w:line="480" w:lineRule="auto"/>
      <w:ind w:firstLine="720"/>
    </w:pPr>
  </w:style>
  <w:style w:type="paragraph" w:customStyle="1" w:styleId="HBbj">
    <w:name w:val="HBbj"/>
    <w:basedOn w:val="Normal"/>
    <w:uiPriority w:val="1"/>
    <w:qFormat/>
    <w:rsid w:val="00C31B08"/>
    <w:pPr>
      <w:spacing w:after="240"/>
      <w:ind w:firstLine="720"/>
      <w:jc w:val="both"/>
    </w:pPr>
  </w:style>
  <w:style w:type="paragraph" w:customStyle="1" w:styleId="HBbjd">
    <w:name w:val="HBbjd"/>
    <w:basedOn w:val="Normal"/>
    <w:uiPriority w:val="1"/>
    <w:qFormat/>
    <w:rsid w:val="00C31B08"/>
    <w:pPr>
      <w:spacing w:line="480" w:lineRule="auto"/>
      <w:ind w:firstLine="720"/>
      <w:jc w:val="both"/>
    </w:pPr>
  </w:style>
  <w:style w:type="paragraph" w:customStyle="1" w:styleId="HBbl">
    <w:name w:val="HBbl"/>
    <w:basedOn w:val="Normal"/>
    <w:uiPriority w:val="1"/>
    <w:qFormat/>
    <w:rsid w:val="00C31B08"/>
    <w:pPr>
      <w:spacing w:after="240"/>
    </w:pPr>
  </w:style>
  <w:style w:type="paragraph" w:customStyle="1" w:styleId="HBbl1">
    <w:name w:val="HBbl1"/>
    <w:basedOn w:val="Normal"/>
    <w:uiPriority w:val="1"/>
    <w:qFormat/>
    <w:rsid w:val="00C31B08"/>
    <w:pPr>
      <w:spacing w:after="240"/>
      <w:ind w:left="720"/>
    </w:pPr>
  </w:style>
  <w:style w:type="paragraph" w:customStyle="1" w:styleId="HBbl1d">
    <w:name w:val="HBbl1d"/>
    <w:basedOn w:val="Normal"/>
    <w:uiPriority w:val="1"/>
    <w:qFormat/>
    <w:rsid w:val="00C31B08"/>
    <w:pPr>
      <w:spacing w:line="480" w:lineRule="auto"/>
      <w:ind w:left="720"/>
    </w:pPr>
  </w:style>
  <w:style w:type="paragraph" w:customStyle="1" w:styleId="HBbl1j">
    <w:name w:val="HBbl1j"/>
    <w:basedOn w:val="Normal"/>
    <w:uiPriority w:val="1"/>
    <w:qFormat/>
    <w:rsid w:val="00C31B08"/>
    <w:pPr>
      <w:spacing w:after="240"/>
      <w:ind w:left="720"/>
      <w:jc w:val="both"/>
    </w:pPr>
  </w:style>
  <w:style w:type="paragraph" w:customStyle="1" w:styleId="HBbl1jD">
    <w:name w:val="HBbl1jD"/>
    <w:basedOn w:val="Normal"/>
    <w:uiPriority w:val="1"/>
    <w:qFormat/>
    <w:rsid w:val="00C31B08"/>
    <w:pPr>
      <w:spacing w:line="480" w:lineRule="auto"/>
      <w:ind w:left="720"/>
      <w:jc w:val="both"/>
    </w:pPr>
  </w:style>
  <w:style w:type="paragraph" w:customStyle="1" w:styleId="HBbld">
    <w:name w:val="HBbld"/>
    <w:basedOn w:val="Normal"/>
    <w:uiPriority w:val="1"/>
    <w:qFormat/>
    <w:rsid w:val="00C31B08"/>
    <w:pPr>
      <w:spacing w:line="480" w:lineRule="auto"/>
    </w:pPr>
  </w:style>
  <w:style w:type="paragraph" w:customStyle="1" w:styleId="HBblj">
    <w:name w:val="HBblj"/>
    <w:basedOn w:val="Normal"/>
    <w:uiPriority w:val="1"/>
    <w:qFormat/>
    <w:rsid w:val="00C31B08"/>
    <w:pPr>
      <w:spacing w:after="240"/>
      <w:jc w:val="both"/>
    </w:pPr>
  </w:style>
  <w:style w:type="paragraph" w:customStyle="1" w:styleId="HBbljd">
    <w:name w:val="HBbljd"/>
    <w:basedOn w:val="Normal"/>
    <w:uiPriority w:val="1"/>
    <w:qFormat/>
    <w:rsid w:val="00C31B08"/>
    <w:pPr>
      <w:spacing w:line="480" w:lineRule="auto"/>
      <w:jc w:val="both"/>
    </w:pPr>
  </w:style>
  <w:style w:type="paragraph" w:customStyle="1" w:styleId="HBbul">
    <w:name w:val="HBbul"/>
    <w:basedOn w:val="Normal"/>
    <w:uiPriority w:val="1"/>
    <w:qFormat/>
    <w:rsid w:val="00C31B08"/>
    <w:pPr>
      <w:keepLines/>
      <w:numPr>
        <w:numId w:val="1"/>
      </w:numPr>
      <w:spacing w:before="120" w:after="120"/>
    </w:pPr>
    <w:rPr>
      <w:sz w:val="18"/>
    </w:rPr>
  </w:style>
  <w:style w:type="paragraph" w:customStyle="1" w:styleId="HBh">
    <w:name w:val="HBh"/>
    <w:basedOn w:val="Normal"/>
    <w:uiPriority w:val="1"/>
    <w:qFormat/>
    <w:rsid w:val="00C31B08"/>
    <w:pPr>
      <w:spacing w:after="240"/>
      <w:ind w:left="720" w:hanging="720"/>
    </w:pPr>
  </w:style>
  <w:style w:type="paragraph" w:customStyle="1" w:styleId="HBhd">
    <w:name w:val="HBhd"/>
    <w:basedOn w:val="Normal"/>
    <w:uiPriority w:val="1"/>
    <w:qFormat/>
    <w:rsid w:val="00C31B08"/>
    <w:pPr>
      <w:spacing w:line="480" w:lineRule="auto"/>
      <w:ind w:left="720" w:hanging="720"/>
    </w:pPr>
  </w:style>
  <w:style w:type="paragraph" w:customStyle="1" w:styleId="HBq">
    <w:name w:val="HBq"/>
    <w:basedOn w:val="Normal"/>
    <w:uiPriority w:val="1"/>
    <w:qFormat/>
    <w:rsid w:val="00C31B08"/>
    <w:pPr>
      <w:spacing w:after="240"/>
      <w:ind w:left="720" w:right="720"/>
    </w:pPr>
  </w:style>
  <w:style w:type="paragraph" w:customStyle="1" w:styleId="HBqj">
    <w:name w:val="HBqj"/>
    <w:basedOn w:val="Normal"/>
    <w:uiPriority w:val="1"/>
    <w:qFormat/>
    <w:rsid w:val="00C31B08"/>
    <w:pPr>
      <w:spacing w:after="240"/>
      <w:ind w:left="720" w:right="720"/>
      <w:jc w:val="both"/>
    </w:pPr>
  </w:style>
  <w:style w:type="paragraph" w:customStyle="1" w:styleId="HBsbul">
    <w:name w:val="HBsbul"/>
    <w:basedOn w:val="Normal"/>
    <w:uiPriority w:val="1"/>
    <w:qFormat/>
    <w:rsid w:val="00C31B08"/>
    <w:pPr>
      <w:numPr>
        <w:numId w:val="2"/>
      </w:numPr>
      <w:spacing w:after="120"/>
    </w:pPr>
    <w:rPr>
      <w:sz w:val="18"/>
    </w:rPr>
  </w:style>
  <w:style w:type="paragraph" w:customStyle="1" w:styleId="HBsig">
    <w:name w:val="HBsig"/>
    <w:basedOn w:val="Normal"/>
    <w:uiPriority w:val="1"/>
    <w:qFormat/>
    <w:rsid w:val="00C31B08"/>
    <w:pPr>
      <w:keepNext/>
      <w:tabs>
        <w:tab w:val="right" w:pos="9216"/>
      </w:tabs>
      <w:ind w:left="4320"/>
    </w:pPr>
  </w:style>
  <w:style w:type="paragraph" w:customStyle="1" w:styleId="HBsl">
    <w:name w:val="HBsl"/>
    <w:basedOn w:val="Normal"/>
    <w:next w:val="HBb"/>
    <w:uiPriority w:val="1"/>
    <w:qFormat/>
    <w:rsid w:val="00C31B08"/>
    <w:pPr>
      <w:keepNext/>
      <w:spacing w:after="240"/>
    </w:pPr>
    <w:rPr>
      <w:u w:val="single"/>
    </w:rPr>
  </w:style>
  <w:style w:type="paragraph" w:customStyle="1" w:styleId="HBslb">
    <w:name w:val="HBslb"/>
    <w:basedOn w:val="Normal"/>
    <w:next w:val="Normal"/>
    <w:uiPriority w:val="1"/>
    <w:qFormat/>
    <w:rsid w:val="00C31B08"/>
    <w:pPr>
      <w:keepNext/>
      <w:spacing w:after="240"/>
      <w:outlineLvl w:val="1"/>
    </w:pPr>
    <w:rPr>
      <w:b/>
      <w:u w:val="single"/>
    </w:rPr>
  </w:style>
  <w:style w:type="paragraph" w:customStyle="1" w:styleId="HBsn">
    <w:name w:val="HBsn"/>
    <w:basedOn w:val="Normal"/>
    <w:uiPriority w:val="1"/>
    <w:qFormat/>
    <w:rsid w:val="00C31B08"/>
    <w:pPr>
      <w:keepNext/>
      <w:spacing w:before="960" w:after="240"/>
      <w:ind w:left="4320"/>
      <w:contextualSpacing/>
    </w:pPr>
  </w:style>
  <w:style w:type="paragraph" w:customStyle="1" w:styleId="HBtb2">
    <w:name w:val="HBtb2"/>
    <w:basedOn w:val="Normal"/>
    <w:uiPriority w:val="1"/>
    <w:qFormat/>
    <w:rsid w:val="00C31B08"/>
    <w:pPr>
      <w:keepNext/>
      <w:spacing w:after="240"/>
      <w:jc w:val="center"/>
      <w:outlineLvl w:val="0"/>
    </w:pPr>
    <w:rPr>
      <w:b/>
    </w:rPr>
  </w:style>
  <w:style w:type="paragraph" w:customStyle="1" w:styleId="HBtbu">
    <w:name w:val="HBtbu"/>
    <w:basedOn w:val="Normal"/>
    <w:uiPriority w:val="1"/>
    <w:qFormat/>
    <w:rsid w:val="00C31B08"/>
    <w:pPr>
      <w:keepNext/>
      <w:spacing w:after="240"/>
      <w:jc w:val="center"/>
      <w:outlineLvl w:val="0"/>
    </w:pPr>
    <w:rPr>
      <w:b/>
      <w:u w:val="single"/>
    </w:rPr>
  </w:style>
  <w:style w:type="paragraph" w:customStyle="1" w:styleId="HBtbu3">
    <w:name w:val="HBtbu3"/>
    <w:basedOn w:val="Normal"/>
    <w:uiPriority w:val="1"/>
    <w:qFormat/>
    <w:rsid w:val="00C31B08"/>
    <w:pPr>
      <w:keepNext/>
      <w:spacing w:after="480"/>
      <w:jc w:val="center"/>
      <w:outlineLvl w:val="0"/>
    </w:pPr>
    <w:rPr>
      <w:b/>
      <w:u w:val="single"/>
    </w:rPr>
  </w:style>
  <w:style w:type="paragraph" w:customStyle="1" w:styleId="HBtu2">
    <w:name w:val="HBtu2"/>
    <w:basedOn w:val="Normal"/>
    <w:uiPriority w:val="1"/>
    <w:qFormat/>
    <w:rsid w:val="00C31B08"/>
    <w:pPr>
      <w:keepNext/>
      <w:spacing w:after="240"/>
      <w:jc w:val="center"/>
      <w:outlineLvl w:val="0"/>
    </w:pPr>
    <w:rPr>
      <w:u w:val="single"/>
    </w:rPr>
  </w:style>
  <w:style w:type="character" w:customStyle="1" w:styleId="Heading1Char">
    <w:name w:val="Heading 1 Char"/>
    <w:link w:val="Heading1"/>
    <w:uiPriority w:val="1"/>
    <w:rsid w:val="00C31B08"/>
    <w:rPr>
      <w:rFonts w:ascii="Times New Roman" w:eastAsia="Times New Roman" w:hAnsi="Times New Roman" w:cs="Times New Roman"/>
      <w:snapToGrid w:val="0"/>
      <w:sz w:val="24"/>
      <w:szCs w:val="24"/>
    </w:rPr>
  </w:style>
  <w:style w:type="character" w:customStyle="1" w:styleId="Heading2Char">
    <w:name w:val="Heading 2 Char"/>
    <w:link w:val="Heading2"/>
    <w:uiPriority w:val="1"/>
    <w:rsid w:val="00C31B08"/>
    <w:rPr>
      <w:rFonts w:ascii="Times New Roman" w:eastAsia="Times New Roman" w:hAnsi="Times New Roman" w:cs="Times New Roman"/>
      <w:snapToGrid w:val="0"/>
      <w:sz w:val="24"/>
      <w:szCs w:val="24"/>
    </w:rPr>
  </w:style>
  <w:style w:type="character" w:customStyle="1" w:styleId="Heading3Char">
    <w:name w:val="Heading 3 Char"/>
    <w:link w:val="Heading3"/>
    <w:uiPriority w:val="1"/>
    <w:rsid w:val="00C31B08"/>
    <w:rPr>
      <w:rFonts w:ascii="Times New Roman" w:eastAsia="Times New Roman" w:hAnsi="Times New Roman" w:cs="Times New Roman"/>
      <w:snapToGrid w:val="0"/>
      <w:sz w:val="24"/>
      <w:szCs w:val="24"/>
    </w:rPr>
  </w:style>
  <w:style w:type="character" w:customStyle="1" w:styleId="Heading4Char">
    <w:name w:val="Heading 4 Char"/>
    <w:link w:val="Heading4"/>
    <w:uiPriority w:val="1"/>
    <w:rsid w:val="00C31B08"/>
    <w:rPr>
      <w:rFonts w:ascii="Times New Roman" w:eastAsia="Times New Roman" w:hAnsi="Times New Roman" w:cs="Times New Roman"/>
      <w:snapToGrid w:val="0"/>
      <w:sz w:val="24"/>
      <w:szCs w:val="24"/>
    </w:rPr>
  </w:style>
  <w:style w:type="character" w:customStyle="1" w:styleId="Heading5Char">
    <w:name w:val="Heading 5 Char"/>
    <w:link w:val="Heading5"/>
    <w:uiPriority w:val="1"/>
    <w:rsid w:val="00C31B08"/>
    <w:rPr>
      <w:rFonts w:ascii="Times New Roman" w:eastAsia="Times New Roman" w:hAnsi="Times New Roman" w:cs="Times New Roman"/>
      <w:snapToGrid w:val="0"/>
      <w:sz w:val="24"/>
      <w:szCs w:val="24"/>
    </w:rPr>
  </w:style>
  <w:style w:type="character" w:customStyle="1" w:styleId="Heading6Char">
    <w:name w:val="Heading 6 Char"/>
    <w:link w:val="Heading6"/>
    <w:uiPriority w:val="1"/>
    <w:rsid w:val="00C31B08"/>
    <w:rPr>
      <w:rFonts w:ascii="Times New Roman" w:eastAsia="Times New Roman" w:hAnsi="Times New Roman" w:cs="Times New Roman"/>
      <w:sz w:val="24"/>
      <w:szCs w:val="24"/>
    </w:rPr>
  </w:style>
  <w:style w:type="character" w:customStyle="1" w:styleId="Heading7Char">
    <w:name w:val="Heading 7 Char"/>
    <w:link w:val="Heading7"/>
    <w:uiPriority w:val="1"/>
    <w:rsid w:val="00C31B08"/>
    <w:rPr>
      <w:rFonts w:ascii="Times New Roman" w:eastAsia="Times New Roman" w:hAnsi="Times New Roman" w:cs="Times New Roman"/>
      <w:sz w:val="24"/>
      <w:szCs w:val="24"/>
    </w:rPr>
  </w:style>
  <w:style w:type="character" w:customStyle="1" w:styleId="Heading8Char">
    <w:name w:val="Heading 8 Char"/>
    <w:link w:val="Heading8"/>
    <w:uiPriority w:val="1"/>
    <w:rsid w:val="00C31B08"/>
    <w:rPr>
      <w:rFonts w:ascii="Times New Roman" w:eastAsia="Times New Roman" w:hAnsi="Times New Roman" w:cs="Times New Roman"/>
      <w:sz w:val="24"/>
      <w:szCs w:val="24"/>
    </w:rPr>
  </w:style>
  <w:style w:type="character" w:customStyle="1" w:styleId="Heading9Char">
    <w:name w:val="Heading 9 Char"/>
    <w:link w:val="Heading9"/>
    <w:uiPriority w:val="1"/>
    <w:rsid w:val="00C31B08"/>
    <w:rPr>
      <w:rFonts w:ascii="Times New Roman" w:eastAsia="Times New Roman" w:hAnsi="Times New Roman" w:cs="Times New Roman"/>
      <w:sz w:val="24"/>
      <w:szCs w:val="24"/>
    </w:rPr>
  </w:style>
  <w:style w:type="paragraph" w:customStyle="1" w:styleId="MarysStyle">
    <w:name w:val="Mary's Style"/>
    <w:basedOn w:val="Normal"/>
    <w:uiPriority w:val="19"/>
    <w:semiHidden/>
    <w:rsid w:val="00C31B08"/>
    <w:rPr>
      <w:rFonts w:ascii="Chiller" w:hAnsi="Chiller"/>
      <w:color w:val="5F497A"/>
      <w:sz w:val="32"/>
    </w:rPr>
  </w:style>
  <w:style w:type="paragraph" w:styleId="Title">
    <w:name w:val="Title"/>
    <w:basedOn w:val="Normal"/>
    <w:link w:val="TitleChar"/>
    <w:uiPriority w:val="1"/>
    <w:qFormat/>
    <w:rsid w:val="00C31B08"/>
    <w:pPr>
      <w:spacing w:before="240" w:after="60"/>
      <w:jc w:val="center"/>
      <w:outlineLvl w:val="0"/>
    </w:pPr>
    <w:rPr>
      <w:rFonts w:cs="Arial"/>
      <w:b/>
      <w:bCs/>
      <w:kern w:val="28"/>
      <w:sz w:val="36"/>
      <w:szCs w:val="32"/>
    </w:rPr>
  </w:style>
  <w:style w:type="character" w:customStyle="1" w:styleId="TitleChar">
    <w:name w:val="Title Char"/>
    <w:link w:val="Title"/>
    <w:uiPriority w:val="1"/>
    <w:rsid w:val="00C31B08"/>
    <w:rPr>
      <w:rFonts w:ascii="Times New Roman" w:eastAsia="Times New Roman" w:hAnsi="Times New Roman" w:cs="Arial"/>
      <w:b/>
      <w:bCs/>
      <w:kern w:val="28"/>
      <w:sz w:val="36"/>
      <w:szCs w:val="32"/>
    </w:rPr>
  </w:style>
  <w:style w:type="paragraph" w:styleId="Header">
    <w:name w:val="header"/>
    <w:basedOn w:val="Normal"/>
    <w:link w:val="HeaderChar"/>
    <w:uiPriority w:val="99"/>
    <w:unhideWhenUsed/>
    <w:rsid w:val="00FB665D"/>
    <w:pPr>
      <w:tabs>
        <w:tab w:val="center" w:pos="4680"/>
        <w:tab w:val="right" w:pos="9360"/>
      </w:tabs>
    </w:pPr>
  </w:style>
  <w:style w:type="character" w:customStyle="1" w:styleId="HeaderChar">
    <w:name w:val="Header Char"/>
    <w:basedOn w:val="DefaultParagraphFont"/>
    <w:link w:val="Header"/>
    <w:uiPriority w:val="99"/>
    <w:rsid w:val="00FB665D"/>
    <w:rPr>
      <w:rFonts w:ascii="Times New Roman" w:hAnsi="Times New Roman" w:cs="Times New Roman"/>
      <w:sz w:val="24"/>
      <w:szCs w:val="24"/>
    </w:rPr>
  </w:style>
  <w:style w:type="paragraph" w:styleId="Footer">
    <w:name w:val="footer"/>
    <w:basedOn w:val="Normal"/>
    <w:link w:val="FooterChar"/>
    <w:uiPriority w:val="99"/>
    <w:unhideWhenUsed/>
    <w:rsid w:val="00FB665D"/>
    <w:pPr>
      <w:tabs>
        <w:tab w:val="center" w:pos="4680"/>
        <w:tab w:val="right" w:pos="9360"/>
      </w:tabs>
    </w:pPr>
  </w:style>
  <w:style w:type="character" w:customStyle="1" w:styleId="FooterChar">
    <w:name w:val="Footer Char"/>
    <w:basedOn w:val="DefaultParagraphFont"/>
    <w:link w:val="Footer"/>
    <w:uiPriority w:val="99"/>
    <w:rsid w:val="00FB665D"/>
    <w:rPr>
      <w:rFonts w:ascii="Times New Roman" w:hAnsi="Times New Roman" w:cs="Times New Roman"/>
      <w:sz w:val="24"/>
      <w:szCs w:val="24"/>
    </w:rPr>
  </w:style>
  <w:style w:type="paragraph" w:styleId="ListParagraph">
    <w:name w:val="List Paragraph"/>
    <w:basedOn w:val="Normal"/>
    <w:link w:val="ListParagraphChar"/>
    <w:uiPriority w:val="34"/>
    <w:qFormat/>
    <w:rsid w:val="00C655E5"/>
    <w:pPr>
      <w:ind w:left="720"/>
      <w:contextualSpacing/>
    </w:pPr>
  </w:style>
  <w:style w:type="table" w:styleId="TableGrid">
    <w:name w:val="Table Grid"/>
    <w:basedOn w:val="TableNormal"/>
    <w:uiPriority w:val="39"/>
    <w:rsid w:val="00C655E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C655E5"/>
    <w:pPr>
      <w:spacing w:after="0" w:line="240" w:lineRule="auto"/>
    </w:pPr>
    <w:rPr>
      <w:sz w:val="20"/>
      <w:szCs w:val="20"/>
    </w:rPr>
  </w:style>
  <w:style w:type="character" w:customStyle="1" w:styleId="FootnoteTextChar">
    <w:name w:val="Footnote Text Char"/>
    <w:basedOn w:val="DefaultParagraphFont"/>
    <w:link w:val="FootnoteText"/>
    <w:uiPriority w:val="99"/>
    <w:rsid w:val="00C655E5"/>
    <w:rPr>
      <w:rFonts w:eastAsiaTheme="minorHAnsi"/>
      <w:sz w:val="20"/>
      <w:szCs w:val="20"/>
    </w:rPr>
  </w:style>
  <w:style w:type="character" w:styleId="FootnoteReference">
    <w:name w:val="footnote reference"/>
    <w:basedOn w:val="DefaultParagraphFont"/>
    <w:uiPriority w:val="99"/>
    <w:unhideWhenUsed/>
    <w:rsid w:val="00C655E5"/>
    <w:rPr>
      <w:vertAlign w:val="superscript"/>
    </w:rPr>
  </w:style>
  <w:style w:type="character" w:customStyle="1" w:styleId="ListParagraphChar">
    <w:name w:val="List Paragraph Char"/>
    <w:basedOn w:val="DefaultParagraphFont"/>
    <w:link w:val="ListParagraph"/>
    <w:uiPriority w:val="34"/>
    <w:rsid w:val="00C655E5"/>
    <w:rPr>
      <w:rFonts w:eastAsiaTheme="minorHAnsi"/>
    </w:rPr>
  </w:style>
  <w:style w:type="character" w:customStyle="1" w:styleId="FootnoteTextChar1">
    <w:name w:val="Footnote Text Char1"/>
    <w:basedOn w:val="DefaultParagraphFont"/>
    <w:uiPriority w:val="99"/>
    <w:rsid w:val="001049C7"/>
    <w:rPr>
      <w:sz w:val="20"/>
      <w:szCs w:val="20"/>
    </w:rPr>
  </w:style>
  <w:style w:type="character" w:styleId="CommentReference">
    <w:name w:val="annotation reference"/>
    <w:basedOn w:val="DefaultParagraphFont"/>
    <w:uiPriority w:val="99"/>
    <w:semiHidden/>
    <w:unhideWhenUsed/>
    <w:rsid w:val="00771764"/>
    <w:rPr>
      <w:sz w:val="16"/>
      <w:szCs w:val="16"/>
    </w:rPr>
  </w:style>
  <w:style w:type="paragraph" w:styleId="CommentText">
    <w:name w:val="annotation text"/>
    <w:basedOn w:val="Normal"/>
    <w:link w:val="CommentTextChar"/>
    <w:uiPriority w:val="99"/>
    <w:semiHidden/>
    <w:unhideWhenUsed/>
    <w:rsid w:val="00771764"/>
    <w:pPr>
      <w:spacing w:line="240" w:lineRule="auto"/>
    </w:pPr>
    <w:rPr>
      <w:sz w:val="20"/>
      <w:szCs w:val="20"/>
    </w:rPr>
  </w:style>
  <w:style w:type="character" w:customStyle="1" w:styleId="CommentTextChar">
    <w:name w:val="Comment Text Char"/>
    <w:basedOn w:val="DefaultParagraphFont"/>
    <w:link w:val="CommentText"/>
    <w:uiPriority w:val="99"/>
    <w:semiHidden/>
    <w:rsid w:val="00771764"/>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771764"/>
    <w:rPr>
      <w:b/>
      <w:bCs/>
    </w:rPr>
  </w:style>
  <w:style w:type="character" w:customStyle="1" w:styleId="CommentSubjectChar">
    <w:name w:val="Comment Subject Char"/>
    <w:basedOn w:val="CommentTextChar"/>
    <w:link w:val="CommentSubject"/>
    <w:uiPriority w:val="99"/>
    <w:semiHidden/>
    <w:rsid w:val="00771764"/>
    <w:rPr>
      <w:rFonts w:eastAsiaTheme="minorHAnsi"/>
      <w:b/>
      <w:bCs/>
      <w:sz w:val="20"/>
      <w:szCs w:val="20"/>
    </w:rPr>
  </w:style>
  <w:style w:type="character" w:styleId="Hyperlink">
    <w:name w:val="Hyperlink"/>
    <w:basedOn w:val="DefaultParagraphFont"/>
    <w:uiPriority w:val="99"/>
    <w:semiHidden/>
    <w:unhideWhenUsed/>
    <w:rsid w:val="00666981"/>
    <w:rPr>
      <w:color w:val="0563C1"/>
      <w:u w:val="single"/>
    </w:rPr>
  </w:style>
  <w:style w:type="paragraph" w:customStyle="1" w:styleId="Default">
    <w:name w:val="Default"/>
    <w:basedOn w:val="Normal"/>
    <w:rsid w:val="00666981"/>
    <w:pPr>
      <w:autoSpaceDE w:val="0"/>
      <w:autoSpaceDN w:val="0"/>
      <w:spacing w:after="0" w:line="240" w:lineRule="auto"/>
    </w:pPr>
    <w:rPr>
      <w:rFonts w:ascii="TradeGothic Bold" w:hAnsi="TradeGothic Bold" w:cs="Calibri"/>
      <w:color w:val="000000"/>
      <w:sz w:val="24"/>
      <w:szCs w:val="24"/>
    </w:rPr>
  </w:style>
  <w:style w:type="paragraph" w:customStyle="1" w:styleId="Pa0">
    <w:name w:val="Pa0"/>
    <w:basedOn w:val="Normal"/>
    <w:uiPriority w:val="99"/>
    <w:rsid w:val="00666981"/>
    <w:pPr>
      <w:autoSpaceDE w:val="0"/>
      <w:autoSpaceDN w:val="0"/>
      <w:spacing w:after="0" w:line="241" w:lineRule="atLeast"/>
    </w:pPr>
    <w:rPr>
      <w:rFonts w:ascii="TradeGothic Bold" w:hAnsi="TradeGothic Bold" w:cs="Calibri"/>
      <w:sz w:val="24"/>
      <w:szCs w:val="24"/>
    </w:rPr>
  </w:style>
  <w:style w:type="character" w:customStyle="1" w:styleId="A2">
    <w:name w:val="A2"/>
    <w:basedOn w:val="DefaultParagraphFont"/>
    <w:uiPriority w:val="99"/>
    <w:rsid w:val="00666981"/>
    <w:rPr>
      <w:rFonts w:ascii="TradeGothic Bold" w:hAnsi="TradeGothic Bold" w:hint="default"/>
      <w:b/>
      <w:bCs/>
      <w:color w:val="000000"/>
    </w:rPr>
  </w:style>
  <w:style w:type="character" w:customStyle="1" w:styleId="A4">
    <w:name w:val="A4"/>
    <w:basedOn w:val="DefaultParagraphFont"/>
    <w:uiPriority w:val="99"/>
    <w:rsid w:val="00666981"/>
    <w:rPr>
      <w:rFonts w:ascii="TradeGothic CondEighteen" w:hAnsi="TradeGothic CondEighteen" w:hint="default"/>
      <w:b/>
      <w:bCs/>
      <w:color w:val="000000"/>
      <w:u w:val="single"/>
    </w:rPr>
  </w:style>
  <w:style w:type="paragraph" w:styleId="Revision">
    <w:name w:val="Revision"/>
    <w:hidden/>
    <w:uiPriority w:val="99"/>
    <w:semiHidden/>
    <w:rsid w:val="000B57AA"/>
    <w:pPr>
      <w:spacing w:after="0" w:line="240" w:lineRule="auto"/>
    </w:pPr>
    <w:rPr>
      <w:rFonts w:eastAsiaTheme="minorHAnsi"/>
    </w:rPr>
  </w:style>
  <w:style w:type="paragraph" w:customStyle="1" w:styleId="xmsonormal">
    <w:name w:val="x_msonormal"/>
    <w:basedOn w:val="Normal"/>
    <w:rsid w:val="006000F8"/>
    <w:pPr>
      <w:spacing w:after="0" w:line="240" w:lineRule="auto"/>
    </w:pPr>
    <w:rPr>
      <w:rFonts w:ascii="Calibri" w:hAnsi="Calibri" w:cs="Calibri"/>
    </w:rPr>
  </w:style>
  <w:style w:type="paragraph" w:customStyle="1" w:styleId="xmsolistparagraph">
    <w:name w:val="x_msolistparagraph"/>
    <w:basedOn w:val="Normal"/>
    <w:rsid w:val="006000F8"/>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964496">
      <w:bodyDiv w:val="1"/>
      <w:marLeft w:val="0"/>
      <w:marRight w:val="0"/>
      <w:marTop w:val="0"/>
      <w:marBottom w:val="0"/>
      <w:divBdr>
        <w:top w:val="none" w:sz="0" w:space="0" w:color="auto"/>
        <w:left w:val="none" w:sz="0" w:space="0" w:color="auto"/>
        <w:bottom w:val="none" w:sz="0" w:space="0" w:color="auto"/>
        <w:right w:val="none" w:sz="0" w:space="0" w:color="auto"/>
      </w:divBdr>
    </w:div>
    <w:div w:id="378482828">
      <w:bodyDiv w:val="1"/>
      <w:marLeft w:val="0"/>
      <w:marRight w:val="0"/>
      <w:marTop w:val="0"/>
      <w:marBottom w:val="0"/>
      <w:divBdr>
        <w:top w:val="none" w:sz="0" w:space="0" w:color="auto"/>
        <w:left w:val="none" w:sz="0" w:space="0" w:color="auto"/>
        <w:bottom w:val="none" w:sz="0" w:space="0" w:color="auto"/>
        <w:right w:val="none" w:sz="0" w:space="0" w:color="auto"/>
      </w:divBdr>
    </w:div>
    <w:div w:id="527916580">
      <w:bodyDiv w:val="1"/>
      <w:marLeft w:val="0"/>
      <w:marRight w:val="0"/>
      <w:marTop w:val="0"/>
      <w:marBottom w:val="0"/>
      <w:divBdr>
        <w:top w:val="none" w:sz="0" w:space="0" w:color="auto"/>
        <w:left w:val="none" w:sz="0" w:space="0" w:color="auto"/>
        <w:bottom w:val="none" w:sz="0" w:space="0" w:color="auto"/>
        <w:right w:val="none" w:sz="0" w:space="0" w:color="auto"/>
      </w:divBdr>
    </w:div>
    <w:div w:id="900867293">
      <w:bodyDiv w:val="1"/>
      <w:marLeft w:val="0"/>
      <w:marRight w:val="0"/>
      <w:marTop w:val="0"/>
      <w:marBottom w:val="0"/>
      <w:divBdr>
        <w:top w:val="none" w:sz="0" w:space="0" w:color="auto"/>
        <w:left w:val="none" w:sz="0" w:space="0" w:color="auto"/>
        <w:bottom w:val="none" w:sz="0" w:space="0" w:color="auto"/>
        <w:right w:val="none" w:sz="0" w:space="0" w:color="auto"/>
      </w:divBdr>
    </w:div>
    <w:div w:id="1023483753">
      <w:bodyDiv w:val="1"/>
      <w:marLeft w:val="0"/>
      <w:marRight w:val="0"/>
      <w:marTop w:val="0"/>
      <w:marBottom w:val="0"/>
      <w:divBdr>
        <w:top w:val="none" w:sz="0" w:space="0" w:color="auto"/>
        <w:left w:val="none" w:sz="0" w:space="0" w:color="auto"/>
        <w:bottom w:val="none" w:sz="0" w:space="0" w:color="auto"/>
        <w:right w:val="none" w:sz="0" w:space="0" w:color="auto"/>
      </w:divBdr>
    </w:div>
    <w:div w:id="1102993725">
      <w:bodyDiv w:val="1"/>
      <w:marLeft w:val="0"/>
      <w:marRight w:val="0"/>
      <w:marTop w:val="0"/>
      <w:marBottom w:val="0"/>
      <w:divBdr>
        <w:top w:val="none" w:sz="0" w:space="0" w:color="auto"/>
        <w:left w:val="none" w:sz="0" w:space="0" w:color="auto"/>
        <w:bottom w:val="none" w:sz="0" w:space="0" w:color="auto"/>
        <w:right w:val="none" w:sz="0" w:space="0" w:color="auto"/>
      </w:divBdr>
    </w:div>
    <w:div w:id="1844274004">
      <w:bodyDiv w:val="1"/>
      <w:marLeft w:val="0"/>
      <w:marRight w:val="0"/>
      <w:marTop w:val="0"/>
      <w:marBottom w:val="0"/>
      <w:divBdr>
        <w:top w:val="none" w:sz="0" w:space="0" w:color="auto"/>
        <w:left w:val="none" w:sz="0" w:space="0" w:color="auto"/>
        <w:bottom w:val="none" w:sz="0" w:space="0" w:color="auto"/>
        <w:right w:val="none" w:sz="0" w:space="0" w:color="auto"/>
      </w:divBdr>
    </w:div>
    <w:div w:id="197251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FFC77-EE06-4431-9A2E-21055032C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2510</Words>
  <Characters>14185</Characters>
  <Application>Microsoft Office Word</Application>
  <DocSecurity>0</DocSecurity>
  <Lines>457</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Braun, Revital</dc:creator>
  <cp:keywords/>
  <dc:description/>
  <cp:lastModifiedBy>Marks, Brett (DPH)</cp:lastModifiedBy>
  <cp:revision>6</cp:revision>
  <dcterms:created xsi:type="dcterms:W3CDTF">2023-07-17T15:06:00Z</dcterms:created>
  <dcterms:modified xsi:type="dcterms:W3CDTF">2023-09-06T12:41:00Z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Block DocID</vt:lpwstr>
  </property>
</Properties>
</file>