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4F5E" w14:textId="60A80764" w:rsidR="000533BD" w:rsidRPr="0033434E" w:rsidRDefault="000533BD" w:rsidP="000533BD">
      <w:pPr>
        <w:spacing w:after="0" w:line="240" w:lineRule="auto"/>
        <w:jc w:val="both"/>
        <w:rPr>
          <w:rFonts w:ascii="Arial" w:eastAsia="Arial" w:hAnsi="Arial" w:cs="Arial"/>
          <w:b/>
          <w:kern w:val="2"/>
        </w:rPr>
      </w:pPr>
      <w:r w:rsidRPr="000E1E8A">
        <w:rPr>
          <w:rFonts w:ascii="Arial" w:hAnsi="Arial"/>
          <w:b/>
          <w:kern w:val="2"/>
        </w:rPr>
        <w:t>2. Project Description</w:t>
      </w:r>
    </w:p>
    <w:p w14:paraId="6DB68F56" w14:textId="124619B4" w:rsidR="003D6967" w:rsidRDefault="003D6967" w:rsidP="00D9191E">
      <w:pPr>
        <w:spacing w:after="0" w:line="240" w:lineRule="auto"/>
        <w:jc w:val="both"/>
        <w:rPr>
          <w:rFonts w:ascii="Arial" w:eastAsia="Times New Roman" w:hAnsi="Arial" w:cs="Arial"/>
          <w:kern w:val="2"/>
          <w:sz w:val="20"/>
          <w:szCs w:val="20"/>
        </w:rPr>
      </w:pPr>
    </w:p>
    <w:p w14:paraId="5D8CFD52" w14:textId="403AC925" w:rsidR="00D61AEF" w:rsidRDefault="0090356F" w:rsidP="001251B9">
      <w:pPr>
        <w:spacing w:after="0" w:line="240" w:lineRule="auto"/>
        <w:jc w:val="both"/>
        <w:rPr>
          <w:rFonts w:ascii="Arial" w:hAnsi="Arial" w:cs="Arial"/>
          <w:sz w:val="20"/>
          <w:szCs w:val="20"/>
        </w:rPr>
      </w:pPr>
      <w:r w:rsidRPr="0090356F">
        <w:rPr>
          <w:rFonts w:ascii="Arial" w:eastAsia="Times New Roman" w:hAnsi="Arial" w:cs="Arial"/>
          <w:kern w:val="2"/>
          <w:sz w:val="20"/>
          <w:szCs w:val="20"/>
        </w:rPr>
        <w:t xml:space="preserve">Steward Health Care System LLC (“Steward” or the “Applicant”) with a principal place of business at 1900 Pearl Street, Suite 2400, Dallas, TX 75201 is filing a Notice of Determination of Need (“Application”) with the Massachusetts Department of Public Health (“Department”) </w:t>
      </w:r>
      <w:r w:rsidRPr="0090356F">
        <w:rPr>
          <w:rFonts w:ascii="Arial" w:hAnsi="Arial" w:cs="Arial"/>
          <w:sz w:val="20"/>
          <w:szCs w:val="20"/>
        </w:rPr>
        <w:t>for a substantial capital expenditure</w:t>
      </w:r>
      <w:r w:rsidR="00814DA8">
        <w:rPr>
          <w:rFonts w:ascii="Arial" w:hAnsi="Arial" w:cs="Arial"/>
          <w:sz w:val="20"/>
          <w:szCs w:val="20"/>
        </w:rPr>
        <w:t xml:space="preserve"> for</w:t>
      </w:r>
      <w:r w:rsidRPr="007145AD">
        <w:rPr>
          <w:rFonts w:ascii="Arial" w:hAnsi="Arial"/>
          <w:sz w:val="20"/>
        </w:rPr>
        <w:t xml:space="preserve"> Good </w:t>
      </w:r>
      <w:r w:rsidRPr="0090356F">
        <w:rPr>
          <w:rFonts w:ascii="Arial" w:hAnsi="Arial" w:cs="Arial"/>
          <w:sz w:val="20"/>
          <w:szCs w:val="20"/>
        </w:rPr>
        <w:t>Samaritan Medical Center (“</w:t>
      </w:r>
      <w:r w:rsidRPr="007145AD">
        <w:rPr>
          <w:rFonts w:ascii="Arial" w:hAnsi="Arial"/>
          <w:sz w:val="20"/>
        </w:rPr>
        <w:t>GSMC</w:t>
      </w:r>
      <w:r w:rsidRPr="0090356F">
        <w:rPr>
          <w:rFonts w:ascii="Arial" w:hAnsi="Arial" w:cs="Arial"/>
          <w:sz w:val="20"/>
          <w:szCs w:val="20"/>
        </w:rPr>
        <w:t>”) located at 235 North Pearl St., Brockton, MA 02301.</w:t>
      </w:r>
      <w:bookmarkStart w:id="0" w:name="_Hlk122516826"/>
      <w:r w:rsidR="00D61AEF" w:rsidRPr="00D61AEF">
        <w:rPr>
          <w:rFonts w:ascii="Arial" w:hAnsi="Arial" w:cs="Arial"/>
          <w:sz w:val="20"/>
          <w:szCs w:val="20"/>
        </w:rPr>
        <w:t xml:space="preserve"> </w:t>
      </w:r>
      <w:r w:rsidR="00D61AEF">
        <w:rPr>
          <w:rFonts w:ascii="Arial" w:eastAsia="Times New Roman" w:hAnsi="Arial" w:cs="Arial"/>
          <w:color w:val="000000" w:themeColor="text1"/>
          <w:kern w:val="2"/>
          <w:sz w:val="20"/>
          <w:szCs w:val="20"/>
        </w:rPr>
        <w:t>GSMC is an acute-care hospital with 224 beds and provides comprehensive inpatient</w:t>
      </w:r>
      <w:r w:rsidR="000E1E8A">
        <w:rPr>
          <w:rFonts w:ascii="Arial" w:eastAsia="Times New Roman" w:hAnsi="Arial" w:cs="Arial"/>
          <w:color w:val="000000" w:themeColor="text1"/>
          <w:kern w:val="2"/>
          <w:sz w:val="20"/>
          <w:szCs w:val="20"/>
        </w:rPr>
        <w:t xml:space="preserve"> and </w:t>
      </w:r>
      <w:r w:rsidR="00D61AEF" w:rsidRPr="007145AD">
        <w:rPr>
          <w:rFonts w:ascii="Arial" w:hAnsi="Arial"/>
          <w:color w:val="000000" w:themeColor="text1"/>
          <w:kern w:val="2"/>
          <w:sz w:val="20"/>
        </w:rPr>
        <w:t>outpatient</w:t>
      </w:r>
      <w:r w:rsidR="00D61AEF" w:rsidRPr="00EB1D7C">
        <w:rPr>
          <w:rFonts w:ascii="Arial" w:hAnsi="Arial" w:cs="Arial"/>
          <w:sz w:val="20"/>
          <w:szCs w:val="20"/>
        </w:rPr>
        <w:t xml:space="preserve"> psychiatric</w:t>
      </w:r>
      <w:r w:rsidR="000E1E8A">
        <w:rPr>
          <w:rFonts w:ascii="Arial" w:hAnsi="Arial" w:cs="Arial"/>
          <w:sz w:val="20"/>
          <w:szCs w:val="20"/>
        </w:rPr>
        <w:t xml:space="preserve"> services and is the </w:t>
      </w:r>
      <w:r w:rsidR="00D61AEF">
        <w:rPr>
          <w:rFonts w:ascii="Arial" w:eastAsia="Times New Roman" w:hAnsi="Arial" w:cs="Arial"/>
          <w:color w:val="000000" w:themeColor="text1"/>
          <w:kern w:val="2"/>
          <w:sz w:val="20"/>
          <w:szCs w:val="20"/>
        </w:rPr>
        <w:t xml:space="preserve">Level III Trauma </w:t>
      </w:r>
      <w:r w:rsidR="000E1E8A">
        <w:rPr>
          <w:rFonts w:ascii="Arial" w:eastAsia="Times New Roman" w:hAnsi="Arial" w:cs="Arial"/>
          <w:color w:val="000000" w:themeColor="text1"/>
          <w:kern w:val="2"/>
          <w:sz w:val="20"/>
          <w:szCs w:val="20"/>
        </w:rPr>
        <w:t>center serving</w:t>
      </w:r>
      <w:r w:rsidR="00D61AEF">
        <w:rPr>
          <w:rFonts w:ascii="Arial" w:eastAsia="Times New Roman" w:hAnsi="Arial" w:cs="Arial"/>
          <w:color w:val="000000" w:themeColor="text1"/>
          <w:kern w:val="2"/>
          <w:sz w:val="20"/>
          <w:szCs w:val="20"/>
        </w:rPr>
        <w:t xml:space="preserve"> Brockton and 22 neighboring communities. </w:t>
      </w:r>
    </w:p>
    <w:p w14:paraId="0F8FCBEF" w14:textId="77777777" w:rsidR="00D61AEF" w:rsidRDefault="00D61AEF" w:rsidP="001251B9">
      <w:pPr>
        <w:spacing w:after="0" w:line="240" w:lineRule="auto"/>
        <w:jc w:val="both"/>
        <w:rPr>
          <w:rFonts w:ascii="Arial" w:hAnsi="Arial" w:cs="Arial"/>
          <w:sz w:val="20"/>
          <w:szCs w:val="20"/>
        </w:rPr>
      </w:pPr>
    </w:p>
    <w:p w14:paraId="06BE5E83" w14:textId="6B566987" w:rsidR="00492BB6" w:rsidRDefault="000E1E8A" w:rsidP="00492BB6">
      <w:pPr>
        <w:spacing w:after="0" w:line="240" w:lineRule="auto"/>
        <w:jc w:val="both"/>
        <w:rPr>
          <w:rFonts w:ascii="Arial" w:hAnsi="Arial" w:cs="Arial"/>
          <w:sz w:val="20"/>
          <w:szCs w:val="20"/>
        </w:rPr>
      </w:pPr>
      <w:r>
        <w:rPr>
          <w:rFonts w:ascii="Arial" w:hAnsi="Arial" w:cs="Arial"/>
          <w:sz w:val="20"/>
          <w:szCs w:val="20"/>
        </w:rPr>
        <w:t>The patient panel (and Massachusetts at large) continue</w:t>
      </w:r>
      <w:r w:rsidR="0000203F">
        <w:rPr>
          <w:rFonts w:ascii="Arial" w:hAnsi="Arial" w:cs="Arial"/>
          <w:sz w:val="20"/>
          <w:szCs w:val="20"/>
        </w:rPr>
        <w:t>s</w:t>
      </w:r>
      <w:r>
        <w:rPr>
          <w:rFonts w:ascii="Arial" w:hAnsi="Arial" w:cs="Arial"/>
          <w:sz w:val="20"/>
          <w:szCs w:val="20"/>
        </w:rPr>
        <w:t xml:space="preserve"> to experience an increased prevalence of behavioral health conditions, further exacerbated by the COVID-19 Pandemic. In addition, the </w:t>
      </w:r>
      <w:r w:rsidR="0000203F">
        <w:rPr>
          <w:rFonts w:ascii="Arial" w:hAnsi="Arial" w:cs="Arial"/>
          <w:sz w:val="20"/>
          <w:szCs w:val="20"/>
        </w:rPr>
        <w:t>p</w:t>
      </w:r>
      <w:r>
        <w:rPr>
          <w:rFonts w:ascii="Arial" w:hAnsi="Arial" w:cs="Arial"/>
          <w:sz w:val="20"/>
          <w:szCs w:val="20"/>
        </w:rPr>
        <w:t xml:space="preserve">roject will fulfill the Applicant’s obligation to replace the closed inpatient psychiatric beds at Norwood Hospital, while improving access to both inpatient and outpatient psychiatric services. </w:t>
      </w:r>
      <w:r w:rsidR="009A32E5" w:rsidRPr="00CA3587">
        <w:rPr>
          <w:rFonts w:ascii="Arial" w:hAnsi="Arial" w:cs="Arial"/>
          <w:kern w:val="2"/>
          <w:sz w:val="20"/>
          <w:szCs w:val="20"/>
        </w:rPr>
        <w:t>T</w:t>
      </w:r>
      <w:r>
        <w:rPr>
          <w:rFonts w:ascii="Arial" w:hAnsi="Arial" w:cs="Arial"/>
          <w:kern w:val="2"/>
          <w:sz w:val="20"/>
          <w:szCs w:val="20"/>
        </w:rPr>
        <w:t>o that end, t</w:t>
      </w:r>
      <w:r w:rsidR="009A32E5" w:rsidRPr="00CA3587">
        <w:rPr>
          <w:rFonts w:ascii="Arial" w:hAnsi="Arial" w:cs="Arial"/>
          <w:kern w:val="2"/>
          <w:sz w:val="20"/>
          <w:szCs w:val="20"/>
        </w:rPr>
        <w:t xml:space="preserve">he </w:t>
      </w:r>
      <w:r w:rsidR="00D61AEF">
        <w:rPr>
          <w:rFonts w:ascii="Arial" w:hAnsi="Arial" w:cs="Arial"/>
          <w:kern w:val="2"/>
          <w:sz w:val="20"/>
          <w:szCs w:val="20"/>
        </w:rPr>
        <w:t>Applicant seeks approval to construct</w:t>
      </w:r>
      <w:r w:rsidR="009A32E5">
        <w:rPr>
          <w:rFonts w:ascii="Arial" w:hAnsi="Arial" w:cs="Arial"/>
          <w:kern w:val="2"/>
          <w:sz w:val="20"/>
          <w:szCs w:val="20"/>
        </w:rPr>
        <w:t xml:space="preserve"> a </w:t>
      </w:r>
      <w:r w:rsidR="00B47727">
        <w:rPr>
          <w:rFonts w:ascii="Arial" w:hAnsi="Arial" w:cs="Arial"/>
          <w:kern w:val="2"/>
          <w:sz w:val="20"/>
          <w:szCs w:val="20"/>
        </w:rPr>
        <w:t>new behavioral health facility on GSMC’s campus,</w:t>
      </w:r>
      <w:r w:rsidR="009A32E5">
        <w:rPr>
          <w:rFonts w:ascii="Arial" w:hAnsi="Arial" w:cs="Arial"/>
          <w:kern w:val="2"/>
          <w:sz w:val="20"/>
          <w:szCs w:val="20"/>
        </w:rPr>
        <w:t xml:space="preserve"> that will accommodate sixteen (</w:t>
      </w:r>
      <w:r w:rsidR="009A32E5">
        <w:rPr>
          <w:rFonts w:ascii="Arial" w:eastAsia="Times New Roman" w:hAnsi="Arial" w:cs="Arial"/>
          <w:sz w:val="20"/>
          <w:szCs w:val="20"/>
        </w:rPr>
        <w:t>16) inpatient psychiatric beds relocated from GSMC’s main campus and sixty-one (61) inpatient</w:t>
      </w:r>
      <w:r w:rsidR="00D61AEF">
        <w:rPr>
          <w:rFonts w:ascii="Arial" w:eastAsia="Times New Roman" w:hAnsi="Arial" w:cs="Arial"/>
          <w:sz w:val="20"/>
          <w:szCs w:val="20"/>
        </w:rPr>
        <w:t xml:space="preserve"> </w:t>
      </w:r>
      <w:r w:rsidR="009A32E5">
        <w:rPr>
          <w:rFonts w:ascii="Arial" w:eastAsia="Times New Roman" w:hAnsi="Arial" w:cs="Arial"/>
          <w:sz w:val="20"/>
          <w:szCs w:val="20"/>
        </w:rPr>
        <w:t>psychiatric beds</w:t>
      </w:r>
      <w:r w:rsidR="00D61AEF">
        <w:rPr>
          <w:rFonts w:ascii="Arial" w:eastAsia="Times New Roman" w:hAnsi="Arial" w:cs="Arial"/>
          <w:sz w:val="20"/>
          <w:szCs w:val="20"/>
        </w:rPr>
        <w:t xml:space="preserve"> (39 adult beds; 22 geriatric beds)</w:t>
      </w:r>
      <w:r w:rsidR="009A32E5">
        <w:rPr>
          <w:rFonts w:ascii="Arial" w:eastAsia="Times New Roman" w:hAnsi="Arial" w:cs="Arial"/>
          <w:sz w:val="20"/>
          <w:szCs w:val="20"/>
        </w:rPr>
        <w:t xml:space="preserve"> </w:t>
      </w:r>
      <w:r w:rsidR="00D61AEF">
        <w:rPr>
          <w:rFonts w:ascii="Arial" w:eastAsia="Times New Roman" w:hAnsi="Arial" w:cs="Arial"/>
          <w:sz w:val="20"/>
          <w:szCs w:val="20"/>
        </w:rPr>
        <w:t>previously operated at</w:t>
      </w:r>
      <w:r w:rsidR="009A32E5">
        <w:rPr>
          <w:rFonts w:ascii="Arial" w:eastAsia="Times New Roman" w:hAnsi="Arial" w:cs="Arial"/>
          <w:sz w:val="20"/>
          <w:szCs w:val="20"/>
        </w:rPr>
        <w:t xml:space="preserve"> Norwood Hospital</w:t>
      </w:r>
      <w:r w:rsidR="00D61AEF">
        <w:rPr>
          <w:rFonts w:ascii="Arial" w:eastAsia="Times New Roman" w:hAnsi="Arial" w:cs="Arial"/>
          <w:sz w:val="20"/>
          <w:szCs w:val="20"/>
        </w:rPr>
        <w:t xml:space="preserve">, for a total </w:t>
      </w:r>
      <w:r w:rsidR="009A32E5">
        <w:rPr>
          <w:rFonts w:ascii="Arial" w:eastAsia="Times New Roman" w:hAnsi="Arial" w:cs="Arial"/>
          <w:sz w:val="20"/>
          <w:szCs w:val="20"/>
        </w:rPr>
        <w:t>of 77 bed</w:t>
      </w:r>
      <w:r w:rsidR="00D61AEF">
        <w:rPr>
          <w:rFonts w:ascii="Arial" w:eastAsia="Times New Roman" w:hAnsi="Arial" w:cs="Arial"/>
          <w:sz w:val="20"/>
          <w:szCs w:val="20"/>
        </w:rPr>
        <w:t>s</w:t>
      </w:r>
      <w:r w:rsidR="0000203F">
        <w:rPr>
          <w:rFonts w:ascii="Arial" w:eastAsia="Times New Roman" w:hAnsi="Arial" w:cs="Arial"/>
          <w:sz w:val="20"/>
          <w:szCs w:val="20"/>
        </w:rPr>
        <w:t xml:space="preserve">, </w:t>
      </w:r>
      <w:r w:rsidR="00CF568E" w:rsidRPr="00CF568E">
        <w:rPr>
          <w:rFonts w:ascii="Arial" w:eastAsia="Times New Roman" w:hAnsi="Arial" w:cs="Arial"/>
          <w:sz w:val="20"/>
          <w:szCs w:val="20"/>
        </w:rPr>
        <w:t>as well as one floor of shell space for future build out</w:t>
      </w:r>
      <w:r w:rsidR="0000203F">
        <w:rPr>
          <w:rFonts w:ascii="Arial" w:eastAsia="Times New Roman" w:hAnsi="Arial" w:cs="Arial"/>
          <w:sz w:val="20"/>
          <w:szCs w:val="20"/>
        </w:rPr>
        <w:t xml:space="preserve"> (“Proposed Project”)</w:t>
      </w:r>
      <w:r w:rsidR="00CF568E" w:rsidRPr="00CF568E">
        <w:rPr>
          <w:rFonts w:ascii="Arial" w:eastAsia="Times New Roman" w:hAnsi="Arial" w:cs="Arial"/>
          <w:sz w:val="20"/>
          <w:szCs w:val="20"/>
        </w:rPr>
        <w:t>.</w:t>
      </w:r>
      <w:r w:rsidR="009A32E5" w:rsidRPr="00CA3587">
        <w:rPr>
          <w:rFonts w:ascii="Arial" w:hAnsi="Arial" w:cs="Arial"/>
          <w:kern w:val="2"/>
          <w:sz w:val="20"/>
          <w:szCs w:val="20"/>
        </w:rPr>
        <w:t xml:space="preserve"> </w:t>
      </w:r>
      <w:bookmarkEnd w:id="0"/>
      <w:r w:rsidR="00D61AEF">
        <w:rPr>
          <w:rFonts w:ascii="Arial" w:hAnsi="Arial" w:cs="Arial"/>
          <w:kern w:val="2"/>
          <w:sz w:val="20"/>
          <w:szCs w:val="20"/>
        </w:rPr>
        <w:t>The facility will have 2 adult inpatient units (39 beds) and 2 geriatric inpatient units (38 beds). In addition</w:t>
      </w:r>
      <w:r w:rsidR="007145AD">
        <w:rPr>
          <w:rFonts w:ascii="Arial" w:hAnsi="Arial" w:cs="Arial"/>
          <w:kern w:val="2"/>
          <w:sz w:val="20"/>
          <w:szCs w:val="20"/>
        </w:rPr>
        <w:t>,</w:t>
      </w:r>
      <w:r w:rsidR="00D61AEF">
        <w:rPr>
          <w:rFonts w:ascii="Arial" w:hAnsi="Arial" w:cs="Arial"/>
          <w:kern w:val="2"/>
          <w:sz w:val="20"/>
          <w:szCs w:val="20"/>
        </w:rPr>
        <w:t xml:space="preserve"> the facility will provide services to inpatients and outpatients, including electroconvulsive therapy</w:t>
      </w:r>
      <w:r w:rsidR="004A6F24">
        <w:rPr>
          <w:rFonts w:ascii="Arial" w:hAnsi="Arial" w:cs="Arial"/>
          <w:kern w:val="2"/>
          <w:sz w:val="20"/>
          <w:szCs w:val="20"/>
        </w:rPr>
        <w:t xml:space="preserve"> (“ECT”)</w:t>
      </w:r>
      <w:r w:rsidR="00D61AEF">
        <w:rPr>
          <w:rFonts w:ascii="Arial" w:hAnsi="Arial" w:cs="Arial"/>
          <w:kern w:val="2"/>
          <w:sz w:val="20"/>
          <w:szCs w:val="20"/>
        </w:rPr>
        <w:t>, partial hospitalization program, trans</w:t>
      </w:r>
      <w:r w:rsidR="007145AD">
        <w:rPr>
          <w:rFonts w:ascii="Arial" w:hAnsi="Arial" w:cs="Arial"/>
          <w:kern w:val="2"/>
          <w:sz w:val="20"/>
          <w:szCs w:val="20"/>
        </w:rPr>
        <w:t>-</w:t>
      </w:r>
      <w:r w:rsidR="00D61AEF">
        <w:rPr>
          <w:rFonts w:ascii="Arial" w:hAnsi="Arial" w:cs="Arial"/>
          <w:kern w:val="2"/>
          <w:sz w:val="20"/>
          <w:szCs w:val="20"/>
        </w:rPr>
        <w:t>magnetic stimulation</w:t>
      </w:r>
      <w:r w:rsidR="004A6F24">
        <w:rPr>
          <w:rFonts w:ascii="Arial" w:hAnsi="Arial" w:cs="Arial"/>
          <w:kern w:val="2"/>
          <w:sz w:val="20"/>
          <w:szCs w:val="20"/>
        </w:rPr>
        <w:t xml:space="preserve"> (“TMS”)</w:t>
      </w:r>
      <w:r w:rsidR="00D61AEF">
        <w:rPr>
          <w:rFonts w:ascii="Arial" w:hAnsi="Arial" w:cs="Arial"/>
          <w:kern w:val="2"/>
          <w:sz w:val="20"/>
          <w:szCs w:val="20"/>
        </w:rPr>
        <w:t xml:space="preserve"> and activity therapy. </w:t>
      </w:r>
      <w:r>
        <w:rPr>
          <w:rFonts w:ascii="Arial" w:hAnsi="Arial" w:cs="Arial"/>
          <w:kern w:val="2"/>
          <w:sz w:val="20"/>
          <w:szCs w:val="20"/>
        </w:rPr>
        <w:t>Through the</w:t>
      </w:r>
      <w:r w:rsidR="00B47727">
        <w:rPr>
          <w:rFonts w:ascii="Arial" w:hAnsi="Arial" w:cs="Arial"/>
          <w:sz w:val="20"/>
          <w:szCs w:val="20"/>
        </w:rPr>
        <w:t xml:space="preserve"> Proposed Project</w:t>
      </w:r>
      <w:r>
        <w:rPr>
          <w:rFonts w:ascii="Arial" w:hAnsi="Arial" w:cs="Arial"/>
          <w:sz w:val="20"/>
          <w:szCs w:val="20"/>
        </w:rPr>
        <w:t>, the Applicant will meet the needs of its patient panel by providing timely access to psychiatric care in the most appropriate setting, improving outcomes and meeting the Commonwealth’s goals for cost containment.</w:t>
      </w:r>
      <w:r w:rsidR="00D61AEF">
        <w:rPr>
          <w:rFonts w:ascii="Arial" w:hAnsi="Arial" w:cs="Arial"/>
          <w:sz w:val="20"/>
          <w:szCs w:val="20"/>
        </w:rPr>
        <w:t xml:space="preserve"> </w:t>
      </w:r>
    </w:p>
    <w:p w14:paraId="4B1034B9" w14:textId="77777777" w:rsidR="00492BB6" w:rsidRPr="00702EAF" w:rsidRDefault="00492BB6" w:rsidP="00492BB6">
      <w:pPr>
        <w:spacing w:after="0" w:line="240" w:lineRule="auto"/>
        <w:jc w:val="both"/>
        <w:rPr>
          <w:rFonts w:ascii="Arial" w:eastAsia="Calibri" w:hAnsi="Arial" w:cs="Arial"/>
          <w:b/>
          <w:kern w:val="2"/>
          <w:highlight w:val="yellow"/>
        </w:rPr>
      </w:pPr>
    </w:p>
    <w:p w14:paraId="6FFA2665" w14:textId="3D741A13" w:rsidR="001251B9" w:rsidRPr="00407CAE" w:rsidRDefault="001251B9" w:rsidP="001251B9">
      <w:pPr>
        <w:spacing w:after="0" w:line="240" w:lineRule="auto"/>
        <w:jc w:val="both"/>
        <w:rPr>
          <w:rFonts w:ascii="Arial" w:eastAsia="Calibri" w:hAnsi="Arial" w:cs="Arial"/>
          <w:b/>
          <w:kern w:val="2"/>
        </w:rPr>
      </w:pPr>
      <w:r w:rsidRPr="00407CAE">
        <w:rPr>
          <w:rFonts w:ascii="Arial" w:eastAsia="Calibri" w:hAnsi="Arial" w:cs="Arial"/>
          <w:b/>
          <w:kern w:val="2"/>
        </w:rPr>
        <w:t>Factor 1: Applicant Patient Panel Need, Public Health Values and Operational Objectives</w:t>
      </w:r>
    </w:p>
    <w:p w14:paraId="6A9FF503" w14:textId="77777777" w:rsidR="001251B9" w:rsidRPr="00407CAE" w:rsidRDefault="001251B9" w:rsidP="001251B9">
      <w:pPr>
        <w:spacing w:after="0" w:line="240" w:lineRule="auto"/>
        <w:ind w:left="185"/>
        <w:jc w:val="both"/>
        <w:rPr>
          <w:rFonts w:ascii="Arial" w:eastAsia="Arial" w:hAnsi="Arial" w:cs="Arial"/>
          <w:kern w:val="2"/>
        </w:rPr>
      </w:pPr>
    </w:p>
    <w:p w14:paraId="15876BE7" w14:textId="77777777" w:rsidR="001251B9" w:rsidRPr="00407CAE" w:rsidRDefault="001251B9" w:rsidP="001251B9">
      <w:pPr>
        <w:spacing w:after="0" w:line="240" w:lineRule="auto"/>
        <w:ind w:left="720" w:hanging="720"/>
        <w:jc w:val="both"/>
        <w:rPr>
          <w:rFonts w:ascii="Arial" w:eastAsia="Arial" w:hAnsi="Arial" w:cs="Arial"/>
          <w:kern w:val="2"/>
          <w:u w:val="single"/>
        </w:rPr>
      </w:pPr>
      <w:r w:rsidRPr="00407CAE">
        <w:rPr>
          <w:rFonts w:ascii="Arial" w:eastAsia="Calibri" w:hAnsi="Arial" w:cs="Arial"/>
          <w:b/>
          <w:kern w:val="2"/>
        </w:rPr>
        <w:t>F1.</w:t>
      </w:r>
      <w:proofErr w:type="gramStart"/>
      <w:r w:rsidRPr="00407CAE">
        <w:rPr>
          <w:rFonts w:ascii="Arial" w:eastAsia="Calibri" w:hAnsi="Arial" w:cs="Arial"/>
          <w:b/>
          <w:kern w:val="2"/>
        </w:rPr>
        <w:t>a.i</w:t>
      </w:r>
      <w:proofErr w:type="gramEnd"/>
      <w:r w:rsidRPr="00407CAE">
        <w:rPr>
          <w:rFonts w:ascii="Arial" w:eastAsia="Calibri" w:hAnsi="Arial" w:cs="Arial"/>
          <w:kern w:val="2"/>
        </w:rPr>
        <w:tab/>
      </w:r>
      <w:r w:rsidRPr="00407CAE">
        <w:rPr>
          <w:rFonts w:ascii="Arial" w:eastAsia="Calibri" w:hAnsi="Arial" w:cs="Arial"/>
          <w:kern w:val="2"/>
        </w:rPr>
        <w:tab/>
      </w:r>
      <w:r w:rsidRPr="00BF44B8">
        <w:rPr>
          <w:rFonts w:ascii="Arial" w:eastAsia="Calibri" w:hAnsi="Arial" w:cs="Arial"/>
          <w:b/>
          <w:kern w:val="2"/>
          <w:u w:val="single"/>
        </w:rPr>
        <w:t>Patient Panel</w:t>
      </w:r>
      <w:r w:rsidRPr="00BF44B8">
        <w:rPr>
          <w:rFonts w:ascii="Arial" w:eastAsia="Calibri" w:hAnsi="Arial" w:cs="Arial"/>
          <w:b/>
          <w:kern w:val="2"/>
        </w:rPr>
        <w:t>:</w:t>
      </w:r>
    </w:p>
    <w:p w14:paraId="3A30E702" w14:textId="23F35A3B" w:rsidR="001251B9" w:rsidRPr="00407CAE" w:rsidRDefault="001251B9" w:rsidP="000533BD">
      <w:pPr>
        <w:spacing w:after="0" w:line="240" w:lineRule="auto"/>
        <w:ind w:left="1440"/>
        <w:jc w:val="both"/>
        <w:rPr>
          <w:rFonts w:ascii="Arial" w:eastAsia="Times New Roman" w:hAnsi="Arial" w:cs="Arial"/>
          <w:b/>
          <w:kern w:val="2"/>
        </w:rPr>
      </w:pPr>
      <w:r w:rsidRPr="00407CAE">
        <w:rPr>
          <w:rFonts w:ascii="Arial" w:eastAsia="Times New Roman" w:hAnsi="Arial" w:cs="Arial"/>
          <w:b/>
          <w:kern w:val="2"/>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407CAE">
        <w:rPr>
          <w:rFonts w:ascii="Arial" w:eastAsia="Times New Roman" w:hAnsi="Arial" w:cs="Arial"/>
          <w:b/>
          <w:kern w:val="2"/>
        </w:rPr>
        <w:t>status</w:t>
      </w:r>
      <w:proofErr w:type="gramEnd"/>
      <w:r w:rsidRPr="00407CAE">
        <w:rPr>
          <w:rFonts w:ascii="Arial" w:eastAsia="Times New Roman" w:hAnsi="Arial" w:cs="Arial"/>
          <w:b/>
          <w:kern w:val="2"/>
        </w:rPr>
        <w:t xml:space="preserve"> and other priority populations relevant to the Applicant's existing patient panel and payer mix.</w:t>
      </w:r>
    </w:p>
    <w:p w14:paraId="011B025C" w14:textId="77777777" w:rsidR="001251B9" w:rsidRPr="00407CAE" w:rsidRDefault="001251B9" w:rsidP="001251B9">
      <w:pPr>
        <w:spacing w:after="0" w:line="240" w:lineRule="auto"/>
        <w:contextualSpacing/>
        <w:jc w:val="both"/>
        <w:rPr>
          <w:rFonts w:ascii="Arial" w:eastAsia="Times New Roman" w:hAnsi="Arial" w:cs="Arial"/>
          <w:kern w:val="2"/>
          <w:u w:val="single"/>
        </w:rPr>
      </w:pPr>
    </w:p>
    <w:p w14:paraId="0436339B" w14:textId="4241615D" w:rsidR="001251B9" w:rsidRDefault="0033434E" w:rsidP="001251B9">
      <w:pPr>
        <w:pStyle w:val="ListParagraph"/>
        <w:numPr>
          <w:ilvl w:val="0"/>
          <w:numId w:val="19"/>
        </w:numPr>
        <w:spacing w:after="0" w:line="240" w:lineRule="auto"/>
        <w:ind w:left="360"/>
        <w:jc w:val="both"/>
        <w:rPr>
          <w:rFonts w:ascii="Arial" w:eastAsia="Times New Roman" w:hAnsi="Arial" w:cs="Arial"/>
          <w:color w:val="000000" w:themeColor="text1"/>
          <w:kern w:val="2"/>
          <w:sz w:val="20"/>
          <w:szCs w:val="20"/>
          <w:u w:val="single"/>
        </w:rPr>
      </w:pPr>
      <w:r>
        <w:rPr>
          <w:rFonts w:ascii="Arial" w:eastAsia="Times New Roman" w:hAnsi="Arial" w:cs="Arial"/>
          <w:color w:val="000000" w:themeColor="text1"/>
          <w:kern w:val="2"/>
          <w:sz w:val="20"/>
          <w:szCs w:val="20"/>
          <w:u w:val="single"/>
        </w:rPr>
        <w:t xml:space="preserve">Steward </w:t>
      </w:r>
      <w:r w:rsidR="00A45041">
        <w:rPr>
          <w:rFonts w:ascii="Arial" w:eastAsia="Times New Roman" w:hAnsi="Arial" w:cs="Arial"/>
          <w:color w:val="000000" w:themeColor="text1"/>
          <w:kern w:val="2"/>
          <w:sz w:val="20"/>
          <w:szCs w:val="20"/>
          <w:u w:val="single"/>
        </w:rPr>
        <w:t>Health Care System LLC</w:t>
      </w:r>
    </w:p>
    <w:p w14:paraId="723A3E22" w14:textId="3F6E87A0" w:rsidR="00952743" w:rsidRDefault="00952743" w:rsidP="00952743">
      <w:pPr>
        <w:spacing w:after="0" w:line="240" w:lineRule="auto"/>
        <w:jc w:val="both"/>
        <w:rPr>
          <w:rFonts w:ascii="Arial" w:eastAsia="Times New Roman" w:hAnsi="Arial" w:cs="Arial"/>
          <w:color w:val="000000" w:themeColor="text1"/>
          <w:kern w:val="2"/>
          <w:sz w:val="20"/>
          <w:szCs w:val="20"/>
          <w:u w:val="single"/>
        </w:rPr>
      </w:pPr>
    </w:p>
    <w:p w14:paraId="19A3FCBC" w14:textId="1B03C26D" w:rsidR="000E1E8A" w:rsidRDefault="00B4360B" w:rsidP="0000203F">
      <w:pPr>
        <w:spacing w:after="0" w:line="240" w:lineRule="auto"/>
        <w:jc w:val="both"/>
        <w:rPr>
          <w:rFonts w:ascii="Arial" w:eastAsia="Times New Roman" w:hAnsi="Arial" w:cs="Arial"/>
          <w:color w:val="000000" w:themeColor="text1"/>
          <w:kern w:val="2"/>
          <w:sz w:val="20"/>
          <w:szCs w:val="20"/>
        </w:rPr>
      </w:pPr>
      <w:r>
        <w:rPr>
          <w:rFonts w:ascii="Arial" w:eastAsia="Times New Roman" w:hAnsi="Arial" w:cs="Arial"/>
          <w:color w:val="000000" w:themeColor="text1"/>
          <w:kern w:val="2"/>
          <w:sz w:val="20"/>
          <w:szCs w:val="20"/>
        </w:rPr>
        <w:t xml:space="preserve">The </w:t>
      </w:r>
      <w:r w:rsidR="00952743">
        <w:rPr>
          <w:rFonts w:ascii="Arial" w:eastAsia="Times New Roman" w:hAnsi="Arial" w:cs="Arial"/>
          <w:color w:val="000000" w:themeColor="text1"/>
          <w:kern w:val="2"/>
          <w:sz w:val="20"/>
          <w:szCs w:val="20"/>
        </w:rPr>
        <w:t xml:space="preserve">Applicant is a for-profit healthcare </w:t>
      </w:r>
      <w:r>
        <w:rPr>
          <w:rFonts w:ascii="Arial" w:eastAsia="Times New Roman" w:hAnsi="Arial" w:cs="Arial"/>
          <w:color w:val="000000" w:themeColor="text1"/>
          <w:kern w:val="2"/>
          <w:sz w:val="20"/>
          <w:szCs w:val="20"/>
        </w:rPr>
        <w:t>system with</w:t>
      </w:r>
      <w:r w:rsidR="00952743">
        <w:rPr>
          <w:rFonts w:ascii="Arial" w:eastAsia="Times New Roman" w:hAnsi="Arial" w:cs="Arial"/>
          <w:color w:val="000000" w:themeColor="text1"/>
          <w:kern w:val="2"/>
          <w:sz w:val="20"/>
          <w:szCs w:val="20"/>
        </w:rPr>
        <w:t xml:space="preserve"> a large network of acute care hospitals, urgent care centers, and physician practices. </w:t>
      </w:r>
      <w:r w:rsidR="00492BB6">
        <w:rPr>
          <w:rFonts w:ascii="Arial" w:eastAsia="Times New Roman" w:hAnsi="Arial" w:cs="Arial"/>
          <w:color w:val="000000" w:themeColor="text1"/>
          <w:kern w:val="2"/>
          <w:sz w:val="20"/>
          <w:szCs w:val="20"/>
        </w:rPr>
        <w:t xml:space="preserve">The </w:t>
      </w:r>
      <w:r w:rsidR="00804FB9">
        <w:rPr>
          <w:rFonts w:ascii="Arial" w:eastAsia="Times New Roman" w:hAnsi="Arial" w:cs="Arial"/>
          <w:color w:val="000000" w:themeColor="text1"/>
          <w:kern w:val="2"/>
          <w:sz w:val="20"/>
          <w:szCs w:val="20"/>
        </w:rPr>
        <w:t>Applicant operates</w:t>
      </w:r>
      <w:r w:rsidR="008F1019">
        <w:rPr>
          <w:rFonts w:ascii="Arial" w:eastAsia="Times New Roman" w:hAnsi="Arial" w:cs="Arial"/>
          <w:color w:val="000000" w:themeColor="text1"/>
          <w:kern w:val="2"/>
          <w:sz w:val="20"/>
          <w:szCs w:val="20"/>
        </w:rPr>
        <w:t xml:space="preserve"> 9 hospitals in </w:t>
      </w:r>
      <w:r w:rsidR="005A0451">
        <w:rPr>
          <w:rFonts w:ascii="Arial" w:eastAsia="Times New Roman" w:hAnsi="Arial" w:cs="Arial"/>
          <w:color w:val="000000" w:themeColor="text1"/>
          <w:kern w:val="2"/>
          <w:sz w:val="20"/>
          <w:szCs w:val="20"/>
        </w:rPr>
        <w:t>Massachusetts</w:t>
      </w:r>
      <w:r w:rsidR="00804FB9">
        <w:rPr>
          <w:rFonts w:ascii="Arial" w:eastAsia="Times New Roman" w:hAnsi="Arial" w:cs="Arial"/>
          <w:color w:val="000000" w:themeColor="text1"/>
          <w:kern w:val="2"/>
          <w:sz w:val="20"/>
          <w:szCs w:val="20"/>
        </w:rPr>
        <w:t>.</w:t>
      </w:r>
      <w:r w:rsidR="0040191E">
        <w:rPr>
          <w:rFonts w:ascii="Arial" w:eastAsia="Times New Roman" w:hAnsi="Arial" w:cs="Arial"/>
          <w:color w:val="000000" w:themeColor="text1"/>
          <w:kern w:val="2"/>
          <w:sz w:val="20"/>
          <w:szCs w:val="20"/>
        </w:rPr>
        <w:t xml:space="preserve"> </w:t>
      </w:r>
      <w:r w:rsidR="001C4827">
        <w:rPr>
          <w:rFonts w:ascii="Arial" w:eastAsia="Times New Roman" w:hAnsi="Arial" w:cs="Arial"/>
          <w:color w:val="000000" w:themeColor="text1"/>
          <w:kern w:val="2"/>
          <w:sz w:val="20"/>
          <w:szCs w:val="20"/>
        </w:rPr>
        <w:t xml:space="preserve">To determine need for the </w:t>
      </w:r>
      <w:r w:rsidR="002B64E7">
        <w:rPr>
          <w:rFonts w:ascii="Arial" w:eastAsia="Times New Roman" w:hAnsi="Arial" w:cs="Arial"/>
          <w:color w:val="000000" w:themeColor="text1"/>
          <w:kern w:val="2"/>
          <w:sz w:val="20"/>
          <w:szCs w:val="20"/>
        </w:rPr>
        <w:t>P</w:t>
      </w:r>
      <w:r w:rsidR="001C4827">
        <w:rPr>
          <w:rFonts w:ascii="Arial" w:eastAsia="Times New Roman" w:hAnsi="Arial" w:cs="Arial"/>
          <w:color w:val="000000" w:themeColor="text1"/>
          <w:kern w:val="2"/>
          <w:sz w:val="20"/>
          <w:szCs w:val="20"/>
        </w:rPr>
        <w:t xml:space="preserve">roposed </w:t>
      </w:r>
      <w:r w:rsidR="002B64E7">
        <w:rPr>
          <w:rFonts w:ascii="Arial" w:eastAsia="Times New Roman" w:hAnsi="Arial" w:cs="Arial"/>
          <w:color w:val="000000" w:themeColor="text1"/>
          <w:kern w:val="2"/>
          <w:sz w:val="20"/>
          <w:szCs w:val="20"/>
        </w:rPr>
        <w:t>P</w:t>
      </w:r>
      <w:r w:rsidR="001C4827">
        <w:rPr>
          <w:rFonts w:ascii="Arial" w:eastAsia="Times New Roman" w:hAnsi="Arial" w:cs="Arial"/>
          <w:color w:val="000000" w:themeColor="text1"/>
          <w:kern w:val="2"/>
          <w:sz w:val="20"/>
          <w:szCs w:val="20"/>
        </w:rPr>
        <w:t xml:space="preserve">roject, </w:t>
      </w:r>
      <w:r>
        <w:rPr>
          <w:rFonts w:ascii="Arial" w:eastAsia="Times New Roman" w:hAnsi="Arial" w:cs="Arial"/>
          <w:color w:val="000000" w:themeColor="text1"/>
          <w:kern w:val="2"/>
          <w:sz w:val="20"/>
          <w:szCs w:val="20"/>
        </w:rPr>
        <w:t>the Applicant relied</w:t>
      </w:r>
      <w:r w:rsidR="001C4827">
        <w:rPr>
          <w:rFonts w:ascii="Arial" w:eastAsia="Times New Roman" w:hAnsi="Arial" w:cs="Arial"/>
          <w:color w:val="000000" w:themeColor="text1"/>
          <w:kern w:val="2"/>
          <w:sz w:val="20"/>
          <w:szCs w:val="20"/>
        </w:rPr>
        <w:t xml:space="preserve"> on patient panel information from its Massachusetts </w:t>
      </w:r>
      <w:r>
        <w:rPr>
          <w:rFonts w:ascii="Arial" w:eastAsia="Times New Roman" w:hAnsi="Arial" w:cs="Arial"/>
          <w:color w:val="000000" w:themeColor="text1"/>
          <w:kern w:val="2"/>
          <w:sz w:val="20"/>
          <w:szCs w:val="20"/>
        </w:rPr>
        <w:t xml:space="preserve">hospitals </w:t>
      </w:r>
      <w:r w:rsidR="00D02781">
        <w:rPr>
          <w:rFonts w:ascii="Arial" w:eastAsia="Times New Roman" w:hAnsi="Arial" w:cs="Arial"/>
          <w:color w:val="000000" w:themeColor="text1"/>
          <w:kern w:val="2"/>
          <w:sz w:val="20"/>
          <w:szCs w:val="20"/>
        </w:rPr>
        <w:t>(“Steward Northeast”)</w:t>
      </w:r>
      <w:r w:rsidR="00D02781">
        <w:rPr>
          <w:rStyle w:val="FootnoteReference"/>
          <w:rFonts w:ascii="Arial" w:eastAsia="Times New Roman" w:hAnsi="Arial" w:cs="Arial"/>
          <w:color w:val="000000" w:themeColor="text1"/>
          <w:kern w:val="2"/>
          <w:sz w:val="20"/>
          <w:szCs w:val="20"/>
        </w:rPr>
        <w:footnoteReference w:id="2"/>
      </w:r>
      <w:r w:rsidR="001C4827">
        <w:rPr>
          <w:rFonts w:ascii="Arial" w:eastAsia="Times New Roman" w:hAnsi="Arial" w:cs="Arial"/>
          <w:color w:val="000000" w:themeColor="text1"/>
          <w:kern w:val="2"/>
          <w:sz w:val="20"/>
          <w:szCs w:val="20"/>
        </w:rPr>
        <w:t xml:space="preserve"> </w:t>
      </w:r>
      <w:r w:rsidR="00492BB6">
        <w:rPr>
          <w:rFonts w:ascii="Arial" w:eastAsia="Times New Roman" w:hAnsi="Arial" w:cs="Arial"/>
          <w:color w:val="000000" w:themeColor="text1"/>
          <w:kern w:val="2"/>
          <w:sz w:val="20"/>
          <w:szCs w:val="20"/>
        </w:rPr>
        <w:t xml:space="preserve">and the patient panel of GSMC </w:t>
      </w:r>
      <w:r w:rsidR="001C4827">
        <w:rPr>
          <w:rFonts w:ascii="Arial" w:eastAsia="Times New Roman" w:hAnsi="Arial" w:cs="Arial"/>
          <w:color w:val="000000" w:themeColor="text1"/>
          <w:kern w:val="2"/>
          <w:sz w:val="20"/>
          <w:szCs w:val="20"/>
        </w:rPr>
        <w:t xml:space="preserve">to determine need for the </w:t>
      </w:r>
      <w:r>
        <w:rPr>
          <w:rFonts w:ascii="Arial" w:eastAsia="Times New Roman" w:hAnsi="Arial" w:cs="Arial"/>
          <w:color w:val="000000" w:themeColor="text1"/>
          <w:kern w:val="2"/>
          <w:sz w:val="20"/>
          <w:szCs w:val="20"/>
        </w:rPr>
        <w:t>Proposed Project</w:t>
      </w:r>
      <w:r w:rsidR="001C4827">
        <w:rPr>
          <w:rFonts w:ascii="Arial" w:eastAsia="Times New Roman" w:hAnsi="Arial" w:cs="Arial"/>
          <w:color w:val="000000" w:themeColor="text1"/>
          <w:kern w:val="2"/>
          <w:sz w:val="20"/>
          <w:szCs w:val="20"/>
        </w:rPr>
        <w:t xml:space="preserve">. </w:t>
      </w:r>
    </w:p>
    <w:p w14:paraId="7A4687CA" w14:textId="77777777" w:rsidR="0000203F" w:rsidRPr="0000203F" w:rsidRDefault="0000203F" w:rsidP="0000203F">
      <w:pPr>
        <w:spacing w:after="0" w:line="240" w:lineRule="auto"/>
        <w:jc w:val="both"/>
        <w:rPr>
          <w:rFonts w:ascii="Arial" w:eastAsia="Times New Roman" w:hAnsi="Arial" w:cs="Arial"/>
          <w:color w:val="000000" w:themeColor="text1"/>
          <w:kern w:val="2"/>
          <w:sz w:val="20"/>
          <w:szCs w:val="20"/>
        </w:rPr>
      </w:pPr>
    </w:p>
    <w:p w14:paraId="7527AC97" w14:textId="04AF3BDB" w:rsidR="00274B35" w:rsidRDefault="00D02781" w:rsidP="00A45041">
      <w:pPr>
        <w:rPr>
          <w:rFonts w:ascii="Arial" w:eastAsia="Verdana" w:hAnsi="Arial" w:cs="Arial"/>
          <w:sz w:val="20"/>
          <w:szCs w:val="20"/>
        </w:rPr>
      </w:pPr>
      <w:r w:rsidRPr="00EF2A7C">
        <w:rPr>
          <w:rFonts w:ascii="Arial" w:hAnsi="Arial" w:cs="Arial"/>
          <w:sz w:val="20"/>
          <w:szCs w:val="20"/>
        </w:rPr>
        <w:t>Steward Northeast hospitals serve a large and diverse patient panel, as demonstrated by the utilization data for the 36-month period covering Fiscal Year</w:t>
      </w:r>
      <w:r w:rsidR="00492BB6">
        <w:rPr>
          <w:rFonts w:ascii="Arial" w:hAnsi="Arial" w:cs="Arial"/>
          <w:sz w:val="20"/>
          <w:szCs w:val="20"/>
        </w:rPr>
        <w:t>s</w:t>
      </w:r>
      <w:r w:rsidRPr="00EF2A7C">
        <w:rPr>
          <w:rFonts w:ascii="Arial" w:hAnsi="Arial" w:cs="Arial"/>
          <w:sz w:val="20"/>
          <w:szCs w:val="20"/>
        </w:rPr>
        <w:t xml:space="preserve"> (“FY”) 19 (Quarter 4, or Q4), 20, 21, and 22 (Q1-Q3).</w:t>
      </w:r>
      <w:r w:rsidRPr="00EF2A7C">
        <w:rPr>
          <w:rStyle w:val="FootnoteReference"/>
          <w:rFonts w:ascii="Arial" w:hAnsi="Arial" w:cs="Arial"/>
          <w:sz w:val="20"/>
          <w:szCs w:val="20"/>
        </w:rPr>
        <w:footnoteReference w:id="3"/>
      </w:r>
      <w:r w:rsidRPr="00EF2A7C">
        <w:rPr>
          <w:rFonts w:ascii="Arial" w:hAnsi="Arial" w:cs="Arial"/>
          <w:sz w:val="20"/>
          <w:szCs w:val="20"/>
        </w:rPr>
        <w:t xml:space="preserve"> In FY22 (Q1-Q</w:t>
      </w:r>
      <w:r w:rsidR="00EB40AD">
        <w:rPr>
          <w:rFonts w:ascii="Arial" w:hAnsi="Arial" w:cs="Arial"/>
          <w:sz w:val="20"/>
          <w:szCs w:val="20"/>
        </w:rPr>
        <w:t>3</w:t>
      </w:r>
      <w:r w:rsidRPr="00EF2A7C">
        <w:rPr>
          <w:rFonts w:ascii="Arial" w:hAnsi="Arial" w:cs="Arial"/>
          <w:sz w:val="20"/>
          <w:szCs w:val="20"/>
        </w:rPr>
        <w:t xml:space="preserve">), Steward served approximately </w:t>
      </w:r>
      <w:r w:rsidRPr="00EF2A7C">
        <w:rPr>
          <w:rFonts w:ascii="Arial" w:eastAsia="Verdana" w:hAnsi="Arial" w:cs="Arial"/>
          <w:sz w:val="20"/>
          <w:szCs w:val="20"/>
        </w:rPr>
        <w:t>350,342 patients</w:t>
      </w:r>
      <w:r w:rsidR="00EB40AD">
        <w:rPr>
          <w:rFonts w:ascii="Arial" w:eastAsia="Verdana" w:hAnsi="Arial" w:cs="Arial"/>
          <w:sz w:val="20"/>
          <w:szCs w:val="20"/>
        </w:rPr>
        <w:t xml:space="preserve"> (467,123 annualized)</w:t>
      </w:r>
      <w:r w:rsidR="00EF2A7C">
        <w:rPr>
          <w:rFonts w:ascii="Arial" w:eastAsia="Verdana" w:hAnsi="Arial" w:cs="Arial"/>
          <w:sz w:val="20"/>
          <w:szCs w:val="20"/>
        </w:rPr>
        <w:t xml:space="preserve">, an increase of </w:t>
      </w:r>
      <w:r w:rsidR="00EB40AD">
        <w:rPr>
          <w:rFonts w:ascii="Arial" w:eastAsia="Verdana" w:hAnsi="Arial" w:cs="Arial"/>
          <w:sz w:val="20"/>
          <w:szCs w:val="20"/>
        </w:rPr>
        <w:t>6.22%</w:t>
      </w:r>
      <w:r w:rsidR="00EF2A7C">
        <w:rPr>
          <w:rFonts w:ascii="Arial" w:eastAsia="Verdana" w:hAnsi="Arial" w:cs="Arial"/>
          <w:sz w:val="20"/>
          <w:szCs w:val="20"/>
        </w:rPr>
        <w:t xml:space="preserve"> from FY</w:t>
      </w:r>
      <w:r w:rsidR="00EB40AD">
        <w:rPr>
          <w:rFonts w:ascii="Arial" w:eastAsia="Verdana" w:hAnsi="Arial" w:cs="Arial"/>
          <w:sz w:val="20"/>
          <w:szCs w:val="20"/>
        </w:rPr>
        <w:t>20</w:t>
      </w:r>
      <w:r w:rsidR="00EF2A7C">
        <w:rPr>
          <w:rFonts w:ascii="Arial" w:eastAsia="Verdana" w:hAnsi="Arial" w:cs="Arial"/>
          <w:sz w:val="20"/>
          <w:szCs w:val="20"/>
        </w:rPr>
        <w:t>.</w:t>
      </w:r>
      <w:r w:rsidR="004978E0">
        <w:rPr>
          <w:rFonts w:ascii="Arial" w:eastAsia="Verdana" w:hAnsi="Arial" w:cs="Arial"/>
          <w:sz w:val="20"/>
          <w:szCs w:val="20"/>
        </w:rPr>
        <w:t xml:space="preserve"> The following table details the characteristics of Steward Northeast </w:t>
      </w:r>
      <w:r w:rsidR="008C781B">
        <w:rPr>
          <w:rFonts w:ascii="Arial" w:eastAsia="Verdana" w:hAnsi="Arial" w:cs="Arial"/>
          <w:sz w:val="20"/>
          <w:szCs w:val="20"/>
        </w:rPr>
        <w:t>h</w:t>
      </w:r>
      <w:r w:rsidR="004978E0">
        <w:rPr>
          <w:rFonts w:ascii="Arial" w:eastAsia="Verdana" w:hAnsi="Arial" w:cs="Arial"/>
          <w:sz w:val="20"/>
          <w:szCs w:val="20"/>
        </w:rPr>
        <w:t>ospitals’ Patient Panel</w:t>
      </w:r>
      <w:r w:rsidR="004B09B9">
        <w:rPr>
          <w:rFonts w:ascii="Arial" w:eastAsia="Verdana" w:hAnsi="Arial" w:cs="Arial"/>
          <w:sz w:val="20"/>
          <w:szCs w:val="20"/>
        </w:rPr>
        <w:t>.</w:t>
      </w:r>
    </w:p>
    <w:p w14:paraId="5198062B" w14:textId="77777777" w:rsidR="008C781B" w:rsidRPr="00EF2A7C" w:rsidRDefault="008C781B" w:rsidP="00A45041">
      <w:pPr>
        <w:rPr>
          <w:rFonts w:ascii="Arial" w:hAnsi="Arial" w:cs="Arial"/>
          <w:sz w:val="20"/>
          <w:szCs w:val="20"/>
        </w:rPr>
      </w:pPr>
    </w:p>
    <w:p w14:paraId="2817A9B2" w14:textId="0B825AF9" w:rsidR="007C2614" w:rsidRPr="007C2614" w:rsidRDefault="00197384" w:rsidP="00A45041">
      <w:pPr>
        <w:pStyle w:val="Heading5"/>
        <w:ind w:left="-720"/>
      </w:pPr>
      <w:r>
        <w:lastRenderedPageBreak/>
        <w:t xml:space="preserve">    </w:t>
      </w:r>
      <w:r w:rsidR="007C2614" w:rsidRPr="007C2614">
        <w:t>TABLE 1</w:t>
      </w:r>
      <w:r w:rsidR="007C2614">
        <w:t>: Steward</w:t>
      </w:r>
      <w:r w:rsidR="004978E0">
        <w:t xml:space="preserve"> Northeast </w:t>
      </w:r>
      <w:r w:rsidR="007C2614">
        <w:t>Overall Patient Panel</w:t>
      </w:r>
    </w:p>
    <w:tbl>
      <w:tblPr>
        <w:tblStyle w:val="TableGrid"/>
        <w:tblW w:w="10356" w:type="dxa"/>
        <w:jc w:val="center"/>
        <w:tblLook w:val="04A0" w:firstRow="1" w:lastRow="0" w:firstColumn="1" w:lastColumn="0" w:noHBand="0" w:noVBand="1"/>
      </w:tblPr>
      <w:tblGrid>
        <w:gridCol w:w="2156"/>
        <w:gridCol w:w="1080"/>
        <w:gridCol w:w="990"/>
        <w:gridCol w:w="990"/>
        <w:gridCol w:w="1080"/>
        <w:gridCol w:w="990"/>
        <w:gridCol w:w="1387"/>
        <w:gridCol w:w="808"/>
        <w:gridCol w:w="875"/>
      </w:tblGrid>
      <w:tr w:rsidR="00536E18" w:rsidRPr="00702EAF" w14:paraId="5A2BA079" w14:textId="03206D50" w:rsidTr="00837ABB">
        <w:trPr>
          <w:cantSplit/>
          <w:trHeight w:val="280"/>
          <w:tblHeader/>
          <w:jc w:val="center"/>
        </w:trPr>
        <w:tc>
          <w:tcPr>
            <w:tcW w:w="2156" w:type="dxa"/>
            <w:tcBorders>
              <w:bottom w:val="nil"/>
            </w:tcBorders>
            <w:noWrap/>
            <w:vAlign w:val="center"/>
          </w:tcPr>
          <w:p w14:paraId="4B5A4214" w14:textId="77777777" w:rsidR="00536E18" w:rsidRPr="00CF4184" w:rsidRDefault="00536E18" w:rsidP="00536E18">
            <w:pPr>
              <w:jc w:val="center"/>
              <w:rPr>
                <w:rFonts w:ascii="Arial" w:eastAsia="Verdana" w:hAnsi="Arial" w:cs="Arial"/>
                <w:sz w:val="18"/>
                <w:szCs w:val="18"/>
              </w:rPr>
            </w:pPr>
            <w:bookmarkStart w:id="1" w:name="_Hlk121997202"/>
            <w:r w:rsidRPr="00CF4184">
              <w:rPr>
                <w:rFonts w:asciiTheme="majorHAnsi" w:eastAsia="Verdana" w:hAnsiTheme="majorHAnsi" w:cstheme="majorHAnsi"/>
                <w:sz w:val="18"/>
                <w:szCs w:val="18"/>
              </w:rPr>
              <w:t>Demographic Measure</w:t>
            </w:r>
          </w:p>
        </w:tc>
        <w:tc>
          <w:tcPr>
            <w:tcW w:w="1080" w:type="dxa"/>
            <w:shd w:val="clear" w:color="auto" w:fill="B4C6E7" w:themeFill="accent1" w:themeFillTint="66"/>
            <w:noWrap/>
          </w:tcPr>
          <w:p w14:paraId="23F98666" w14:textId="77777777" w:rsidR="00536E18" w:rsidRPr="00CF4184" w:rsidRDefault="00536E18" w:rsidP="00536E18">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(Q4)</w:t>
            </w:r>
          </w:p>
        </w:tc>
        <w:tc>
          <w:tcPr>
            <w:tcW w:w="990" w:type="dxa"/>
            <w:shd w:val="clear" w:color="auto" w:fill="B4C6E7" w:themeFill="accent1" w:themeFillTint="66"/>
          </w:tcPr>
          <w:p w14:paraId="60A5CC36" w14:textId="0455AED9" w:rsidR="00536E18" w:rsidRPr="00CF4184" w:rsidRDefault="00536E18" w:rsidP="00536E18">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(Q4)</w:t>
            </w:r>
          </w:p>
        </w:tc>
        <w:tc>
          <w:tcPr>
            <w:tcW w:w="990" w:type="dxa"/>
            <w:shd w:val="clear" w:color="auto" w:fill="B4C6E7" w:themeFill="accent1" w:themeFillTint="66"/>
            <w:noWrap/>
          </w:tcPr>
          <w:p w14:paraId="2C70413D" w14:textId="77777777" w:rsidR="00536E18" w:rsidRPr="00CF4184" w:rsidRDefault="00536E18" w:rsidP="00536E18">
            <w:pPr>
              <w:jc w:val="center"/>
              <w:rPr>
                <w:rFonts w:asciiTheme="majorHAnsi" w:eastAsia="Verdana" w:hAnsiTheme="majorHAnsi" w:cstheme="majorHAnsi"/>
                <w:b/>
                <w:bCs/>
                <w:sz w:val="18"/>
                <w:szCs w:val="18"/>
              </w:rPr>
            </w:pPr>
            <w:r w:rsidRPr="00CF4184">
              <w:rPr>
                <w:rFonts w:asciiTheme="majorHAnsi" w:eastAsia="Verdana" w:hAnsiTheme="majorHAnsi" w:cstheme="majorHAnsi"/>
                <w:b/>
                <w:bCs/>
                <w:sz w:val="18"/>
                <w:szCs w:val="18"/>
              </w:rPr>
              <w:t>FY2</w:t>
            </w:r>
            <w:r>
              <w:rPr>
                <w:rFonts w:asciiTheme="majorHAnsi" w:eastAsia="Verdana" w:hAnsiTheme="majorHAnsi" w:cstheme="majorHAnsi"/>
                <w:b/>
                <w:bCs/>
                <w:sz w:val="18"/>
                <w:szCs w:val="18"/>
              </w:rPr>
              <w:t>0</w:t>
            </w:r>
          </w:p>
        </w:tc>
        <w:tc>
          <w:tcPr>
            <w:tcW w:w="1080" w:type="dxa"/>
            <w:shd w:val="clear" w:color="auto" w:fill="B4C6E7" w:themeFill="accent1" w:themeFillTint="66"/>
          </w:tcPr>
          <w:p w14:paraId="53981061" w14:textId="19104AB6" w:rsidR="00536E18" w:rsidRPr="00CF4184" w:rsidRDefault="00536E18" w:rsidP="00536E18">
            <w:pPr>
              <w:jc w:val="center"/>
              <w:rPr>
                <w:rFonts w:asciiTheme="majorHAnsi" w:eastAsia="Verdana" w:hAnsiTheme="majorHAnsi" w:cstheme="majorHAnsi"/>
                <w:b/>
                <w:bCs/>
                <w:sz w:val="18"/>
                <w:szCs w:val="18"/>
              </w:rPr>
            </w:pPr>
            <w:r w:rsidRPr="00CF4184">
              <w:rPr>
                <w:rFonts w:asciiTheme="majorHAnsi" w:eastAsia="Verdana" w:hAnsiTheme="majorHAnsi" w:cstheme="majorHAnsi"/>
                <w:b/>
                <w:bCs/>
                <w:sz w:val="18"/>
                <w:szCs w:val="18"/>
              </w:rPr>
              <w:t>FY2</w:t>
            </w:r>
            <w:r>
              <w:rPr>
                <w:rFonts w:asciiTheme="majorHAnsi" w:eastAsia="Verdana" w:hAnsiTheme="majorHAnsi" w:cstheme="majorHAnsi"/>
                <w:b/>
                <w:bCs/>
                <w:sz w:val="18"/>
                <w:szCs w:val="18"/>
              </w:rPr>
              <w:t>0</w:t>
            </w:r>
          </w:p>
        </w:tc>
        <w:tc>
          <w:tcPr>
            <w:tcW w:w="990" w:type="dxa"/>
            <w:shd w:val="clear" w:color="auto" w:fill="B4C6E7" w:themeFill="accent1" w:themeFillTint="66"/>
            <w:noWrap/>
          </w:tcPr>
          <w:p w14:paraId="35A010F1" w14:textId="77777777" w:rsidR="00536E18" w:rsidRPr="00CF4184" w:rsidRDefault="00536E18" w:rsidP="00536E18">
            <w:pPr>
              <w:jc w:val="center"/>
              <w:rPr>
                <w:rFonts w:asciiTheme="majorHAnsi" w:eastAsia="Verdana" w:hAnsiTheme="majorHAnsi" w:cstheme="majorHAnsi"/>
                <w:b/>
                <w:bCs/>
                <w:sz w:val="18"/>
                <w:szCs w:val="18"/>
              </w:rPr>
            </w:pPr>
            <w:r w:rsidRPr="00A733AA">
              <w:rPr>
                <w:rFonts w:asciiTheme="majorHAnsi" w:eastAsia="Verdana" w:hAnsiTheme="majorHAnsi" w:cstheme="majorHAnsi"/>
                <w:b/>
                <w:bCs/>
                <w:sz w:val="18"/>
                <w:szCs w:val="18"/>
              </w:rPr>
              <w:t>FY2</w:t>
            </w:r>
            <w:r>
              <w:rPr>
                <w:rFonts w:asciiTheme="majorHAnsi" w:eastAsia="Verdana" w:hAnsiTheme="majorHAnsi" w:cstheme="majorHAnsi"/>
                <w:b/>
                <w:bCs/>
                <w:sz w:val="18"/>
                <w:szCs w:val="18"/>
              </w:rPr>
              <w:t>1</w:t>
            </w:r>
          </w:p>
        </w:tc>
        <w:tc>
          <w:tcPr>
            <w:tcW w:w="1387" w:type="dxa"/>
            <w:shd w:val="clear" w:color="auto" w:fill="B4C6E7" w:themeFill="accent1" w:themeFillTint="66"/>
          </w:tcPr>
          <w:p w14:paraId="0BB92E23" w14:textId="5BFC916F" w:rsidR="00536E18" w:rsidRPr="00CF4184" w:rsidRDefault="00536E18" w:rsidP="00536E18">
            <w:pPr>
              <w:jc w:val="center"/>
              <w:rPr>
                <w:rFonts w:asciiTheme="majorHAnsi" w:eastAsia="Verdana" w:hAnsiTheme="majorHAnsi" w:cstheme="majorHAnsi"/>
                <w:b/>
                <w:bCs/>
                <w:sz w:val="18"/>
                <w:szCs w:val="18"/>
              </w:rPr>
            </w:pPr>
            <w:r w:rsidRPr="00A733AA">
              <w:rPr>
                <w:rFonts w:asciiTheme="majorHAnsi" w:eastAsia="Verdana" w:hAnsiTheme="majorHAnsi" w:cstheme="majorHAnsi"/>
                <w:b/>
                <w:bCs/>
                <w:sz w:val="18"/>
                <w:szCs w:val="18"/>
              </w:rPr>
              <w:t>FY2</w:t>
            </w:r>
            <w:r>
              <w:rPr>
                <w:rFonts w:asciiTheme="majorHAnsi" w:eastAsia="Verdana" w:hAnsiTheme="majorHAnsi" w:cstheme="majorHAnsi"/>
                <w:b/>
                <w:bCs/>
                <w:sz w:val="18"/>
                <w:szCs w:val="18"/>
              </w:rPr>
              <w:t>1</w:t>
            </w:r>
          </w:p>
        </w:tc>
        <w:tc>
          <w:tcPr>
            <w:tcW w:w="808" w:type="dxa"/>
            <w:shd w:val="clear" w:color="auto" w:fill="B4C6E7" w:themeFill="accent1" w:themeFillTint="66"/>
          </w:tcPr>
          <w:p w14:paraId="240710E6" w14:textId="77777777" w:rsidR="00536E18" w:rsidRPr="00A733AA" w:rsidRDefault="00536E18" w:rsidP="00536E18">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FY22 (Q1, Q2, Q3)</w:t>
            </w:r>
          </w:p>
        </w:tc>
        <w:tc>
          <w:tcPr>
            <w:tcW w:w="875" w:type="dxa"/>
            <w:shd w:val="clear" w:color="auto" w:fill="B4C6E7" w:themeFill="accent1" w:themeFillTint="66"/>
          </w:tcPr>
          <w:p w14:paraId="0E0E4280" w14:textId="52B3560B" w:rsidR="00536E18" w:rsidRPr="00A733AA" w:rsidRDefault="00536E18" w:rsidP="00536E18">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FY22 (Q1, Q2, Q3)</w:t>
            </w:r>
          </w:p>
        </w:tc>
      </w:tr>
      <w:tr w:rsidR="00536E18" w:rsidRPr="00702EAF" w14:paraId="1AB24570" w14:textId="5419D0F6" w:rsidTr="00837ABB">
        <w:trPr>
          <w:cantSplit/>
          <w:trHeight w:val="280"/>
          <w:tblHeader/>
          <w:jc w:val="center"/>
        </w:trPr>
        <w:tc>
          <w:tcPr>
            <w:tcW w:w="2156" w:type="dxa"/>
            <w:tcBorders>
              <w:top w:val="nil"/>
            </w:tcBorders>
            <w:noWrap/>
            <w:vAlign w:val="center"/>
          </w:tcPr>
          <w:p w14:paraId="56B81ECB" w14:textId="77777777" w:rsidR="00536E18" w:rsidRPr="00CF4184" w:rsidRDefault="00536E18" w:rsidP="00536E18">
            <w:pPr>
              <w:jc w:val="center"/>
              <w:rPr>
                <w:rFonts w:asciiTheme="majorHAnsi" w:eastAsia="Verdana" w:hAnsiTheme="majorHAnsi" w:cstheme="majorHAnsi"/>
                <w:sz w:val="18"/>
                <w:szCs w:val="18"/>
              </w:rPr>
            </w:pPr>
          </w:p>
        </w:tc>
        <w:tc>
          <w:tcPr>
            <w:tcW w:w="1080" w:type="dxa"/>
            <w:noWrap/>
            <w:vAlign w:val="center"/>
          </w:tcPr>
          <w:p w14:paraId="70822D9B" w14:textId="77777777" w:rsidR="00536E18" w:rsidRPr="00CF4184" w:rsidRDefault="00536E18" w:rsidP="00536E18">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990" w:type="dxa"/>
            <w:noWrap/>
            <w:vAlign w:val="center"/>
          </w:tcPr>
          <w:p w14:paraId="4D1C87AC" w14:textId="77777777" w:rsidR="00536E18" w:rsidRPr="00CF4184" w:rsidRDefault="00536E18" w:rsidP="00536E18">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c>
          <w:tcPr>
            <w:tcW w:w="990" w:type="dxa"/>
            <w:noWrap/>
            <w:vAlign w:val="center"/>
          </w:tcPr>
          <w:p w14:paraId="5A8DAEC5" w14:textId="77777777" w:rsidR="00536E18" w:rsidRPr="00CF4184" w:rsidRDefault="00536E18" w:rsidP="00536E18">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1080" w:type="dxa"/>
            <w:noWrap/>
            <w:vAlign w:val="center"/>
          </w:tcPr>
          <w:p w14:paraId="08769AE1" w14:textId="77777777" w:rsidR="00536E18" w:rsidRPr="00CF4184" w:rsidRDefault="00536E18" w:rsidP="00536E18">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c>
          <w:tcPr>
            <w:tcW w:w="990" w:type="dxa"/>
            <w:noWrap/>
            <w:vAlign w:val="center"/>
          </w:tcPr>
          <w:p w14:paraId="49205F03" w14:textId="77777777" w:rsidR="00536E18" w:rsidRPr="00CF4184" w:rsidRDefault="00536E18" w:rsidP="00536E18">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1387" w:type="dxa"/>
            <w:noWrap/>
            <w:vAlign w:val="center"/>
          </w:tcPr>
          <w:p w14:paraId="79E9D58C" w14:textId="77777777" w:rsidR="00536E18" w:rsidRPr="00CF4184" w:rsidRDefault="00536E18" w:rsidP="00536E18">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c>
          <w:tcPr>
            <w:tcW w:w="808" w:type="dxa"/>
          </w:tcPr>
          <w:p w14:paraId="7BED60FD" w14:textId="040162DF" w:rsidR="00536E18" w:rsidRPr="00CF4184" w:rsidRDefault="00536E18" w:rsidP="00536E18">
            <w:pPr>
              <w:jc w:val="center"/>
              <w:rPr>
                <w:rFonts w:asciiTheme="majorHAnsi" w:eastAsia="Verdana" w:hAnsiTheme="majorHAnsi" w:cstheme="majorHAnsi"/>
                <w:sz w:val="18"/>
                <w:szCs w:val="18"/>
              </w:rPr>
            </w:pPr>
            <w:r>
              <w:rPr>
                <w:rFonts w:asciiTheme="majorHAnsi" w:eastAsia="Verdana" w:hAnsiTheme="majorHAnsi" w:cstheme="majorHAnsi"/>
                <w:sz w:val="18"/>
                <w:szCs w:val="18"/>
              </w:rPr>
              <w:t>Count</w:t>
            </w:r>
          </w:p>
        </w:tc>
        <w:tc>
          <w:tcPr>
            <w:tcW w:w="875" w:type="dxa"/>
          </w:tcPr>
          <w:p w14:paraId="7D726181" w14:textId="02119022" w:rsidR="00536E18" w:rsidRPr="00CF4184" w:rsidRDefault="00536E18" w:rsidP="00536E18">
            <w:pPr>
              <w:jc w:val="center"/>
              <w:rPr>
                <w:rFonts w:asciiTheme="majorHAnsi" w:eastAsia="Verdana" w:hAnsiTheme="majorHAnsi" w:cstheme="majorHAnsi"/>
                <w:sz w:val="18"/>
                <w:szCs w:val="18"/>
              </w:rPr>
            </w:pPr>
            <w:r>
              <w:rPr>
                <w:rFonts w:asciiTheme="majorHAnsi" w:eastAsia="Verdana" w:hAnsiTheme="majorHAnsi" w:cstheme="majorHAnsi"/>
                <w:sz w:val="18"/>
                <w:szCs w:val="18"/>
              </w:rPr>
              <w:t>Percent</w:t>
            </w:r>
          </w:p>
        </w:tc>
      </w:tr>
      <w:tr w:rsidR="00536E18" w:rsidRPr="00702EAF" w14:paraId="34ECC077" w14:textId="28138089" w:rsidTr="00837ABB">
        <w:trPr>
          <w:cantSplit/>
          <w:trHeight w:val="280"/>
          <w:jc w:val="center"/>
        </w:trPr>
        <w:tc>
          <w:tcPr>
            <w:tcW w:w="2156" w:type="dxa"/>
            <w:shd w:val="clear" w:color="auto" w:fill="DEEAF6" w:themeFill="accent5" w:themeFillTint="33"/>
            <w:noWrap/>
          </w:tcPr>
          <w:p w14:paraId="441E8A9E" w14:textId="77777777" w:rsidR="00536E18" w:rsidRPr="00702EAF" w:rsidRDefault="00536E18" w:rsidP="00536E18">
            <w:pPr>
              <w:jc w:val="center"/>
              <w:rPr>
                <w:rFonts w:asciiTheme="majorHAnsi" w:eastAsia="Verdana" w:hAnsiTheme="majorHAnsi" w:cstheme="majorHAnsi"/>
                <w:b/>
                <w:bCs/>
                <w:sz w:val="18"/>
                <w:szCs w:val="18"/>
                <w:highlight w:val="yellow"/>
              </w:rPr>
            </w:pPr>
            <w:r w:rsidRPr="00201745">
              <w:rPr>
                <w:rFonts w:asciiTheme="majorHAnsi" w:eastAsia="Verdana" w:hAnsiTheme="majorHAnsi" w:cstheme="majorHAnsi"/>
                <w:b/>
                <w:bCs/>
                <w:sz w:val="18"/>
                <w:szCs w:val="18"/>
              </w:rPr>
              <w:t>Age</w:t>
            </w:r>
          </w:p>
        </w:tc>
        <w:tc>
          <w:tcPr>
            <w:tcW w:w="1080" w:type="dxa"/>
            <w:shd w:val="clear" w:color="auto" w:fill="DEEAF6" w:themeFill="accent5" w:themeFillTint="33"/>
            <w:noWrap/>
          </w:tcPr>
          <w:p w14:paraId="62B89A53" w14:textId="77777777" w:rsidR="00536E18" w:rsidRPr="00702EAF" w:rsidRDefault="00536E18" w:rsidP="00536E18">
            <w:pPr>
              <w:jc w:val="center"/>
              <w:rPr>
                <w:rFonts w:ascii="Arial" w:eastAsia="Verdana" w:hAnsi="Arial" w:cs="Arial"/>
                <w:sz w:val="18"/>
                <w:szCs w:val="18"/>
                <w:highlight w:val="yellow"/>
              </w:rPr>
            </w:pPr>
          </w:p>
        </w:tc>
        <w:tc>
          <w:tcPr>
            <w:tcW w:w="990" w:type="dxa"/>
            <w:shd w:val="clear" w:color="auto" w:fill="DEEAF6" w:themeFill="accent5" w:themeFillTint="33"/>
            <w:noWrap/>
          </w:tcPr>
          <w:p w14:paraId="5F055491" w14:textId="77777777" w:rsidR="00536E18" w:rsidRPr="00702EAF" w:rsidRDefault="00536E18" w:rsidP="00536E18">
            <w:pPr>
              <w:jc w:val="center"/>
              <w:rPr>
                <w:rFonts w:ascii="Arial" w:eastAsia="Verdana" w:hAnsi="Arial" w:cs="Arial"/>
                <w:sz w:val="18"/>
                <w:szCs w:val="18"/>
                <w:highlight w:val="yellow"/>
              </w:rPr>
            </w:pPr>
          </w:p>
        </w:tc>
        <w:tc>
          <w:tcPr>
            <w:tcW w:w="990" w:type="dxa"/>
            <w:shd w:val="clear" w:color="auto" w:fill="DEEAF6" w:themeFill="accent5" w:themeFillTint="33"/>
            <w:noWrap/>
          </w:tcPr>
          <w:p w14:paraId="6A8A2686" w14:textId="77777777" w:rsidR="00536E18" w:rsidRPr="00702EAF" w:rsidRDefault="00536E18" w:rsidP="00536E18">
            <w:pPr>
              <w:jc w:val="center"/>
              <w:rPr>
                <w:rFonts w:ascii="Arial" w:eastAsia="Verdana" w:hAnsi="Arial" w:cs="Arial"/>
                <w:sz w:val="18"/>
                <w:szCs w:val="18"/>
                <w:highlight w:val="yellow"/>
              </w:rPr>
            </w:pPr>
          </w:p>
        </w:tc>
        <w:tc>
          <w:tcPr>
            <w:tcW w:w="1080" w:type="dxa"/>
            <w:shd w:val="clear" w:color="auto" w:fill="DEEAF6" w:themeFill="accent5" w:themeFillTint="33"/>
            <w:noWrap/>
          </w:tcPr>
          <w:p w14:paraId="50F4D971" w14:textId="77777777" w:rsidR="00536E18" w:rsidRPr="00702EAF" w:rsidRDefault="00536E18" w:rsidP="00536E18">
            <w:pPr>
              <w:jc w:val="center"/>
              <w:rPr>
                <w:rFonts w:ascii="Arial" w:eastAsia="Verdana" w:hAnsi="Arial" w:cs="Arial"/>
                <w:sz w:val="18"/>
                <w:szCs w:val="18"/>
                <w:highlight w:val="yellow"/>
              </w:rPr>
            </w:pPr>
          </w:p>
        </w:tc>
        <w:tc>
          <w:tcPr>
            <w:tcW w:w="990" w:type="dxa"/>
            <w:shd w:val="clear" w:color="auto" w:fill="DEEAF6" w:themeFill="accent5" w:themeFillTint="33"/>
            <w:noWrap/>
          </w:tcPr>
          <w:p w14:paraId="5C469A11" w14:textId="77777777" w:rsidR="00536E18" w:rsidRPr="00702EAF" w:rsidRDefault="00536E18" w:rsidP="00536E18">
            <w:pPr>
              <w:jc w:val="center"/>
              <w:rPr>
                <w:rFonts w:ascii="Arial" w:eastAsia="Verdana" w:hAnsi="Arial" w:cs="Arial"/>
                <w:sz w:val="18"/>
                <w:szCs w:val="18"/>
                <w:highlight w:val="yellow"/>
              </w:rPr>
            </w:pPr>
          </w:p>
        </w:tc>
        <w:tc>
          <w:tcPr>
            <w:tcW w:w="1387" w:type="dxa"/>
            <w:shd w:val="clear" w:color="auto" w:fill="DEEAF6" w:themeFill="accent5" w:themeFillTint="33"/>
            <w:noWrap/>
          </w:tcPr>
          <w:p w14:paraId="1B916C19" w14:textId="77777777" w:rsidR="00536E18" w:rsidRPr="00702EAF" w:rsidRDefault="00536E18" w:rsidP="00536E18">
            <w:pPr>
              <w:jc w:val="center"/>
              <w:rPr>
                <w:rFonts w:ascii="Arial" w:eastAsia="Verdana" w:hAnsi="Arial" w:cs="Arial"/>
                <w:sz w:val="18"/>
                <w:szCs w:val="18"/>
                <w:highlight w:val="yellow"/>
              </w:rPr>
            </w:pPr>
          </w:p>
        </w:tc>
        <w:tc>
          <w:tcPr>
            <w:tcW w:w="808" w:type="dxa"/>
            <w:shd w:val="clear" w:color="auto" w:fill="DEEAF6" w:themeFill="accent5" w:themeFillTint="33"/>
          </w:tcPr>
          <w:p w14:paraId="38616E26" w14:textId="77777777" w:rsidR="00536E18" w:rsidRPr="00702EAF" w:rsidRDefault="00536E18" w:rsidP="00536E18">
            <w:pPr>
              <w:jc w:val="center"/>
              <w:rPr>
                <w:rFonts w:ascii="Arial" w:eastAsia="Verdana" w:hAnsi="Arial" w:cs="Arial"/>
                <w:sz w:val="18"/>
                <w:szCs w:val="18"/>
                <w:highlight w:val="yellow"/>
              </w:rPr>
            </w:pPr>
          </w:p>
        </w:tc>
        <w:tc>
          <w:tcPr>
            <w:tcW w:w="875" w:type="dxa"/>
            <w:shd w:val="clear" w:color="auto" w:fill="DEEAF6" w:themeFill="accent5" w:themeFillTint="33"/>
          </w:tcPr>
          <w:p w14:paraId="0F36C630" w14:textId="77777777" w:rsidR="00536E18" w:rsidRPr="00702EAF" w:rsidRDefault="00536E18" w:rsidP="00536E18">
            <w:pPr>
              <w:jc w:val="center"/>
              <w:rPr>
                <w:rFonts w:ascii="Arial" w:eastAsia="Verdana" w:hAnsi="Arial" w:cs="Arial"/>
                <w:sz w:val="18"/>
                <w:szCs w:val="18"/>
                <w:highlight w:val="yellow"/>
              </w:rPr>
            </w:pPr>
          </w:p>
        </w:tc>
      </w:tr>
      <w:tr w:rsidR="00536E18" w:rsidRPr="00FC7CA5" w14:paraId="30375E72" w14:textId="435DDEAD" w:rsidTr="00837ABB">
        <w:trPr>
          <w:cantSplit/>
          <w:trHeight w:val="197"/>
          <w:jc w:val="center"/>
        </w:trPr>
        <w:tc>
          <w:tcPr>
            <w:tcW w:w="2156" w:type="dxa"/>
            <w:noWrap/>
            <w:hideMark/>
          </w:tcPr>
          <w:p w14:paraId="79A076B5" w14:textId="77777777" w:rsidR="00536E18" w:rsidRPr="00201745" w:rsidRDefault="00536E18" w:rsidP="00536E18">
            <w:pPr>
              <w:rPr>
                <w:rFonts w:asciiTheme="majorHAnsi" w:eastAsia="Verdana" w:hAnsiTheme="majorHAnsi" w:cstheme="majorHAnsi"/>
                <w:sz w:val="18"/>
                <w:szCs w:val="18"/>
              </w:rPr>
            </w:pPr>
            <w:r w:rsidRPr="00201745">
              <w:rPr>
                <w:rFonts w:asciiTheme="majorHAnsi" w:eastAsia="Verdana" w:hAnsiTheme="majorHAnsi" w:cstheme="majorHAnsi"/>
                <w:sz w:val="18"/>
                <w:szCs w:val="18"/>
              </w:rPr>
              <w:t>0 to 18</w:t>
            </w:r>
          </w:p>
        </w:tc>
        <w:tc>
          <w:tcPr>
            <w:tcW w:w="1080" w:type="dxa"/>
            <w:noWrap/>
            <w:vAlign w:val="bottom"/>
            <w:hideMark/>
          </w:tcPr>
          <w:p w14:paraId="1BF70A06" w14:textId="1E787EF4"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18,742 </w:t>
            </w:r>
          </w:p>
        </w:tc>
        <w:tc>
          <w:tcPr>
            <w:tcW w:w="990" w:type="dxa"/>
            <w:noWrap/>
            <w:vAlign w:val="bottom"/>
            <w:hideMark/>
          </w:tcPr>
          <w:p w14:paraId="6F483CDA" w14:textId="3C312D75"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10.36%</w:t>
            </w:r>
          </w:p>
        </w:tc>
        <w:tc>
          <w:tcPr>
            <w:tcW w:w="990" w:type="dxa"/>
            <w:shd w:val="clear" w:color="auto" w:fill="auto"/>
            <w:noWrap/>
            <w:vAlign w:val="bottom"/>
            <w:hideMark/>
          </w:tcPr>
          <w:p w14:paraId="41536BA2" w14:textId="4E86B34E"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44,771 </w:t>
            </w:r>
          </w:p>
        </w:tc>
        <w:tc>
          <w:tcPr>
            <w:tcW w:w="1080" w:type="dxa"/>
            <w:noWrap/>
            <w:vAlign w:val="bottom"/>
            <w:hideMark/>
          </w:tcPr>
          <w:p w14:paraId="38550A2E" w14:textId="35A86825"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10.18%</w:t>
            </w:r>
          </w:p>
        </w:tc>
        <w:tc>
          <w:tcPr>
            <w:tcW w:w="990" w:type="dxa"/>
            <w:noWrap/>
            <w:vAlign w:val="bottom"/>
            <w:hideMark/>
          </w:tcPr>
          <w:p w14:paraId="317468DE" w14:textId="61DF5985"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42,530 </w:t>
            </w:r>
          </w:p>
        </w:tc>
        <w:tc>
          <w:tcPr>
            <w:tcW w:w="1387" w:type="dxa"/>
            <w:noWrap/>
            <w:vAlign w:val="bottom"/>
            <w:hideMark/>
          </w:tcPr>
          <w:p w14:paraId="59E7E48A" w14:textId="21127BC6"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9.64%</w:t>
            </w:r>
          </w:p>
        </w:tc>
        <w:tc>
          <w:tcPr>
            <w:tcW w:w="808" w:type="dxa"/>
            <w:vAlign w:val="bottom"/>
          </w:tcPr>
          <w:p w14:paraId="73EC231F" w14:textId="3FE7D67B"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33,280 </w:t>
            </w:r>
          </w:p>
        </w:tc>
        <w:tc>
          <w:tcPr>
            <w:tcW w:w="875" w:type="dxa"/>
            <w:vAlign w:val="bottom"/>
          </w:tcPr>
          <w:p w14:paraId="03347861" w14:textId="70D89C98"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9.50%</w:t>
            </w:r>
          </w:p>
        </w:tc>
      </w:tr>
      <w:tr w:rsidR="00536E18" w:rsidRPr="00FC7CA5" w14:paraId="2946BD64" w14:textId="0EFAD970" w:rsidTr="00837ABB">
        <w:trPr>
          <w:cantSplit/>
          <w:trHeight w:val="224"/>
          <w:jc w:val="center"/>
        </w:trPr>
        <w:tc>
          <w:tcPr>
            <w:tcW w:w="2156" w:type="dxa"/>
            <w:noWrap/>
            <w:hideMark/>
          </w:tcPr>
          <w:p w14:paraId="572F0CDC" w14:textId="77777777" w:rsidR="00536E18" w:rsidRPr="00201745" w:rsidRDefault="00536E18" w:rsidP="00536E18">
            <w:pPr>
              <w:rPr>
                <w:rFonts w:asciiTheme="majorHAnsi" w:eastAsia="Verdana" w:hAnsiTheme="majorHAnsi" w:cstheme="majorHAnsi"/>
                <w:sz w:val="18"/>
                <w:szCs w:val="18"/>
              </w:rPr>
            </w:pPr>
            <w:r w:rsidRPr="00201745">
              <w:rPr>
                <w:rFonts w:asciiTheme="majorHAnsi" w:eastAsia="Verdana" w:hAnsiTheme="majorHAnsi" w:cstheme="majorHAnsi"/>
                <w:sz w:val="18"/>
                <w:szCs w:val="18"/>
              </w:rPr>
              <w:t>19 to 45</w:t>
            </w:r>
          </w:p>
        </w:tc>
        <w:tc>
          <w:tcPr>
            <w:tcW w:w="1080" w:type="dxa"/>
            <w:noWrap/>
            <w:vAlign w:val="bottom"/>
            <w:hideMark/>
          </w:tcPr>
          <w:p w14:paraId="430D3EC5" w14:textId="0FAB1D3A"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51,738 </w:t>
            </w:r>
          </w:p>
        </w:tc>
        <w:tc>
          <w:tcPr>
            <w:tcW w:w="990" w:type="dxa"/>
            <w:noWrap/>
            <w:vAlign w:val="bottom"/>
            <w:hideMark/>
          </w:tcPr>
          <w:p w14:paraId="6E2DE627" w14:textId="0B3D5F4D"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28.61%</w:t>
            </w:r>
          </w:p>
        </w:tc>
        <w:tc>
          <w:tcPr>
            <w:tcW w:w="990" w:type="dxa"/>
            <w:shd w:val="clear" w:color="auto" w:fill="auto"/>
            <w:noWrap/>
            <w:vAlign w:val="bottom"/>
            <w:hideMark/>
          </w:tcPr>
          <w:p w14:paraId="71E35728" w14:textId="2099A15D"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142,402 </w:t>
            </w:r>
          </w:p>
        </w:tc>
        <w:tc>
          <w:tcPr>
            <w:tcW w:w="1080" w:type="dxa"/>
            <w:noWrap/>
            <w:vAlign w:val="bottom"/>
            <w:hideMark/>
          </w:tcPr>
          <w:p w14:paraId="39939670" w14:textId="68758F30"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32.38%</w:t>
            </w:r>
          </w:p>
        </w:tc>
        <w:tc>
          <w:tcPr>
            <w:tcW w:w="990" w:type="dxa"/>
            <w:noWrap/>
            <w:vAlign w:val="bottom"/>
            <w:hideMark/>
          </w:tcPr>
          <w:p w14:paraId="6DFF18BB" w14:textId="507A2519"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140,359 </w:t>
            </w:r>
          </w:p>
        </w:tc>
        <w:tc>
          <w:tcPr>
            <w:tcW w:w="1387" w:type="dxa"/>
            <w:noWrap/>
            <w:vAlign w:val="bottom"/>
            <w:hideMark/>
          </w:tcPr>
          <w:p w14:paraId="6E64BA2A" w14:textId="72425B3D"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31.80%</w:t>
            </w:r>
          </w:p>
        </w:tc>
        <w:tc>
          <w:tcPr>
            <w:tcW w:w="808" w:type="dxa"/>
            <w:vAlign w:val="bottom"/>
          </w:tcPr>
          <w:p w14:paraId="06527242" w14:textId="3C1BFBF5"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107,634 </w:t>
            </w:r>
          </w:p>
        </w:tc>
        <w:tc>
          <w:tcPr>
            <w:tcW w:w="875" w:type="dxa"/>
            <w:vAlign w:val="bottom"/>
          </w:tcPr>
          <w:p w14:paraId="48745A02" w14:textId="629A8E86"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30.72%</w:t>
            </w:r>
          </w:p>
        </w:tc>
      </w:tr>
      <w:tr w:rsidR="00536E18" w:rsidRPr="00FC7CA5" w14:paraId="063D1717" w14:textId="32ADD1AC" w:rsidTr="00837ABB">
        <w:trPr>
          <w:cantSplit/>
          <w:trHeight w:val="233"/>
          <w:jc w:val="center"/>
        </w:trPr>
        <w:tc>
          <w:tcPr>
            <w:tcW w:w="2156" w:type="dxa"/>
            <w:noWrap/>
            <w:hideMark/>
          </w:tcPr>
          <w:p w14:paraId="19DC80F8" w14:textId="77777777" w:rsidR="00536E18" w:rsidRPr="00201745" w:rsidRDefault="00536E18" w:rsidP="00536E18">
            <w:pPr>
              <w:rPr>
                <w:rFonts w:asciiTheme="majorHAnsi" w:eastAsia="Verdana" w:hAnsiTheme="majorHAnsi" w:cstheme="majorHAnsi"/>
                <w:sz w:val="18"/>
                <w:szCs w:val="18"/>
              </w:rPr>
            </w:pPr>
            <w:r w:rsidRPr="00201745">
              <w:rPr>
                <w:rFonts w:asciiTheme="majorHAnsi" w:eastAsia="Verdana" w:hAnsiTheme="majorHAnsi" w:cstheme="majorHAnsi"/>
                <w:sz w:val="18"/>
                <w:szCs w:val="18"/>
              </w:rPr>
              <w:t>46</w:t>
            </w:r>
            <w:r>
              <w:rPr>
                <w:rFonts w:asciiTheme="majorHAnsi" w:eastAsia="Verdana" w:hAnsiTheme="majorHAnsi" w:cstheme="majorHAnsi"/>
                <w:sz w:val="18"/>
                <w:szCs w:val="18"/>
              </w:rPr>
              <w:t xml:space="preserve"> to </w:t>
            </w:r>
            <w:r w:rsidRPr="00201745">
              <w:rPr>
                <w:rFonts w:asciiTheme="majorHAnsi" w:eastAsia="Verdana" w:hAnsiTheme="majorHAnsi" w:cstheme="majorHAnsi"/>
                <w:sz w:val="18"/>
                <w:szCs w:val="18"/>
              </w:rPr>
              <w:t>64</w:t>
            </w:r>
          </w:p>
        </w:tc>
        <w:tc>
          <w:tcPr>
            <w:tcW w:w="1080" w:type="dxa"/>
            <w:noWrap/>
            <w:vAlign w:val="bottom"/>
            <w:hideMark/>
          </w:tcPr>
          <w:p w14:paraId="3B4C6331" w14:textId="328CF198"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58,481 </w:t>
            </w:r>
          </w:p>
        </w:tc>
        <w:tc>
          <w:tcPr>
            <w:tcW w:w="990" w:type="dxa"/>
            <w:noWrap/>
            <w:vAlign w:val="bottom"/>
            <w:hideMark/>
          </w:tcPr>
          <w:p w14:paraId="7C861202" w14:textId="4C7DB3B6"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32.34%</w:t>
            </w:r>
          </w:p>
        </w:tc>
        <w:tc>
          <w:tcPr>
            <w:tcW w:w="990" w:type="dxa"/>
            <w:shd w:val="clear" w:color="auto" w:fill="auto"/>
            <w:noWrap/>
            <w:vAlign w:val="bottom"/>
            <w:hideMark/>
          </w:tcPr>
          <w:p w14:paraId="3E6DD44F" w14:textId="40D02116"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139,779 </w:t>
            </w:r>
          </w:p>
        </w:tc>
        <w:tc>
          <w:tcPr>
            <w:tcW w:w="1080" w:type="dxa"/>
            <w:noWrap/>
            <w:vAlign w:val="bottom"/>
            <w:hideMark/>
          </w:tcPr>
          <w:p w14:paraId="16769EA9" w14:textId="46225D52"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31.79%</w:t>
            </w:r>
          </w:p>
        </w:tc>
        <w:tc>
          <w:tcPr>
            <w:tcW w:w="990" w:type="dxa"/>
            <w:noWrap/>
            <w:vAlign w:val="bottom"/>
            <w:hideMark/>
          </w:tcPr>
          <w:p w14:paraId="5FB18991" w14:textId="78EE0B7E"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140,233 </w:t>
            </w:r>
          </w:p>
        </w:tc>
        <w:tc>
          <w:tcPr>
            <w:tcW w:w="1387" w:type="dxa"/>
            <w:noWrap/>
            <w:vAlign w:val="bottom"/>
            <w:hideMark/>
          </w:tcPr>
          <w:p w14:paraId="38F76727" w14:textId="150BD218"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31.78%</w:t>
            </w:r>
          </w:p>
        </w:tc>
        <w:tc>
          <w:tcPr>
            <w:tcW w:w="808" w:type="dxa"/>
            <w:vAlign w:val="bottom"/>
          </w:tcPr>
          <w:p w14:paraId="323A92F0" w14:textId="189DC697"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108,735 </w:t>
            </w:r>
          </w:p>
        </w:tc>
        <w:tc>
          <w:tcPr>
            <w:tcW w:w="875" w:type="dxa"/>
            <w:vAlign w:val="bottom"/>
          </w:tcPr>
          <w:p w14:paraId="5151903F" w14:textId="7B1D72EC"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31.04%</w:t>
            </w:r>
          </w:p>
        </w:tc>
      </w:tr>
      <w:tr w:rsidR="00536E18" w:rsidRPr="00FC7CA5" w14:paraId="0507F5A9" w14:textId="411795C8" w:rsidTr="00837ABB">
        <w:trPr>
          <w:cantSplit/>
          <w:trHeight w:val="233"/>
          <w:jc w:val="center"/>
        </w:trPr>
        <w:tc>
          <w:tcPr>
            <w:tcW w:w="2156" w:type="dxa"/>
            <w:noWrap/>
          </w:tcPr>
          <w:p w14:paraId="70AB919D" w14:textId="77777777" w:rsidR="00536E18" w:rsidRPr="00201745" w:rsidRDefault="00536E18" w:rsidP="00536E18">
            <w:pPr>
              <w:rPr>
                <w:rFonts w:asciiTheme="majorHAnsi" w:eastAsia="Verdana" w:hAnsiTheme="majorHAnsi" w:cstheme="majorHAnsi"/>
                <w:sz w:val="18"/>
                <w:szCs w:val="18"/>
              </w:rPr>
            </w:pPr>
            <w:r w:rsidRPr="00201745">
              <w:rPr>
                <w:rFonts w:asciiTheme="majorHAnsi" w:eastAsia="Verdana" w:hAnsiTheme="majorHAnsi" w:cstheme="majorHAnsi"/>
                <w:sz w:val="18"/>
                <w:szCs w:val="18"/>
              </w:rPr>
              <w:t>65+</w:t>
            </w:r>
          </w:p>
        </w:tc>
        <w:tc>
          <w:tcPr>
            <w:tcW w:w="1080" w:type="dxa"/>
            <w:noWrap/>
            <w:vAlign w:val="bottom"/>
          </w:tcPr>
          <w:p w14:paraId="00FE2016" w14:textId="641D1E8C"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51,860 </w:t>
            </w:r>
          </w:p>
        </w:tc>
        <w:tc>
          <w:tcPr>
            <w:tcW w:w="990" w:type="dxa"/>
            <w:noWrap/>
            <w:vAlign w:val="bottom"/>
          </w:tcPr>
          <w:p w14:paraId="30219CC6" w14:textId="0D642370"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28.68%</w:t>
            </w:r>
          </w:p>
        </w:tc>
        <w:tc>
          <w:tcPr>
            <w:tcW w:w="990" w:type="dxa"/>
            <w:shd w:val="clear" w:color="auto" w:fill="auto"/>
            <w:noWrap/>
            <w:vAlign w:val="bottom"/>
          </w:tcPr>
          <w:p w14:paraId="148814ED" w14:textId="0B921A98"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112,819 </w:t>
            </w:r>
          </w:p>
        </w:tc>
        <w:tc>
          <w:tcPr>
            <w:tcW w:w="1080" w:type="dxa"/>
            <w:noWrap/>
            <w:vAlign w:val="bottom"/>
          </w:tcPr>
          <w:p w14:paraId="43978188" w14:textId="270BF883"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25.65%</w:t>
            </w:r>
          </w:p>
        </w:tc>
        <w:tc>
          <w:tcPr>
            <w:tcW w:w="990" w:type="dxa"/>
            <w:noWrap/>
            <w:vAlign w:val="bottom"/>
          </w:tcPr>
          <w:p w14:paraId="26510DCB" w14:textId="5F3BD1B0"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118,178 </w:t>
            </w:r>
          </w:p>
        </w:tc>
        <w:tc>
          <w:tcPr>
            <w:tcW w:w="1387" w:type="dxa"/>
            <w:noWrap/>
            <w:vAlign w:val="bottom"/>
          </w:tcPr>
          <w:p w14:paraId="0E8AFC91" w14:textId="339687B4"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26.78%</w:t>
            </w:r>
          </w:p>
        </w:tc>
        <w:tc>
          <w:tcPr>
            <w:tcW w:w="808" w:type="dxa"/>
            <w:vAlign w:val="bottom"/>
          </w:tcPr>
          <w:p w14:paraId="579641B4" w14:textId="77D84780"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 xml:space="preserve">                100,693 </w:t>
            </w:r>
          </w:p>
        </w:tc>
        <w:tc>
          <w:tcPr>
            <w:tcW w:w="875" w:type="dxa"/>
            <w:vAlign w:val="bottom"/>
          </w:tcPr>
          <w:p w14:paraId="40D9EBC7" w14:textId="0C77FECE" w:rsidR="00536E18" w:rsidRPr="008C781B" w:rsidRDefault="00536E18" w:rsidP="00536E18">
            <w:pPr>
              <w:jc w:val="center"/>
              <w:rPr>
                <w:rFonts w:asciiTheme="majorHAnsi" w:eastAsia="Verdana" w:hAnsiTheme="majorHAnsi" w:cstheme="majorHAnsi"/>
                <w:sz w:val="18"/>
                <w:szCs w:val="18"/>
              </w:rPr>
            </w:pPr>
            <w:r w:rsidRPr="008C781B">
              <w:rPr>
                <w:rFonts w:asciiTheme="majorHAnsi" w:hAnsiTheme="majorHAnsi" w:cstheme="majorHAnsi"/>
                <w:color w:val="000000"/>
                <w:sz w:val="18"/>
                <w:szCs w:val="18"/>
              </w:rPr>
              <w:t>28.74%</w:t>
            </w:r>
          </w:p>
        </w:tc>
      </w:tr>
      <w:tr w:rsidR="00536E18" w:rsidRPr="00702EAF" w14:paraId="4DE92315" w14:textId="03370E22" w:rsidTr="00837ABB">
        <w:trPr>
          <w:cantSplit/>
          <w:trHeight w:val="251"/>
          <w:jc w:val="center"/>
        </w:trPr>
        <w:tc>
          <w:tcPr>
            <w:tcW w:w="2156" w:type="dxa"/>
            <w:shd w:val="clear" w:color="auto" w:fill="E2EFD9" w:themeFill="accent6" w:themeFillTint="33"/>
            <w:noWrap/>
            <w:hideMark/>
          </w:tcPr>
          <w:p w14:paraId="1D68039A" w14:textId="77777777" w:rsidR="00536E18" w:rsidRPr="00201745" w:rsidRDefault="00536E18" w:rsidP="00536E18">
            <w:pPr>
              <w:jc w:val="center"/>
              <w:rPr>
                <w:rFonts w:asciiTheme="majorHAnsi" w:eastAsia="Verdana" w:hAnsiTheme="majorHAnsi" w:cstheme="majorHAnsi"/>
                <w:sz w:val="18"/>
                <w:szCs w:val="18"/>
              </w:rPr>
            </w:pPr>
            <w:r w:rsidRPr="00201745">
              <w:rPr>
                <w:rFonts w:asciiTheme="majorHAnsi" w:eastAsia="Verdana" w:hAnsiTheme="majorHAnsi" w:cstheme="majorHAnsi"/>
                <w:sz w:val="18"/>
                <w:szCs w:val="18"/>
              </w:rPr>
              <w:t>Total</w:t>
            </w:r>
          </w:p>
        </w:tc>
        <w:tc>
          <w:tcPr>
            <w:tcW w:w="1080" w:type="dxa"/>
            <w:shd w:val="clear" w:color="auto" w:fill="E2EFD9" w:themeFill="accent6" w:themeFillTint="33"/>
            <w:noWrap/>
            <w:hideMark/>
          </w:tcPr>
          <w:p w14:paraId="3A5EEF0E" w14:textId="5555609A"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180,821</w:t>
            </w:r>
          </w:p>
        </w:tc>
        <w:tc>
          <w:tcPr>
            <w:tcW w:w="990" w:type="dxa"/>
            <w:shd w:val="clear" w:color="auto" w:fill="E2EFD9" w:themeFill="accent6" w:themeFillTint="33"/>
            <w:noWrap/>
            <w:hideMark/>
          </w:tcPr>
          <w:p w14:paraId="6705CA32"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100.00%</w:t>
            </w:r>
          </w:p>
        </w:tc>
        <w:tc>
          <w:tcPr>
            <w:tcW w:w="990" w:type="dxa"/>
            <w:shd w:val="clear" w:color="auto" w:fill="E2EFD9" w:themeFill="accent6" w:themeFillTint="33"/>
            <w:noWrap/>
            <w:hideMark/>
          </w:tcPr>
          <w:p w14:paraId="642ABF65" w14:textId="5CB33DF9"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439,771</w:t>
            </w:r>
          </w:p>
        </w:tc>
        <w:tc>
          <w:tcPr>
            <w:tcW w:w="1080" w:type="dxa"/>
            <w:shd w:val="clear" w:color="auto" w:fill="E2EFD9" w:themeFill="accent6" w:themeFillTint="33"/>
            <w:noWrap/>
            <w:hideMark/>
          </w:tcPr>
          <w:p w14:paraId="56FD80B9"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100.00%</w:t>
            </w:r>
          </w:p>
        </w:tc>
        <w:tc>
          <w:tcPr>
            <w:tcW w:w="990" w:type="dxa"/>
            <w:shd w:val="clear" w:color="auto" w:fill="E2EFD9" w:themeFill="accent6" w:themeFillTint="33"/>
            <w:noWrap/>
            <w:hideMark/>
          </w:tcPr>
          <w:p w14:paraId="56401CC9" w14:textId="4E3D795C"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441,300</w:t>
            </w:r>
          </w:p>
        </w:tc>
        <w:tc>
          <w:tcPr>
            <w:tcW w:w="1387" w:type="dxa"/>
            <w:shd w:val="clear" w:color="auto" w:fill="E2EFD9" w:themeFill="accent6" w:themeFillTint="33"/>
            <w:noWrap/>
            <w:hideMark/>
          </w:tcPr>
          <w:p w14:paraId="749D3437"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100.00%</w:t>
            </w:r>
          </w:p>
        </w:tc>
        <w:tc>
          <w:tcPr>
            <w:tcW w:w="808" w:type="dxa"/>
            <w:shd w:val="clear" w:color="auto" w:fill="E2EFD9" w:themeFill="accent6" w:themeFillTint="33"/>
          </w:tcPr>
          <w:p w14:paraId="164ADCC9" w14:textId="29567D78"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350,342</w:t>
            </w:r>
          </w:p>
        </w:tc>
        <w:tc>
          <w:tcPr>
            <w:tcW w:w="875" w:type="dxa"/>
            <w:shd w:val="clear" w:color="auto" w:fill="E2EFD9" w:themeFill="accent6" w:themeFillTint="33"/>
          </w:tcPr>
          <w:p w14:paraId="7225E3D9" w14:textId="37457ADB"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100%</w:t>
            </w:r>
          </w:p>
        </w:tc>
      </w:tr>
      <w:tr w:rsidR="00536E18" w:rsidRPr="00702EAF" w14:paraId="25425E8F" w14:textId="32A2F033" w:rsidTr="00837ABB">
        <w:trPr>
          <w:cantSplit/>
          <w:trHeight w:val="280"/>
          <w:jc w:val="center"/>
        </w:trPr>
        <w:tc>
          <w:tcPr>
            <w:tcW w:w="2156" w:type="dxa"/>
            <w:shd w:val="clear" w:color="auto" w:fill="DEEAF6" w:themeFill="accent5" w:themeFillTint="33"/>
            <w:noWrap/>
          </w:tcPr>
          <w:p w14:paraId="03F3B546" w14:textId="77777777" w:rsidR="00536E18" w:rsidRPr="00702EAF" w:rsidRDefault="00536E18" w:rsidP="00536E18">
            <w:pPr>
              <w:jc w:val="center"/>
              <w:rPr>
                <w:rFonts w:asciiTheme="majorHAnsi" w:eastAsia="Verdana" w:hAnsiTheme="majorHAnsi" w:cstheme="majorHAnsi"/>
                <w:sz w:val="18"/>
                <w:szCs w:val="18"/>
                <w:highlight w:val="yellow"/>
              </w:rPr>
            </w:pPr>
            <w:r w:rsidRPr="00201745">
              <w:rPr>
                <w:rFonts w:asciiTheme="majorHAnsi" w:eastAsia="Verdana" w:hAnsiTheme="majorHAnsi" w:cstheme="majorHAnsi"/>
                <w:b/>
                <w:bCs/>
                <w:sz w:val="18"/>
                <w:szCs w:val="18"/>
              </w:rPr>
              <w:t>Gender</w:t>
            </w:r>
          </w:p>
        </w:tc>
        <w:tc>
          <w:tcPr>
            <w:tcW w:w="1080" w:type="dxa"/>
            <w:shd w:val="clear" w:color="auto" w:fill="DEEAF6" w:themeFill="accent5" w:themeFillTint="33"/>
            <w:noWrap/>
          </w:tcPr>
          <w:p w14:paraId="377DED56"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tcPr>
          <w:p w14:paraId="7506CAD7"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tcPr>
          <w:p w14:paraId="20A088B4"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noWrap/>
          </w:tcPr>
          <w:p w14:paraId="49A918C3"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tcPr>
          <w:p w14:paraId="7727D398"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1387" w:type="dxa"/>
            <w:shd w:val="clear" w:color="auto" w:fill="DEEAF6" w:themeFill="accent5" w:themeFillTint="33"/>
            <w:noWrap/>
          </w:tcPr>
          <w:p w14:paraId="4DED577E"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808" w:type="dxa"/>
            <w:shd w:val="clear" w:color="auto" w:fill="DEEAF6" w:themeFill="accent5" w:themeFillTint="33"/>
          </w:tcPr>
          <w:p w14:paraId="40B62129"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875" w:type="dxa"/>
            <w:shd w:val="clear" w:color="auto" w:fill="DEEAF6" w:themeFill="accent5" w:themeFillTint="33"/>
          </w:tcPr>
          <w:p w14:paraId="2FE5A261" w14:textId="77777777" w:rsidR="00536E18" w:rsidRPr="00EA1C17" w:rsidRDefault="00536E18" w:rsidP="00536E18">
            <w:pPr>
              <w:jc w:val="center"/>
              <w:rPr>
                <w:rFonts w:asciiTheme="majorHAnsi" w:eastAsia="Verdana" w:hAnsiTheme="majorHAnsi" w:cstheme="majorHAnsi"/>
                <w:sz w:val="18"/>
                <w:szCs w:val="18"/>
                <w:highlight w:val="yellow"/>
              </w:rPr>
            </w:pPr>
          </w:p>
        </w:tc>
      </w:tr>
      <w:tr w:rsidR="00536E18" w:rsidRPr="00AE324F" w14:paraId="3C5F67E9" w14:textId="17933284" w:rsidTr="00837ABB">
        <w:trPr>
          <w:cantSplit/>
          <w:trHeight w:val="152"/>
          <w:jc w:val="center"/>
        </w:trPr>
        <w:tc>
          <w:tcPr>
            <w:tcW w:w="2156" w:type="dxa"/>
            <w:shd w:val="clear" w:color="auto" w:fill="auto"/>
            <w:noWrap/>
          </w:tcPr>
          <w:p w14:paraId="7E3248FF" w14:textId="77777777" w:rsidR="00536E18" w:rsidRPr="00AE324F" w:rsidRDefault="00536E18" w:rsidP="00536E18">
            <w:pPr>
              <w:rPr>
                <w:rFonts w:asciiTheme="majorHAnsi" w:eastAsia="Verdana" w:hAnsiTheme="majorHAnsi" w:cstheme="majorHAnsi"/>
                <w:sz w:val="18"/>
                <w:szCs w:val="18"/>
              </w:rPr>
            </w:pPr>
            <w:r w:rsidRPr="00AE324F">
              <w:rPr>
                <w:rFonts w:asciiTheme="majorHAnsi" w:eastAsia="Verdana" w:hAnsiTheme="majorHAnsi" w:cstheme="majorHAnsi"/>
                <w:sz w:val="18"/>
                <w:szCs w:val="18"/>
              </w:rPr>
              <w:t>Female</w:t>
            </w:r>
          </w:p>
        </w:tc>
        <w:tc>
          <w:tcPr>
            <w:tcW w:w="1080" w:type="dxa"/>
            <w:shd w:val="clear" w:color="auto" w:fill="auto"/>
            <w:noWrap/>
            <w:vAlign w:val="bottom"/>
          </w:tcPr>
          <w:p w14:paraId="6A274F8D" w14:textId="4D631256"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104,267 </w:t>
            </w:r>
          </w:p>
        </w:tc>
        <w:tc>
          <w:tcPr>
            <w:tcW w:w="990" w:type="dxa"/>
            <w:shd w:val="clear" w:color="auto" w:fill="auto"/>
            <w:noWrap/>
            <w:vAlign w:val="bottom"/>
          </w:tcPr>
          <w:p w14:paraId="0123CA3D" w14:textId="2FEC3F7C"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57.66%</w:t>
            </w:r>
          </w:p>
        </w:tc>
        <w:tc>
          <w:tcPr>
            <w:tcW w:w="990" w:type="dxa"/>
            <w:shd w:val="clear" w:color="auto" w:fill="auto"/>
            <w:noWrap/>
            <w:vAlign w:val="bottom"/>
          </w:tcPr>
          <w:p w14:paraId="55123CDB" w14:textId="084453AB"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246,184 </w:t>
            </w:r>
          </w:p>
        </w:tc>
        <w:tc>
          <w:tcPr>
            <w:tcW w:w="1080" w:type="dxa"/>
            <w:shd w:val="clear" w:color="auto" w:fill="auto"/>
            <w:noWrap/>
            <w:vAlign w:val="bottom"/>
          </w:tcPr>
          <w:p w14:paraId="37B58E54" w14:textId="4BD4522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55.98%</w:t>
            </w:r>
          </w:p>
        </w:tc>
        <w:tc>
          <w:tcPr>
            <w:tcW w:w="990" w:type="dxa"/>
            <w:shd w:val="clear" w:color="auto" w:fill="auto"/>
            <w:noWrap/>
            <w:vAlign w:val="bottom"/>
          </w:tcPr>
          <w:p w14:paraId="4B21F99E" w14:textId="676E4D98"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249,777 </w:t>
            </w:r>
          </w:p>
        </w:tc>
        <w:tc>
          <w:tcPr>
            <w:tcW w:w="1387" w:type="dxa"/>
            <w:shd w:val="clear" w:color="auto" w:fill="auto"/>
            <w:noWrap/>
            <w:vAlign w:val="bottom"/>
          </w:tcPr>
          <w:p w14:paraId="7171F8B7" w14:textId="32D665CE"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56.60%</w:t>
            </w:r>
          </w:p>
        </w:tc>
        <w:tc>
          <w:tcPr>
            <w:tcW w:w="808" w:type="dxa"/>
            <w:vAlign w:val="bottom"/>
          </w:tcPr>
          <w:p w14:paraId="246B6C23" w14:textId="56756D2F"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198,927 </w:t>
            </w:r>
          </w:p>
        </w:tc>
        <w:tc>
          <w:tcPr>
            <w:tcW w:w="875" w:type="dxa"/>
            <w:vAlign w:val="bottom"/>
          </w:tcPr>
          <w:p w14:paraId="0505AC2D" w14:textId="529EEBD0"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56.78%</w:t>
            </w:r>
          </w:p>
        </w:tc>
      </w:tr>
      <w:tr w:rsidR="00536E18" w:rsidRPr="00AE324F" w14:paraId="0FA498C9" w14:textId="45AAF2FE" w:rsidTr="00837ABB">
        <w:trPr>
          <w:cantSplit/>
          <w:trHeight w:val="251"/>
          <w:jc w:val="center"/>
        </w:trPr>
        <w:tc>
          <w:tcPr>
            <w:tcW w:w="2156" w:type="dxa"/>
            <w:shd w:val="clear" w:color="auto" w:fill="auto"/>
            <w:noWrap/>
          </w:tcPr>
          <w:p w14:paraId="332230FC" w14:textId="77777777" w:rsidR="00536E18" w:rsidRPr="00AE324F" w:rsidRDefault="00536E18" w:rsidP="00536E18">
            <w:pPr>
              <w:rPr>
                <w:rFonts w:asciiTheme="majorHAnsi" w:eastAsia="Verdana" w:hAnsiTheme="majorHAnsi" w:cstheme="majorHAnsi"/>
                <w:sz w:val="18"/>
                <w:szCs w:val="18"/>
              </w:rPr>
            </w:pPr>
            <w:r w:rsidRPr="00AE324F">
              <w:rPr>
                <w:rFonts w:asciiTheme="majorHAnsi" w:eastAsia="Verdana" w:hAnsiTheme="majorHAnsi" w:cstheme="majorHAnsi"/>
                <w:sz w:val="18"/>
                <w:szCs w:val="18"/>
              </w:rPr>
              <w:t>Male</w:t>
            </w:r>
          </w:p>
        </w:tc>
        <w:tc>
          <w:tcPr>
            <w:tcW w:w="1080" w:type="dxa"/>
            <w:shd w:val="clear" w:color="auto" w:fill="auto"/>
            <w:noWrap/>
            <w:vAlign w:val="bottom"/>
          </w:tcPr>
          <w:p w14:paraId="41BDF722" w14:textId="6CC34402"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75,409 </w:t>
            </w:r>
          </w:p>
        </w:tc>
        <w:tc>
          <w:tcPr>
            <w:tcW w:w="990" w:type="dxa"/>
            <w:shd w:val="clear" w:color="auto" w:fill="auto"/>
            <w:noWrap/>
            <w:vAlign w:val="bottom"/>
          </w:tcPr>
          <w:p w14:paraId="2FBEA70C" w14:textId="7A591ECE"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41.70%</w:t>
            </w:r>
          </w:p>
        </w:tc>
        <w:tc>
          <w:tcPr>
            <w:tcW w:w="990" w:type="dxa"/>
            <w:shd w:val="clear" w:color="auto" w:fill="auto"/>
            <w:noWrap/>
            <w:vAlign w:val="bottom"/>
          </w:tcPr>
          <w:p w14:paraId="401B4D14" w14:textId="404A8E27"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191,150 </w:t>
            </w:r>
          </w:p>
        </w:tc>
        <w:tc>
          <w:tcPr>
            <w:tcW w:w="1080" w:type="dxa"/>
            <w:shd w:val="clear" w:color="auto" w:fill="auto"/>
            <w:noWrap/>
            <w:vAlign w:val="bottom"/>
          </w:tcPr>
          <w:p w14:paraId="7268CA4F" w14:textId="265C66B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43.47%</w:t>
            </w:r>
          </w:p>
        </w:tc>
        <w:tc>
          <w:tcPr>
            <w:tcW w:w="990" w:type="dxa"/>
            <w:shd w:val="clear" w:color="auto" w:fill="auto"/>
            <w:noWrap/>
            <w:vAlign w:val="bottom"/>
          </w:tcPr>
          <w:p w14:paraId="392634EE" w14:textId="0DA3B722"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189,830 </w:t>
            </w:r>
          </w:p>
        </w:tc>
        <w:tc>
          <w:tcPr>
            <w:tcW w:w="1387" w:type="dxa"/>
            <w:shd w:val="clear" w:color="auto" w:fill="auto"/>
            <w:noWrap/>
            <w:vAlign w:val="bottom"/>
          </w:tcPr>
          <w:p w14:paraId="09C96E99" w14:textId="06782F6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43.01%</w:t>
            </w:r>
          </w:p>
        </w:tc>
        <w:tc>
          <w:tcPr>
            <w:tcW w:w="808" w:type="dxa"/>
            <w:vAlign w:val="bottom"/>
          </w:tcPr>
          <w:p w14:paraId="1AA38568" w14:textId="71EA8C72"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149,489 </w:t>
            </w:r>
          </w:p>
        </w:tc>
        <w:tc>
          <w:tcPr>
            <w:tcW w:w="875" w:type="dxa"/>
            <w:vAlign w:val="bottom"/>
          </w:tcPr>
          <w:p w14:paraId="4A38E067" w14:textId="059AA8B9"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42.67%</w:t>
            </w:r>
          </w:p>
        </w:tc>
      </w:tr>
      <w:tr w:rsidR="00536E18" w:rsidRPr="00AE324F" w14:paraId="29921249" w14:textId="03059900" w:rsidTr="00837ABB">
        <w:trPr>
          <w:cantSplit/>
          <w:trHeight w:val="170"/>
          <w:jc w:val="center"/>
        </w:trPr>
        <w:tc>
          <w:tcPr>
            <w:tcW w:w="2156" w:type="dxa"/>
            <w:shd w:val="clear" w:color="auto" w:fill="auto"/>
            <w:noWrap/>
          </w:tcPr>
          <w:p w14:paraId="38860926" w14:textId="77777777" w:rsidR="00536E18" w:rsidRPr="00AE324F" w:rsidRDefault="00536E18" w:rsidP="00536E18">
            <w:pPr>
              <w:rPr>
                <w:rFonts w:asciiTheme="majorHAnsi" w:eastAsia="Verdana" w:hAnsiTheme="majorHAnsi" w:cstheme="majorHAnsi"/>
                <w:sz w:val="18"/>
                <w:szCs w:val="18"/>
              </w:rPr>
            </w:pPr>
            <w:r w:rsidRPr="00AE324F">
              <w:rPr>
                <w:rFonts w:asciiTheme="majorHAnsi" w:eastAsia="Verdana" w:hAnsiTheme="majorHAnsi" w:cstheme="majorHAnsi"/>
                <w:sz w:val="18"/>
                <w:szCs w:val="18"/>
              </w:rPr>
              <w:t>Unknown</w:t>
            </w:r>
            <w:r w:rsidRPr="00AE324F">
              <w:rPr>
                <w:rStyle w:val="FootnoteReference"/>
                <w:rFonts w:asciiTheme="majorHAnsi" w:eastAsia="Verdana" w:hAnsiTheme="majorHAnsi" w:cstheme="majorHAnsi"/>
                <w:sz w:val="18"/>
                <w:szCs w:val="18"/>
              </w:rPr>
              <w:footnoteReference w:id="4"/>
            </w:r>
          </w:p>
        </w:tc>
        <w:tc>
          <w:tcPr>
            <w:tcW w:w="1080" w:type="dxa"/>
            <w:shd w:val="clear" w:color="auto" w:fill="auto"/>
            <w:noWrap/>
            <w:vAlign w:val="bottom"/>
          </w:tcPr>
          <w:p w14:paraId="0919BE24" w14:textId="00338BDE"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1,145 </w:t>
            </w:r>
          </w:p>
        </w:tc>
        <w:tc>
          <w:tcPr>
            <w:tcW w:w="990" w:type="dxa"/>
            <w:shd w:val="clear" w:color="auto" w:fill="auto"/>
            <w:noWrap/>
            <w:vAlign w:val="bottom"/>
          </w:tcPr>
          <w:p w14:paraId="3BA01B8F" w14:textId="5B999AFA"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.63%</w:t>
            </w:r>
          </w:p>
        </w:tc>
        <w:tc>
          <w:tcPr>
            <w:tcW w:w="990" w:type="dxa"/>
            <w:shd w:val="clear" w:color="auto" w:fill="auto"/>
            <w:noWrap/>
            <w:vAlign w:val="bottom"/>
          </w:tcPr>
          <w:p w14:paraId="084E046F" w14:textId="3B07FA2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2,437 </w:t>
            </w:r>
          </w:p>
        </w:tc>
        <w:tc>
          <w:tcPr>
            <w:tcW w:w="1080" w:type="dxa"/>
            <w:shd w:val="clear" w:color="auto" w:fill="auto"/>
            <w:noWrap/>
            <w:vAlign w:val="bottom"/>
          </w:tcPr>
          <w:p w14:paraId="340CD4BE" w14:textId="6350D099"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.55%</w:t>
            </w:r>
          </w:p>
        </w:tc>
        <w:tc>
          <w:tcPr>
            <w:tcW w:w="990" w:type="dxa"/>
            <w:shd w:val="clear" w:color="auto" w:fill="auto"/>
            <w:noWrap/>
            <w:vAlign w:val="bottom"/>
          </w:tcPr>
          <w:p w14:paraId="6B4A3C43" w14:textId="15B4DCC6"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1,693 </w:t>
            </w:r>
          </w:p>
        </w:tc>
        <w:tc>
          <w:tcPr>
            <w:tcW w:w="1387" w:type="dxa"/>
            <w:shd w:val="clear" w:color="auto" w:fill="auto"/>
            <w:noWrap/>
            <w:vAlign w:val="bottom"/>
          </w:tcPr>
          <w:p w14:paraId="19F6BBDF" w14:textId="3051632F"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.38%</w:t>
            </w:r>
          </w:p>
        </w:tc>
        <w:tc>
          <w:tcPr>
            <w:tcW w:w="808" w:type="dxa"/>
            <w:vAlign w:val="bottom"/>
          </w:tcPr>
          <w:p w14:paraId="0A20159A" w14:textId="22108831"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1,926 </w:t>
            </w:r>
          </w:p>
        </w:tc>
        <w:tc>
          <w:tcPr>
            <w:tcW w:w="875" w:type="dxa"/>
            <w:vAlign w:val="bottom"/>
          </w:tcPr>
          <w:p w14:paraId="08CB56B7" w14:textId="525AD8D8" w:rsidR="00536E18" w:rsidRPr="00EA1C17" w:rsidRDefault="00536E18" w:rsidP="00536E18">
            <w:pPr>
              <w:jc w:val="center"/>
              <w:rPr>
                <w:rFonts w:asciiTheme="majorHAnsi" w:eastAsia="Verdana" w:hAnsiTheme="majorHAnsi" w:cstheme="majorHAnsi"/>
                <w:sz w:val="18"/>
                <w:szCs w:val="18"/>
              </w:rPr>
            </w:pPr>
            <w:r>
              <w:rPr>
                <w:rFonts w:asciiTheme="majorHAnsi" w:hAnsiTheme="majorHAnsi" w:cstheme="majorHAnsi"/>
                <w:color w:val="000000"/>
                <w:sz w:val="18"/>
                <w:szCs w:val="18"/>
              </w:rPr>
              <w:t>0</w:t>
            </w:r>
            <w:r w:rsidRPr="00EA1C17">
              <w:rPr>
                <w:rFonts w:asciiTheme="majorHAnsi" w:hAnsiTheme="majorHAnsi" w:cstheme="majorHAnsi"/>
                <w:color w:val="000000"/>
                <w:sz w:val="18"/>
                <w:szCs w:val="18"/>
              </w:rPr>
              <w:t>.55%</w:t>
            </w:r>
          </w:p>
        </w:tc>
      </w:tr>
      <w:tr w:rsidR="00536E18" w:rsidRPr="00AE324F" w14:paraId="38F52B19" w14:textId="7BCA696B" w:rsidTr="00837ABB">
        <w:trPr>
          <w:cantSplit/>
          <w:trHeight w:val="280"/>
          <w:jc w:val="center"/>
        </w:trPr>
        <w:tc>
          <w:tcPr>
            <w:tcW w:w="2156" w:type="dxa"/>
            <w:shd w:val="clear" w:color="auto" w:fill="E2EFD9" w:themeFill="accent6" w:themeFillTint="33"/>
            <w:noWrap/>
          </w:tcPr>
          <w:p w14:paraId="63D43DCE" w14:textId="77777777" w:rsidR="00536E18" w:rsidRPr="00AE324F" w:rsidRDefault="00536E18" w:rsidP="00536E18">
            <w:pPr>
              <w:jc w:val="center"/>
              <w:rPr>
                <w:rFonts w:asciiTheme="majorHAnsi" w:eastAsia="Verdana" w:hAnsiTheme="majorHAnsi" w:cstheme="majorHAnsi"/>
                <w:sz w:val="18"/>
                <w:szCs w:val="18"/>
              </w:rPr>
            </w:pPr>
            <w:r w:rsidRPr="00AE324F">
              <w:rPr>
                <w:rFonts w:asciiTheme="majorHAnsi" w:eastAsia="Verdana" w:hAnsiTheme="majorHAnsi" w:cstheme="majorHAnsi"/>
                <w:sz w:val="18"/>
                <w:szCs w:val="18"/>
              </w:rPr>
              <w:t>Total</w:t>
            </w:r>
          </w:p>
        </w:tc>
        <w:tc>
          <w:tcPr>
            <w:tcW w:w="1080" w:type="dxa"/>
            <w:shd w:val="clear" w:color="auto" w:fill="E2EFD9" w:themeFill="accent6" w:themeFillTint="33"/>
            <w:noWrap/>
          </w:tcPr>
          <w:p w14:paraId="6053E605" w14:textId="786A7A5B"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180,821</w:t>
            </w:r>
          </w:p>
        </w:tc>
        <w:tc>
          <w:tcPr>
            <w:tcW w:w="990" w:type="dxa"/>
            <w:shd w:val="clear" w:color="auto" w:fill="E2EFD9" w:themeFill="accent6" w:themeFillTint="33"/>
            <w:noWrap/>
          </w:tcPr>
          <w:p w14:paraId="0DAC3406"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100.00%</w:t>
            </w:r>
          </w:p>
        </w:tc>
        <w:tc>
          <w:tcPr>
            <w:tcW w:w="990" w:type="dxa"/>
            <w:shd w:val="clear" w:color="auto" w:fill="E2EFD9" w:themeFill="accent6" w:themeFillTint="33"/>
            <w:noWrap/>
          </w:tcPr>
          <w:p w14:paraId="2254745E" w14:textId="6B9249A6"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439,771</w:t>
            </w:r>
          </w:p>
        </w:tc>
        <w:tc>
          <w:tcPr>
            <w:tcW w:w="1080" w:type="dxa"/>
            <w:shd w:val="clear" w:color="auto" w:fill="E2EFD9" w:themeFill="accent6" w:themeFillTint="33"/>
            <w:noWrap/>
          </w:tcPr>
          <w:p w14:paraId="1D00F7BE"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100.00%</w:t>
            </w:r>
          </w:p>
        </w:tc>
        <w:tc>
          <w:tcPr>
            <w:tcW w:w="990" w:type="dxa"/>
            <w:shd w:val="clear" w:color="auto" w:fill="E2EFD9" w:themeFill="accent6" w:themeFillTint="33"/>
            <w:noWrap/>
          </w:tcPr>
          <w:p w14:paraId="492CF356" w14:textId="462F9891"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441,300</w:t>
            </w:r>
          </w:p>
        </w:tc>
        <w:tc>
          <w:tcPr>
            <w:tcW w:w="1387" w:type="dxa"/>
            <w:shd w:val="clear" w:color="auto" w:fill="E2EFD9" w:themeFill="accent6" w:themeFillTint="33"/>
            <w:noWrap/>
          </w:tcPr>
          <w:p w14:paraId="5C8016BD" w14:textId="77777777"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eastAsia="Verdana" w:hAnsiTheme="majorHAnsi" w:cstheme="majorHAnsi"/>
                <w:sz w:val="18"/>
                <w:szCs w:val="18"/>
              </w:rPr>
              <w:t>100.00%</w:t>
            </w:r>
          </w:p>
        </w:tc>
        <w:tc>
          <w:tcPr>
            <w:tcW w:w="808" w:type="dxa"/>
            <w:shd w:val="clear" w:color="auto" w:fill="E2EFD9" w:themeFill="accent6" w:themeFillTint="33"/>
          </w:tcPr>
          <w:p w14:paraId="16BC0D5D" w14:textId="28FFD566"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350,342</w:t>
            </w:r>
          </w:p>
        </w:tc>
        <w:tc>
          <w:tcPr>
            <w:tcW w:w="875" w:type="dxa"/>
            <w:shd w:val="clear" w:color="auto" w:fill="E2EFD9" w:themeFill="accent6" w:themeFillTint="33"/>
          </w:tcPr>
          <w:p w14:paraId="1F3B34E3" w14:textId="0794DFBC"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100.00%</w:t>
            </w:r>
          </w:p>
        </w:tc>
      </w:tr>
      <w:tr w:rsidR="00536E18" w:rsidRPr="00AE324F" w14:paraId="257DAD4F" w14:textId="3D6898F2" w:rsidTr="00837ABB">
        <w:trPr>
          <w:cantSplit/>
          <w:trHeight w:val="280"/>
          <w:jc w:val="center"/>
        </w:trPr>
        <w:tc>
          <w:tcPr>
            <w:tcW w:w="2156" w:type="dxa"/>
            <w:shd w:val="clear" w:color="auto" w:fill="DEEAF6" w:themeFill="accent5" w:themeFillTint="33"/>
            <w:noWrap/>
            <w:vAlign w:val="bottom"/>
          </w:tcPr>
          <w:p w14:paraId="30834123" w14:textId="77777777" w:rsidR="00536E18" w:rsidRPr="00AE324F" w:rsidRDefault="00536E18" w:rsidP="00536E18">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Race</w:t>
            </w:r>
          </w:p>
        </w:tc>
        <w:tc>
          <w:tcPr>
            <w:tcW w:w="1080" w:type="dxa"/>
            <w:shd w:val="clear" w:color="auto" w:fill="DEEAF6" w:themeFill="accent5" w:themeFillTint="33"/>
            <w:noWrap/>
            <w:vAlign w:val="bottom"/>
          </w:tcPr>
          <w:p w14:paraId="3666BA80"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vAlign w:val="bottom"/>
          </w:tcPr>
          <w:p w14:paraId="1E0D91BA"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vAlign w:val="bottom"/>
          </w:tcPr>
          <w:p w14:paraId="099C3C27"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noWrap/>
            <w:vAlign w:val="bottom"/>
          </w:tcPr>
          <w:p w14:paraId="49BC64C2"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vAlign w:val="bottom"/>
          </w:tcPr>
          <w:p w14:paraId="5B722FFB"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1387" w:type="dxa"/>
            <w:shd w:val="clear" w:color="auto" w:fill="DEEAF6" w:themeFill="accent5" w:themeFillTint="33"/>
            <w:noWrap/>
            <w:vAlign w:val="bottom"/>
          </w:tcPr>
          <w:p w14:paraId="46A7914A"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808" w:type="dxa"/>
            <w:shd w:val="clear" w:color="auto" w:fill="DEEAF6" w:themeFill="accent5" w:themeFillTint="33"/>
          </w:tcPr>
          <w:p w14:paraId="4AD360E6" w14:textId="77777777" w:rsidR="00536E18" w:rsidRPr="00EA1C17" w:rsidRDefault="00536E18" w:rsidP="00536E18">
            <w:pPr>
              <w:jc w:val="center"/>
              <w:rPr>
                <w:rFonts w:asciiTheme="majorHAnsi" w:eastAsia="Verdana" w:hAnsiTheme="majorHAnsi" w:cstheme="majorHAnsi"/>
                <w:sz w:val="18"/>
                <w:szCs w:val="18"/>
                <w:highlight w:val="yellow"/>
              </w:rPr>
            </w:pPr>
          </w:p>
        </w:tc>
        <w:tc>
          <w:tcPr>
            <w:tcW w:w="875" w:type="dxa"/>
            <w:shd w:val="clear" w:color="auto" w:fill="DEEAF6" w:themeFill="accent5" w:themeFillTint="33"/>
          </w:tcPr>
          <w:p w14:paraId="70C04365" w14:textId="77777777" w:rsidR="00536E18" w:rsidRPr="00EA1C17" w:rsidRDefault="00536E18" w:rsidP="00536E18">
            <w:pPr>
              <w:jc w:val="center"/>
              <w:rPr>
                <w:rFonts w:asciiTheme="majorHAnsi" w:eastAsia="Verdana" w:hAnsiTheme="majorHAnsi" w:cstheme="majorHAnsi"/>
                <w:sz w:val="18"/>
                <w:szCs w:val="18"/>
                <w:highlight w:val="yellow"/>
              </w:rPr>
            </w:pPr>
          </w:p>
        </w:tc>
      </w:tr>
      <w:tr w:rsidR="00536E18" w:rsidRPr="00AE324F" w14:paraId="7351DDCC" w14:textId="5EFACE90" w:rsidTr="00837ABB">
        <w:trPr>
          <w:cantSplit/>
          <w:trHeight w:val="280"/>
          <w:jc w:val="center"/>
        </w:trPr>
        <w:tc>
          <w:tcPr>
            <w:tcW w:w="2156" w:type="dxa"/>
            <w:shd w:val="clear" w:color="auto" w:fill="auto"/>
            <w:noWrap/>
            <w:vAlign w:val="bottom"/>
          </w:tcPr>
          <w:p w14:paraId="776352E4" w14:textId="0AF095DD" w:rsidR="00536E18" w:rsidRPr="00AE324F" w:rsidRDefault="00536E18" w:rsidP="00536E18">
            <w:pPr>
              <w:rPr>
                <w:rFonts w:asciiTheme="majorHAnsi" w:eastAsia="Verdana" w:hAnsiTheme="majorHAnsi" w:cstheme="majorHAnsi"/>
                <w:sz w:val="18"/>
                <w:szCs w:val="18"/>
              </w:rPr>
            </w:pPr>
            <w:r w:rsidRPr="00AE324F">
              <w:rPr>
                <w:rFonts w:asciiTheme="majorHAnsi" w:hAnsiTheme="majorHAnsi" w:cstheme="majorHAnsi"/>
                <w:color w:val="000000"/>
                <w:sz w:val="18"/>
                <w:szCs w:val="18"/>
              </w:rPr>
              <w:t>African American</w:t>
            </w:r>
          </w:p>
        </w:tc>
        <w:tc>
          <w:tcPr>
            <w:tcW w:w="1080" w:type="dxa"/>
            <w:shd w:val="clear" w:color="auto" w:fill="auto"/>
            <w:noWrap/>
            <w:vAlign w:val="bottom"/>
          </w:tcPr>
          <w:p w14:paraId="386FE7FE" w14:textId="184B23E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19,236 </w:t>
            </w:r>
          </w:p>
        </w:tc>
        <w:tc>
          <w:tcPr>
            <w:tcW w:w="990" w:type="dxa"/>
            <w:shd w:val="clear" w:color="auto" w:fill="auto"/>
            <w:noWrap/>
            <w:vAlign w:val="bottom"/>
          </w:tcPr>
          <w:p w14:paraId="3823DC28" w14:textId="591D6249"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10.64%</w:t>
            </w:r>
          </w:p>
        </w:tc>
        <w:tc>
          <w:tcPr>
            <w:tcW w:w="990" w:type="dxa"/>
            <w:shd w:val="clear" w:color="auto" w:fill="auto"/>
            <w:noWrap/>
            <w:vAlign w:val="bottom"/>
          </w:tcPr>
          <w:p w14:paraId="52C1BF0D" w14:textId="2CADE942"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47,025 </w:t>
            </w:r>
          </w:p>
        </w:tc>
        <w:tc>
          <w:tcPr>
            <w:tcW w:w="1080" w:type="dxa"/>
            <w:shd w:val="clear" w:color="auto" w:fill="auto"/>
            <w:noWrap/>
            <w:vAlign w:val="bottom"/>
          </w:tcPr>
          <w:p w14:paraId="6DCB2B5D" w14:textId="1EB8E1F2"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10.69%</w:t>
            </w:r>
          </w:p>
        </w:tc>
        <w:tc>
          <w:tcPr>
            <w:tcW w:w="990" w:type="dxa"/>
            <w:shd w:val="clear" w:color="auto" w:fill="auto"/>
            <w:noWrap/>
            <w:vAlign w:val="bottom"/>
          </w:tcPr>
          <w:p w14:paraId="264B803A" w14:textId="5E736412"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47,756 </w:t>
            </w:r>
          </w:p>
        </w:tc>
        <w:tc>
          <w:tcPr>
            <w:tcW w:w="1387" w:type="dxa"/>
            <w:shd w:val="clear" w:color="auto" w:fill="auto"/>
            <w:noWrap/>
            <w:vAlign w:val="bottom"/>
          </w:tcPr>
          <w:p w14:paraId="39830B36" w14:textId="2E819C1C"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10.82%</w:t>
            </w:r>
          </w:p>
        </w:tc>
        <w:tc>
          <w:tcPr>
            <w:tcW w:w="808" w:type="dxa"/>
            <w:vAlign w:val="bottom"/>
          </w:tcPr>
          <w:p w14:paraId="5159F309" w14:textId="6C9AAE03"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38,756 </w:t>
            </w:r>
          </w:p>
        </w:tc>
        <w:tc>
          <w:tcPr>
            <w:tcW w:w="875" w:type="dxa"/>
            <w:vAlign w:val="bottom"/>
          </w:tcPr>
          <w:p w14:paraId="56D344C0" w14:textId="52DBB630"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11.06%</w:t>
            </w:r>
          </w:p>
        </w:tc>
      </w:tr>
      <w:tr w:rsidR="00536E18" w:rsidRPr="00AE324F" w14:paraId="0068C670" w14:textId="02015CCF" w:rsidTr="00837ABB">
        <w:trPr>
          <w:cantSplit/>
          <w:trHeight w:val="280"/>
          <w:jc w:val="center"/>
        </w:trPr>
        <w:tc>
          <w:tcPr>
            <w:tcW w:w="2156" w:type="dxa"/>
            <w:shd w:val="clear" w:color="auto" w:fill="auto"/>
            <w:noWrap/>
            <w:vAlign w:val="bottom"/>
          </w:tcPr>
          <w:p w14:paraId="26B6CA61" w14:textId="525FDDC8" w:rsidR="00536E18" w:rsidRPr="00AE324F" w:rsidRDefault="00536E18" w:rsidP="00536E18">
            <w:pPr>
              <w:rPr>
                <w:rFonts w:asciiTheme="majorHAnsi" w:eastAsia="Verdana" w:hAnsiTheme="majorHAnsi" w:cstheme="majorHAnsi"/>
                <w:sz w:val="18"/>
                <w:szCs w:val="18"/>
              </w:rPr>
            </w:pPr>
            <w:r w:rsidRPr="00AE324F">
              <w:rPr>
                <w:rFonts w:asciiTheme="majorHAnsi" w:hAnsiTheme="majorHAnsi" w:cstheme="majorHAnsi"/>
                <w:color w:val="000000"/>
                <w:sz w:val="18"/>
                <w:szCs w:val="18"/>
              </w:rPr>
              <w:t>American Indian or Alaska Native</w:t>
            </w:r>
          </w:p>
        </w:tc>
        <w:tc>
          <w:tcPr>
            <w:tcW w:w="1080" w:type="dxa"/>
            <w:shd w:val="clear" w:color="auto" w:fill="auto"/>
            <w:noWrap/>
            <w:vAlign w:val="bottom"/>
          </w:tcPr>
          <w:p w14:paraId="4D7EBB09" w14:textId="15ADEE5A"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250 </w:t>
            </w:r>
          </w:p>
        </w:tc>
        <w:tc>
          <w:tcPr>
            <w:tcW w:w="990" w:type="dxa"/>
            <w:shd w:val="clear" w:color="auto" w:fill="auto"/>
            <w:noWrap/>
            <w:vAlign w:val="bottom"/>
          </w:tcPr>
          <w:p w14:paraId="11DA3345" w14:textId="5E5E7C49"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0.14%</w:t>
            </w:r>
          </w:p>
        </w:tc>
        <w:tc>
          <w:tcPr>
            <w:tcW w:w="990" w:type="dxa"/>
            <w:shd w:val="clear" w:color="auto" w:fill="auto"/>
            <w:noWrap/>
            <w:vAlign w:val="bottom"/>
          </w:tcPr>
          <w:p w14:paraId="7AEDA03A" w14:textId="26DA515C"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597 </w:t>
            </w:r>
          </w:p>
        </w:tc>
        <w:tc>
          <w:tcPr>
            <w:tcW w:w="1080" w:type="dxa"/>
            <w:shd w:val="clear" w:color="auto" w:fill="auto"/>
            <w:noWrap/>
            <w:vAlign w:val="bottom"/>
          </w:tcPr>
          <w:p w14:paraId="0928B9D3" w14:textId="02B40596"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0.14%</w:t>
            </w:r>
          </w:p>
        </w:tc>
        <w:tc>
          <w:tcPr>
            <w:tcW w:w="990" w:type="dxa"/>
            <w:shd w:val="clear" w:color="auto" w:fill="auto"/>
            <w:noWrap/>
            <w:vAlign w:val="bottom"/>
          </w:tcPr>
          <w:p w14:paraId="7A6D84BA" w14:textId="0BD2DD16"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578 </w:t>
            </w:r>
          </w:p>
        </w:tc>
        <w:tc>
          <w:tcPr>
            <w:tcW w:w="1387" w:type="dxa"/>
            <w:shd w:val="clear" w:color="auto" w:fill="auto"/>
            <w:noWrap/>
            <w:vAlign w:val="bottom"/>
          </w:tcPr>
          <w:p w14:paraId="5689D2CC" w14:textId="64EF1E28"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0.13%</w:t>
            </w:r>
          </w:p>
        </w:tc>
        <w:tc>
          <w:tcPr>
            <w:tcW w:w="808" w:type="dxa"/>
            <w:vAlign w:val="bottom"/>
          </w:tcPr>
          <w:p w14:paraId="21286675" w14:textId="0512AAB8"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496 </w:t>
            </w:r>
          </w:p>
        </w:tc>
        <w:tc>
          <w:tcPr>
            <w:tcW w:w="875" w:type="dxa"/>
            <w:vAlign w:val="bottom"/>
          </w:tcPr>
          <w:p w14:paraId="095229A0" w14:textId="2EA34344"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0.14%</w:t>
            </w:r>
          </w:p>
        </w:tc>
      </w:tr>
      <w:tr w:rsidR="00536E18" w:rsidRPr="00AE324F" w14:paraId="746FC3AD" w14:textId="301389FD" w:rsidTr="00837ABB">
        <w:trPr>
          <w:cantSplit/>
          <w:trHeight w:val="280"/>
          <w:jc w:val="center"/>
        </w:trPr>
        <w:tc>
          <w:tcPr>
            <w:tcW w:w="2156" w:type="dxa"/>
            <w:shd w:val="clear" w:color="auto" w:fill="auto"/>
            <w:noWrap/>
            <w:vAlign w:val="bottom"/>
          </w:tcPr>
          <w:p w14:paraId="4E91607F" w14:textId="30A08E5E" w:rsidR="00536E18" w:rsidRPr="00AE324F" w:rsidRDefault="00536E18" w:rsidP="00536E18">
            <w:pPr>
              <w:rPr>
                <w:rFonts w:asciiTheme="majorHAnsi" w:eastAsia="Verdana" w:hAnsiTheme="majorHAnsi" w:cstheme="majorHAnsi"/>
                <w:sz w:val="18"/>
                <w:szCs w:val="18"/>
              </w:rPr>
            </w:pPr>
            <w:r w:rsidRPr="00AE324F">
              <w:rPr>
                <w:rFonts w:asciiTheme="majorHAnsi" w:hAnsiTheme="majorHAnsi" w:cstheme="majorHAnsi"/>
                <w:color w:val="000000"/>
                <w:sz w:val="18"/>
                <w:szCs w:val="18"/>
              </w:rPr>
              <w:t>Asian</w:t>
            </w:r>
          </w:p>
        </w:tc>
        <w:tc>
          <w:tcPr>
            <w:tcW w:w="1080" w:type="dxa"/>
            <w:shd w:val="clear" w:color="auto" w:fill="auto"/>
            <w:noWrap/>
            <w:vAlign w:val="bottom"/>
          </w:tcPr>
          <w:p w14:paraId="3A2FCF9D" w14:textId="4C9DAF76"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5,843 </w:t>
            </w:r>
          </w:p>
        </w:tc>
        <w:tc>
          <w:tcPr>
            <w:tcW w:w="990" w:type="dxa"/>
            <w:shd w:val="clear" w:color="auto" w:fill="auto"/>
            <w:noWrap/>
            <w:vAlign w:val="bottom"/>
          </w:tcPr>
          <w:p w14:paraId="573C9C57" w14:textId="29D02D1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3.23%</w:t>
            </w:r>
          </w:p>
        </w:tc>
        <w:tc>
          <w:tcPr>
            <w:tcW w:w="990" w:type="dxa"/>
            <w:shd w:val="clear" w:color="auto" w:fill="auto"/>
            <w:noWrap/>
            <w:vAlign w:val="bottom"/>
          </w:tcPr>
          <w:p w14:paraId="4B469B6F" w14:textId="206FFBBC"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11,935 </w:t>
            </w:r>
          </w:p>
        </w:tc>
        <w:tc>
          <w:tcPr>
            <w:tcW w:w="1080" w:type="dxa"/>
            <w:shd w:val="clear" w:color="auto" w:fill="auto"/>
            <w:noWrap/>
            <w:vAlign w:val="bottom"/>
          </w:tcPr>
          <w:p w14:paraId="6EC5C564" w14:textId="5F9B08F0"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2.71%</w:t>
            </w:r>
          </w:p>
        </w:tc>
        <w:tc>
          <w:tcPr>
            <w:tcW w:w="990" w:type="dxa"/>
            <w:shd w:val="clear" w:color="auto" w:fill="auto"/>
            <w:noWrap/>
            <w:vAlign w:val="bottom"/>
          </w:tcPr>
          <w:p w14:paraId="343285E4" w14:textId="3378409A"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12,382 </w:t>
            </w:r>
          </w:p>
        </w:tc>
        <w:tc>
          <w:tcPr>
            <w:tcW w:w="1387" w:type="dxa"/>
            <w:shd w:val="clear" w:color="auto" w:fill="auto"/>
            <w:noWrap/>
            <w:vAlign w:val="bottom"/>
          </w:tcPr>
          <w:p w14:paraId="11473959" w14:textId="75E32E03"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2.81%</w:t>
            </w:r>
          </w:p>
        </w:tc>
        <w:tc>
          <w:tcPr>
            <w:tcW w:w="808" w:type="dxa"/>
            <w:vAlign w:val="bottom"/>
          </w:tcPr>
          <w:p w14:paraId="6923DD47" w14:textId="382C119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10,296 </w:t>
            </w:r>
          </w:p>
        </w:tc>
        <w:tc>
          <w:tcPr>
            <w:tcW w:w="875" w:type="dxa"/>
            <w:vAlign w:val="bottom"/>
          </w:tcPr>
          <w:p w14:paraId="78A1757B" w14:textId="0EE5DAAB"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2.94%</w:t>
            </w:r>
          </w:p>
        </w:tc>
      </w:tr>
      <w:tr w:rsidR="00536E18" w:rsidRPr="00AE324F" w14:paraId="399F326B" w14:textId="6524E4AF" w:rsidTr="00837ABB">
        <w:trPr>
          <w:cantSplit/>
          <w:trHeight w:val="280"/>
          <w:jc w:val="center"/>
        </w:trPr>
        <w:tc>
          <w:tcPr>
            <w:tcW w:w="2156" w:type="dxa"/>
            <w:shd w:val="clear" w:color="auto" w:fill="auto"/>
            <w:noWrap/>
            <w:vAlign w:val="bottom"/>
          </w:tcPr>
          <w:p w14:paraId="7EB2B476" w14:textId="4A90A4CE" w:rsidR="00536E18" w:rsidRPr="00AE324F" w:rsidRDefault="00536E18" w:rsidP="00536E18">
            <w:pPr>
              <w:rPr>
                <w:rFonts w:asciiTheme="majorHAnsi" w:eastAsia="Verdana" w:hAnsiTheme="majorHAnsi" w:cstheme="majorHAnsi"/>
                <w:sz w:val="18"/>
                <w:szCs w:val="18"/>
              </w:rPr>
            </w:pPr>
            <w:r w:rsidRPr="00AE324F">
              <w:rPr>
                <w:rFonts w:asciiTheme="majorHAnsi" w:hAnsiTheme="majorHAnsi" w:cstheme="majorHAnsi"/>
                <w:color w:val="000000"/>
                <w:sz w:val="18"/>
                <w:szCs w:val="18"/>
              </w:rPr>
              <w:t>Declined</w:t>
            </w:r>
            <w:r w:rsidRPr="00AE324F">
              <w:rPr>
                <w:rStyle w:val="FootnoteReference"/>
                <w:rFonts w:asciiTheme="majorHAnsi" w:hAnsiTheme="majorHAnsi" w:cstheme="majorHAnsi"/>
                <w:color w:val="000000"/>
                <w:sz w:val="18"/>
                <w:szCs w:val="18"/>
              </w:rPr>
              <w:footnoteReference w:id="5"/>
            </w:r>
          </w:p>
        </w:tc>
        <w:tc>
          <w:tcPr>
            <w:tcW w:w="1080" w:type="dxa"/>
            <w:shd w:val="clear" w:color="auto" w:fill="auto"/>
            <w:noWrap/>
            <w:vAlign w:val="bottom"/>
          </w:tcPr>
          <w:p w14:paraId="28C2135F" w14:textId="5861279E"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2,123 </w:t>
            </w:r>
          </w:p>
        </w:tc>
        <w:tc>
          <w:tcPr>
            <w:tcW w:w="990" w:type="dxa"/>
            <w:shd w:val="clear" w:color="auto" w:fill="auto"/>
            <w:noWrap/>
            <w:vAlign w:val="bottom"/>
          </w:tcPr>
          <w:p w14:paraId="386DEAC5" w14:textId="685AD131"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1.17%</w:t>
            </w:r>
          </w:p>
        </w:tc>
        <w:tc>
          <w:tcPr>
            <w:tcW w:w="990" w:type="dxa"/>
            <w:shd w:val="clear" w:color="auto" w:fill="auto"/>
            <w:noWrap/>
            <w:vAlign w:val="bottom"/>
          </w:tcPr>
          <w:p w14:paraId="6BD45770" w14:textId="03190F73"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6,008 </w:t>
            </w:r>
          </w:p>
        </w:tc>
        <w:tc>
          <w:tcPr>
            <w:tcW w:w="1080" w:type="dxa"/>
            <w:shd w:val="clear" w:color="auto" w:fill="auto"/>
            <w:noWrap/>
            <w:vAlign w:val="bottom"/>
          </w:tcPr>
          <w:p w14:paraId="4C2B55A7" w14:textId="57552978"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1.37%</w:t>
            </w:r>
          </w:p>
        </w:tc>
        <w:tc>
          <w:tcPr>
            <w:tcW w:w="990" w:type="dxa"/>
            <w:shd w:val="clear" w:color="auto" w:fill="auto"/>
            <w:noWrap/>
            <w:vAlign w:val="bottom"/>
          </w:tcPr>
          <w:p w14:paraId="3581CC26" w14:textId="275322D9"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6,104 </w:t>
            </w:r>
          </w:p>
        </w:tc>
        <w:tc>
          <w:tcPr>
            <w:tcW w:w="1387" w:type="dxa"/>
            <w:shd w:val="clear" w:color="auto" w:fill="auto"/>
            <w:noWrap/>
            <w:vAlign w:val="bottom"/>
          </w:tcPr>
          <w:p w14:paraId="4F819789" w14:textId="13BE533F"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1.38%</w:t>
            </w:r>
          </w:p>
        </w:tc>
        <w:tc>
          <w:tcPr>
            <w:tcW w:w="808" w:type="dxa"/>
            <w:vAlign w:val="bottom"/>
          </w:tcPr>
          <w:p w14:paraId="5C44A73A" w14:textId="0DAC736E"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3,819 </w:t>
            </w:r>
          </w:p>
        </w:tc>
        <w:tc>
          <w:tcPr>
            <w:tcW w:w="875" w:type="dxa"/>
            <w:vAlign w:val="bottom"/>
          </w:tcPr>
          <w:p w14:paraId="5365EC82" w14:textId="27E9EEF5"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1.09%</w:t>
            </w:r>
          </w:p>
        </w:tc>
      </w:tr>
      <w:tr w:rsidR="00536E18" w:rsidRPr="00AE324F" w14:paraId="0B384DE7" w14:textId="082F1664" w:rsidTr="00837ABB">
        <w:trPr>
          <w:cantSplit/>
          <w:trHeight w:val="280"/>
          <w:jc w:val="center"/>
        </w:trPr>
        <w:tc>
          <w:tcPr>
            <w:tcW w:w="2156" w:type="dxa"/>
            <w:shd w:val="clear" w:color="auto" w:fill="auto"/>
            <w:noWrap/>
            <w:vAlign w:val="bottom"/>
          </w:tcPr>
          <w:p w14:paraId="2B5E0FEF" w14:textId="402B8658" w:rsidR="00536E18" w:rsidRPr="00AE324F" w:rsidRDefault="00536E18" w:rsidP="00536E18">
            <w:pPr>
              <w:rPr>
                <w:rFonts w:asciiTheme="majorHAnsi" w:eastAsia="Verdana" w:hAnsiTheme="majorHAnsi" w:cstheme="majorHAnsi"/>
                <w:sz w:val="18"/>
                <w:szCs w:val="18"/>
              </w:rPr>
            </w:pPr>
            <w:r w:rsidRPr="00AE324F">
              <w:rPr>
                <w:rFonts w:asciiTheme="majorHAnsi" w:hAnsiTheme="majorHAnsi" w:cstheme="majorHAnsi"/>
                <w:color w:val="000000"/>
                <w:sz w:val="18"/>
                <w:szCs w:val="18"/>
              </w:rPr>
              <w:t>Hispanic</w:t>
            </w:r>
          </w:p>
        </w:tc>
        <w:tc>
          <w:tcPr>
            <w:tcW w:w="1080" w:type="dxa"/>
            <w:shd w:val="clear" w:color="auto" w:fill="auto"/>
            <w:noWrap/>
            <w:vAlign w:val="bottom"/>
          </w:tcPr>
          <w:p w14:paraId="52960E3A" w14:textId="2239CBDD"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20,615 </w:t>
            </w:r>
          </w:p>
        </w:tc>
        <w:tc>
          <w:tcPr>
            <w:tcW w:w="990" w:type="dxa"/>
            <w:shd w:val="clear" w:color="auto" w:fill="auto"/>
            <w:noWrap/>
            <w:vAlign w:val="bottom"/>
          </w:tcPr>
          <w:p w14:paraId="61ACAF12" w14:textId="765BDBD7"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11.40%</w:t>
            </w:r>
          </w:p>
        </w:tc>
        <w:tc>
          <w:tcPr>
            <w:tcW w:w="990" w:type="dxa"/>
            <w:shd w:val="clear" w:color="auto" w:fill="auto"/>
            <w:noWrap/>
            <w:vAlign w:val="bottom"/>
          </w:tcPr>
          <w:p w14:paraId="38C523E0" w14:textId="7372726F"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48,291 </w:t>
            </w:r>
          </w:p>
        </w:tc>
        <w:tc>
          <w:tcPr>
            <w:tcW w:w="1080" w:type="dxa"/>
            <w:shd w:val="clear" w:color="auto" w:fill="auto"/>
            <w:noWrap/>
            <w:vAlign w:val="bottom"/>
          </w:tcPr>
          <w:p w14:paraId="7DFE1626" w14:textId="422206E1"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10.98%</w:t>
            </w:r>
          </w:p>
        </w:tc>
        <w:tc>
          <w:tcPr>
            <w:tcW w:w="990" w:type="dxa"/>
            <w:shd w:val="clear" w:color="auto" w:fill="auto"/>
            <w:noWrap/>
            <w:vAlign w:val="bottom"/>
          </w:tcPr>
          <w:p w14:paraId="17A49E7A" w14:textId="3B6C9C93"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51,886 </w:t>
            </w:r>
          </w:p>
        </w:tc>
        <w:tc>
          <w:tcPr>
            <w:tcW w:w="1387" w:type="dxa"/>
            <w:shd w:val="clear" w:color="auto" w:fill="auto"/>
            <w:noWrap/>
            <w:vAlign w:val="bottom"/>
          </w:tcPr>
          <w:p w14:paraId="21606CBD" w14:textId="42B437D4"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11.76%</w:t>
            </w:r>
          </w:p>
        </w:tc>
        <w:tc>
          <w:tcPr>
            <w:tcW w:w="808" w:type="dxa"/>
            <w:vAlign w:val="bottom"/>
          </w:tcPr>
          <w:p w14:paraId="5EA57DD5" w14:textId="2BD4E9B3"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 xml:space="preserve">                   44,586 </w:t>
            </w:r>
          </w:p>
        </w:tc>
        <w:tc>
          <w:tcPr>
            <w:tcW w:w="875" w:type="dxa"/>
            <w:vAlign w:val="bottom"/>
          </w:tcPr>
          <w:p w14:paraId="117AA1AB" w14:textId="086345A2"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12.73%</w:t>
            </w:r>
          </w:p>
        </w:tc>
      </w:tr>
      <w:tr w:rsidR="00536E18" w:rsidRPr="00AE324F" w14:paraId="205DD2B3" w14:textId="2898DE76" w:rsidTr="00837ABB">
        <w:trPr>
          <w:cantSplit/>
          <w:trHeight w:val="280"/>
          <w:jc w:val="center"/>
        </w:trPr>
        <w:tc>
          <w:tcPr>
            <w:tcW w:w="2156" w:type="dxa"/>
            <w:shd w:val="clear" w:color="auto" w:fill="auto"/>
            <w:noWrap/>
            <w:vAlign w:val="bottom"/>
          </w:tcPr>
          <w:p w14:paraId="0A115616" w14:textId="62B23841" w:rsidR="00536E18" w:rsidRPr="00AE324F" w:rsidRDefault="00536E18" w:rsidP="00536E18">
            <w:pPr>
              <w:rPr>
                <w:rFonts w:asciiTheme="majorHAnsi" w:eastAsia="Verdana" w:hAnsiTheme="majorHAnsi" w:cstheme="majorHAnsi"/>
                <w:sz w:val="18"/>
                <w:szCs w:val="18"/>
              </w:rPr>
            </w:pPr>
            <w:r w:rsidRPr="00AE324F">
              <w:rPr>
                <w:rFonts w:asciiTheme="majorHAnsi" w:hAnsiTheme="majorHAnsi" w:cstheme="majorHAnsi"/>
                <w:color w:val="000000"/>
                <w:sz w:val="18"/>
                <w:szCs w:val="18"/>
              </w:rPr>
              <w:t>Native Hawaiian or Other Pacific Islander</w:t>
            </w:r>
          </w:p>
        </w:tc>
        <w:tc>
          <w:tcPr>
            <w:tcW w:w="1080" w:type="dxa"/>
            <w:shd w:val="clear" w:color="auto" w:fill="auto"/>
            <w:noWrap/>
            <w:vAlign w:val="bottom"/>
          </w:tcPr>
          <w:p w14:paraId="56204230" w14:textId="1E4EB39B"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102 </w:t>
            </w:r>
          </w:p>
        </w:tc>
        <w:tc>
          <w:tcPr>
            <w:tcW w:w="990" w:type="dxa"/>
            <w:shd w:val="clear" w:color="auto" w:fill="auto"/>
            <w:noWrap/>
            <w:vAlign w:val="bottom"/>
          </w:tcPr>
          <w:p w14:paraId="2E980E1F" w14:textId="30524773"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0.056%</w:t>
            </w:r>
          </w:p>
        </w:tc>
        <w:tc>
          <w:tcPr>
            <w:tcW w:w="990" w:type="dxa"/>
            <w:shd w:val="clear" w:color="auto" w:fill="auto"/>
            <w:noWrap/>
            <w:vAlign w:val="bottom"/>
          </w:tcPr>
          <w:p w14:paraId="1A627735" w14:textId="089D0D5B"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211 </w:t>
            </w:r>
          </w:p>
        </w:tc>
        <w:tc>
          <w:tcPr>
            <w:tcW w:w="1080" w:type="dxa"/>
            <w:shd w:val="clear" w:color="auto" w:fill="auto"/>
            <w:noWrap/>
            <w:vAlign w:val="bottom"/>
          </w:tcPr>
          <w:p w14:paraId="4E83EBB8" w14:textId="4EB090CD"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0.048%</w:t>
            </w:r>
          </w:p>
        </w:tc>
        <w:tc>
          <w:tcPr>
            <w:tcW w:w="990" w:type="dxa"/>
            <w:shd w:val="clear" w:color="auto" w:fill="auto"/>
            <w:noWrap/>
            <w:vAlign w:val="bottom"/>
          </w:tcPr>
          <w:p w14:paraId="35F6C5EA" w14:textId="50BF80A7"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188 </w:t>
            </w:r>
          </w:p>
        </w:tc>
        <w:tc>
          <w:tcPr>
            <w:tcW w:w="1387" w:type="dxa"/>
            <w:shd w:val="clear" w:color="auto" w:fill="auto"/>
            <w:noWrap/>
            <w:vAlign w:val="bottom"/>
          </w:tcPr>
          <w:p w14:paraId="57137434" w14:textId="0F9A0785"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0.043%</w:t>
            </w:r>
          </w:p>
        </w:tc>
        <w:tc>
          <w:tcPr>
            <w:tcW w:w="808" w:type="dxa"/>
            <w:vAlign w:val="bottom"/>
          </w:tcPr>
          <w:p w14:paraId="62361057" w14:textId="22164E59"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172 </w:t>
            </w:r>
          </w:p>
        </w:tc>
        <w:tc>
          <w:tcPr>
            <w:tcW w:w="875" w:type="dxa"/>
            <w:vAlign w:val="bottom"/>
          </w:tcPr>
          <w:p w14:paraId="0B9B1755" w14:textId="3D69BF19"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0.049%</w:t>
            </w:r>
          </w:p>
        </w:tc>
      </w:tr>
      <w:tr w:rsidR="00536E18" w:rsidRPr="00AE324F" w14:paraId="00AA2D25" w14:textId="57DACFC6" w:rsidTr="00837ABB">
        <w:trPr>
          <w:cantSplit/>
          <w:trHeight w:val="280"/>
          <w:jc w:val="center"/>
        </w:trPr>
        <w:tc>
          <w:tcPr>
            <w:tcW w:w="2156" w:type="dxa"/>
            <w:shd w:val="clear" w:color="auto" w:fill="auto"/>
            <w:noWrap/>
            <w:vAlign w:val="bottom"/>
          </w:tcPr>
          <w:p w14:paraId="4A68CE68" w14:textId="2BA29822" w:rsidR="00536E18" w:rsidRPr="00AE324F" w:rsidRDefault="00536E18" w:rsidP="00536E18">
            <w:pPr>
              <w:rPr>
                <w:rFonts w:asciiTheme="majorHAnsi" w:eastAsia="Verdana" w:hAnsiTheme="majorHAnsi" w:cstheme="majorHAnsi"/>
                <w:sz w:val="18"/>
                <w:szCs w:val="18"/>
              </w:rPr>
            </w:pPr>
            <w:r w:rsidRPr="00AE324F">
              <w:rPr>
                <w:rFonts w:asciiTheme="majorHAnsi" w:hAnsiTheme="majorHAnsi" w:cstheme="majorHAnsi"/>
                <w:color w:val="000000"/>
                <w:sz w:val="18"/>
                <w:szCs w:val="18"/>
              </w:rPr>
              <w:t>Other</w:t>
            </w:r>
            <w:r w:rsidRPr="00AE324F">
              <w:rPr>
                <w:rStyle w:val="FootnoteReference"/>
                <w:rFonts w:asciiTheme="majorHAnsi" w:hAnsiTheme="majorHAnsi" w:cstheme="majorHAnsi"/>
                <w:color w:val="000000"/>
                <w:sz w:val="18"/>
                <w:szCs w:val="18"/>
              </w:rPr>
              <w:footnoteReference w:id="6"/>
            </w:r>
          </w:p>
        </w:tc>
        <w:tc>
          <w:tcPr>
            <w:tcW w:w="1080" w:type="dxa"/>
            <w:shd w:val="clear" w:color="auto" w:fill="auto"/>
            <w:noWrap/>
            <w:vAlign w:val="bottom"/>
          </w:tcPr>
          <w:p w14:paraId="31C33A28" w14:textId="4C4CFE60"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8,206 </w:t>
            </w:r>
          </w:p>
        </w:tc>
        <w:tc>
          <w:tcPr>
            <w:tcW w:w="990" w:type="dxa"/>
            <w:shd w:val="clear" w:color="auto" w:fill="auto"/>
            <w:noWrap/>
            <w:vAlign w:val="bottom"/>
          </w:tcPr>
          <w:p w14:paraId="299AEA39" w14:textId="32391CBF"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4.54%</w:t>
            </w:r>
          </w:p>
        </w:tc>
        <w:tc>
          <w:tcPr>
            <w:tcW w:w="990" w:type="dxa"/>
            <w:shd w:val="clear" w:color="auto" w:fill="auto"/>
            <w:noWrap/>
            <w:vAlign w:val="bottom"/>
          </w:tcPr>
          <w:p w14:paraId="37185071" w14:textId="0C161E60"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27,345 </w:t>
            </w:r>
          </w:p>
        </w:tc>
        <w:tc>
          <w:tcPr>
            <w:tcW w:w="1080" w:type="dxa"/>
            <w:shd w:val="clear" w:color="auto" w:fill="auto"/>
            <w:noWrap/>
            <w:vAlign w:val="bottom"/>
          </w:tcPr>
          <w:p w14:paraId="3AD2E0AF" w14:textId="55A7C2B4"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6.22%</w:t>
            </w:r>
          </w:p>
        </w:tc>
        <w:tc>
          <w:tcPr>
            <w:tcW w:w="990" w:type="dxa"/>
            <w:shd w:val="clear" w:color="auto" w:fill="auto"/>
            <w:noWrap/>
            <w:vAlign w:val="bottom"/>
          </w:tcPr>
          <w:p w14:paraId="4702670D" w14:textId="5DB76AEC"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25,899 </w:t>
            </w:r>
          </w:p>
        </w:tc>
        <w:tc>
          <w:tcPr>
            <w:tcW w:w="1387" w:type="dxa"/>
            <w:shd w:val="clear" w:color="auto" w:fill="auto"/>
            <w:noWrap/>
            <w:vAlign w:val="bottom"/>
          </w:tcPr>
          <w:p w14:paraId="42383085" w14:textId="01989282"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5.87%</w:t>
            </w:r>
          </w:p>
        </w:tc>
        <w:tc>
          <w:tcPr>
            <w:tcW w:w="808" w:type="dxa"/>
            <w:vAlign w:val="bottom"/>
          </w:tcPr>
          <w:p w14:paraId="4179EE16" w14:textId="4CC86966"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20,695 </w:t>
            </w:r>
          </w:p>
        </w:tc>
        <w:tc>
          <w:tcPr>
            <w:tcW w:w="875" w:type="dxa"/>
            <w:vAlign w:val="bottom"/>
          </w:tcPr>
          <w:p w14:paraId="0061CC1B" w14:textId="43ECAF0E"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5.91%</w:t>
            </w:r>
          </w:p>
        </w:tc>
      </w:tr>
      <w:tr w:rsidR="00536E18" w:rsidRPr="00AE324F" w14:paraId="45AB6B1F" w14:textId="42DFCDDF" w:rsidTr="00837ABB">
        <w:trPr>
          <w:cantSplit/>
          <w:trHeight w:val="280"/>
          <w:jc w:val="center"/>
        </w:trPr>
        <w:tc>
          <w:tcPr>
            <w:tcW w:w="2156" w:type="dxa"/>
            <w:shd w:val="clear" w:color="auto" w:fill="auto"/>
            <w:noWrap/>
            <w:vAlign w:val="bottom"/>
          </w:tcPr>
          <w:p w14:paraId="1B929B37" w14:textId="3FDA5BE4" w:rsidR="00536E18" w:rsidRPr="00AE324F" w:rsidRDefault="00536E18" w:rsidP="00536E18">
            <w:pPr>
              <w:rPr>
                <w:rFonts w:asciiTheme="majorHAnsi" w:hAnsiTheme="majorHAnsi" w:cstheme="majorHAnsi"/>
                <w:color w:val="000000"/>
                <w:sz w:val="18"/>
                <w:szCs w:val="18"/>
              </w:rPr>
            </w:pPr>
            <w:r w:rsidRPr="00AE324F">
              <w:rPr>
                <w:rFonts w:asciiTheme="majorHAnsi" w:hAnsiTheme="majorHAnsi" w:cstheme="majorHAnsi"/>
                <w:color w:val="000000"/>
                <w:sz w:val="18"/>
                <w:szCs w:val="18"/>
              </w:rPr>
              <w:t>Unable to Obtain</w:t>
            </w:r>
            <w:r w:rsidRPr="00AE324F">
              <w:rPr>
                <w:rStyle w:val="FootnoteReference"/>
                <w:rFonts w:asciiTheme="majorHAnsi" w:hAnsiTheme="majorHAnsi" w:cstheme="majorHAnsi"/>
                <w:color w:val="000000"/>
                <w:sz w:val="18"/>
                <w:szCs w:val="18"/>
              </w:rPr>
              <w:footnoteReference w:id="7"/>
            </w:r>
          </w:p>
        </w:tc>
        <w:tc>
          <w:tcPr>
            <w:tcW w:w="1080" w:type="dxa"/>
            <w:shd w:val="clear" w:color="auto" w:fill="auto"/>
            <w:noWrap/>
            <w:vAlign w:val="bottom"/>
          </w:tcPr>
          <w:p w14:paraId="62595E5A" w14:textId="40C78423"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1,255 </w:t>
            </w:r>
          </w:p>
        </w:tc>
        <w:tc>
          <w:tcPr>
            <w:tcW w:w="990" w:type="dxa"/>
            <w:shd w:val="clear" w:color="auto" w:fill="auto"/>
            <w:noWrap/>
            <w:vAlign w:val="bottom"/>
          </w:tcPr>
          <w:p w14:paraId="19859214" w14:textId="29F61E2B"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0.69%</w:t>
            </w:r>
          </w:p>
        </w:tc>
        <w:tc>
          <w:tcPr>
            <w:tcW w:w="990" w:type="dxa"/>
            <w:shd w:val="clear" w:color="auto" w:fill="auto"/>
            <w:noWrap/>
            <w:vAlign w:val="bottom"/>
          </w:tcPr>
          <w:p w14:paraId="3441D04C" w14:textId="4797F2D6"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5,572 </w:t>
            </w:r>
          </w:p>
        </w:tc>
        <w:tc>
          <w:tcPr>
            <w:tcW w:w="1080" w:type="dxa"/>
            <w:shd w:val="clear" w:color="auto" w:fill="auto"/>
            <w:noWrap/>
            <w:vAlign w:val="bottom"/>
          </w:tcPr>
          <w:p w14:paraId="5BE0D4F1" w14:textId="16C0EB9D"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1.27%</w:t>
            </w:r>
          </w:p>
        </w:tc>
        <w:tc>
          <w:tcPr>
            <w:tcW w:w="990" w:type="dxa"/>
            <w:shd w:val="clear" w:color="auto" w:fill="auto"/>
            <w:noWrap/>
            <w:vAlign w:val="bottom"/>
          </w:tcPr>
          <w:p w14:paraId="5B55F984" w14:textId="608DBAEC"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5,252 </w:t>
            </w:r>
          </w:p>
        </w:tc>
        <w:tc>
          <w:tcPr>
            <w:tcW w:w="1387" w:type="dxa"/>
            <w:shd w:val="clear" w:color="auto" w:fill="auto"/>
            <w:noWrap/>
            <w:vAlign w:val="bottom"/>
          </w:tcPr>
          <w:p w14:paraId="0C52203D" w14:textId="37132F80"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1.19%</w:t>
            </w:r>
          </w:p>
        </w:tc>
        <w:tc>
          <w:tcPr>
            <w:tcW w:w="808" w:type="dxa"/>
            <w:vAlign w:val="bottom"/>
          </w:tcPr>
          <w:p w14:paraId="54E8CCD3" w14:textId="3F804951"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4,460 </w:t>
            </w:r>
          </w:p>
        </w:tc>
        <w:tc>
          <w:tcPr>
            <w:tcW w:w="875" w:type="dxa"/>
            <w:vAlign w:val="bottom"/>
          </w:tcPr>
          <w:p w14:paraId="1EE9C858" w14:textId="161DB6B1"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1.27%</w:t>
            </w:r>
          </w:p>
        </w:tc>
      </w:tr>
      <w:tr w:rsidR="00536E18" w:rsidRPr="00AE324F" w14:paraId="5BE3A1B2" w14:textId="09B7A227" w:rsidTr="00837ABB">
        <w:trPr>
          <w:cantSplit/>
          <w:trHeight w:val="280"/>
          <w:jc w:val="center"/>
        </w:trPr>
        <w:tc>
          <w:tcPr>
            <w:tcW w:w="2156" w:type="dxa"/>
            <w:shd w:val="clear" w:color="auto" w:fill="auto"/>
            <w:noWrap/>
            <w:vAlign w:val="bottom"/>
          </w:tcPr>
          <w:p w14:paraId="5C396F7C" w14:textId="77777777" w:rsidR="00536E18" w:rsidRPr="00AE324F" w:rsidRDefault="00536E18" w:rsidP="00536E18">
            <w:pPr>
              <w:rPr>
                <w:rFonts w:asciiTheme="majorHAnsi" w:hAnsiTheme="majorHAnsi" w:cstheme="majorHAnsi"/>
                <w:color w:val="000000"/>
                <w:sz w:val="18"/>
                <w:szCs w:val="18"/>
              </w:rPr>
            </w:pPr>
            <w:r w:rsidRPr="00AE324F">
              <w:rPr>
                <w:rFonts w:asciiTheme="majorHAnsi" w:hAnsiTheme="majorHAnsi" w:cstheme="majorHAnsi"/>
                <w:color w:val="000000"/>
                <w:sz w:val="18"/>
                <w:szCs w:val="18"/>
              </w:rPr>
              <w:t>White</w:t>
            </w:r>
          </w:p>
        </w:tc>
        <w:tc>
          <w:tcPr>
            <w:tcW w:w="1080" w:type="dxa"/>
            <w:shd w:val="clear" w:color="auto" w:fill="auto"/>
            <w:noWrap/>
            <w:vAlign w:val="bottom"/>
          </w:tcPr>
          <w:p w14:paraId="2276BF1E" w14:textId="412515B2"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123,191 </w:t>
            </w:r>
          </w:p>
        </w:tc>
        <w:tc>
          <w:tcPr>
            <w:tcW w:w="990" w:type="dxa"/>
            <w:shd w:val="clear" w:color="auto" w:fill="auto"/>
            <w:noWrap/>
            <w:vAlign w:val="bottom"/>
          </w:tcPr>
          <w:p w14:paraId="408E97EC" w14:textId="440B3990"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68.13%</w:t>
            </w:r>
          </w:p>
        </w:tc>
        <w:tc>
          <w:tcPr>
            <w:tcW w:w="990" w:type="dxa"/>
            <w:shd w:val="clear" w:color="auto" w:fill="auto"/>
            <w:noWrap/>
            <w:vAlign w:val="bottom"/>
          </w:tcPr>
          <w:p w14:paraId="39671127" w14:textId="2B4BCACB"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292,787 </w:t>
            </w:r>
          </w:p>
        </w:tc>
        <w:tc>
          <w:tcPr>
            <w:tcW w:w="1080" w:type="dxa"/>
            <w:shd w:val="clear" w:color="auto" w:fill="auto"/>
            <w:noWrap/>
            <w:vAlign w:val="bottom"/>
          </w:tcPr>
          <w:p w14:paraId="4209C588" w14:textId="51AC801D"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66.58%</w:t>
            </w:r>
          </w:p>
        </w:tc>
        <w:tc>
          <w:tcPr>
            <w:tcW w:w="990" w:type="dxa"/>
            <w:shd w:val="clear" w:color="auto" w:fill="auto"/>
            <w:noWrap/>
            <w:vAlign w:val="bottom"/>
          </w:tcPr>
          <w:p w14:paraId="0BEBCD5F" w14:textId="3848CBBF"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291,255 </w:t>
            </w:r>
          </w:p>
        </w:tc>
        <w:tc>
          <w:tcPr>
            <w:tcW w:w="1387" w:type="dxa"/>
            <w:shd w:val="clear" w:color="auto" w:fill="auto"/>
            <w:noWrap/>
            <w:vAlign w:val="bottom"/>
          </w:tcPr>
          <w:p w14:paraId="70327C9E" w14:textId="2A0539DF"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66%</w:t>
            </w:r>
          </w:p>
        </w:tc>
        <w:tc>
          <w:tcPr>
            <w:tcW w:w="808" w:type="dxa"/>
            <w:vAlign w:val="bottom"/>
          </w:tcPr>
          <w:p w14:paraId="551ECD8B" w14:textId="37898B68"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 xml:space="preserve">                227,062 </w:t>
            </w:r>
          </w:p>
        </w:tc>
        <w:tc>
          <w:tcPr>
            <w:tcW w:w="875" w:type="dxa"/>
            <w:vAlign w:val="bottom"/>
          </w:tcPr>
          <w:p w14:paraId="64D45EE6" w14:textId="7107D9D5"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hAnsiTheme="majorHAnsi" w:cstheme="majorHAnsi"/>
                <w:color w:val="000000"/>
                <w:sz w:val="18"/>
                <w:szCs w:val="18"/>
              </w:rPr>
              <w:t>64.81%</w:t>
            </w:r>
          </w:p>
        </w:tc>
      </w:tr>
      <w:tr w:rsidR="00536E18" w:rsidRPr="00AE324F" w14:paraId="1BEA7ED0" w14:textId="42498841" w:rsidTr="00837ABB">
        <w:trPr>
          <w:cantSplit/>
          <w:trHeight w:val="280"/>
          <w:jc w:val="center"/>
        </w:trPr>
        <w:tc>
          <w:tcPr>
            <w:tcW w:w="2156" w:type="dxa"/>
            <w:shd w:val="clear" w:color="auto" w:fill="E2EFD9" w:themeFill="accent6" w:themeFillTint="33"/>
            <w:noWrap/>
            <w:vAlign w:val="bottom"/>
          </w:tcPr>
          <w:p w14:paraId="46BF23DF" w14:textId="77777777" w:rsidR="00536E18" w:rsidRPr="00AE324F" w:rsidRDefault="00536E18" w:rsidP="00536E18">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Total</w:t>
            </w:r>
          </w:p>
        </w:tc>
        <w:tc>
          <w:tcPr>
            <w:tcW w:w="1080" w:type="dxa"/>
            <w:shd w:val="clear" w:color="auto" w:fill="E2EFD9" w:themeFill="accent6" w:themeFillTint="33"/>
            <w:noWrap/>
            <w:vAlign w:val="bottom"/>
          </w:tcPr>
          <w:p w14:paraId="2DD005AB" w14:textId="27E4E8AD" w:rsidR="00536E18" w:rsidRPr="00EA1C17" w:rsidRDefault="00536E18" w:rsidP="00536E18">
            <w:pPr>
              <w:jc w:val="center"/>
              <w:rPr>
                <w:rFonts w:asciiTheme="majorHAnsi" w:eastAsia="Verdana" w:hAnsiTheme="majorHAnsi" w:cstheme="majorHAnsi"/>
                <w:sz w:val="18"/>
                <w:szCs w:val="18"/>
                <w:highlight w:val="yellow"/>
              </w:rPr>
            </w:pPr>
            <w:r w:rsidRPr="00EA1C17">
              <w:rPr>
                <w:rFonts w:asciiTheme="majorHAnsi" w:eastAsia="Verdana" w:hAnsiTheme="majorHAnsi" w:cstheme="majorHAnsi"/>
                <w:sz w:val="18"/>
                <w:szCs w:val="18"/>
              </w:rPr>
              <w:t>180,821</w:t>
            </w:r>
          </w:p>
        </w:tc>
        <w:tc>
          <w:tcPr>
            <w:tcW w:w="990" w:type="dxa"/>
            <w:shd w:val="clear" w:color="auto" w:fill="E2EFD9" w:themeFill="accent6" w:themeFillTint="33"/>
            <w:noWrap/>
            <w:vAlign w:val="bottom"/>
          </w:tcPr>
          <w:p w14:paraId="20763AED"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100.00%</w:t>
            </w:r>
          </w:p>
        </w:tc>
        <w:tc>
          <w:tcPr>
            <w:tcW w:w="990" w:type="dxa"/>
            <w:shd w:val="clear" w:color="auto" w:fill="E2EFD9" w:themeFill="accent6" w:themeFillTint="33"/>
            <w:noWrap/>
            <w:vAlign w:val="bottom"/>
          </w:tcPr>
          <w:p w14:paraId="72BF6CB6" w14:textId="66205AF1"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439,771</w:t>
            </w:r>
          </w:p>
        </w:tc>
        <w:tc>
          <w:tcPr>
            <w:tcW w:w="1080" w:type="dxa"/>
            <w:shd w:val="clear" w:color="auto" w:fill="E2EFD9" w:themeFill="accent6" w:themeFillTint="33"/>
            <w:noWrap/>
            <w:vAlign w:val="bottom"/>
          </w:tcPr>
          <w:p w14:paraId="34BA816C"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100.00%</w:t>
            </w:r>
          </w:p>
        </w:tc>
        <w:tc>
          <w:tcPr>
            <w:tcW w:w="990" w:type="dxa"/>
            <w:shd w:val="clear" w:color="auto" w:fill="E2EFD9" w:themeFill="accent6" w:themeFillTint="33"/>
            <w:noWrap/>
            <w:vAlign w:val="bottom"/>
          </w:tcPr>
          <w:p w14:paraId="7203D716" w14:textId="2AFCCCF8" w:rsidR="00536E18" w:rsidRPr="00EA1C17" w:rsidRDefault="00536E18" w:rsidP="00536E18">
            <w:pPr>
              <w:jc w:val="center"/>
              <w:rPr>
                <w:rFonts w:asciiTheme="majorHAnsi" w:eastAsia="Verdana" w:hAnsiTheme="majorHAnsi" w:cstheme="majorHAnsi"/>
                <w:sz w:val="18"/>
                <w:szCs w:val="18"/>
              </w:rPr>
            </w:pPr>
            <w:r w:rsidRPr="00EA1C17">
              <w:rPr>
                <w:rFonts w:asciiTheme="majorHAnsi" w:eastAsia="Verdana" w:hAnsiTheme="majorHAnsi" w:cstheme="majorHAnsi"/>
                <w:sz w:val="18"/>
                <w:szCs w:val="18"/>
              </w:rPr>
              <w:t>441,300</w:t>
            </w:r>
          </w:p>
        </w:tc>
        <w:tc>
          <w:tcPr>
            <w:tcW w:w="1387" w:type="dxa"/>
            <w:shd w:val="clear" w:color="auto" w:fill="E2EFD9" w:themeFill="accent6" w:themeFillTint="33"/>
            <w:noWrap/>
            <w:vAlign w:val="bottom"/>
          </w:tcPr>
          <w:p w14:paraId="185F5271" w14:textId="77777777" w:rsidR="00536E18" w:rsidRPr="00EA1C17" w:rsidRDefault="00536E18" w:rsidP="00536E18">
            <w:pPr>
              <w:jc w:val="center"/>
              <w:rPr>
                <w:rFonts w:asciiTheme="majorHAnsi" w:eastAsia="Verdana" w:hAnsiTheme="majorHAnsi" w:cstheme="majorHAnsi"/>
                <w:sz w:val="18"/>
                <w:szCs w:val="18"/>
              </w:rPr>
            </w:pPr>
            <w:r w:rsidRPr="00EA1C17">
              <w:rPr>
                <w:rFonts w:asciiTheme="majorHAnsi" w:hAnsiTheme="majorHAnsi" w:cstheme="majorHAnsi"/>
                <w:color w:val="000000"/>
                <w:sz w:val="18"/>
                <w:szCs w:val="18"/>
              </w:rPr>
              <w:t>100.00%</w:t>
            </w:r>
          </w:p>
        </w:tc>
        <w:tc>
          <w:tcPr>
            <w:tcW w:w="808" w:type="dxa"/>
            <w:shd w:val="clear" w:color="auto" w:fill="E2EFD9" w:themeFill="accent6" w:themeFillTint="33"/>
          </w:tcPr>
          <w:p w14:paraId="7CC02AC2" w14:textId="79AA7761" w:rsidR="00536E18" w:rsidRPr="00EA1C17" w:rsidRDefault="00536E18" w:rsidP="00536E18">
            <w:pPr>
              <w:jc w:val="center"/>
              <w:rPr>
                <w:rFonts w:asciiTheme="majorHAnsi" w:hAnsiTheme="majorHAnsi" w:cstheme="majorHAnsi"/>
                <w:color w:val="000000"/>
                <w:sz w:val="18"/>
                <w:szCs w:val="18"/>
              </w:rPr>
            </w:pPr>
            <w:r w:rsidRPr="00EA1C17">
              <w:rPr>
                <w:rFonts w:asciiTheme="majorHAnsi" w:eastAsia="Verdana" w:hAnsiTheme="majorHAnsi" w:cstheme="majorHAnsi"/>
                <w:sz w:val="18"/>
                <w:szCs w:val="18"/>
              </w:rPr>
              <w:t>350,342</w:t>
            </w:r>
          </w:p>
        </w:tc>
        <w:tc>
          <w:tcPr>
            <w:tcW w:w="875" w:type="dxa"/>
            <w:shd w:val="clear" w:color="auto" w:fill="E2EFD9" w:themeFill="accent6" w:themeFillTint="33"/>
          </w:tcPr>
          <w:p w14:paraId="19FCF244" w14:textId="2D65585B" w:rsidR="00536E18" w:rsidRPr="00EA1C17" w:rsidRDefault="00536E18" w:rsidP="00536E18">
            <w:pPr>
              <w:jc w:val="center"/>
              <w:rPr>
                <w:rFonts w:asciiTheme="majorHAnsi" w:hAnsiTheme="majorHAnsi" w:cstheme="majorHAnsi"/>
                <w:color w:val="000000"/>
                <w:sz w:val="18"/>
                <w:szCs w:val="18"/>
              </w:rPr>
            </w:pPr>
            <w:r w:rsidRPr="00EA1C17">
              <w:rPr>
                <w:rFonts w:asciiTheme="majorHAnsi" w:eastAsia="Verdana" w:hAnsiTheme="majorHAnsi" w:cstheme="majorHAnsi"/>
                <w:sz w:val="18"/>
                <w:szCs w:val="18"/>
              </w:rPr>
              <w:t>100.00%</w:t>
            </w:r>
          </w:p>
        </w:tc>
      </w:tr>
      <w:bookmarkEnd w:id="1"/>
    </w:tbl>
    <w:p w14:paraId="0FDD5F17" w14:textId="023DC059" w:rsidR="007145AD" w:rsidRDefault="007145AD" w:rsidP="00825681">
      <w:pPr>
        <w:spacing w:after="0" w:line="240" w:lineRule="auto"/>
        <w:jc w:val="both"/>
        <w:rPr>
          <w:rFonts w:asciiTheme="majorHAnsi" w:eastAsia="Times New Roman" w:hAnsiTheme="majorHAnsi" w:cstheme="majorHAnsi"/>
          <w:color w:val="000000" w:themeColor="text1"/>
          <w:kern w:val="2"/>
          <w:sz w:val="20"/>
          <w:szCs w:val="20"/>
          <w:u w:val="single"/>
        </w:rPr>
      </w:pPr>
    </w:p>
    <w:p w14:paraId="1608BCB3" w14:textId="683BD281" w:rsidR="008C781B" w:rsidRDefault="008C781B" w:rsidP="00825681">
      <w:pPr>
        <w:spacing w:after="0" w:line="240" w:lineRule="auto"/>
        <w:jc w:val="both"/>
        <w:rPr>
          <w:rFonts w:asciiTheme="majorHAnsi" w:eastAsia="Times New Roman" w:hAnsiTheme="majorHAnsi" w:cstheme="majorHAnsi"/>
          <w:color w:val="000000" w:themeColor="text1"/>
          <w:kern w:val="2"/>
          <w:sz w:val="20"/>
          <w:szCs w:val="20"/>
          <w:u w:val="single"/>
        </w:rPr>
      </w:pPr>
    </w:p>
    <w:p w14:paraId="5A078789" w14:textId="6DE78974" w:rsidR="008C781B" w:rsidRDefault="008C781B" w:rsidP="00825681">
      <w:pPr>
        <w:spacing w:after="0" w:line="240" w:lineRule="auto"/>
        <w:jc w:val="both"/>
        <w:rPr>
          <w:rFonts w:asciiTheme="majorHAnsi" w:eastAsia="Times New Roman" w:hAnsiTheme="majorHAnsi" w:cstheme="majorHAnsi"/>
          <w:color w:val="000000" w:themeColor="text1"/>
          <w:kern w:val="2"/>
          <w:sz w:val="20"/>
          <w:szCs w:val="20"/>
          <w:u w:val="single"/>
        </w:rPr>
      </w:pPr>
    </w:p>
    <w:p w14:paraId="66911C8D" w14:textId="68013F56" w:rsidR="008C781B" w:rsidRDefault="008C781B" w:rsidP="00825681">
      <w:pPr>
        <w:spacing w:after="0" w:line="240" w:lineRule="auto"/>
        <w:jc w:val="both"/>
        <w:rPr>
          <w:rFonts w:asciiTheme="majorHAnsi" w:eastAsia="Times New Roman" w:hAnsiTheme="majorHAnsi" w:cstheme="majorHAnsi"/>
          <w:color w:val="000000" w:themeColor="text1"/>
          <w:kern w:val="2"/>
          <w:sz w:val="20"/>
          <w:szCs w:val="20"/>
          <w:u w:val="single"/>
        </w:rPr>
      </w:pPr>
    </w:p>
    <w:p w14:paraId="12E7B896" w14:textId="5EA10D02" w:rsidR="008C781B" w:rsidRDefault="008C781B" w:rsidP="00825681">
      <w:pPr>
        <w:spacing w:after="0" w:line="240" w:lineRule="auto"/>
        <w:jc w:val="both"/>
        <w:rPr>
          <w:rFonts w:asciiTheme="majorHAnsi" w:eastAsia="Times New Roman" w:hAnsiTheme="majorHAnsi" w:cstheme="majorHAnsi"/>
          <w:color w:val="000000" w:themeColor="text1"/>
          <w:kern w:val="2"/>
          <w:sz w:val="20"/>
          <w:szCs w:val="20"/>
          <w:u w:val="single"/>
        </w:rPr>
      </w:pPr>
    </w:p>
    <w:p w14:paraId="637D009B" w14:textId="77777777" w:rsidR="008C781B" w:rsidRDefault="008C781B" w:rsidP="00825681">
      <w:pPr>
        <w:spacing w:after="0" w:line="240" w:lineRule="auto"/>
        <w:jc w:val="both"/>
        <w:rPr>
          <w:rFonts w:asciiTheme="majorHAnsi" w:eastAsia="Times New Roman" w:hAnsiTheme="majorHAnsi" w:cstheme="majorHAnsi"/>
          <w:color w:val="000000" w:themeColor="text1"/>
          <w:kern w:val="2"/>
          <w:sz w:val="20"/>
          <w:szCs w:val="20"/>
          <w:u w:val="single"/>
        </w:rPr>
      </w:pPr>
    </w:p>
    <w:p w14:paraId="7A3D8836" w14:textId="77777777" w:rsidR="00DA401C" w:rsidRDefault="00DA401C" w:rsidP="00825681">
      <w:pPr>
        <w:spacing w:after="0" w:line="240" w:lineRule="auto"/>
        <w:jc w:val="both"/>
        <w:rPr>
          <w:rFonts w:asciiTheme="majorHAnsi" w:eastAsia="Times New Roman" w:hAnsiTheme="majorHAnsi" w:cstheme="majorHAnsi"/>
          <w:color w:val="000000" w:themeColor="text1"/>
          <w:kern w:val="2"/>
          <w:sz w:val="20"/>
          <w:szCs w:val="20"/>
          <w:u w:val="single"/>
        </w:rPr>
      </w:pPr>
    </w:p>
    <w:tbl>
      <w:tblPr>
        <w:tblStyle w:val="TableGrid"/>
        <w:tblW w:w="5216" w:type="dxa"/>
        <w:jc w:val="center"/>
        <w:tblLook w:val="04A0" w:firstRow="1" w:lastRow="0" w:firstColumn="1" w:lastColumn="0" w:noHBand="0" w:noVBand="1"/>
      </w:tblPr>
      <w:tblGrid>
        <w:gridCol w:w="2156"/>
        <w:gridCol w:w="1080"/>
        <w:gridCol w:w="990"/>
        <w:gridCol w:w="990"/>
      </w:tblGrid>
      <w:tr w:rsidR="007145AD" w:rsidRPr="00AE324F" w14:paraId="414E139B" w14:textId="39D0F272" w:rsidTr="001856C5">
        <w:trPr>
          <w:cantSplit/>
          <w:trHeight w:val="280"/>
          <w:tblHeader/>
          <w:jc w:val="center"/>
        </w:trPr>
        <w:tc>
          <w:tcPr>
            <w:tcW w:w="2156" w:type="dxa"/>
            <w:shd w:val="clear" w:color="auto" w:fill="DEEAF6" w:themeFill="accent5" w:themeFillTint="33"/>
            <w:noWrap/>
            <w:vAlign w:val="bottom"/>
          </w:tcPr>
          <w:p w14:paraId="062F62AD" w14:textId="04961B83" w:rsidR="007145AD" w:rsidRPr="00AE324F" w:rsidRDefault="007145AD" w:rsidP="001D5FE3">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Payer</w:t>
            </w:r>
          </w:p>
        </w:tc>
        <w:tc>
          <w:tcPr>
            <w:tcW w:w="1080" w:type="dxa"/>
            <w:shd w:val="clear" w:color="auto" w:fill="DEEAF6" w:themeFill="accent5" w:themeFillTint="33"/>
            <w:noWrap/>
            <w:vAlign w:val="bottom"/>
          </w:tcPr>
          <w:p w14:paraId="62E93407" w14:textId="77777777" w:rsidR="007145AD" w:rsidRPr="00AE324F" w:rsidRDefault="007145AD"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FY19</w:t>
            </w:r>
          </w:p>
        </w:tc>
        <w:tc>
          <w:tcPr>
            <w:tcW w:w="990" w:type="dxa"/>
            <w:shd w:val="clear" w:color="auto" w:fill="DEEAF6" w:themeFill="accent5" w:themeFillTint="33"/>
            <w:noWrap/>
            <w:vAlign w:val="bottom"/>
          </w:tcPr>
          <w:p w14:paraId="22D4E03A" w14:textId="6F2115B4" w:rsidR="007145AD" w:rsidRPr="00AE324F" w:rsidRDefault="007145AD"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FY20</w:t>
            </w:r>
          </w:p>
        </w:tc>
        <w:tc>
          <w:tcPr>
            <w:tcW w:w="990" w:type="dxa"/>
            <w:shd w:val="clear" w:color="auto" w:fill="DEEAF6" w:themeFill="accent5" w:themeFillTint="33"/>
            <w:noWrap/>
            <w:vAlign w:val="bottom"/>
          </w:tcPr>
          <w:p w14:paraId="464DA677" w14:textId="039718AD" w:rsidR="007145AD" w:rsidRPr="00AE324F" w:rsidRDefault="007145AD" w:rsidP="00AE324F">
            <w:pPr>
              <w:pStyle w:val="Heading9"/>
              <w:outlineLvl w:val="8"/>
            </w:pPr>
            <w:r w:rsidRPr="00AE324F">
              <w:t>FY21</w:t>
            </w:r>
          </w:p>
        </w:tc>
      </w:tr>
      <w:tr w:rsidR="007145AD" w:rsidRPr="00AE324F" w14:paraId="772C214C" w14:textId="7471067C" w:rsidTr="00A62DA3">
        <w:trPr>
          <w:cantSplit/>
          <w:trHeight w:val="280"/>
          <w:jc w:val="center"/>
        </w:trPr>
        <w:tc>
          <w:tcPr>
            <w:tcW w:w="2156" w:type="dxa"/>
            <w:shd w:val="clear" w:color="auto" w:fill="auto"/>
            <w:noWrap/>
            <w:vAlign w:val="bottom"/>
          </w:tcPr>
          <w:p w14:paraId="6B52FF44" w14:textId="77777777" w:rsidR="007145AD" w:rsidRPr="00AE324F" w:rsidRDefault="007145AD" w:rsidP="001D5FE3">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PPO/Indemnity</w:t>
            </w:r>
          </w:p>
        </w:tc>
        <w:tc>
          <w:tcPr>
            <w:tcW w:w="1080" w:type="dxa"/>
            <w:shd w:val="clear" w:color="auto" w:fill="auto"/>
            <w:noWrap/>
            <w:vAlign w:val="center"/>
          </w:tcPr>
          <w:p w14:paraId="6A17CB5D" w14:textId="77777777" w:rsidR="007145AD" w:rsidRPr="00AE324F" w:rsidRDefault="007145AD" w:rsidP="001D5FE3">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13.22%</w:t>
            </w:r>
          </w:p>
        </w:tc>
        <w:tc>
          <w:tcPr>
            <w:tcW w:w="990" w:type="dxa"/>
            <w:shd w:val="clear" w:color="auto" w:fill="auto"/>
            <w:noWrap/>
            <w:vAlign w:val="center"/>
          </w:tcPr>
          <w:p w14:paraId="40BBEE5E" w14:textId="5EAC5FD2"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13.26%</w:t>
            </w:r>
          </w:p>
        </w:tc>
        <w:tc>
          <w:tcPr>
            <w:tcW w:w="990" w:type="dxa"/>
            <w:shd w:val="clear" w:color="auto" w:fill="auto"/>
            <w:noWrap/>
            <w:vAlign w:val="center"/>
          </w:tcPr>
          <w:p w14:paraId="14B70F3F" w14:textId="0F2B40CA"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13.23%</w:t>
            </w:r>
          </w:p>
        </w:tc>
      </w:tr>
      <w:tr w:rsidR="007145AD" w:rsidRPr="00AE324F" w14:paraId="1B019CBB" w14:textId="7F47807B" w:rsidTr="00A62DA3">
        <w:trPr>
          <w:cantSplit/>
          <w:trHeight w:val="280"/>
          <w:jc w:val="center"/>
        </w:trPr>
        <w:tc>
          <w:tcPr>
            <w:tcW w:w="2156" w:type="dxa"/>
            <w:shd w:val="clear" w:color="auto" w:fill="auto"/>
            <w:noWrap/>
            <w:vAlign w:val="bottom"/>
          </w:tcPr>
          <w:p w14:paraId="7306648E" w14:textId="77777777" w:rsidR="007145AD" w:rsidRPr="00AE324F" w:rsidRDefault="007145AD" w:rsidP="001D5FE3">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HMO/POS</w:t>
            </w:r>
          </w:p>
        </w:tc>
        <w:tc>
          <w:tcPr>
            <w:tcW w:w="1080" w:type="dxa"/>
            <w:shd w:val="clear" w:color="auto" w:fill="auto"/>
            <w:noWrap/>
            <w:vAlign w:val="center"/>
          </w:tcPr>
          <w:p w14:paraId="574C96D8" w14:textId="77777777"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12.67%</w:t>
            </w:r>
          </w:p>
        </w:tc>
        <w:tc>
          <w:tcPr>
            <w:tcW w:w="990" w:type="dxa"/>
            <w:shd w:val="clear" w:color="auto" w:fill="auto"/>
            <w:noWrap/>
            <w:vAlign w:val="center"/>
          </w:tcPr>
          <w:p w14:paraId="2F909390" w14:textId="38E5CA5C"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12.85%</w:t>
            </w:r>
          </w:p>
        </w:tc>
        <w:tc>
          <w:tcPr>
            <w:tcW w:w="990" w:type="dxa"/>
            <w:shd w:val="clear" w:color="auto" w:fill="auto"/>
            <w:noWrap/>
            <w:vAlign w:val="center"/>
          </w:tcPr>
          <w:p w14:paraId="54A28E76" w14:textId="6BA8DC15"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12.57%</w:t>
            </w:r>
          </w:p>
        </w:tc>
      </w:tr>
      <w:tr w:rsidR="007145AD" w:rsidRPr="00AE324F" w14:paraId="49E34EE5" w14:textId="0AE6D252" w:rsidTr="00A62DA3">
        <w:trPr>
          <w:cantSplit/>
          <w:trHeight w:val="280"/>
          <w:jc w:val="center"/>
        </w:trPr>
        <w:tc>
          <w:tcPr>
            <w:tcW w:w="2156" w:type="dxa"/>
            <w:shd w:val="clear" w:color="auto" w:fill="auto"/>
            <w:noWrap/>
            <w:vAlign w:val="bottom"/>
          </w:tcPr>
          <w:p w14:paraId="27E684BB" w14:textId="77777777" w:rsidR="007145AD" w:rsidRPr="00AE324F" w:rsidRDefault="007145AD" w:rsidP="001D5FE3">
            <w:pPr>
              <w:rPr>
                <w:rFonts w:asciiTheme="majorHAnsi" w:eastAsia="Verdana" w:hAnsiTheme="majorHAnsi" w:cstheme="majorHAnsi"/>
                <w:sz w:val="18"/>
                <w:szCs w:val="18"/>
              </w:rPr>
            </w:pPr>
            <w:r w:rsidRPr="00AE324F">
              <w:rPr>
                <w:rFonts w:asciiTheme="majorHAnsi" w:hAnsiTheme="majorHAnsi" w:cstheme="majorHAnsi"/>
                <w:color w:val="000000"/>
                <w:sz w:val="18"/>
                <w:szCs w:val="18"/>
              </w:rPr>
              <w:t>MassHealth</w:t>
            </w:r>
          </w:p>
        </w:tc>
        <w:tc>
          <w:tcPr>
            <w:tcW w:w="1080" w:type="dxa"/>
            <w:shd w:val="clear" w:color="auto" w:fill="auto"/>
            <w:noWrap/>
            <w:vAlign w:val="center"/>
          </w:tcPr>
          <w:p w14:paraId="517EC8C2" w14:textId="77777777"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12.55%</w:t>
            </w:r>
          </w:p>
        </w:tc>
        <w:tc>
          <w:tcPr>
            <w:tcW w:w="990" w:type="dxa"/>
            <w:shd w:val="clear" w:color="auto" w:fill="auto"/>
            <w:noWrap/>
            <w:vAlign w:val="center"/>
          </w:tcPr>
          <w:p w14:paraId="010D3369" w14:textId="6C963A45"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12.81%</w:t>
            </w:r>
          </w:p>
        </w:tc>
        <w:tc>
          <w:tcPr>
            <w:tcW w:w="990" w:type="dxa"/>
            <w:shd w:val="clear" w:color="auto" w:fill="auto"/>
            <w:noWrap/>
            <w:vAlign w:val="center"/>
          </w:tcPr>
          <w:p w14:paraId="4D78321B" w14:textId="0C9CB423"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13.34%</w:t>
            </w:r>
          </w:p>
        </w:tc>
      </w:tr>
      <w:tr w:rsidR="007145AD" w:rsidRPr="00AE324F" w14:paraId="01964DDD" w14:textId="067C08BF" w:rsidTr="00A62DA3">
        <w:trPr>
          <w:cantSplit/>
          <w:trHeight w:val="280"/>
          <w:jc w:val="center"/>
        </w:trPr>
        <w:tc>
          <w:tcPr>
            <w:tcW w:w="2156" w:type="dxa"/>
            <w:shd w:val="clear" w:color="auto" w:fill="auto"/>
            <w:noWrap/>
            <w:vAlign w:val="bottom"/>
          </w:tcPr>
          <w:p w14:paraId="3056714D" w14:textId="77777777" w:rsidR="007145AD" w:rsidRPr="00AE324F" w:rsidRDefault="007145AD" w:rsidP="001D5FE3">
            <w:pPr>
              <w:rPr>
                <w:rFonts w:asciiTheme="majorHAnsi" w:eastAsia="Verdana" w:hAnsiTheme="majorHAnsi" w:cstheme="majorHAnsi"/>
                <w:sz w:val="18"/>
                <w:szCs w:val="18"/>
              </w:rPr>
            </w:pPr>
            <w:r w:rsidRPr="00AE324F">
              <w:rPr>
                <w:rFonts w:asciiTheme="majorHAnsi" w:hAnsiTheme="majorHAnsi" w:cstheme="majorHAnsi"/>
                <w:color w:val="000000"/>
                <w:sz w:val="18"/>
                <w:szCs w:val="18"/>
              </w:rPr>
              <w:t>Managed Medicaid</w:t>
            </w:r>
          </w:p>
        </w:tc>
        <w:tc>
          <w:tcPr>
            <w:tcW w:w="1080" w:type="dxa"/>
            <w:shd w:val="clear" w:color="auto" w:fill="auto"/>
            <w:noWrap/>
            <w:vAlign w:val="center"/>
          </w:tcPr>
          <w:p w14:paraId="7F4553BC" w14:textId="77777777"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6.73%</w:t>
            </w:r>
          </w:p>
        </w:tc>
        <w:tc>
          <w:tcPr>
            <w:tcW w:w="990" w:type="dxa"/>
            <w:shd w:val="clear" w:color="auto" w:fill="auto"/>
            <w:noWrap/>
            <w:vAlign w:val="center"/>
          </w:tcPr>
          <w:p w14:paraId="201B32C3" w14:textId="3DEBAEE1"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6.92%</w:t>
            </w:r>
          </w:p>
        </w:tc>
        <w:tc>
          <w:tcPr>
            <w:tcW w:w="990" w:type="dxa"/>
            <w:shd w:val="clear" w:color="auto" w:fill="auto"/>
            <w:noWrap/>
            <w:vAlign w:val="center"/>
          </w:tcPr>
          <w:p w14:paraId="4B2F811F" w14:textId="2283E785"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6.91%</w:t>
            </w:r>
          </w:p>
        </w:tc>
      </w:tr>
      <w:tr w:rsidR="007145AD" w:rsidRPr="00AE324F" w14:paraId="46CFFAED" w14:textId="40F1E7BF" w:rsidTr="00A62DA3">
        <w:trPr>
          <w:cantSplit/>
          <w:trHeight w:val="280"/>
          <w:jc w:val="center"/>
        </w:trPr>
        <w:tc>
          <w:tcPr>
            <w:tcW w:w="2156" w:type="dxa"/>
            <w:shd w:val="clear" w:color="auto" w:fill="auto"/>
            <w:noWrap/>
            <w:vAlign w:val="bottom"/>
          </w:tcPr>
          <w:p w14:paraId="7E35C583" w14:textId="77777777" w:rsidR="007145AD" w:rsidRPr="00AE324F" w:rsidRDefault="007145AD" w:rsidP="001D5FE3">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Medicare</w:t>
            </w:r>
          </w:p>
        </w:tc>
        <w:tc>
          <w:tcPr>
            <w:tcW w:w="1080" w:type="dxa"/>
            <w:shd w:val="clear" w:color="auto" w:fill="auto"/>
            <w:noWrap/>
            <w:vAlign w:val="center"/>
          </w:tcPr>
          <w:p w14:paraId="6FE73590" w14:textId="77777777"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11.68%</w:t>
            </w:r>
          </w:p>
        </w:tc>
        <w:tc>
          <w:tcPr>
            <w:tcW w:w="990" w:type="dxa"/>
            <w:shd w:val="clear" w:color="auto" w:fill="auto"/>
            <w:noWrap/>
            <w:vAlign w:val="center"/>
          </w:tcPr>
          <w:p w14:paraId="31384760" w14:textId="389FECCB"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12.56%</w:t>
            </w:r>
          </w:p>
        </w:tc>
        <w:tc>
          <w:tcPr>
            <w:tcW w:w="990" w:type="dxa"/>
            <w:shd w:val="clear" w:color="auto" w:fill="auto"/>
            <w:noWrap/>
            <w:vAlign w:val="center"/>
          </w:tcPr>
          <w:p w14:paraId="27D23D33" w14:textId="19AF6363"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14.92%</w:t>
            </w:r>
          </w:p>
        </w:tc>
      </w:tr>
      <w:tr w:rsidR="007145AD" w:rsidRPr="00AE324F" w14:paraId="0B25AFB0" w14:textId="2317C02F" w:rsidTr="00A62DA3">
        <w:trPr>
          <w:cantSplit/>
          <w:trHeight w:val="280"/>
          <w:jc w:val="center"/>
        </w:trPr>
        <w:tc>
          <w:tcPr>
            <w:tcW w:w="2156" w:type="dxa"/>
            <w:shd w:val="clear" w:color="auto" w:fill="auto"/>
            <w:noWrap/>
            <w:vAlign w:val="bottom"/>
          </w:tcPr>
          <w:p w14:paraId="33DA2140" w14:textId="77777777" w:rsidR="007145AD" w:rsidRPr="00AE324F" w:rsidRDefault="007145AD" w:rsidP="001D5FE3">
            <w:pPr>
              <w:rPr>
                <w:rFonts w:asciiTheme="majorHAnsi" w:eastAsia="Verdana" w:hAnsiTheme="majorHAnsi" w:cstheme="majorHAnsi"/>
                <w:sz w:val="18"/>
                <w:szCs w:val="18"/>
              </w:rPr>
            </w:pPr>
            <w:r w:rsidRPr="00AE324F">
              <w:rPr>
                <w:rFonts w:asciiTheme="majorHAnsi" w:hAnsiTheme="majorHAnsi" w:cstheme="majorHAnsi"/>
                <w:color w:val="000000"/>
                <w:sz w:val="18"/>
                <w:szCs w:val="18"/>
              </w:rPr>
              <w:t>Medicare FFS</w:t>
            </w:r>
          </w:p>
        </w:tc>
        <w:tc>
          <w:tcPr>
            <w:tcW w:w="1080" w:type="dxa"/>
            <w:shd w:val="clear" w:color="auto" w:fill="auto"/>
            <w:noWrap/>
            <w:vAlign w:val="center"/>
          </w:tcPr>
          <w:p w14:paraId="523A7535" w14:textId="77777777"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37.30%</w:t>
            </w:r>
          </w:p>
        </w:tc>
        <w:tc>
          <w:tcPr>
            <w:tcW w:w="990" w:type="dxa"/>
            <w:shd w:val="clear" w:color="auto" w:fill="auto"/>
            <w:noWrap/>
            <w:vAlign w:val="center"/>
          </w:tcPr>
          <w:p w14:paraId="0B46438D" w14:textId="09AD16A7"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35.52%</w:t>
            </w:r>
          </w:p>
        </w:tc>
        <w:tc>
          <w:tcPr>
            <w:tcW w:w="990" w:type="dxa"/>
            <w:shd w:val="clear" w:color="auto" w:fill="auto"/>
            <w:noWrap/>
            <w:vAlign w:val="center"/>
          </w:tcPr>
          <w:p w14:paraId="30635C88" w14:textId="5E3D9CC8" w:rsidR="007145AD" w:rsidRPr="00AE324F" w:rsidRDefault="007145AD" w:rsidP="001D5FE3">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33.12%</w:t>
            </w:r>
          </w:p>
        </w:tc>
      </w:tr>
      <w:tr w:rsidR="007145AD" w:rsidRPr="00AE324F" w14:paraId="28353FD8" w14:textId="3B31FD90" w:rsidTr="00A62DA3">
        <w:trPr>
          <w:cantSplit/>
          <w:trHeight w:val="280"/>
          <w:jc w:val="center"/>
        </w:trPr>
        <w:tc>
          <w:tcPr>
            <w:tcW w:w="2156" w:type="dxa"/>
            <w:shd w:val="clear" w:color="auto" w:fill="auto"/>
            <w:noWrap/>
            <w:vAlign w:val="bottom"/>
          </w:tcPr>
          <w:p w14:paraId="3FD19F12" w14:textId="77777777" w:rsidR="007145AD" w:rsidRPr="00AE324F" w:rsidRDefault="007145AD" w:rsidP="001D5FE3">
            <w:pPr>
              <w:rPr>
                <w:rFonts w:asciiTheme="majorHAnsi" w:hAnsiTheme="majorHAnsi" w:cstheme="majorHAnsi"/>
                <w:color w:val="000000"/>
                <w:sz w:val="18"/>
                <w:szCs w:val="18"/>
              </w:rPr>
            </w:pPr>
            <w:r w:rsidRPr="00AE324F">
              <w:rPr>
                <w:rFonts w:asciiTheme="majorHAnsi" w:hAnsiTheme="majorHAnsi" w:cstheme="majorHAnsi"/>
                <w:color w:val="000000"/>
                <w:sz w:val="18"/>
                <w:szCs w:val="18"/>
              </w:rPr>
              <w:t>All Other</w:t>
            </w:r>
            <w:r w:rsidRPr="00AE324F">
              <w:rPr>
                <w:rStyle w:val="FootnoteReference"/>
                <w:rFonts w:asciiTheme="majorHAnsi" w:hAnsiTheme="majorHAnsi" w:cstheme="majorHAnsi"/>
                <w:color w:val="000000"/>
                <w:sz w:val="18"/>
                <w:szCs w:val="18"/>
              </w:rPr>
              <w:footnoteReference w:id="8"/>
            </w:r>
          </w:p>
        </w:tc>
        <w:tc>
          <w:tcPr>
            <w:tcW w:w="1080" w:type="dxa"/>
            <w:shd w:val="clear" w:color="auto" w:fill="auto"/>
            <w:noWrap/>
            <w:vAlign w:val="center"/>
          </w:tcPr>
          <w:p w14:paraId="67D04EDA" w14:textId="77777777" w:rsidR="007145AD" w:rsidRPr="00AE324F" w:rsidRDefault="007145AD" w:rsidP="001D5FE3">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5.84%</w:t>
            </w:r>
          </w:p>
        </w:tc>
        <w:tc>
          <w:tcPr>
            <w:tcW w:w="990" w:type="dxa"/>
            <w:shd w:val="clear" w:color="auto" w:fill="auto"/>
            <w:noWrap/>
            <w:vAlign w:val="center"/>
          </w:tcPr>
          <w:p w14:paraId="3D6F97CD" w14:textId="2D45689F" w:rsidR="007145AD" w:rsidRPr="00AE324F" w:rsidRDefault="007145AD" w:rsidP="001D5FE3">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6.06%</w:t>
            </w:r>
          </w:p>
        </w:tc>
        <w:tc>
          <w:tcPr>
            <w:tcW w:w="990" w:type="dxa"/>
            <w:shd w:val="clear" w:color="auto" w:fill="auto"/>
            <w:noWrap/>
            <w:vAlign w:val="center"/>
          </w:tcPr>
          <w:p w14:paraId="378F404F" w14:textId="33A20D55" w:rsidR="007145AD" w:rsidRPr="00AE324F" w:rsidRDefault="007145AD" w:rsidP="001D5FE3">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5.92%</w:t>
            </w:r>
          </w:p>
        </w:tc>
      </w:tr>
      <w:tr w:rsidR="007145AD" w:rsidRPr="00AE324F" w14:paraId="002817BD" w14:textId="76542093" w:rsidTr="00A62DA3">
        <w:trPr>
          <w:cantSplit/>
          <w:trHeight w:val="280"/>
          <w:jc w:val="center"/>
        </w:trPr>
        <w:tc>
          <w:tcPr>
            <w:tcW w:w="2156" w:type="dxa"/>
            <w:shd w:val="clear" w:color="auto" w:fill="E2EFD9" w:themeFill="accent6" w:themeFillTint="33"/>
            <w:noWrap/>
            <w:vAlign w:val="bottom"/>
          </w:tcPr>
          <w:p w14:paraId="1DDF17B7" w14:textId="77777777" w:rsidR="007145AD" w:rsidRPr="00AE324F" w:rsidRDefault="007145AD" w:rsidP="001D5FE3">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Total</w:t>
            </w:r>
          </w:p>
        </w:tc>
        <w:tc>
          <w:tcPr>
            <w:tcW w:w="1080" w:type="dxa"/>
            <w:shd w:val="clear" w:color="auto" w:fill="E2EFD9" w:themeFill="accent6" w:themeFillTint="33"/>
            <w:noWrap/>
            <w:vAlign w:val="bottom"/>
          </w:tcPr>
          <w:p w14:paraId="129D7D95" w14:textId="77777777" w:rsidR="007145AD" w:rsidRPr="00AE324F" w:rsidRDefault="007145AD"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c>
          <w:tcPr>
            <w:tcW w:w="990" w:type="dxa"/>
            <w:shd w:val="clear" w:color="auto" w:fill="E2EFD9" w:themeFill="accent6" w:themeFillTint="33"/>
            <w:noWrap/>
            <w:vAlign w:val="bottom"/>
          </w:tcPr>
          <w:p w14:paraId="50AC7269" w14:textId="782AD09D" w:rsidR="007145AD" w:rsidRPr="00AE324F" w:rsidRDefault="007145AD"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c>
          <w:tcPr>
            <w:tcW w:w="990" w:type="dxa"/>
            <w:shd w:val="clear" w:color="auto" w:fill="E2EFD9" w:themeFill="accent6" w:themeFillTint="33"/>
            <w:noWrap/>
            <w:vAlign w:val="bottom"/>
          </w:tcPr>
          <w:p w14:paraId="687BB5A1" w14:textId="2D8005AA" w:rsidR="007145AD" w:rsidRPr="00AE324F" w:rsidRDefault="007145AD"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r>
    </w:tbl>
    <w:p w14:paraId="34F3E1B6" w14:textId="0B26E01B" w:rsidR="00B96E5F" w:rsidRDefault="00B96E5F" w:rsidP="006E7DCB">
      <w:pPr>
        <w:spacing w:after="0" w:line="240" w:lineRule="auto"/>
        <w:jc w:val="both"/>
        <w:rPr>
          <w:rFonts w:ascii="Arial" w:eastAsia="Times New Roman" w:hAnsi="Arial" w:cs="Arial"/>
          <w:color w:val="000000" w:themeColor="text1"/>
          <w:kern w:val="2"/>
          <w:sz w:val="20"/>
          <w:szCs w:val="20"/>
          <w:u w:val="single"/>
        </w:rPr>
      </w:pPr>
    </w:p>
    <w:tbl>
      <w:tblPr>
        <w:tblStyle w:val="TableGrid"/>
        <w:tblW w:w="5216" w:type="dxa"/>
        <w:jc w:val="center"/>
        <w:tblLook w:val="04A0" w:firstRow="1" w:lastRow="0" w:firstColumn="1" w:lastColumn="0" w:noHBand="0" w:noVBand="1"/>
      </w:tblPr>
      <w:tblGrid>
        <w:gridCol w:w="2156"/>
        <w:gridCol w:w="1080"/>
        <w:gridCol w:w="990"/>
        <w:gridCol w:w="990"/>
      </w:tblGrid>
      <w:tr w:rsidR="00B96E5F" w:rsidRPr="00AE324F" w14:paraId="6144C194" w14:textId="77777777" w:rsidTr="001856C5">
        <w:trPr>
          <w:cantSplit/>
          <w:trHeight w:val="280"/>
          <w:tblHeader/>
          <w:jc w:val="center"/>
        </w:trPr>
        <w:tc>
          <w:tcPr>
            <w:tcW w:w="2156" w:type="dxa"/>
            <w:shd w:val="clear" w:color="auto" w:fill="DEEAF6" w:themeFill="accent5" w:themeFillTint="33"/>
            <w:noWrap/>
            <w:vAlign w:val="bottom"/>
          </w:tcPr>
          <w:p w14:paraId="122282DD" w14:textId="77777777" w:rsidR="00B96E5F" w:rsidRPr="00AE324F" w:rsidRDefault="00B96E5F" w:rsidP="001D5FE3">
            <w:pPr>
              <w:jc w:val="center"/>
              <w:rPr>
                <w:rFonts w:asciiTheme="majorHAnsi" w:eastAsia="Verdana" w:hAnsiTheme="majorHAnsi" w:cstheme="majorHAnsi"/>
                <w:sz w:val="18"/>
                <w:szCs w:val="18"/>
              </w:rPr>
            </w:pPr>
            <w:bookmarkStart w:id="2" w:name="_Hlk123212122"/>
            <w:r w:rsidRPr="00AE324F">
              <w:rPr>
                <w:rFonts w:asciiTheme="majorHAnsi" w:hAnsiTheme="majorHAnsi" w:cstheme="majorHAnsi"/>
                <w:b/>
                <w:bCs/>
                <w:color w:val="000000"/>
                <w:sz w:val="18"/>
                <w:szCs w:val="18"/>
              </w:rPr>
              <w:t>Payer</w:t>
            </w:r>
          </w:p>
        </w:tc>
        <w:tc>
          <w:tcPr>
            <w:tcW w:w="1080" w:type="dxa"/>
            <w:shd w:val="clear" w:color="auto" w:fill="DEEAF6" w:themeFill="accent5" w:themeFillTint="33"/>
            <w:noWrap/>
            <w:vAlign w:val="bottom"/>
          </w:tcPr>
          <w:p w14:paraId="51031EA4" w14:textId="77777777" w:rsidR="00B96E5F" w:rsidRPr="00AE324F" w:rsidRDefault="00B96E5F"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FY19</w:t>
            </w:r>
          </w:p>
        </w:tc>
        <w:tc>
          <w:tcPr>
            <w:tcW w:w="990" w:type="dxa"/>
            <w:shd w:val="clear" w:color="auto" w:fill="DEEAF6" w:themeFill="accent5" w:themeFillTint="33"/>
            <w:noWrap/>
            <w:vAlign w:val="bottom"/>
          </w:tcPr>
          <w:p w14:paraId="7FBB68EB" w14:textId="77777777" w:rsidR="00B96E5F" w:rsidRPr="00AE324F" w:rsidRDefault="00B96E5F"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FY20</w:t>
            </w:r>
          </w:p>
        </w:tc>
        <w:tc>
          <w:tcPr>
            <w:tcW w:w="990" w:type="dxa"/>
            <w:shd w:val="clear" w:color="auto" w:fill="DEEAF6" w:themeFill="accent5" w:themeFillTint="33"/>
            <w:noWrap/>
            <w:vAlign w:val="bottom"/>
          </w:tcPr>
          <w:p w14:paraId="53B4FC6D" w14:textId="77777777" w:rsidR="00B96E5F" w:rsidRPr="00AE324F" w:rsidRDefault="00B96E5F" w:rsidP="001D5FE3">
            <w:pPr>
              <w:pStyle w:val="Heading9"/>
              <w:outlineLvl w:val="8"/>
            </w:pPr>
            <w:r w:rsidRPr="00AE324F">
              <w:t>FY21</w:t>
            </w:r>
          </w:p>
        </w:tc>
      </w:tr>
      <w:tr w:rsidR="00B96E5F" w:rsidRPr="00AE324F" w14:paraId="6A852A05" w14:textId="77777777" w:rsidTr="001856C5">
        <w:trPr>
          <w:cantSplit/>
          <w:trHeight w:val="280"/>
          <w:jc w:val="center"/>
        </w:trPr>
        <w:tc>
          <w:tcPr>
            <w:tcW w:w="2156" w:type="dxa"/>
            <w:shd w:val="clear" w:color="auto" w:fill="auto"/>
            <w:noWrap/>
            <w:vAlign w:val="bottom"/>
          </w:tcPr>
          <w:p w14:paraId="25C33EC2" w14:textId="5CF92FFA" w:rsidR="00B96E5F" w:rsidRPr="00AE324F" w:rsidRDefault="003533B0" w:rsidP="001D5FE3">
            <w:pPr>
              <w:rPr>
                <w:rFonts w:asciiTheme="majorHAnsi" w:eastAsia="Verdana" w:hAnsiTheme="majorHAnsi" w:cstheme="majorHAnsi"/>
                <w:sz w:val="18"/>
                <w:szCs w:val="18"/>
              </w:rPr>
            </w:pPr>
            <w:r>
              <w:rPr>
                <w:rFonts w:asciiTheme="majorHAnsi" w:hAnsiTheme="majorHAnsi" w:cstheme="majorHAnsi"/>
                <w:color w:val="000000"/>
                <w:sz w:val="18"/>
                <w:szCs w:val="18"/>
              </w:rPr>
              <w:t>APM/ACO Contracts</w:t>
            </w:r>
          </w:p>
        </w:tc>
        <w:tc>
          <w:tcPr>
            <w:tcW w:w="1080" w:type="dxa"/>
            <w:shd w:val="clear" w:color="auto" w:fill="auto"/>
            <w:noWrap/>
            <w:vAlign w:val="center"/>
          </w:tcPr>
          <w:p w14:paraId="4E4B52D8" w14:textId="690C6E6E" w:rsidR="00B96E5F" w:rsidRPr="003533B0" w:rsidRDefault="003533B0" w:rsidP="001D5FE3">
            <w:pPr>
              <w:jc w:val="center"/>
              <w:rPr>
                <w:rFonts w:asciiTheme="majorHAnsi" w:hAnsiTheme="majorHAnsi" w:cstheme="majorHAnsi"/>
                <w:color w:val="000000"/>
                <w:sz w:val="18"/>
                <w:szCs w:val="18"/>
              </w:rPr>
            </w:pPr>
            <w:r w:rsidRPr="003533B0">
              <w:rPr>
                <w:rFonts w:asciiTheme="majorHAnsi" w:hAnsiTheme="majorHAnsi" w:cstheme="majorHAnsi"/>
                <w:color w:val="000000"/>
                <w:sz w:val="18"/>
                <w:szCs w:val="18"/>
              </w:rPr>
              <w:t>22.96%</w:t>
            </w:r>
          </w:p>
        </w:tc>
        <w:tc>
          <w:tcPr>
            <w:tcW w:w="990" w:type="dxa"/>
            <w:shd w:val="clear" w:color="auto" w:fill="auto"/>
            <w:noWrap/>
            <w:vAlign w:val="center"/>
          </w:tcPr>
          <w:p w14:paraId="3AB6156A" w14:textId="463F0F17" w:rsidR="00B96E5F" w:rsidRPr="003533B0" w:rsidRDefault="003533B0" w:rsidP="001D5FE3">
            <w:pPr>
              <w:jc w:val="center"/>
              <w:rPr>
                <w:rFonts w:asciiTheme="majorHAnsi" w:eastAsia="Verdana" w:hAnsiTheme="majorHAnsi" w:cstheme="majorHAnsi"/>
                <w:sz w:val="18"/>
                <w:szCs w:val="18"/>
              </w:rPr>
            </w:pPr>
            <w:r w:rsidRPr="003533B0">
              <w:rPr>
                <w:rFonts w:asciiTheme="majorHAnsi" w:eastAsia="Verdana" w:hAnsiTheme="majorHAnsi" w:cstheme="majorHAnsi"/>
                <w:sz w:val="18"/>
                <w:szCs w:val="18"/>
              </w:rPr>
              <w:t>22.32%</w:t>
            </w:r>
          </w:p>
        </w:tc>
        <w:tc>
          <w:tcPr>
            <w:tcW w:w="990" w:type="dxa"/>
            <w:shd w:val="clear" w:color="auto" w:fill="auto"/>
            <w:noWrap/>
            <w:vAlign w:val="center"/>
          </w:tcPr>
          <w:p w14:paraId="76606164" w14:textId="5A1E1C01" w:rsidR="00B96E5F" w:rsidRPr="003533B0" w:rsidRDefault="003533B0" w:rsidP="001D5FE3">
            <w:pPr>
              <w:jc w:val="center"/>
              <w:rPr>
                <w:rFonts w:asciiTheme="majorHAnsi" w:eastAsia="Verdana" w:hAnsiTheme="majorHAnsi" w:cstheme="majorHAnsi"/>
                <w:sz w:val="18"/>
                <w:szCs w:val="18"/>
              </w:rPr>
            </w:pPr>
            <w:r w:rsidRPr="003533B0">
              <w:rPr>
                <w:rFonts w:asciiTheme="majorHAnsi" w:eastAsia="Verdana" w:hAnsiTheme="majorHAnsi" w:cstheme="majorHAnsi"/>
                <w:sz w:val="18"/>
                <w:szCs w:val="18"/>
              </w:rPr>
              <w:t>21.80%</w:t>
            </w:r>
          </w:p>
        </w:tc>
      </w:tr>
      <w:tr w:rsidR="00B96E5F" w:rsidRPr="00AE324F" w14:paraId="68B1FE47" w14:textId="77777777" w:rsidTr="001856C5">
        <w:trPr>
          <w:cantSplit/>
          <w:trHeight w:val="280"/>
          <w:jc w:val="center"/>
        </w:trPr>
        <w:tc>
          <w:tcPr>
            <w:tcW w:w="2156" w:type="dxa"/>
            <w:shd w:val="clear" w:color="auto" w:fill="auto"/>
            <w:noWrap/>
            <w:vAlign w:val="bottom"/>
          </w:tcPr>
          <w:p w14:paraId="11A9E2DA" w14:textId="7F5E5AA1" w:rsidR="00B96E5F" w:rsidRPr="00AE324F" w:rsidRDefault="003533B0" w:rsidP="001D5FE3">
            <w:pPr>
              <w:rPr>
                <w:rFonts w:asciiTheme="majorHAnsi" w:eastAsia="Verdana" w:hAnsiTheme="majorHAnsi" w:cstheme="majorHAnsi"/>
                <w:sz w:val="18"/>
                <w:szCs w:val="18"/>
              </w:rPr>
            </w:pPr>
            <w:r>
              <w:rPr>
                <w:rFonts w:asciiTheme="majorHAnsi" w:hAnsiTheme="majorHAnsi" w:cstheme="majorHAnsi"/>
                <w:color w:val="000000"/>
                <w:sz w:val="18"/>
                <w:szCs w:val="18"/>
              </w:rPr>
              <w:t>Non-APM/Non-ACO Contracts</w:t>
            </w:r>
          </w:p>
        </w:tc>
        <w:tc>
          <w:tcPr>
            <w:tcW w:w="1080" w:type="dxa"/>
            <w:shd w:val="clear" w:color="auto" w:fill="auto"/>
            <w:noWrap/>
            <w:vAlign w:val="center"/>
          </w:tcPr>
          <w:p w14:paraId="3D70814A" w14:textId="1CF572C4" w:rsidR="00B96E5F" w:rsidRPr="003533B0" w:rsidRDefault="003533B0" w:rsidP="001D5FE3">
            <w:pPr>
              <w:jc w:val="center"/>
              <w:rPr>
                <w:rFonts w:asciiTheme="majorHAnsi" w:eastAsia="Verdana" w:hAnsiTheme="majorHAnsi" w:cstheme="majorHAnsi"/>
                <w:sz w:val="18"/>
                <w:szCs w:val="18"/>
              </w:rPr>
            </w:pPr>
            <w:r w:rsidRPr="003533B0">
              <w:rPr>
                <w:rFonts w:asciiTheme="majorHAnsi" w:eastAsia="Verdana" w:hAnsiTheme="majorHAnsi" w:cstheme="majorHAnsi"/>
                <w:sz w:val="18"/>
                <w:szCs w:val="18"/>
              </w:rPr>
              <w:t>77.04%</w:t>
            </w:r>
          </w:p>
        </w:tc>
        <w:tc>
          <w:tcPr>
            <w:tcW w:w="990" w:type="dxa"/>
            <w:shd w:val="clear" w:color="auto" w:fill="auto"/>
            <w:noWrap/>
            <w:vAlign w:val="center"/>
          </w:tcPr>
          <w:p w14:paraId="201CC149" w14:textId="58DB9768" w:rsidR="00B96E5F" w:rsidRPr="003533B0" w:rsidRDefault="003533B0" w:rsidP="001D5FE3">
            <w:pPr>
              <w:jc w:val="center"/>
              <w:rPr>
                <w:rFonts w:asciiTheme="majorHAnsi" w:eastAsia="Verdana" w:hAnsiTheme="majorHAnsi" w:cstheme="majorHAnsi"/>
                <w:sz w:val="18"/>
                <w:szCs w:val="18"/>
              </w:rPr>
            </w:pPr>
            <w:r w:rsidRPr="003533B0">
              <w:rPr>
                <w:rFonts w:asciiTheme="majorHAnsi" w:eastAsia="Verdana" w:hAnsiTheme="majorHAnsi" w:cstheme="majorHAnsi"/>
                <w:sz w:val="18"/>
                <w:szCs w:val="18"/>
              </w:rPr>
              <w:t>77.</w:t>
            </w:r>
            <w:r w:rsidR="0092699B">
              <w:rPr>
                <w:rFonts w:asciiTheme="majorHAnsi" w:eastAsia="Verdana" w:hAnsiTheme="majorHAnsi" w:cstheme="majorHAnsi"/>
                <w:sz w:val="18"/>
                <w:szCs w:val="18"/>
              </w:rPr>
              <w:t>68</w:t>
            </w:r>
            <w:r w:rsidRPr="003533B0">
              <w:rPr>
                <w:rFonts w:asciiTheme="majorHAnsi" w:eastAsia="Verdana" w:hAnsiTheme="majorHAnsi" w:cstheme="majorHAnsi"/>
                <w:sz w:val="18"/>
                <w:szCs w:val="18"/>
              </w:rPr>
              <w:t>%</w:t>
            </w:r>
          </w:p>
        </w:tc>
        <w:tc>
          <w:tcPr>
            <w:tcW w:w="990" w:type="dxa"/>
            <w:shd w:val="clear" w:color="auto" w:fill="auto"/>
            <w:noWrap/>
            <w:vAlign w:val="center"/>
          </w:tcPr>
          <w:p w14:paraId="0A2FD95A" w14:textId="2BBC4FC2" w:rsidR="00B96E5F" w:rsidRPr="003533B0" w:rsidRDefault="0092699B" w:rsidP="001D5FE3">
            <w:pPr>
              <w:jc w:val="center"/>
              <w:rPr>
                <w:rFonts w:asciiTheme="majorHAnsi" w:eastAsia="Verdana" w:hAnsiTheme="majorHAnsi" w:cstheme="majorHAnsi"/>
                <w:sz w:val="18"/>
                <w:szCs w:val="18"/>
              </w:rPr>
            </w:pPr>
            <w:r>
              <w:rPr>
                <w:rFonts w:asciiTheme="majorHAnsi" w:eastAsia="Verdana" w:hAnsiTheme="majorHAnsi" w:cstheme="majorHAnsi"/>
                <w:sz w:val="18"/>
                <w:szCs w:val="18"/>
              </w:rPr>
              <w:t>78.20</w:t>
            </w:r>
            <w:r w:rsidR="003533B0" w:rsidRPr="003533B0">
              <w:rPr>
                <w:rFonts w:asciiTheme="majorHAnsi" w:eastAsia="Verdana" w:hAnsiTheme="majorHAnsi" w:cstheme="majorHAnsi"/>
                <w:sz w:val="18"/>
                <w:szCs w:val="18"/>
              </w:rPr>
              <w:t>%</w:t>
            </w:r>
          </w:p>
        </w:tc>
      </w:tr>
      <w:tr w:rsidR="00B96E5F" w:rsidRPr="00AE324F" w14:paraId="03DB66CA" w14:textId="77777777" w:rsidTr="001856C5">
        <w:trPr>
          <w:cantSplit/>
          <w:trHeight w:val="280"/>
          <w:jc w:val="center"/>
        </w:trPr>
        <w:tc>
          <w:tcPr>
            <w:tcW w:w="2156" w:type="dxa"/>
            <w:shd w:val="clear" w:color="auto" w:fill="E2EFD9" w:themeFill="accent6" w:themeFillTint="33"/>
            <w:noWrap/>
            <w:vAlign w:val="bottom"/>
          </w:tcPr>
          <w:p w14:paraId="78A33F47" w14:textId="77777777" w:rsidR="00B96E5F" w:rsidRPr="00AE324F" w:rsidRDefault="00B96E5F" w:rsidP="001D5FE3">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Total</w:t>
            </w:r>
          </w:p>
        </w:tc>
        <w:tc>
          <w:tcPr>
            <w:tcW w:w="1080" w:type="dxa"/>
            <w:shd w:val="clear" w:color="auto" w:fill="E2EFD9" w:themeFill="accent6" w:themeFillTint="33"/>
            <w:noWrap/>
            <w:vAlign w:val="bottom"/>
          </w:tcPr>
          <w:p w14:paraId="29BF8712" w14:textId="77777777" w:rsidR="00B96E5F" w:rsidRPr="00AE324F" w:rsidRDefault="00B96E5F"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c>
          <w:tcPr>
            <w:tcW w:w="990" w:type="dxa"/>
            <w:shd w:val="clear" w:color="auto" w:fill="E2EFD9" w:themeFill="accent6" w:themeFillTint="33"/>
            <w:noWrap/>
            <w:vAlign w:val="bottom"/>
          </w:tcPr>
          <w:p w14:paraId="33AD962E" w14:textId="77777777" w:rsidR="00B96E5F" w:rsidRPr="00AE324F" w:rsidRDefault="00B96E5F"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c>
          <w:tcPr>
            <w:tcW w:w="990" w:type="dxa"/>
            <w:shd w:val="clear" w:color="auto" w:fill="E2EFD9" w:themeFill="accent6" w:themeFillTint="33"/>
            <w:noWrap/>
            <w:vAlign w:val="bottom"/>
          </w:tcPr>
          <w:p w14:paraId="256737FB" w14:textId="77777777" w:rsidR="00B96E5F" w:rsidRPr="00AE324F" w:rsidRDefault="00B96E5F"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r>
      <w:bookmarkEnd w:id="2"/>
    </w:tbl>
    <w:p w14:paraId="6D702F3E" w14:textId="03D149A6" w:rsidR="00B96E5F" w:rsidRDefault="00B96E5F" w:rsidP="006E7DCB">
      <w:pPr>
        <w:spacing w:after="0" w:line="240" w:lineRule="auto"/>
        <w:jc w:val="both"/>
        <w:rPr>
          <w:rFonts w:ascii="Arial" w:eastAsia="Times New Roman" w:hAnsi="Arial" w:cs="Arial"/>
          <w:color w:val="000000" w:themeColor="text1"/>
          <w:kern w:val="2"/>
          <w:sz w:val="20"/>
          <w:szCs w:val="20"/>
          <w:u w:val="single"/>
        </w:rPr>
      </w:pPr>
    </w:p>
    <w:p w14:paraId="0F031CFB" w14:textId="057B7B17" w:rsidR="00B96E5F" w:rsidRDefault="00B96E5F" w:rsidP="006E7DCB">
      <w:pPr>
        <w:spacing w:after="0" w:line="240" w:lineRule="auto"/>
        <w:jc w:val="both"/>
        <w:rPr>
          <w:rFonts w:ascii="Arial" w:eastAsia="Times New Roman" w:hAnsi="Arial" w:cs="Arial"/>
          <w:color w:val="000000" w:themeColor="text1"/>
          <w:kern w:val="2"/>
          <w:sz w:val="20"/>
          <w:szCs w:val="20"/>
          <w:u w:val="single"/>
        </w:rPr>
      </w:pPr>
    </w:p>
    <w:p w14:paraId="6D2DD3C8" w14:textId="77777777" w:rsidR="00B96E5F" w:rsidRDefault="00B96E5F" w:rsidP="006E7DCB">
      <w:pPr>
        <w:spacing w:after="0" w:line="240" w:lineRule="auto"/>
        <w:jc w:val="both"/>
        <w:rPr>
          <w:rFonts w:ascii="Arial" w:eastAsia="Times New Roman" w:hAnsi="Arial" w:cs="Arial"/>
          <w:color w:val="000000" w:themeColor="text1"/>
          <w:kern w:val="2"/>
          <w:sz w:val="20"/>
          <w:szCs w:val="20"/>
          <w:u w:val="single"/>
        </w:rPr>
      </w:pPr>
    </w:p>
    <w:p w14:paraId="498F7221" w14:textId="4A5A2324" w:rsidR="006E7DCB" w:rsidRPr="005E79DE" w:rsidRDefault="006E7DCB" w:rsidP="006E7DCB">
      <w:pPr>
        <w:spacing w:after="0"/>
        <w:jc w:val="both"/>
        <w:rPr>
          <w:rFonts w:ascii="Arial" w:eastAsia="Verdana" w:hAnsi="Arial" w:cs="Arial"/>
          <w:sz w:val="20"/>
        </w:rPr>
      </w:pPr>
      <w:r w:rsidRPr="005E79DE">
        <w:rPr>
          <w:rFonts w:ascii="Arial" w:eastAsia="Verdana" w:hAnsi="Arial" w:cs="Arial"/>
          <w:b/>
          <w:bCs/>
          <w:sz w:val="20"/>
        </w:rPr>
        <w:t xml:space="preserve">Age: </w:t>
      </w:r>
      <w:r w:rsidRPr="005E79DE">
        <w:rPr>
          <w:rFonts w:ascii="Arial" w:eastAsia="Verdana" w:hAnsi="Arial" w:cs="Arial"/>
          <w:sz w:val="20"/>
        </w:rPr>
        <w:t>The age breakdown of</w:t>
      </w:r>
      <w:r w:rsidRPr="005E79DE">
        <w:rPr>
          <w:rFonts w:ascii="Arial" w:eastAsia="Verdana" w:hAnsi="Arial" w:cs="Arial"/>
          <w:b/>
          <w:bCs/>
          <w:sz w:val="20"/>
        </w:rPr>
        <w:t xml:space="preserve"> </w:t>
      </w:r>
      <w:r w:rsidR="005E79DE" w:rsidRPr="005E79DE">
        <w:rPr>
          <w:rFonts w:ascii="Arial" w:eastAsia="Verdana" w:hAnsi="Arial" w:cs="Arial"/>
          <w:sz w:val="20"/>
        </w:rPr>
        <w:t>Steward’s</w:t>
      </w:r>
      <w:r w:rsidRPr="005E79DE">
        <w:rPr>
          <w:rFonts w:ascii="Arial" w:eastAsia="Verdana" w:hAnsi="Arial" w:cs="Arial"/>
          <w:sz w:val="20"/>
        </w:rPr>
        <w:t xml:space="preserve"> Patient Panel remained relatively consistent between </w:t>
      </w:r>
      <w:r w:rsidR="00213732">
        <w:rPr>
          <w:rFonts w:ascii="Arial" w:eastAsia="Verdana" w:hAnsi="Arial" w:cs="Arial"/>
          <w:sz w:val="20"/>
        </w:rPr>
        <w:t>FY</w:t>
      </w:r>
      <w:r w:rsidRPr="005E79DE">
        <w:rPr>
          <w:rFonts w:ascii="Arial" w:eastAsia="Verdana" w:hAnsi="Arial" w:cs="Arial"/>
          <w:sz w:val="20"/>
        </w:rPr>
        <w:t>19</w:t>
      </w:r>
      <w:r w:rsidR="00A324C9">
        <w:rPr>
          <w:rFonts w:ascii="Arial" w:eastAsia="Verdana" w:hAnsi="Arial" w:cs="Arial"/>
          <w:sz w:val="20"/>
        </w:rPr>
        <w:t xml:space="preserve"> </w:t>
      </w:r>
      <w:r w:rsidR="005E79DE" w:rsidRPr="005E79DE">
        <w:rPr>
          <w:rFonts w:ascii="Arial" w:eastAsia="Verdana" w:hAnsi="Arial" w:cs="Arial"/>
          <w:sz w:val="20"/>
        </w:rPr>
        <w:t>(Q4)</w:t>
      </w:r>
      <w:r w:rsidRPr="005E79DE">
        <w:rPr>
          <w:rFonts w:ascii="Arial" w:eastAsia="Verdana" w:hAnsi="Arial" w:cs="Arial"/>
          <w:sz w:val="20"/>
        </w:rPr>
        <w:t xml:space="preserve"> and </w:t>
      </w:r>
      <w:r w:rsidR="00213732">
        <w:rPr>
          <w:rFonts w:ascii="Arial" w:eastAsia="Verdana" w:hAnsi="Arial" w:cs="Arial"/>
          <w:sz w:val="20"/>
        </w:rPr>
        <w:t>FY</w:t>
      </w:r>
      <w:r w:rsidRPr="005E79DE">
        <w:rPr>
          <w:rFonts w:ascii="Arial" w:eastAsia="Verdana" w:hAnsi="Arial" w:cs="Arial"/>
          <w:sz w:val="20"/>
        </w:rPr>
        <w:t>2</w:t>
      </w:r>
      <w:r w:rsidR="005E79DE" w:rsidRPr="005E79DE">
        <w:rPr>
          <w:rFonts w:ascii="Arial" w:eastAsia="Verdana" w:hAnsi="Arial" w:cs="Arial"/>
          <w:sz w:val="20"/>
        </w:rPr>
        <w:t>2</w:t>
      </w:r>
      <w:r w:rsidR="00A324C9">
        <w:rPr>
          <w:rFonts w:ascii="Arial" w:eastAsia="Verdana" w:hAnsi="Arial" w:cs="Arial"/>
          <w:sz w:val="20"/>
        </w:rPr>
        <w:t xml:space="preserve"> </w:t>
      </w:r>
      <w:r w:rsidR="005E79DE" w:rsidRPr="005E79DE">
        <w:rPr>
          <w:rFonts w:ascii="Arial" w:eastAsia="Verdana" w:hAnsi="Arial" w:cs="Arial"/>
          <w:sz w:val="20"/>
        </w:rPr>
        <w:t>(Q1-Q3)</w:t>
      </w:r>
      <w:r w:rsidRPr="005E79DE">
        <w:rPr>
          <w:rFonts w:ascii="Arial" w:eastAsia="Verdana" w:hAnsi="Arial" w:cs="Arial"/>
          <w:sz w:val="20"/>
        </w:rPr>
        <w:t xml:space="preserve">, with </w:t>
      </w:r>
      <w:r w:rsidR="005E79DE" w:rsidRPr="005E79DE">
        <w:rPr>
          <w:rFonts w:ascii="Arial" w:eastAsia="Verdana" w:hAnsi="Arial" w:cs="Arial"/>
          <w:sz w:val="20"/>
        </w:rPr>
        <w:t xml:space="preserve">the largest percentage of patients in the 46-64 age cohort, </w:t>
      </w:r>
      <w:r w:rsidR="00F450F9">
        <w:rPr>
          <w:rFonts w:ascii="Arial" w:eastAsia="Verdana" w:hAnsi="Arial" w:cs="Arial"/>
          <w:sz w:val="20"/>
        </w:rPr>
        <w:t>followed by</w:t>
      </w:r>
      <w:r w:rsidR="005E79DE" w:rsidRPr="005E79DE">
        <w:rPr>
          <w:rFonts w:ascii="Arial" w:eastAsia="Verdana" w:hAnsi="Arial" w:cs="Arial"/>
          <w:sz w:val="20"/>
        </w:rPr>
        <w:t xml:space="preserve"> 19-45 and 65+</w:t>
      </w:r>
      <w:r w:rsidR="00F450F9">
        <w:rPr>
          <w:rFonts w:ascii="Arial" w:eastAsia="Verdana" w:hAnsi="Arial" w:cs="Arial"/>
          <w:sz w:val="20"/>
        </w:rPr>
        <w:t xml:space="preserve"> age cohorts,</w:t>
      </w:r>
      <w:r w:rsidR="005E79DE" w:rsidRPr="005E79DE">
        <w:rPr>
          <w:rFonts w:ascii="Arial" w:eastAsia="Verdana" w:hAnsi="Arial" w:cs="Arial"/>
          <w:sz w:val="20"/>
        </w:rPr>
        <w:t xml:space="preserve"> accordingly. </w:t>
      </w:r>
    </w:p>
    <w:p w14:paraId="1F1A4989" w14:textId="77777777" w:rsidR="006E7DCB" w:rsidRPr="00F450F9" w:rsidRDefault="006E7DCB" w:rsidP="006E7DCB">
      <w:pPr>
        <w:spacing w:after="0"/>
        <w:jc w:val="both"/>
        <w:rPr>
          <w:rFonts w:ascii="Arial" w:eastAsia="Verdana" w:hAnsi="Arial" w:cs="Arial"/>
          <w:b/>
          <w:bCs/>
          <w:sz w:val="20"/>
        </w:rPr>
      </w:pPr>
    </w:p>
    <w:p w14:paraId="4E83D5AD" w14:textId="7F70BBE0" w:rsidR="006E7DCB" w:rsidRPr="00F450F9" w:rsidRDefault="006E7DCB" w:rsidP="006E7DCB">
      <w:pPr>
        <w:spacing w:after="0"/>
        <w:jc w:val="both"/>
        <w:rPr>
          <w:rFonts w:ascii="Arial" w:eastAsia="Verdana" w:hAnsi="Arial" w:cs="Arial"/>
          <w:sz w:val="20"/>
        </w:rPr>
      </w:pPr>
      <w:r w:rsidRPr="00F450F9">
        <w:rPr>
          <w:rFonts w:ascii="Arial" w:eastAsia="Verdana" w:hAnsi="Arial" w:cs="Arial"/>
          <w:b/>
          <w:bCs/>
          <w:sz w:val="20"/>
        </w:rPr>
        <w:t xml:space="preserve">Gender: </w:t>
      </w:r>
      <w:r w:rsidR="00A324C9" w:rsidRPr="00F450F9">
        <w:rPr>
          <w:rFonts w:ascii="Arial" w:eastAsia="Verdana" w:hAnsi="Arial" w:cs="Arial"/>
          <w:sz w:val="20"/>
        </w:rPr>
        <w:t>Steward’s</w:t>
      </w:r>
      <w:r w:rsidRPr="00F450F9">
        <w:rPr>
          <w:rFonts w:ascii="Arial" w:eastAsia="Verdana" w:hAnsi="Arial" w:cs="Arial"/>
          <w:sz w:val="20"/>
        </w:rPr>
        <w:t xml:space="preserve"> Patient Panel is approximately </w:t>
      </w:r>
      <w:r w:rsidR="00A324C9" w:rsidRPr="00F450F9">
        <w:rPr>
          <w:rFonts w:ascii="Arial" w:eastAsia="Verdana" w:hAnsi="Arial" w:cs="Arial"/>
          <w:sz w:val="20"/>
        </w:rPr>
        <w:t>57</w:t>
      </w:r>
      <w:r w:rsidRPr="00F450F9">
        <w:rPr>
          <w:rFonts w:ascii="Arial" w:eastAsia="Verdana" w:hAnsi="Arial" w:cs="Arial"/>
          <w:sz w:val="20"/>
        </w:rPr>
        <w:t xml:space="preserve">% </w:t>
      </w:r>
      <w:r w:rsidR="00F450F9" w:rsidRPr="00F450F9">
        <w:rPr>
          <w:rFonts w:ascii="Arial" w:eastAsia="Verdana" w:hAnsi="Arial" w:cs="Arial"/>
          <w:sz w:val="20"/>
        </w:rPr>
        <w:t>female</w:t>
      </w:r>
      <w:r w:rsidRPr="00F450F9">
        <w:rPr>
          <w:rFonts w:ascii="Arial" w:eastAsia="Verdana" w:hAnsi="Arial" w:cs="Arial"/>
          <w:sz w:val="20"/>
        </w:rPr>
        <w:t xml:space="preserve">, </w:t>
      </w:r>
      <w:r w:rsidR="00F450F9" w:rsidRPr="00F450F9">
        <w:rPr>
          <w:rFonts w:ascii="Arial" w:eastAsia="Verdana" w:hAnsi="Arial" w:cs="Arial"/>
          <w:sz w:val="20"/>
        </w:rPr>
        <w:t>43</w:t>
      </w:r>
      <w:r w:rsidRPr="00F450F9">
        <w:rPr>
          <w:rFonts w:ascii="Arial" w:eastAsia="Verdana" w:hAnsi="Arial" w:cs="Arial"/>
          <w:sz w:val="20"/>
        </w:rPr>
        <w:t xml:space="preserve">% male, and 1% unknown. These percentages are largely unchanged between </w:t>
      </w:r>
      <w:r w:rsidR="00213732">
        <w:rPr>
          <w:rFonts w:ascii="Arial" w:eastAsia="Verdana" w:hAnsi="Arial" w:cs="Arial"/>
          <w:sz w:val="20"/>
        </w:rPr>
        <w:t>FY</w:t>
      </w:r>
      <w:r w:rsidR="00213732" w:rsidRPr="005E79DE">
        <w:rPr>
          <w:rFonts w:ascii="Arial" w:eastAsia="Verdana" w:hAnsi="Arial" w:cs="Arial"/>
          <w:sz w:val="20"/>
        </w:rPr>
        <w:t>19</w:t>
      </w:r>
      <w:r w:rsidR="00213732">
        <w:rPr>
          <w:rFonts w:ascii="Arial" w:eastAsia="Verdana" w:hAnsi="Arial" w:cs="Arial"/>
          <w:sz w:val="20"/>
        </w:rPr>
        <w:t xml:space="preserve"> </w:t>
      </w:r>
      <w:r w:rsidR="00213732" w:rsidRPr="005E79DE">
        <w:rPr>
          <w:rFonts w:ascii="Arial" w:eastAsia="Verdana" w:hAnsi="Arial" w:cs="Arial"/>
          <w:sz w:val="20"/>
        </w:rPr>
        <w:t xml:space="preserve">(Q4) and </w:t>
      </w:r>
      <w:r w:rsidR="00213732">
        <w:rPr>
          <w:rFonts w:ascii="Arial" w:eastAsia="Verdana" w:hAnsi="Arial" w:cs="Arial"/>
          <w:sz w:val="20"/>
        </w:rPr>
        <w:t>FY</w:t>
      </w:r>
      <w:r w:rsidR="00213732" w:rsidRPr="005E79DE">
        <w:rPr>
          <w:rFonts w:ascii="Arial" w:eastAsia="Verdana" w:hAnsi="Arial" w:cs="Arial"/>
          <w:sz w:val="20"/>
        </w:rPr>
        <w:t>22</w:t>
      </w:r>
      <w:r w:rsidR="00213732">
        <w:rPr>
          <w:rFonts w:ascii="Arial" w:eastAsia="Verdana" w:hAnsi="Arial" w:cs="Arial"/>
          <w:sz w:val="20"/>
        </w:rPr>
        <w:t xml:space="preserve"> </w:t>
      </w:r>
      <w:r w:rsidR="00213732" w:rsidRPr="005E79DE">
        <w:rPr>
          <w:rFonts w:ascii="Arial" w:eastAsia="Verdana" w:hAnsi="Arial" w:cs="Arial"/>
          <w:sz w:val="20"/>
        </w:rPr>
        <w:t>(Q1-Q3)</w:t>
      </w:r>
      <w:r w:rsidR="00213732">
        <w:rPr>
          <w:rFonts w:ascii="Arial" w:eastAsia="Verdana" w:hAnsi="Arial" w:cs="Arial"/>
          <w:sz w:val="20"/>
        </w:rPr>
        <w:t>.</w:t>
      </w:r>
    </w:p>
    <w:p w14:paraId="32A91D93" w14:textId="77777777" w:rsidR="006E7DCB" w:rsidRPr="006E7DCB" w:rsidRDefault="006E7DCB" w:rsidP="006E7DCB">
      <w:pPr>
        <w:spacing w:after="0"/>
        <w:jc w:val="both"/>
        <w:rPr>
          <w:rFonts w:ascii="Arial" w:eastAsia="Verdana" w:hAnsi="Arial" w:cs="Arial"/>
          <w:sz w:val="20"/>
          <w:highlight w:val="yellow"/>
        </w:rPr>
      </w:pPr>
    </w:p>
    <w:p w14:paraId="1CE04E12" w14:textId="4774679A" w:rsidR="006E7DCB" w:rsidRPr="00AC58DA" w:rsidRDefault="006E7DCB" w:rsidP="006E7DCB">
      <w:pPr>
        <w:spacing w:after="0"/>
        <w:jc w:val="both"/>
        <w:rPr>
          <w:rFonts w:ascii="Arial" w:eastAsia="Verdana" w:hAnsi="Arial" w:cs="Arial"/>
          <w:sz w:val="20"/>
        </w:rPr>
      </w:pPr>
      <w:r w:rsidRPr="00AC58DA">
        <w:rPr>
          <w:rFonts w:ascii="Arial" w:eastAsia="Verdana" w:hAnsi="Arial" w:cs="Arial"/>
          <w:b/>
          <w:bCs/>
          <w:sz w:val="20"/>
        </w:rPr>
        <w:t xml:space="preserve">Race and Ethnicity: </w:t>
      </w:r>
      <w:r w:rsidRPr="00AC58DA">
        <w:rPr>
          <w:rFonts w:ascii="Arial" w:eastAsia="Verdana" w:hAnsi="Arial" w:cs="Arial"/>
          <w:sz w:val="20"/>
        </w:rPr>
        <w:t xml:space="preserve">Data reported between </w:t>
      </w:r>
      <w:r w:rsidR="00213732" w:rsidRPr="00AC58DA">
        <w:rPr>
          <w:rFonts w:ascii="Arial" w:eastAsia="Verdana" w:hAnsi="Arial" w:cs="Arial"/>
          <w:sz w:val="20"/>
        </w:rPr>
        <w:t xml:space="preserve">FY19 (Q4) and FY22 (Q1-Q3) </w:t>
      </w:r>
      <w:r w:rsidRPr="00AC58DA">
        <w:rPr>
          <w:rFonts w:ascii="Arial" w:eastAsia="Verdana" w:hAnsi="Arial" w:cs="Arial"/>
          <w:sz w:val="20"/>
        </w:rPr>
        <w:t xml:space="preserve">indicate </w:t>
      </w:r>
      <w:r w:rsidR="007145AD">
        <w:rPr>
          <w:rFonts w:ascii="Arial" w:eastAsia="Verdana" w:hAnsi="Arial" w:cs="Arial"/>
          <w:sz w:val="20"/>
        </w:rPr>
        <w:t xml:space="preserve">that </w:t>
      </w:r>
      <w:proofErr w:type="gramStart"/>
      <w:r w:rsidRPr="00AC58DA">
        <w:rPr>
          <w:rFonts w:ascii="Arial" w:eastAsia="Verdana" w:hAnsi="Arial" w:cs="Arial"/>
          <w:sz w:val="20"/>
        </w:rPr>
        <w:t>the majority of</w:t>
      </w:r>
      <w:proofErr w:type="gramEnd"/>
      <w:r w:rsidRPr="00AC58DA">
        <w:rPr>
          <w:rFonts w:ascii="Arial" w:eastAsia="Verdana" w:hAnsi="Arial" w:cs="Arial"/>
          <w:sz w:val="20"/>
        </w:rPr>
        <w:t xml:space="preserve"> </w:t>
      </w:r>
      <w:r w:rsidR="00213732" w:rsidRPr="00AC58DA">
        <w:rPr>
          <w:rFonts w:ascii="Arial" w:eastAsia="Verdana" w:hAnsi="Arial" w:cs="Arial"/>
          <w:sz w:val="20"/>
        </w:rPr>
        <w:t xml:space="preserve">Steward’s </w:t>
      </w:r>
      <w:r w:rsidRPr="00AC58DA">
        <w:rPr>
          <w:rFonts w:ascii="Arial" w:eastAsia="Verdana" w:hAnsi="Arial" w:cs="Arial"/>
          <w:sz w:val="20"/>
        </w:rPr>
        <w:t>patients self-identified as White (6</w:t>
      </w:r>
      <w:r w:rsidR="00443C3F" w:rsidRPr="00AC58DA">
        <w:rPr>
          <w:rFonts w:ascii="Arial" w:eastAsia="Verdana" w:hAnsi="Arial" w:cs="Arial"/>
          <w:sz w:val="20"/>
        </w:rPr>
        <w:t>6</w:t>
      </w:r>
      <w:r w:rsidRPr="00AC58DA">
        <w:rPr>
          <w:rFonts w:ascii="Arial" w:eastAsia="Verdana" w:hAnsi="Arial" w:cs="Arial"/>
          <w:sz w:val="20"/>
        </w:rPr>
        <w:t>%). Patients also self-identified as Hispanic (</w:t>
      </w:r>
      <w:r w:rsidR="00AC58DA">
        <w:rPr>
          <w:rFonts w:ascii="Arial" w:eastAsia="Verdana" w:hAnsi="Arial" w:cs="Arial"/>
          <w:sz w:val="20"/>
        </w:rPr>
        <w:t>12</w:t>
      </w:r>
      <w:r w:rsidRPr="00AC58DA">
        <w:rPr>
          <w:rFonts w:ascii="Arial" w:eastAsia="Verdana" w:hAnsi="Arial" w:cs="Arial"/>
          <w:sz w:val="20"/>
        </w:rPr>
        <w:t>%), African American (</w:t>
      </w:r>
      <w:r w:rsidR="00AC58DA">
        <w:rPr>
          <w:rFonts w:ascii="Arial" w:eastAsia="Verdana" w:hAnsi="Arial" w:cs="Arial"/>
          <w:sz w:val="20"/>
        </w:rPr>
        <w:t>11</w:t>
      </w:r>
      <w:r w:rsidRPr="00AC58DA">
        <w:rPr>
          <w:rFonts w:ascii="Arial" w:eastAsia="Verdana" w:hAnsi="Arial" w:cs="Arial"/>
          <w:sz w:val="20"/>
        </w:rPr>
        <w:t xml:space="preserve">%), </w:t>
      </w:r>
      <w:r w:rsidR="00443C3F" w:rsidRPr="00AC58DA">
        <w:rPr>
          <w:rFonts w:ascii="Arial" w:eastAsia="Verdana" w:hAnsi="Arial" w:cs="Arial"/>
          <w:sz w:val="20"/>
        </w:rPr>
        <w:t>Other</w:t>
      </w:r>
      <w:r w:rsidRPr="00AC58DA">
        <w:rPr>
          <w:rFonts w:ascii="Arial" w:eastAsia="Verdana" w:hAnsi="Arial" w:cs="Arial"/>
          <w:sz w:val="20"/>
        </w:rPr>
        <w:t xml:space="preserve"> (</w:t>
      </w:r>
      <w:r w:rsidR="00AC58DA">
        <w:rPr>
          <w:rFonts w:ascii="Arial" w:eastAsia="Verdana" w:hAnsi="Arial" w:cs="Arial"/>
          <w:sz w:val="20"/>
        </w:rPr>
        <w:t>6</w:t>
      </w:r>
      <w:r w:rsidRPr="00AC58DA">
        <w:rPr>
          <w:rFonts w:ascii="Arial" w:eastAsia="Verdana" w:hAnsi="Arial" w:cs="Arial"/>
          <w:sz w:val="20"/>
        </w:rPr>
        <w:t>%)</w:t>
      </w:r>
      <w:r w:rsidR="00443C3F" w:rsidRPr="00AC58DA">
        <w:rPr>
          <w:rFonts w:ascii="Arial" w:eastAsia="Verdana" w:hAnsi="Arial" w:cs="Arial"/>
          <w:sz w:val="20"/>
        </w:rPr>
        <w:t>,</w:t>
      </w:r>
      <w:r w:rsidRPr="00AC58DA">
        <w:rPr>
          <w:rFonts w:ascii="Arial" w:eastAsia="Verdana" w:hAnsi="Arial" w:cs="Arial"/>
          <w:sz w:val="20"/>
        </w:rPr>
        <w:t xml:space="preserve"> Asian (</w:t>
      </w:r>
      <w:r w:rsidR="00AC58DA">
        <w:rPr>
          <w:rFonts w:ascii="Arial" w:eastAsia="Verdana" w:hAnsi="Arial" w:cs="Arial"/>
          <w:sz w:val="20"/>
        </w:rPr>
        <w:t>3</w:t>
      </w:r>
      <w:r w:rsidRPr="00AC58DA">
        <w:rPr>
          <w:rFonts w:ascii="Arial" w:eastAsia="Verdana" w:hAnsi="Arial" w:cs="Arial"/>
          <w:sz w:val="20"/>
        </w:rPr>
        <w:t>%)</w:t>
      </w:r>
      <w:r w:rsidR="00443C3F" w:rsidRPr="00AC58DA">
        <w:rPr>
          <w:rFonts w:ascii="Arial" w:eastAsia="Verdana" w:hAnsi="Arial" w:cs="Arial"/>
          <w:sz w:val="20"/>
        </w:rPr>
        <w:t xml:space="preserve"> and Declined (</w:t>
      </w:r>
      <w:r w:rsidR="00AC58DA">
        <w:rPr>
          <w:rFonts w:ascii="Arial" w:eastAsia="Verdana" w:hAnsi="Arial" w:cs="Arial"/>
          <w:sz w:val="20"/>
        </w:rPr>
        <w:t>1</w:t>
      </w:r>
      <w:r w:rsidR="00443C3F" w:rsidRPr="00AC58DA">
        <w:rPr>
          <w:rFonts w:ascii="Arial" w:eastAsia="Verdana" w:hAnsi="Arial" w:cs="Arial"/>
          <w:sz w:val="20"/>
        </w:rPr>
        <w:t>%)</w:t>
      </w:r>
      <w:r w:rsidRPr="00AC58DA">
        <w:rPr>
          <w:rFonts w:ascii="Arial" w:eastAsia="Verdana" w:hAnsi="Arial" w:cs="Arial"/>
          <w:sz w:val="20"/>
        </w:rPr>
        <w:t xml:space="preserve">. Less than 1% self-identified as American Indian or Alaska Native, Native Hawaiian or Other Pacific Islander, or </w:t>
      </w:r>
      <w:r w:rsidR="002B64E7">
        <w:rPr>
          <w:rFonts w:ascii="Arial" w:eastAsia="Verdana" w:hAnsi="Arial" w:cs="Arial"/>
          <w:sz w:val="20"/>
        </w:rPr>
        <w:t>“</w:t>
      </w:r>
      <w:r w:rsidR="00443C3F" w:rsidRPr="00AC58DA">
        <w:rPr>
          <w:rFonts w:ascii="Arial" w:eastAsia="Verdana" w:hAnsi="Arial" w:cs="Arial"/>
          <w:sz w:val="20"/>
        </w:rPr>
        <w:t>unable to obtain</w:t>
      </w:r>
      <w:r w:rsidR="002B64E7">
        <w:rPr>
          <w:rFonts w:ascii="Arial" w:eastAsia="Verdana" w:hAnsi="Arial" w:cs="Arial"/>
          <w:sz w:val="20"/>
        </w:rPr>
        <w:t>”</w:t>
      </w:r>
      <w:r w:rsidRPr="00AC58DA">
        <w:rPr>
          <w:rFonts w:ascii="Arial" w:eastAsia="Verdana" w:hAnsi="Arial" w:cs="Arial"/>
          <w:sz w:val="20"/>
        </w:rPr>
        <w:t xml:space="preserve">. These percentages were largely unchanged between </w:t>
      </w:r>
      <w:r w:rsidR="00443C3F" w:rsidRPr="00AC58DA">
        <w:rPr>
          <w:rFonts w:ascii="Arial" w:eastAsia="Verdana" w:hAnsi="Arial" w:cs="Arial"/>
          <w:sz w:val="20"/>
        </w:rPr>
        <w:t>FY19 (Q4) and FY22 (Q1-Q3).</w:t>
      </w:r>
    </w:p>
    <w:p w14:paraId="641FCED2" w14:textId="77777777" w:rsidR="006E7DCB" w:rsidRPr="006E7DCB" w:rsidRDefault="006E7DCB" w:rsidP="006E7DCB">
      <w:pPr>
        <w:spacing w:after="0"/>
        <w:jc w:val="both"/>
        <w:rPr>
          <w:rFonts w:ascii="Arial" w:eastAsia="Verdana" w:hAnsi="Arial" w:cs="Arial"/>
          <w:sz w:val="20"/>
          <w:highlight w:val="yellow"/>
        </w:rPr>
      </w:pPr>
    </w:p>
    <w:p w14:paraId="334E36AA" w14:textId="3352AA75" w:rsidR="006E7DCB" w:rsidRPr="006261AF" w:rsidRDefault="006E7DCB" w:rsidP="006E7DCB">
      <w:pPr>
        <w:spacing w:after="0"/>
        <w:jc w:val="both"/>
        <w:rPr>
          <w:rFonts w:ascii="Arial" w:eastAsia="Verdana" w:hAnsi="Arial" w:cs="Arial"/>
          <w:sz w:val="20"/>
        </w:rPr>
      </w:pPr>
      <w:r w:rsidRPr="007347C1">
        <w:rPr>
          <w:rFonts w:ascii="Arial" w:eastAsia="Verdana" w:hAnsi="Arial" w:cs="Arial"/>
          <w:b/>
          <w:bCs/>
          <w:sz w:val="20"/>
        </w:rPr>
        <w:t>Payer Mix</w:t>
      </w:r>
      <w:r w:rsidRPr="007347C1">
        <w:rPr>
          <w:rFonts w:ascii="Arial" w:eastAsia="Verdana" w:hAnsi="Arial" w:cs="Arial"/>
          <w:sz w:val="20"/>
        </w:rPr>
        <w:t>: Between FY19</w:t>
      </w:r>
      <w:r w:rsidR="00AC58DA" w:rsidRPr="007347C1">
        <w:rPr>
          <w:rFonts w:ascii="Arial" w:eastAsia="Verdana" w:hAnsi="Arial" w:cs="Arial"/>
          <w:sz w:val="20"/>
        </w:rPr>
        <w:t xml:space="preserve"> and </w:t>
      </w:r>
      <w:r w:rsidRPr="007347C1">
        <w:rPr>
          <w:rFonts w:ascii="Arial" w:eastAsia="Verdana" w:hAnsi="Arial" w:cs="Arial"/>
          <w:sz w:val="20"/>
        </w:rPr>
        <w:t>FY21, on average</w:t>
      </w:r>
      <w:r w:rsidR="002B64E7">
        <w:rPr>
          <w:rFonts w:ascii="Arial" w:eastAsia="Verdana" w:hAnsi="Arial" w:cs="Arial"/>
          <w:sz w:val="20"/>
        </w:rPr>
        <w:t>,</w:t>
      </w:r>
      <w:r w:rsidRPr="007347C1">
        <w:rPr>
          <w:rFonts w:ascii="Arial" w:eastAsia="Verdana" w:hAnsi="Arial" w:cs="Arial"/>
          <w:sz w:val="20"/>
        </w:rPr>
        <w:t xml:space="preserve"> </w:t>
      </w:r>
      <w:r w:rsidR="00AC58DA" w:rsidRPr="007347C1">
        <w:rPr>
          <w:rFonts w:ascii="Arial" w:eastAsia="Verdana" w:hAnsi="Arial" w:cs="Arial"/>
          <w:sz w:val="20"/>
        </w:rPr>
        <w:t>35</w:t>
      </w:r>
      <w:r w:rsidRPr="007347C1">
        <w:rPr>
          <w:rFonts w:ascii="Arial" w:eastAsia="Verdana" w:hAnsi="Arial" w:cs="Arial"/>
          <w:sz w:val="20"/>
        </w:rPr>
        <w:t xml:space="preserve">% of all </w:t>
      </w:r>
      <w:r w:rsidR="00AC58DA" w:rsidRPr="007347C1">
        <w:rPr>
          <w:rFonts w:ascii="Arial" w:eastAsia="Verdana" w:hAnsi="Arial" w:cs="Arial"/>
          <w:sz w:val="20"/>
        </w:rPr>
        <w:t>Steward</w:t>
      </w:r>
      <w:r w:rsidRPr="007347C1">
        <w:rPr>
          <w:rFonts w:ascii="Arial" w:eastAsia="Verdana" w:hAnsi="Arial" w:cs="Arial"/>
          <w:sz w:val="20"/>
        </w:rPr>
        <w:t xml:space="preserve"> patients were covered by Medicare Fee for Service (“FFS”); followed by approximately </w:t>
      </w:r>
      <w:r w:rsidR="00AC58DA" w:rsidRPr="007347C1">
        <w:rPr>
          <w:rFonts w:ascii="Arial" w:eastAsia="Verdana" w:hAnsi="Arial" w:cs="Arial"/>
          <w:sz w:val="20"/>
        </w:rPr>
        <w:t>26</w:t>
      </w:r>
      <w:r w:rsidRPr="007347C1">
        <w:rPr>
          <w:rFonts w:ascii="Arial" w:eastAsia="Verdana" w:hAnsi="Arial" w:cs="Arial"/>
          <w:sz w:val="20"/>
        </w:rPr>
        <w:t>% of patients who had commercial insurance</w:t>
      </w:r>
      <w:r w:rsidR="007347C1">
        <w:rPr>
          <w:rFonts w:ascii="Arial" w:eastAsia="Verdana" w:hAnsi="Arial" w:cs="Arial"/>
          <w:sz w:val="20"/>
        </w:rPr>
        <w:t xml:space="preserve"> and approximately 13% of patients who had MassHealth and Commercial Medicare. </w:t>
      </w:r>
      <w:r w:rsidRPr="007347C1">
        <w:rPr>
          <w:rFonts w:ascii="Arial" w:eastAsia="Verdana" w:hAnsi="Arial" w:cs="Arial"/>
          <w:sz w:val="20"/>
        </w:rPr>
        <w:t xml:space="preserve">From FY19 to FY21, there was a slight </w:t>
      </w:r>
      <w:r w:rsidR="007347C1" w:rsidRPr="007347C1">
        <w:rPr>
          <w:rFonts w:ascii="Arial" w:eastAsia="Verdana" w:hAnsi="Arial" w:cs="Arial"/>
          <w:sz w:val="20"/>
        </w:rPr>
        <w:t>increase</w:t>
      </w:r>
      <w:r w:rsidRPr="007347C1">
        <w:rPr>
          <w:rFonts w:ascii="Arial" w:eastAsia="Verdana" w:hAnsi="Arial" w:cs="Arial"/>
          <w:sz w:val="20"/>
        </w:rPr>
        <w:t xml:space="preserve"> of 3.</w:t>
      </w:r>
      <w:r w:rsidR="007347C1" w:rsidRPr="007347C1">
        <w:rPr>
          <w:rFonts w:ascii="Arial" w:eastAsia="Verdana" w:hAnsi="Arial" w:cs="Arial"/>
          <w:sz w:val="20"/>
        </w:rPr>
        <w:t>24</w:t>
      </w:r>
      <w:r w:rsidRPr="007347C1">
        <w:rPr>
          <w:rFonts w:ascii="Arial" w:eastAsia="Verdana" w:hAnsi="Arial" w:cs="Arial"/>
          <w:sz w:val="20"/>
        </w:rPr>
        <w:t xml:space="preserve">% in patients who were covered by </w:t>
      </w:r>
      <w:r w:rsidR="007347C1" w:rsidRPr="007347C1">
        <w:rPr>
          <w:rFonts w:ascii="Arial" w:eastAsia="Verdana" w:hAnsi="Arial" w:cs="Arial"/>
          <w:sz w:val="20"/>
        </w:rPr>
        <w:t xml:space="preserve">Commercial </w:t>
      </w:r>
      <w:r w:rsidRPr="007347C1">
        <w:rPr>
          <w:rFonts w:ascii="Arial" w:eastAsia="Verdana" w:hAnsi="Arial" w:cs="Arial"/>
          <w:sz w:val="20"/>
        </w:rPr>
        <w:t xml:space="preserve">Medicare, and a slight </w:t>
      </w:r>
      <w:r w:rsidR="007347C1" w:rsidRPr="007347C1">
        <w:rPr>
          <w:rFonts w:ascii="Arial" w:eastAsia="Verdana" w:hAnsi="Arial" w:cs="Arial"/>
          <w:sz w:val="20"/>
        </w:rPr>
        <w:t>decrease</w:t>
      </w:r>
      <w:r w:rsidRPr="007347C1">
        <w:rPr>
          <w:rFonts w:ascii="Arial" w:eastAsia="Verdana" w:hAnsi="Arial" w:cs="Arial"/>
          <w:sz w:val="20"/>
        </w:rPr>
        <w:t xml:space="preserve"> of approximately </w:t>
      </w:r>
      <w:r w:rsidR="007347C1" w:rsidRPr="007347C1">
        <w:rPr>
          <w:rFonts w:ascii="Arial" w:eastAsia="Verdana" w:hAnsi="Arial" w:cs="Arial"/>
          <w:sz w:val="20"/>
        </w:rPr>
        <w:t>4.18</w:t>
      </w:r>
      <w:r w:rsidRPr="007347C1">
        <w:rPr>
          <w:rFonts w:ascii="Arial" w:eastAsia="Verdana" w:hAnsi="Arial" w:cs="Arial"/>
          <w:sz w:val="20"/>
        </w:rPr>
        <w:t>% in patients who had Medicare</w:t>
      </w:r>
      <w:r w:rsidR="007347C1" w:rsidRPr="007347C1">
        <w:rPr>
          <w:rFonts w:ascii="Arial" w:eastAsia="Verdana" w:hAnsi="Arial" w:cs="Arial"/>
          <w:sz w:val="20"/>
        </w:rPr>
        <w:t xml:space="preserve"> FFS</w:t>
      </w:r>
      <w:r w:rsidRPr="007347C1">
        <w:rPr>
          <w:rFonts w:ascii="Arial" w:eastAsia="Verdana" w:hAnsi="Arial" w:cs="Arial"/>
          <w:sz w:val="20"/>
        </w:rPr>
        <w:t>.</w:t>
      </w:r>
      <w:r>
        <w:rPr>
          <w:rFonts w:ascii="Arial" w:eastAsia="Verdana" w:hAnsi="Arial" w:cs="Arial"/>
          <w:sz w:val="20"/>
        </w:rPr>
        <w:t xml:space="preserve">  </w:t>
      </w:r>
    </w:p>
    <w:p w14:paraId="306FBC16" w14:textId="77777777" w:rsidR="006E7DCB" w:rsidRPr="006E7DCB" w:rsidRDefault="006E7DCB" w:rsidP="007145AD">
      <w:pPr>
        <w:spacing w:after="0" w:line="240" w:lineRule="auto"/>
        <w:jc w:val="both"/>
        <w:rPr>
          <w:rFonts w:ascii="Arial" w:eastAsia="Times New Roman" w:hAnsi="Arial" w:cs="Arial"/>
          <w:color w:val="000000" w:themeColor="text1"/>
          <w:kern w:val="2"/>
          <w:sz w:val="20"/>
          <w:szCs w:val="20"/>
          <w:u w:val="single"/>
        </w:rPr>
      </w:pPr>
    </w:p>
    <w:p w14:paraId="2166EEA4" w14:textId="00D0F94F" w:rsidR="00A56746" w:rsidRPr="007145AD" w:rsidRDefault="0033434E" w:rsidP="00A56746">
      <w:pPr>
        <w:pStyle w:val="ListParagraph"/>
        <w:numPr>
          <w:ilvl w:val="0"/>
          <w:numId w:val="19"/>
        </w:numPr>
        <w:spacing w:after="0" w:line="240" w:lineRule="auto"/>
        <w:ind w:left="360"/>
        <w:jc w:val="both"/>
        <w:rPr>
          <w:rFonts w:ascii="Arial" w:hAnsi="Arial"/>
          <w:color w:val="000000" w:themeColor="text1"/>
          <w:kern w:val="2"/>
          <w:sz w:val="20"/>
          <w:u w:val="single"/>
        </w:rPr>
      </w:pPr>
      <w:r w:rsidRPr="007145AD">
        <w:rPr>
          <w:rFonts w:ascii="Arial" w:hAnsi="Arial"/>
          <w:color w:val="000000" w:themeColor="text1"/>
          <w:kern w:val="2"/>
          <w:sz w:val="20"/>
          <w:u w:val="single"/>
        </w:rPr>
        <w:t xml:space="preserve">Good Samaritan </w:t>
      </w:r>
      <w:r w:rsidR="007C2614" w:rsidRPr="007145AD">
        <w:rPr>
          <w:rFonts w:ascii="Arial" w:hAnsi="Arial"/>
          <w:color w:val="000000" w:themeColor="text1"/>
          <w:kern w:val="2"/>
          <w:sz w:val="20"/>
          <w:u w:val="single"/>
        </w:rPr>
        <w:t>Medical Center</w:t>
      </w:r>
    </w:p>
    <w:p w14:paraId="7140D305" w14:textId="017BF22A" w:rsidR="00A56746" w:rsidRDefault="00A56746" w:rsidP="00A56746">
      <w:pPr>
        <w:spacing w:after="0" w:line="240" w:lineRule="auto"/>
        <w:jc w:val="both"/>
        <w:rPr>
          <w:rFonts w:ascii="Arial" w:eastAsia="Times New Roman" w:hAnsi="Arial" w:cs="Arial"/>
          <w:color w:val="000000" w:themeColor="text1"/>
          <w:kern w:val="2"/>
          <w:sz w:val="20"/>
          <w:szCs w:val="20"/>
          <w:u w:val="single"/>
        </w:rPr>
      </w:pPr>
    </w:p>
    <w:p w14:paraId="0B05E391" w14:textId="4D8D3650" w:rsidR="00A56746" w:rsidRPr="006E7DCB" w:rsidRDefault="006E7DCB" w:rsidP="00A56746">
      <w:pPr>
        <w:spacing w:after="0" w:line="240" w:lineRule="auto"/>
        <w:jc w:val="both"/>
        <w:rPr>
          <w:rFonts w:ascii="Arial" w:eastAsia="Times New Roman" w:hAnsi="Arial" w:cs="Arial"/>
          <w:color w:val="000000" w:themeColor="text1"/>
          <w:kern w:val="2"/>
          <w:sz w:val="20"/>
          <w:szCs w:val="20"/>
        </w:rPr>
      </w:pPr>
      <w:r>
        <w:rPr>
          <w:rFonts w:ascii="Arial" w:eastAsia="Times New Roman" w:hAnsi="Arial" w:cs="Arial"/>
          <w:color w:val="000000" w:themeColor="text1"/>
          <w:kern w:val="2"/>
          <w:sz w:val="20"/>
          <w:szCs w:val="20"/>
        </w:rPr>
        <w:t xml:space="preserve">There are an estimated </w:t>
      </w:r>
      <w:r w:rsidR="0025192B">
        <w:rPr>
          <w:rFonts w:ascii="Arial" w:eastAsia="Times New Roman" w:hAnsi="Arial" w:cs="Arial"/>
          <w:color w:val="000000" w:themeColor="text1"/>
          <w:kern w:val="2"/>
          <w:sz w:val="20"/>
          <w:szCs w:val="20"/>
        </w:rPr>
        <w:t>603,240</w:t>
      </w:r>
      <w:r w:rsidR="0025192B">
        <w:rPr>
          <w:rStyle w:val="FootnoteReference"/>
          <w:rFonts w:ascii="Arial" w:eastAsia="Times New Roman" w:hAnsi="Arial" w:cs="Arial"/>
          <w:color w:val="000000" w:themeColor="text1"/>
          <w:kern w:val="2"/>
          <w:sz w:val="20"/>
          <w:szCs w:val="20"/>
        </w:rPr>
        <w:footnoteReference w:id="9"/>
      </w:r>
      <w:r>
        <w:rPr>
          <w:rFonts w:ascii="Arial" w:eastAsia="Times New Roman" w:hAnsi="Arial" w:cs="Arial"/>
          <w:color w:val="000000" w:themeColor="text1"/>
          <w:kern w:val="2"/>
          <w:sz w:val="20"/>
          <w:szCs w:val="20"/>
        </w:rPr>
        <w:t xml:space="preserve"> people that reside in GSMC’s service area.</w:t>
      </w:r>
      <w:r w:rsidR="00142491">
        <w:rPr>
          <w:rFonts w:ascii="Arial" w:eastAsia="Times New Roman" w:hAnsi="Arial" w:cs="Arial"/>
          <w:color w:val="000000" w:themeColor="text1"/>
          <w:kern w:val="2"/>
          <w:sz w:val="20"/>
          <w:szCs w:val="20"/>
        </w:rPr>
        <w:t xml:space="preserve"> GSMC is an acute-car</w:t>
      </w:r>
      <w:r w:rsidR="00492BB6">
        <w:rPr>
          <w:rFonts w:ascii="Arial" w:eastAsia="Times New Roman" w:hAnsi="Arial" w:cs="Arial"/>
          <w:color w:val="000000" w:themeColor="text1"/>
          <w:kern w:val="2"/>
          <w:sz w:val="20"/>
          <w:szCs w:val="20"/>
        </w:rPr>
        <w:t xml:space="preserve">e </w:t>
      </w:r>
      <w:r w:rsidR="00142491">
        <w:rPr>
          <w:rFonts w:ascii="Arial" w:eastAsia="Times New Roman" w:hAnsi="Arial" w:cs="Arial"/>
          <w:color w:val="000000" w:themeColor="text1"/>
          <w:kern w:val="2"/>
          <w:sz w:val="20"/>
          <w:szCs w:val="20"/>
        </w:rPr>
        <w:t>hospital with 224</w:t>
      </w:r>
      <w:r w:rsidR="002B64E7">
        <w:rPr>
          <w:rFonts w:ascii="Arial" w:eastAsia="Times New Roman" w:hAnsi="Arial" w:cs="Arial"/>
          <w:color w:val="000000" w:themeColor="text1"/>
          <w:kern w:val="2"/>
          <w:sz w:val="20"/>
          <w:szCs w:val="20"/>
        </w:rPr>
        <w:t xml:space="preserve"> </w:t>
      </w:r>
      <w:r w:rsidR="00142491">
        <w:rPr>
          <w:rFonts w:ascii="Arial" w:eastAsia="Times New Roman" w:hAnsi="Arial" w:cs="Arial"/>
          <w:color w:val="000000" w:themeColor="text1"/>
          <w:kern w:val="2"/>
          <w:sz w:val="20"/>
          <w:szCs w:val="20"/>
        </w:rPr>
        <w:t>bed</w:t>
      </w:r>
      <w:r w:rsidR="002B64E7">
        <w:rPr>
          <w:rFonts w:ascii="Arial" w:eastAsia="Times New Roman" w:hAnsi="Arial" w:cs="Arial"/>
          <w:color w:val="000000" w:themeColor="text1"/>
          <w:kern w:val="2"/>
          <w:sz w:val="20"/>
          <w:szCs w:val="20"/>
        </w:rPr>
        <w:t>s</w:t>
      </w:r>
      <w:r w:rsidR="00142491">
        <w:rPr>
          <w:rFonts w:ascii="Arial" w:eastAsia="Times New Roman" w:hAnsi="Arial" w:cs="Arial"/>
          <w:color w:val="000000" w:themeColor="text1"/>
          <w:kern w:val="2"/>
          <w:sz w:val="20"/>
          <w:szCs w:val="20"/>
        </w:rPr>
        <w:t xml:space="preserve"> and provides comprehensive inpatient, outpatient, and Level III Trauma emergency services to Brockton and 22 neighboring communities. GSMC provides services that also include orthopedics, oncology, cardiology, specialized care in surgery, family-centered obstetrics with Level II special care nursery</w:t>
      </w:r>
      <w:r w:rsidR="008C781B">
        <w:rPr>
          <w:rFonts w:ascii="Arial" w:eastAsia="Times New Roman" w:hAnsi="Arial" w:cs="Arial"/>
          <w:color w:val="000000" w:themeColor="text1"/>
          <w:kern w:val="2"/>
          <w:sz w:val="20"/>
          <w:szCs w:val="20"/>
        </w:rPr>
        <w:t>,</w:t>
      </w:r>
      <w:r w:rsidR="00142491">
        <w:rPr>
          <w:rFonts w:ascii="Arial" w:eastAsia="Times New Roman" w:hAnsi="Arial" w:cs="Arial"/>
          <w:color w:val="000000" w:themeColor="text1"/>
          <w:kern w:val="2"/>
          <w:sz w:val="20"/>
          <w:szCs w:val="20"/>
        </w:rPr>
        <w:t xml:space="preserve"> and advanced diagnostic imaging. GSMC is the only Level III trauma center in Region V. GSMC’s primary service area </w:t>
      </w:r>
      <w:proofErr w:type="gramStart"/>
      <w:r w:rsidR="00142491">
        <w:rPr>
          <w:rFonts w:ascii="Arial" w:eastAsia="Times New Roman" w:hAnsi="Arial" w:cs="Arial"/>
          <w:color w:val="000000" w:themeColor="text1"/>
          <w:kern w:val="2"/>
          <w:sz w:val="20"/>
          <w:szCs w:val="20"/>
        </w:rPr>
        <w:t>includes:</w:t>
      </w:r>
      <w:proofErr w:type="gramEnd"/>
      <w:r w:rsidR="00142491">
        <w:rPr>
          <w:rFonts w:ascii="Arial" w:eastAsia="Times New Roman" w:hAnsi="Arial" w:cs="Arial"/>
          <w:color w:val="000000" w:themeColor="text1"/>
          <w:kern w:val="2"/>
          <w:sz w:val="20"/>
          <w:szCs w:val="20"/>
        </w:rPr>
        <w:t xml:space="preserve"> Brockton, Taunton, Stoughton, Norwood, Raynham, Randolph, </w:t>
      </w:r>
      <w:r w:rsidR="00142491">
        <w:rPr>
          <w:rFonts w:ascii="Arial" w:eastAsia="Times New Roman" w:hAnsi="Arial" w:cs="Arial"/>
          <w:color w:val="000000" w:themeColor="text1"/>
          <w:kern w:val="2"/>
          <w:sz w:val="20"/>
          <w:szCs w:val="20"/>
        </w:rPr>
        <w:lastRenderedPageBreak/>
        <w:t>Mansfield, Norton, Bridgewater, Canton, East Bridgewater, West Bridgewater, Whitman, Abington, Avon, Middleborough</w:t>
      </w:r>
      <w:r w:rsidR="00E82175">
        <w:rPr>
          <w:rFonts w:ascii="Arial" w:eastAsia="Times New Roman" w:hAnsi="Arial" w:cs="Arial"/>
          <w:color w:val="000000" w:themeColor="text1"/>
          <w:kern w:val="2"/>
          <w:sz w:val="20"/>
          <w:szCs w:val="20"/>
        </w:rPr>
        <w:t>, Attleboro and New Bedford.</w:t>
      </w:r>
      <w:r w:rsidR="0025192B">
        <w:rPr>
          <w:rFonts w:ascii="Arial" w:eastAsia="Times New Roman" w:hAnsi="Arial" w:cs="Arial"/>
          <w:color w:val="000000" w:themeColor="text1"/>
          <w:kern w:val="2"/>
          <w:sz w:val="20"/>
          <w:szCs w:val="20"/>
        </w:rPr>
        <w:t xml:space="preserve"> </w:t>
      </w:r>
      <w:r w:rsidR="0025192B">
        <w:rPr>
          <w:rFonts w:ascii="Arial" w:eastAsia="Verdana" w:hAnsi="Arial" w:cs="Arial"/>
          <w:sz w:val="20"/>
          <w:szCs w:val="20"/>
        </w:rPr>
        <w:t>The following table details the characteristics of GSMC’s Patient Panel.</w:t>
      </w:r>
    </w:p>
    <w:p w14:paraId="71949587" w14:textId="77777777" w:rsidR="00A56746" w:rsidRPr="00A56746" w:rsidRDefault="00A56746" w:rsidP="00A56746">
      <w:pPr>
        <w:spacing w:after="0" w:line="240" w:lineRule="auto"/>
        <w:jc w:val="both"/>
        <w:rPr>
          <w:rFonts w:ascii="Arial" w:eastAsia="Times New Roman" w:hAnsi="Arial" w:cs="Arial"/>
          <w:color w:val="000000" w:themeColor="text1"/>
          <w:kern w:val="2"/>
          <w:sz w:val="20"/>
          <w:szCs w:val="20"/>
          <w:u w:val="single"/>
        </w:rPr>
      </w:pPr>
    </w:p>
    <w:p w14:paraId="21D95607" w14:textId="47196FA2" w:rsidR="007C2614" w:rsidRPr="007C2614" w:rsidRDefault="00197384" w:rsidP="00A45041">
      <w:pPr>
        <w:pStyle w:val="Heading7"/>
      </w:pPr>
      <w:r>
        <w:t xml:space="preserve">     </w:t>
      </w:r>
      <w:r w:rsidR="007C2614" w:rsidRPr="007C2614">
        <w:t xml:space="preserve">TABLE </w:t>
      </w:r>
      <w:r w:rsidR="007C2614">
        <w:t>2</w:t>
      </w:r>
      <w:r w:rsidR="003E205D">
        <w:t xml:space="preserve">: </w:t>
      </w:r>
      <w:r w:rsidR="00F41859">
        <w:t>GSMC’s</w:t>
      </w:r>
      <w:r w:rsidR="003E205D">
        <w:t xml:space="preserve"> Overall Patient Panel</w:t>
      </w:r>
    </w:p>
    <w:tbl>
      <w:tblPr>
        <w:tblStyle w:val="TableGrid"/>
        <w:tblW w:w="10180" w:type="dxa"/>
        <w:jc w:val="center"/>
        <w:tblLook w:val="04A0" w:firstRow="1" w:lastRow="0" w:firstColumn="1" w:lastColumn="0" w:noHBand="0" w:noVBand="1"/>
      </w:tblPr>
      <w:tblGrid>
        <w:gridCol w:w="2065"/>
        <w:gridCol w:w="1086"/>
        <w:gridCol w:w="1387"/>
        <w:gridCol w:w="990"/>
        <w:gridCol w:w="1080"/>
        <w:gridCol w:w="990"/>
        <w:gridCol w:w="990"/>
        <w:gridCol w:w="717"/>
        <w:gridCol w:w="875"/>
      </w:tblGrid>
      <w:tr w:rsidR="00090CED" w:rsidRPr="00702EAF" w14:paraId="0B517E70" w14:textId="492E4126" w:rsidTr="003410C3">
        <w:trPr>
          <w:cantSplit/>
          <w:trHeight w:val="280"/>
          <w:tblHeader/>
          <w:jc w:val="center"/>
        </w:trPr>
        <w:tc>
          <w:tcPr>
            <w:tcW w:w="2065" w:type="dxa"/>
            <w:tcBorders>
              <w:bottom w:val="nil"/>
            </w:tcBorders>
            <w:noWrap/>
            <w:vAlign w:val="center"/>
          </w:tcPr>
          <w:p w14:paraId="78E5A384" w14:textId="77777777" w:rsidR="00090CED" w:rsidRPr="00CF4184" w:rsidRDefault="00090CED" w:rsidP="00090CED">
            <w:pPr>
              <w:jc w:val="center"/>
              <w:rPr>
                <w:rFonts w:ascii="Arial" w:eastAsia="Verdana" w:hAnsi="Arial" w:cs="Arial"/>
                <w:sz w:val="18"/>
                <w:szCs w:val="18"/>
              </w:rPr>
            </w:pPr>
            <w:bookmarkStart w:id="3" w:name="_Hlk94880512"/>
            <w:r w:rsidRPr="00CF4184">
              <w:rPr>
                <w:rFonts w:asciiTheme="majorHAnsi" w:eastAsia="Verdana" w:hAnsiTheme="majorHAnsi" w:cstheme="majorHAnsi"/>
                <w:sz w:val="18"/>
                <w:szCs w:val="18"/>
              </w:rPr>
              <w:t>Demographic Measure</w:t>
            </w:r>
          </w:p>
        </w:tc>
        <w:tc>
          <w:tcPr>
            <w:tcW w:w="1086" w:type="dxa"/>
            <w:shd w:val="clear" w:color="auto" w:fill="B4C6E7" w:themeFill="accent1" w:themeFillTint="66"/>
            <w:noWrap/>
          </w:tcPr>
          <w:p w14:paraId="5F783402" w14:textId="77777777" w:rsidR="00090CED" w:rsidRPr="00CF4184" w:rsidRDefault="00090CED" w:rsidP="00090CED">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(Q4)</w:t>
            </w:r>
          </w:p>
        </w:tc>
        <w:tc>
          <w:tcPr>
            <w:tcW w:w="1387" w:type="dxa"/>
            <w:shd w:val="clear" w:color="auto" w:fill="B4C6E7" w:themeFill="accent1" w:themeFillTint="66"/>
          </w:tcPr>
          <w:p w14:paraId="1CBEFE1C" w14:textId="78F77020" w:rsidR="00090CED" w:rsidRPr="00CF4184" w:rsidRDefault="00090CED" w:rsidP="00090CED">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(Q4)</w:t>
            </w:r>
          </w:p>
        </w:tc>
        <w:tc>
          <w:tcPr>
            <w:tcW w:w="990" w:type="dxa"/>
            <w:shd w:val="clear" w:color="auto" w:fill="B4C6E7" w:themeFill="accent1" w:themeFillTint="66"/>
            <w:noWrap/>
          </w:tcPr>
          <w:p w14:paraId="18A0F5C9" w14:textId="77777777" w:rsidR="00090CED" w:rsidRPr="00CF4184" w:rsidRDefault="00090CED" w:rsidP="00090CED">
            <w:pPr>
              <w:jc w:val="center"/>
              <w:rPr>
                <w:rFonts w:asciiTheme="majorHAnsi" w:eastAsia="Verdana" w:hAnsiTheme="majorHAnsi" w:cstheme="majorHAnsi"/>
                <w:b/>
                <w:bCs/>
                <w:sz w:val="18"/>
                <w:szCs w:val="18"/>
              </w:rPr>
            </w:pPr>
            <w:r w:rsidRPr="00CF4184">
              <w:rPr>
                <w:rFonts w:asciiTheme="majorHAnsi" w:eastAsia="Verdana" w:hAnsiTheme="majorHAnsi" w:cstheme="majorHAnsi"/>
                <w:b/>
                <w:bCs/>
                <w:sz w:val="18"/>
                <w:szCs w:val="18"/>
              </w:rPr>
              <w:t>FY2</w:t>
            </w:r>
            <w:r>
              <w:rPr>
                <w:rFonts w:asciiTheme="majorHAnsi" w:eastAsia="Verdana" w:hAnsiTheme="majorHAnsi" w:cstheme="majorHAnsi"/>
                <w:b/>
                <w:bCs/>
                <w:sz w:val="18"/>
                <w:szCs w:val="18"/>
              </w:rPr>
              <w:t>0</w:t>
            </w:r>
          </w:p>
        </w:tc>
        <w:tc>
          <w:tcPr>
            <w:tcW w:w="1080" w:type="dxa"/>
            <w:shd w:val="clear" w:color="auto" w:fill="B4C6E7" w:themeFill="accent1" w:themeFillTint="66"/>
          </w:tcPr>
          <w:p w14:paraId="66273516" w14:textId="0BD719A1" w:rsidR="00090CED" w:rsidRPr="00CF4184" w:rsidRDefault="00090CED" w:rsidP="00090CED">
            <w:pPr>
              <w:jc w:val="center"/>
              <w:rPr>
                <w:rFonts w:asciiTheme="majorHAnsi" w:eastAsia="Verdana" w:hAnsiTheme="majorHAnsi" w:cstheme="majorHAnsi"/>
                <w:b/>
                <w:bCs/>
                <w:sz w:val="18"/>
                <w:szCs w:val="18"/>
              </w:rPr>
            </w:pPr>
            <w:r w:rsidRPr="00CF4184">
              <w:rPr>
                <w:rFonts w:asciiTheme="majorHAnsi" w:eastAsia="Verdana" w:hAnsiTheme="majorHAnsi" w:cstheme="majorHAnsi"/>
                <w:b/>
                <w:bCs/>
                <w:sz w:val="18"/>
                <w:szCs w:val="18"/>
              </w:rPr>
              <w:t>FY2</w:t>
            </w:r>
            <w:r>
              <w:rPr>
                <w:rFonts w:asciiTheme="majorHAnsi" w:eastAsia="Verdana" w:hAnsiTheme="majorHAnsi" w:cstheme="majorHAnsi"/>
                <w:b/>
                <w:bCs/>
                <w:sz w:val="18"/>
                <w:szCs w:val="18"/>
              </w:rPr>
              <w:t>0</w:t>
            </w:r>
          </w:p>
        </w:tc>
        <w:tc>
          <w:tcPr>
            <w:tcW w:w="990" w:type="dxa"/>
            <w:shd w:val="clear" w:color="auto" w:fill="B4C6E7" w:themeFill="accent1" w:themeFillTint="66"/>
            <w:noWrap/>
          </w:tcPr>
          <w:p w14:paraId="29349DA4" w14:textId="77777777" w:rsidR="00090CED" w:rsidRPr="00CF4184" w:rsidRDefault="00090CED" w:rsidP="00090CED">
            <w:pPr>
              <w:jc w:val="center"/>
              <w:rPr>
                <w:rFonts w:asciiTheme="majorHAnsi" w:eastAsia="Verdana" w:hAnsiTheme="majorHAnsi" w:cstheme="majorHAnsi"/>
                <w:b/>
                <w:bCs/>
                <w:sz w:val="18"/>
                <w:szCs w:val="18"/>
              </w:rPr>
            </w:pPr>
            <w:r w:rsidRPr="00A733AA">
              <w:rPr>
                <w:rFonts w:asciiTheme="majorHAnsi" w:eastAsia="Verdana" w:hAnsiTheme="majorHAnsi" w:cstheme="majorHAnsi"/>
                <w:b/>
                <w:bCs/>
                <w:sz w:val="18"/>
                <w:szCs w:val="18"/>
              </w:rPr>
              <w:t>FY2</w:t>
            </w:r>
            <w:r>
              <w:rPr>
                <w:rFonts w:asciiTheme="majorHAnsi" w:eastAsia="Verdana" w:hAnsiTheme="majorHAnsi" w:cstheme="majorHAnsi"/>
                <w:b/>
                <w:bCs/>
                <w:sz w:val="18"/>
                <w:szCs w:val="18"/>
              </w:rPr>
              <w:t>1</w:t>
            </w:r>
          </w:p>
        </w:tc>
        <w:tc>
          <w:tcPr>
            <w:tcW w:w="990" w:type="dxa"/>
            <w:shd w:val="clear" w:color="auto" w:fill="B4C6E7" w:themeFill="accent1" w:themeFillTint="66"/>
          </w:tcPr>
          <w:p w14:paraId="092C80AF" w14:textId="4C482AA2" w:rsidR="00090CED" w:rsidRPr="00CF4184" w:rsidRDefault="00090CED" w:rsidP="00090CED">
            <w:pPr>
              <w:jc w:val="center"/>
              <w:rPr>
                <w:rFonts w:asciiTheme="majorHAnsi" w:eastAsia="Verdana" w:hAnsiTheme="majorHAnsi" w:cstheme="majorHAnsi"/>
                <w:b/>
                <w:bCs/>
                <w:sz w:val="18"/>
                <w:szCs w:val="18"/>
              </w:rPr>
            </w:pPr>
            <w:r w:rsidRPr="00A733AA">
              <w:rPr>
                <w:rFonts w:asciiTheme="majorHAnsi" w:eastAsia="Verdana" w:hAnsiTheme="majorHAnsi" w:cstheme="majorHAnsi"/>
                <w:b/>
                <w:bCs/>
                <w:sz w:val="18"/>
                <w:szCs w:val="18"/>
              </w:rPr>
              <w:t>FY2</w:t>
            </w:r>
            <w:r>
              <w:rPr>
                <w:rFonts w:asciiTheme="majorHAnsi" w:eastAsia="Verdana" w:hAnsiTheme="majorHAnsi" w:cstheme="majorHAnsi"/>
                <w:b/>
                <w:bCs/>
                <w:sz w:val="18"/>
                <w:szCs w:val="18"/>
              </w:rPr>
              <w:t>1</w:t>
            </w:r>
          </w:p>
        </w:tc>
        <w:tc>
          <w:tcPr>
            <w:tcW w:w="717" w:type="dxa"/>
            <w:shd w:val="clear" w:color="auto" w:fill="B4C6E7" w:themeFill="accent1" w:themeFillTint="66"/>
          </w:tcPr>
          <w:p w14:paraId="664D1F56" w14:textId="77777777" w:rsidR="00090CED" w:rsidRPr="00F57A4A" w:rsidRDefault="00090CED" w:rsidP="00090CED">
            <w:pPr>
              <w:jc w:val="center"/>
              <w:rPr>
                <w:rFonts w:asciiTheme="majorHAnsi" w:eastAsia="Verdana" w:hAnsiTheme="majorHAnsi" w:cstheme="majorHAnsi"/>
                <w:b/>
                <w:bCs/>
                <w:sz w:val="16"/>
                <w:szCs w:val="16"/>
              </w:rPr>
            </w:pPr>
            <w:r w:rsidRPr="00F57A4A">
              <w:rPr>
                <w:rFonts w:asciiTheme="majorHAnsi" w:eastAsia="Verdana" w:hAnsiTheme="majorHAnsi" w:cstheme="majorHAnsi"/>
                <w:b/>
                <w:bCs/>
                <w:sz w:val="16"/>
                <w:szCs w:val="16"/>
              </w:rPr>
              <w:t>FY22 (Q1, Q2, Q3)</w:t>
            </w:r>
          </w:p>
        </w:tc>
        <w:tc>
          <w:tcPr>
            <w:tcW w:w="875" w:type="dxa"/>
            <w:shd w:val="clear" w:color="auto" w:fill="B4C6E7" w:themeFill="accent1" w:themeFillTint="66"/>
          </w:tcPr>
          <w:p w14:paraId="0E8633BD" w14:textId="68B3706F" w:rsidR="00090CED" w:rsidRPr="00F57A4A" w:rsidRDefault="00090CED" w:rsidP="00090CED">
            <w:pPr>
              <w:jc w:val="center"/>
              <w:rPr>
                <w:rFonts w:asciiTheme="majorHAnsi" w:eastAsia="Verdana" w:hAnsiTheme="majorHAnsi" w:cstheme="majorHAnsi"/>
                <w:b/>
                <w:bCs/>
                <w:sz w:val="16"/>
                <w:szCs w:val="16"/>
              </w:rPr>
            </w:pPr>
            <w:r w:rsidRPr="00F57A4A">
              <w:rPr>
                <w:rFonts w:asciiTheme="majorHAnsi" w:eastAsia="Verdana" w:hAnsiTheme="majorHAnsi" w:cstheme="majorHAnsi"/>
                <w:b/>
                <w:bCs/>
                <w:sz w:val="16"/>
                <w:szCs w:val="16"/>
              </w:rPr>
              <w:t>FY22 (Q1, Q2, Q3)</w:t>
            </w:r>
          </w:p>
        </w:tc>
      </w:tr>
      <w:tr w:rsidR="00090CED" w:rsidRPr="00702EAF" w14:paraId="546B0B11" w14:textId="4D7B8079" w:rsidTr="003410C3">
        <w:trPr>
          <w:cantSplit/>
          <w:trHeight w:val="280"/>
          <w:tblHeader/>
          <w:jc w:val="center"/>
        </w:trPr>
        <w:tc>
          <w:tcPr>
            <w:tcW w:w="2065" w:type="dxa"/>
            <w:tcBorders>
              <w:top w:val="nil"/>
            </w:tcBorders>
            <w:noWrap/>
            <w:vAlign w:val="center"/>
          </w:tcPr>
          <w:p w14:paraId="506C3F64" w14:textId="77777777" w:rsidR="00090CED" w:rsidRPr="00CF4184" w:rsidRDefault="00090CED" w:rsidP="00090CED">
            <w:pPr>
              <w:jc w:val="center"/>
              <w:rPr>
                <w:rFonts w:asciiTheme="majorHAnsi" w:eastAsia="Verdana" w:hAnsiTheme="majorHAnsi" w:cstheme="majorHAnsi"/>
                <w:sz w:val="18"/>
                <w:szCs w:val="18"/>
              </w:rPr>
            </w:pPr>
          </w:p>
        </w:tc>
        <w:tc>
          <w:tcPr>
            <w:tcW w:w="1086" w:type="dxa"/>
            <w:noWrap/>
            <w:vAlign w:val="center"/>
          </w:tcPr>
          <w:p w14:paraId="63C8BBB6" w14:textId="77777777" w:rsidR="00090CED" w:rsidRPr="00CF4184" w:rsidRDefault="00090CED" w:rsidP="00090CED">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1387" w:type="dxa"/>
            <w:noWrap/>
            <w:vAlign w:val="center"/>
          </w:tcPr>
          <w:p w14:paraId="26D633E6" w14:textId="77777777" w:rsidR="00090CED" w:rsidRPr="00CF4184" w:rsidRDefault="00090CED" w:rsidP="00090CED">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c>
          <w:tcPr>
            <w:tcW w:w="990" w:type="dxa"/>
            <w:noWrap/>
            <w:vAlign w:val="center"/>
          </w:tcPr>
          <w:p w14:paraId="0291BEEC" w14:textId="77777777" w:rsidR="00090CED" w:rsidRPr="00CF4184" w:rsidRDefault="00090CED" w:rsidP="00090CED">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1080" w:type="dxa"/>
            <w:noWrap/>
            <w:vAlign w:val="center"/>
          </w:tcPr>
          <w:p w14:paraId="2C561856" w14:textId="77777777" w:rsidR="00090CED" w:rsidRPr="00CF4184" w:rsidRDefault="00090CED" w:rsidP="00090CED">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c>
          <w:tcPr>
            <w:tcW w:w="990" w:type="dxa"/>
            <w:noWrap/>
            <w:vAlign w:val="center"/>
          </w:tcPr>
          <w:p w14:paraId="7DF06259" w14:textId="77777777" w:rsidR="00090CED" w:rsidRPr="00CF4184" w:rsidRDefault="00090CED" w:rsidP="00090CED">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990" w:type="dxa"/>
            <w:noWrap/>
            <w:vAlign w:val="center"/>
          </w:tcPr>
          <w:p w14:paraId="09F9EFA4" w14:textId="77777777" w:rsidR="00090CED" w:rsidRPr="00CF4184" w:rsidRDefault="00090CED" w:rsidP="00090CED">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c>
          <w:tcPr>
            <w:tcW w:w="717" w:type="dxa"/>
          </w:tcPr>
          <w:p w14:paraId="4E01A936" w14:textId="08A2BD86" w:rsidR="00090CED" w:rsidRPr="00CF4184" w:rsidRDefault="00090CED" w:rsidP="00090CED">
            <w:pPr>
              <w:jc w:val="center"/>
              <w:rPr>
                <w:rFonts w:asciiTheme="majorHAnsi" w:eastAsia="Verdana" w:hAnsiTheme="majorHAnsi" w:cstheme="majorHAnsi"/>
                <w:sz w:val="18"/>
                <w:szCs w:val="18"/>
              </w:rPr>
            </w:pPr>
            <w:r>
              <w:rPr>
                <w:rFonts w:asciiTheme="majorHAnsi" w:eastAsia="Verdana" w:hAnsiTheme="majorHAnsi" w:cstheme="majorHAnsi"/>
                <w:sz w:val="18"/>
                <w:szCs w:val="18"/>
              </w:rPr>
              <w:t>Count</w:t>
            </w:r>
          </w:p>
        </w:tc>
        <w:tc>
          <w:tcPr>
            <w:tcW w:w="875" w:type="dxa"/>
          </w:tcPr>
          <w:p w14:paraId="15FC7F3F" w14:textId="78B42921" w:rsidR="00090CED" w:rsidRPr="00CF4184" w:rsidRDefault="00090CED" w:rsidP="00090CED">
            <w:pPr>
              <w:jc w:val="center"/>
              <w:rPr>
                <w:rFonts w:asciiTheme="majorHAnsi" w:eastAsia="Verdana" w:hAnsiTheme="majorHAnsi" w:cstheme="majorHAnsi"/>
                <w:sz w:val="18"/>
                <w:szCs w:val="18"/>
              </w:rPr>
            </w:pPr>
            <w:r>
              <w:rPr>
                <w:rFonts w:asciiTheme="majorHAnsi" w:eastAsia="Verdana" w:hAnsiTheme="majorHAnsi" w:cstheme="majorHAnsi"/>
                <w:sz w:val="18"/>
                <w:szCs w:val="18"/>
              </w:rPr>
              <w:t>Percent</w:t>
            </w:r>
          </w:p>
        </w:tc>
      </w:tr>
      <w:tr w:rsidR="00090CED" w:rsidRPr="00702EAF" w14:paraId="1BAC6FAA" w14:textId="12AA4CD6" w:rsidTr="00F57A4A">
        <w:trPr>
          <w:cantSplit/>
          <w:trHeight w:val="280"/>
          <w:jc w:val="center"/>
        </w:trPr>
        <w:tc>
          <w:tcPr>
            <w:tcW w:w="2065" w:type="dxa"/>
            <w:shd w:val="clear" w:color="auto" w:fill="DEEAF6" w:themeFill="accent5" w:themeFillTint="33"/>
            <w:noWrap/>
          </w:tcPr>
          <w:p w14:paraId="299476A0" w14:textId="77777777" w:rsidR="00090CED" w:rsidRPr="00702EAF" w:rsidRDefault="00090CED" w:rsidP="00090CED">
            <w:pPr>
              <w:jc w:val="center"/>
              <w:rPr>
                <w:rFonts w:asciiTheme="majorHAnsi" w:eastAsia="Verdana" w:hAnsiTheme="majorHAnsi" w:cstheme="majorHAnsi"/>
                <w:b/>
                <w:bCs/>
                <w:sz w:val="18"/>
                <w:szCs w:val="18"/>
                <w:highlight w:val="yellow"/>
              </w:rPr>
            </w:pPr>
            <w:r w:rsidRPr="00201745">
              <w:rPr>
                <w:rFonts w:asciiTheme="majorHAnsi" w:eastAsia="Verdana" w:hAnsiTheme="majorHAnsi" w:cstheme="majorHAnsi"/>
                <w:b/>
                <w:bCs/>
                <w:sz w:val="18"/>
                <w:szCs w:val="18"/>
              </w:rPr>
              <w:t>Age</w:t>
            </w:r>
          </w:p>
        </w:tc>
        <w:tc>
          <w:tcPr>
            <w:tcW w:w="1086" w:type="dxa"/>
            <w:shd w:val="clear" w:color="auto" w:fill="DEEAF6" w:themeFill="accent5" w:themeFillTint="33"/>
            <w:noWrap/>
          </w:tcPr>
          <w:p w14:paraId="3F979DBC" w14:textId="77777777" w:rsidR="00090CED" w:rsidRPr="00702EAF" w:rsidRDefault="00090CED" w:rsidP="00090CED">
            <w:pPr>
              <w:jc w:val="center"/>
              <w:rPr>
                <w:rFonts w:ascii="Arial" w:eastAsia="Verdana" w:hAnsi="Arial" w:cs="Arial"/>
                <w:sz w:val="18"/>
                <w:szCs w:val="18"/>
                <w:highlight w:val="yellow"/>
              </w:rPr>
            </w:pPr>
          </w:p>
        </w:tc>
        <w:tc>
          <w:tcPr>
            <w:tcW w:w="1387" w:type="dxa"/>
            <w:shd w:val="clear" w:color="auto" w:fill="DEEAF6" w:themeFill="accent5" w:themeFillTint="33"/>
            <w:noWrap/>
          </w:tcPr>
          <w:p w14:paraId="368B0552" w14:textId="77777777" w:rsidR="00090CED" w:rsidRPr="00702EAF" w:rsidRDefault="00090CED" w:rsidP="00090CED">
            <w:pPr>
              <w:jc w:val="center"/>
              <w:rPr>
                <w:rFonts w:ascii="Arial" w:eastAsia="Verdana" w:hAnsi="Arial" w:cs="Arial"/>
                <w:sz w:val="18"/>
                <w:szCs w:val="18"/>
                <w:highlight w:val="yellow"/>
              </w:rPr>
            </w:pPr>
          </w:p>
        </w:tc>
        <w:tc>
          <w:tcPr>
            <w:tcW w:w="990" w:type="dxa"/>
            <w:shd w:val="clear" w:color="auto" w:fill="DEEAF6" w:themeFill="accent5" w:themeFillTint="33"/>
            <w:noWrap/>
          </w:tcPr>
          <w:p w14:paraId="0E57F455" w14:textId="77777777" w:rsidR="00090CED" w:rsidRPr="00702EAF" w:rsidRDefault="00090CED" w:rsidP="00090CED">
            <w:pPr>
              <w:jc w:val="center"/>
              <w:rPr>
                <w:rFonts w:ascii="Arial" w:eastAsia="Verdana" w:hAnsi="Arial" w:cs="Arial"/>
                <w:sz w:val="18"/>
                <w:szCs w:val="18"/>
                <w:highlight w:val="yellow"/>
              </w:rPr>
            </w:pPr>
          </w:p>
        </w:tc>
        <w:tc>
          <w:tcPr>
            <w:tcW w:w="1080" w:type="dxa"/>
            <w:shd w:val="clear" w:color="auto" w:fill="DEEAF6" w:themeFill="accent5" w:themeFillTint="33"/>
            <w:noWrap/>
          </w:tcPr>
          <w:p w14:paraId="5F4516AD" w14:textId="77777777" w:rsidR="00090CED" w:rsidRPr="00702EAF" w:rsidRDefault="00090CED" w:rsidP="00090CED">
            <w:pPr>
              <w:jc w:val="center"/>
              <w:rPr>
                <w:rFonts w:ascii="Arial" w:eastAsia="Verdana" w:hAnsi="Arial" w:cs="Arial"/>
                <w:sz w:val="18"/>
                <w:szCs w:val="18"/>
                <w:highlight w:val="yellow"/>
              </w:rPr>
            </w:pPr>
          </w:p>
        </w:tc>
        <w:tc>
          <w:tcPr>
            <w:tcW w:w="990" w:type="dxa"/>
            <w:shd w:val="clear" w:color="auto" w:fill="DEEAF6" w:themeFill="accent5" w:themeFillTint="33"/>
            <w:noWrap/>
          </w:tcPr>
          <w:p w14:paraId="7883D4B8" w14:textId="77777777" w:rsidR="00090CED" w:rsidRPr="00702EAF" w:rsidRDefault="00090CED" w:rsidP="00090CED">
            <w:pPr>
              <w:jc w:val="center"/>
              <w:rPr>
                <w:rFonts w:ascii="Arial" w:eastAsia="Verdana" w:hAnsi="Arial" w:cs="Arial"/>
                <w:sz w:val="18"/>
                <w:szCs w:val="18"/>
                <w:highlight w:val="yellow"/>
              </w:rPr>
            </w:pPr>
          </w:p>
        </w:tc>
        <w:tc>
          <w:tcPr>
            <w:tcW w:w="990" w:type="dxa"/>
            <w:shd w:val="clear" w:color="auto" w:fill="DEEAF6" w:themeFill="accent5" w:themeFillTint="33"/>
            <w:noWrap/>
          </w:tcPr>
          <w:p w14:paraId="748489EE" w14:textId="77777777" w:rsidR="00090CED" w:rsidRPr="00702EAF" w:rsidRDefault="00090CED" w:rsidP="00090CED">
            <w:pPr>
              <w:jc w:val="center"/>
              <w:rPr>
                <w:rFonts w:ascii="Arial" w:eastAsia="Verdana" w:hAnsi="Arial" w:cs="Arial"/>
                <w:sz w:val="18"/>
                <w:szCs w:val="18"/>
                <w:highlight w:val="yellow"/>
              </w:rPr>
            </w:pPr>
          </w:p>
        </w:tc>
        <w:tc>
          <w:tcPr>
            <w:tcW w:w="717" w:type="dxa"/>
            <w:shd w:val="clear" w:color="auto" w:fill="DEEAF6" w:themeFill="accent5" w:themeFillTint="33"/>
          </w:tcPr>
          <w:p w14:paraId="20195B14" w14:textId="77777777" w:rsidR="00090CED" w:rsidRPr="00702EAF" w:rsidRDefault="00090CED" w:rsidP="00090CED">
            <w:pPr>
              <w:jc w:val="center"/>
              <w:rPr>
                <w:rFonts w:ascii="Arial" w:eastAsia="Verdana" w:hAnsi="Arial" w:cs="Arial"/>
                <w:sz w:val="18"/>
                <w:szCs w:val="18"/>
                <w:highlight w:val="yellow"/>
              </w:rPr>
            </w:pPr>
          </w:p>
        </w:tc>
        <w:tc>
          <w:tcPr>
            <w:tcW w:w="875" w:type="dxa"/>
            <w:shd w:val="clear" w:color="auto" w:fill="DEEAF6" w:themeFill="accent5" w:themeFillTint="33"/>
          </w:tcPr>
          <w:p w14:paraId="2A526305" w14:textId="77777777" w:rsidR="00090CED" w:rsidRPr="00702EAF" w:rsidRDefault="00090CED" w:rsidP="00090CED">
            <w:pPr>
              <w:jc w:val="center"/>
              <w:rPr>
                <w:rFonts w:ascii="Arial" w:eastAsia="Verdana" w:hAnsi="Arial" w:cs="Arial"/>
                <w:sz w:val="18"/>
                <w:szCs w:val="18"/>
                <w:highlight w:val="yellow"/>
              </w:rPr>
            </w:pPr>
          </w:p>
        </w:tc>
      </w:tr>
      <w:tr w:rsidR="00090CED" w:rsidRPr="00AE324F" w14:paraId="78436754" w14:textId="35AD6FEA" w:rsidTr="00F57A4A">
        <w:trPr>
          <w:cantSplit/>
          <w:trHeight w:val="197"/>
          <w:jc w:val="center"/>
        </w:trPr>
        <w:tc>
          <w:tcPr>
            <w:tcW w:w="2065" w:type="dxa"/>
            <w:noWrap/>
            <w:hideMark/>
          </w:tcPr>
          <w:p w14:paraId="41449E81" w14:textId="77777777" w:rsidR="00090CED" w:rsidRPr="00AE324F" w:rsidRDefault="00090CED" w:rsidP="00090CED">
            <w:pPr>
              <w:rPr>
                <w:rFonts w:asciiTheme="majorHAnsi" w:eastAsia="Verdana" w:hAnsiTheme="majorHAnsi" w:cstheme="majorHAnsi"/>
                <w:sz w:val="18"/>
                <w:szCs w:val="18"/>
              </w:rPr>
            </w:pPr>
            <w:r w:rsidRPr="00AE324F">
              <w:rPr>
                <w:rFonts w:asciiTheme="majorHAnsi" w:eastAsia="Verdana" w:hAnsiTheme="majorHAnsi" w:cstheme="majorHAnsi"/>
                <w:sz w:val="18"/>
                <w:szCs w:val="18"/>
              </w:rPr>
              <w:t>0 to 18</w:t>
            </w:r>
          </w:p>
        </w:tc>
        <w:tc>
          <w:tcPr>
            <w:tcW w:w="1086" w:type="dxa"/>
            <w:noWrap/>
            <w:vAlign w:val="bottom"/>
            <w:hideMark/>
          </w:tcPr>
          <w:p w14:paraId="00819B3A" w14:textId="5A4CB9DF"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2,590 </w:t>
            </w:r>
          </w:p>
        </w:tc>
        <w:tc>
          <w:tcPr>
            <w:tcW w:w="1387" w:type="dxa"/>
            <w:noWrap/>
            <w:vAlign w:val="bottom"/>
            <w:hideMark/>
          </w:tcPr>
          <w:p w14:paraId="072CA3D1" w14:textId="7E2FCFB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8.75%</w:t>
            </w:r>
          </w:p>
        </w:tc>
        <w:tc>
          <w:tcPr>
            <w:tcW w:w="990" w:type="dxa"/>
            <w:shd w:val="clear" w:color="auto" w:fill="auto"/>
            <w:noWrap/>
            <w:vAlign w:val="bottom"/>
            <w:hideMark/>
          </w:tcPr>
          <w:p w14:paraId="56952EB1" w14:textId="2AC103D2"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7,138 </w:t>
            </w:r>
          </w:p>
        </w:tc>
        <w:tc>
          <w:tcPr>
            <w:tcW w:w="1080" w:type="dxa"/>
            <w:noWrap/>
            <w:vAlign w:val="bottom"/>
            <w:hideMark/>
          </w:tcPr>
          <w:p w14:paraId="342D1042" w14:textId="577B2E4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9.32%</w:t>
            </w:r>
          </w:p>
        </w:tc>
        <w:tc>
          <w:tcPr>
            <w:tcW w:w="990" w:type="dxa"/>
            <w:noWrap/>
            <w:vAlign w:val="bottom"/>
            <w:hideMark/>
          </w:tcPr>
          <w:p w14:paraId="3FD58EF1" w14:textId="6F81BBE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7,353 </w:t>
            </w:r>
          </w:p>
        </w:tc>
        <w:tc>
          <w:tcPr>
            <w:tcW w:w="990" w:type="dxa"/>
            <w:noWrap/>
            <w:vAlign w:val="bottom"/>
            <w:hideMark/>
          </w:tcPr>
          <w:p w14:paraId="7ED97AA7" w14:textId="614EB6C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9.07%</w:t>
            </w:r>
          </w:p>
        </w:tc>
        <w:tc>
          <w:tcPr>
            <w:tcW w:w="717" w:type="dxa"/>
            <w:vAlign w:val="bottom"/>
          </w:tcPr>
          <w:p w14:paraId="1A14D183" w14:textId="284F9FA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5,155 </w:t>
            </w:r>
          </w:p>
        </w:tc>
        <w:tc>
          <w:tcPr>
            <w:tcW w:w="875" w:type="dxa"/>
            <w:vAlign w:val="bottom"/>
          </w:tcPr>
          <w:p w14:paraId="59AB2738" w14:textId="769BB43B"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8.39%</w:t>
            </w:r>
          </w:p>
        </w:tc>
      </w:tr>
      <w:tr w:rsidR="00090CED" w:rsidRPr="00AE324F" w14:paraId="26532003" w14:textId="160C6690" w:rsidTr="00F57A4A">
        <w:trPr>
          <w:cantSplit/>
          <w:trHeight w:val="224"/>
          <w:jc w:val="center"/>
        </w:trPr>
        <w:tc>
          <w:tcPr>
            <w:tcW w:w="2065" w:type="dxa"/>
            <w:noWrap/>
            <w:hideMark/>
          </w:tcPr>
          <w:p w14:paraId="4CDFFBB9" w14:textId="77777777" w:rsidR="00090CED" w:rsidRPr="00AE324F" w:rsidRDefault="00090CED" w:rsidP="00090CED">
            <w:pPr>
              <w:rPr>
                <w:rFonts w:asciiTheme="majorHAnsi" w:eastAsia="Verdana" w:hAnsiTheme="majorHAnsi" w:cstheme="majorHAnsi"/>
                <w:sz w:val="18"/>
                <w:szCs w:val="18"/>
              </w:rPr>
            </w:pPr>
            <w:r w:rsidRPr="00AE324F">
              <w:rPr>
                <w:rFonts w:asciiTheme="majorHAnsi" w:eastAsia="Verdana" w:hAnsiTheme="majorHAnsi" w:cstheme="majorHAnsi"/>
                <w:sz w:val="18"/>
                <w:szCs w:val="18"/>
              </w:rPr>
              <w:t>19 to 45</w:t>
            </w:r>
          </w:p>
        </w:tc>
        <w:tc>
          <w:tcPr>
            <w:tcW w:w="1086" w:type="dxa"/>
            <w:noWrap/>
            <w:vAlign w:val="bottom"/>
            <w:hideMark/>
          </w:tcPr>
          <w:p w14:paraId="47C8CBF0" w14:textId="425E9C00"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8,722 </w:t>
            </w:r>
          </w:p>
        </w:tc>
        <w:tc>
          <w:tcPr>
            <w:tcW w:w="1387" w:type="dxa"/>
            <w:noWrap/>
            <w:vAlign w:val="bottom"/>
            <w:hideMark/>
          </w:tcPr>
          <w:p w14:paraId="7D4486F5" w14:textId="5697746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29.48%</w:t>
            </w:r>
          </w:p>
        </w:tc>
        <w:tc>
          <w:tcPr>
            <w:tcW w:w="990" w:type="dxa"/>
            <w:shd w:val="clear" w:color="auto" w:fill="auto"/>
            <w:noWrap/>
            <w:vAlign w:val="bottom"/>
            <w:hideMark/>
          </w:tcPr>
          <w:p w14:paraId="48FA5DDD" w14:textId="49BC69A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24,122 </w:t>
            </w:r>
          </w:p>
        </w:tc>
        <w:tc>
          <w:tcPr>
            <w:tcW w:w="1080" w:type="dxa"/>
            <w:noWrap/>
            <w:vAlign w:val="bottom"/>
            <w:hideMark/>
          </w:tcPr>
          <w:p w14:paraId="47EFC0AD" w14:textId="2BAA461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31.50%</w:t>
            </w:r>
          </w:p>
        </w:tc>
        <w:tc>
          <w:tcPr>
            <w:tcW w:w="990" w:type="dxa"/>
            <w:noWrap/>
            <w:vAlign w:val="bottom"/>
            <w:hideMark/>
          </w:tcPr>
          <w:p w14:paraId="53BF7B12" w14:textId="5F11A19E"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24,528 </w:t>
            </w:r>
          </w:p>
        </w:tc>
        <w:tc>
          <w:tcPr>
            <w:tcW w:w="990" w:type="dxa"/>
            <w:noWrap/>
            <w:vAlign w:val="bottom"/>
            <w:hideMark/>
          </w:tcPr>
          <w:p w14:paraId="73E153A7" w14:textId="23C6EC9A"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30.25%</w:t>
            </w:r>
          </w:p>
        </w:tc>
        <w:tc>
          <w:tcPr>
            <w:tcW w:w="717" w:type="dxa"/>
            <w:vAlign w:val="bottom"/>
          </w:tcPr>
          <w:p w14:paraId="09F1B946" w14:textId="11AD818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17,532 </w:t>
            </w:r>
          </w:p>
        </w:tc>
        <w:tc>
          <w:tcPr>
            <w:tcW w:w="875" w:type="dxa"/>
            <w:vAlign w:val="bottom"/>
          </w:tcPr>
          <w:p w14:paraId="74C76645" w14:textId="4E5E4168"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28.54%</w:t>
            </w:r>
          </w:p>
        </w:tc>
      </w:tr>
      <w:tr w:rsidR="00090CED" w:rsidRPr="00AE324F" w14:paraId="2598CEA9" w14:textId="20AB5B9B" w:rsidTr="00F57A4A">
        <w:trPr>
          <w:cantSplit/>
          <w:trHeight w:val="233"/>
          <w:jc w:val="center"/>
        </w:trPr>
        <w:tc>
          <w:tcPr>
            <w:tcW w:w="2065" w:type="dxa"/>
            <w:noWrap/>
            <w:hideMark/>
          </w:tcPr>
          <w:p w14:paraId="5DFFCDC2" w14:textId="77777777" w:rsidR="00090CED" w:rsidRPr="00AE324F" w:rsidRDefault="00090CED" w:rsidP="00090CED">
            <w:pPr>
              <w:rPr>
                <w:rFonts w:asciiTheme="majorHAnsi" w:eastAsia="Verdana" w:hAnsiTheme="majorHAnsi" w:cstheme="majorHAnsi"/>
                <w:sz w:val="18"/>
                <w:szCs w:val="18"/>
              </w:rPr>
            </w:pPr>
            <w:r w:rsidRPr="00AE324F">
              <w:rPr>
                <w:rFonts w:asciiTheme="majorHAnsi" w:eastAsia="Verdana" w:hAnsiTheme="majorHAnsi" w:cstheme="majorHAnsi"/>
                <w:sz w:val="18"/>
                <w:szCs w:val="18"/>
              </w:rPr>
              <w:t>46 to 64</w:t>
            </w:r>
          </w:p>
        </w:tc>
        <w:tc>
          <w:tcPr>
            <w:tcW w:w="1086" w:type="dxa"/>
            <w:noWrap/>
            <w:vAlign w:val="bottom"/>
            <w:hideMark/>
          </w:tcPr>
          <w:p w14:paraId="39856DEF" w14:textId="3D5D86EB"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9,748 </w:t>
            </w:r>
          </w:p>
        </w:tc>
        <w:tc>
          <w:tcPr>
            <w:tcW w:w="1387" w:type="dxa"/>
            <w:noWrap/>
            <w:vAlign w:val="bottom"/>
            <w:hideMark/>
          </w:tcPr>
          <w:p w14:paraId="4ED73739" w14:textId="1F714D34"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32.95%</w:t>
            </w:r>
          </w:p>
        </w:tc>
        <w:tc>
          <w:tcPr>
            <w:tcW w:w="990" w:type="dxa"/>
            <w:shd w:val="clear" w:color="auto" w:fill="auto"/>
            <w:noWrap/>
            <w:vAlign w:val="bottom"/>
            <w:hideMark/>
          </w:tcPr>
          <w:p w14:paraId="316E77E6" w14:textId="5C2E07C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24,850 </w:t>
            </w:r>
          </w:p>
        </w:tc>
        <w:tc>
          <w:tcPr>
            <w:tcW w:w="1080" w:type="dxa"/>
            <w:noWrap/>
            <w:vAlign w:val="bottom"/>
            <w:hideMark/>
          </w:tcPr>
          <w:p w14:paraId="75FA857F" w14:textId="3E50797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32.45%</w:t>
            </w:r>
          </w:p>
        </w:tc>
        <w:tc>
          <w:tcPr>
            <w:tcW w:w="990" w:type="dxa"/>
            <w:noWrap/>
            <w:vAlign w:val="bottom"/>
            <w:hideMark/>
          </w:tcPr>
          <w:p w14:paraId="26E05C43" w14:textId="42722668"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26,380 </w:t>
            </w:r>
          </w:p>
        </w:tc>
        <w:tc>
          <w:tcPr>
            <w:tcW w:w="990" w:type="dxa"/>
            <w:noWrap/>
            <w:vAlign w:val="bottom"/>
            <w:hideMark/>
          </w:tcPr>
          <w:p w14:paraId="08404B63" w14:textId="216F908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32.53%</w:t>
            </w:r>
          </w:p>
        </w:tc>
        <w:tc>
          <w:tcPr>
            <w:tcW w:w="717" w:type="dxa"/>
            <w:vAlign w:val="bottom"/>
          </w:tcPr>
          <w:p w14:paraId="30155BB4" w14:textId="484EA4B5"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19,844 </w:t>
            </w:r>
          </w:p>
        </w:tc>
        <w:tc>
          <w:tcPr>
            <w:tcW w:w="875" w:type="dxa"/>
            <w:vAlign w:val="bottom"/>
          </w:tcPr>
          <w:p w14:paraId="68E60A92" w14:textId="110003EF"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32.30%</w:t>
            </w:r>
          </w:p>
        </w:tc>
      </w:tr>
      <w:tr w:rsidR="00090CED" w:rsidRPr="00AE324F" w14:paraId="28BCF5FC" w14:textId="5C3064E5" w:rsidTr="00F57A4A">
        <w:trPr>
          <w:cantSplit/>
          <w:trHeight w:val="233"/>
          <w:jc w:val="center"/>
        </w:trPr>
        <w:tc>
          <w:tcPr>
            <w:tcW w:w="2065" w:type="dxa"/>
            <w:noWrap/>
          </w:tcPr>
          <w:p w14:paraId="723CFDFC" w14:textId="77777777" w:rsidR="00090CED" w:rsidRPr="00AE324F" w:rsidRDefault="00090CED" w:rsidP="00090CED">
            <w:pPr>
              <w:rPr>
                <w:rFonts w:asciiTheme="majorHAnsi" w:eastAsia="Verdana" w:hAnsiTheme="majorHAnsi" w:cstheme="majorHAnsi"/>
                <w:sz w:val="18"/>
                <w:szCs w:val="18"/>
              </w:rPr>
            </w:pPr>
            <w:r w:rsidRPr="00AE324F">
              <w:rPr>
                <w:rFonts w:asciiTheme="majorHAnsi" w:eastAsia="Verdana" w:hAnsiTheme="majorHAnsi" w:cstheme="majorHAnsi"/>
                <w:sz w:val="18"/>
                <w:szCs w:val="18"/>
              </w:rPr>
              <w:t>65+</w:t>
            </w:r>
          </w:p>
        </w:tc>
        <w:tc>
          <w:tcPr>
            <w:tcW w:w="1086" w:type="dxa"/>
            <w:noWrap/>
            <w:vAlign w:val="bottom"/>
          </w:tcPr>
          <w:p w14:paraId="28E8AF86" w14:textId="12BBD88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8,528 </w:t>
            </w:r>
          </w:p>
        </w:tc>
        <w:tc>
          <w:tcPr>
            <w:tcW w:w="1387" w:type="dxa"/>
            <w:noWrap/>
            <w:vAlign w:val="bottom"/>
          </w:tcPr>
          <w:p w14:paraId="01A26EA4" w14:textId="4762280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28.82%</w:t>
            </w:r>
          </w:p>
        </w:tc>
        <w:tc>
          <w:tcPr>
            <w:tcW w:w="990" w:type="dxa"/>
            <w:shd w:val="clear" w:color="auto" w:fill="auto"/>
            <w:noWrap/>
            <w:vAlign w:val="bottom"/>
          </w:tcPr>
          <w:p w14:paraId="4F7B3D94" w14:textId="6CEC5A04"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20,478 </w:t>
            </w:r>
          </w:p>
        </w:tc>
        <w:tc>
          <w:tcPr>
            <w:tcW w:w="1080" w:type="dxa"/>
            <w:noWrap/>
            <w:vAlign w:val="bottom"/>
          </w:tcPr>
          <w:p w14:paraId="45F632DB" w14:textId="305177AB"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26.74%</w:t>
            </w:r>
          </w:p>
        </w:tc>
        <w:tc>
          <w:tcPr>
            <w:tcW w:w="990" w:type="dxa"/>
            <w:noWrap/>
            <w:vAlign w:val="bottom"/>
          </w:tcPr>
          <w:p w14:paraId="1109C391" w14:textId="30382ED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22,825 </w:t>
            </w:r>
          </w:p>
        </w:tc>
        <w:tc>
          <w:tcPr>
            <w:tcW w:w="990" w:type="dxa"/>
            <w:noWrap/>
            <w:vAlign w:val="bottom"/>
          </w:tcPr>
          <w:p w14:paraId="3EA05A82" w14:textId="5008A14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28.15%</w:t>
            </w:r>
          </w:p>
        </w:tc>
        <w:tc>
          <w:tcPr>
            <w:tcW w:w="717" w:type="dxa"/>
            <w:vAlign w:val="bottom"/>
          </w:tcPr>
          <w:p w14:paraId="49C4BAC6" w14:textId="0C1181F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18,906 </w:t>
            </w:r>
          </w:p>
        </w:tc>
        <w:tc>
          <w:tcPr>
            <w:tcW w:w="875" w:type="dxa"/>
            <w:vAlign w:val="bottom"/>
          </w:tcPr>
          <w:p w14:paraId="479B8792" w14:textId="48A3906F"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30.77%</w:t>
            </w:r>
          </w:p>
        </w:tc>
      </w:tr>
      <w:tr w:rsidR="00090CED" w:rsidRPr="00AE324F" w14:paraId="247AE6DC" w14:textId="34ACD8D6" w:rsidTr="00F57A4A">
        <w:trPr>
          <w:cantSplit/>
          <w:trHeight w:val="251"/>
          <w:jc w:val="center"/>
        </w:trPr>
        <w:tc>
          <w:tcPr>
            <w:tcW w:w="2065" w:type="dxa"/>
            <w:shd w:val="clear" w:color="auto" w:fill="E2EFD9" w:themeFill="accent6" w:themeFillTint="33"/>
            <w:noWrap/>
            <w:hideMark/>
          </w:tcPr>
          <w:p w14:paraId="74358655" w14:textId="77777777" w:rsidR="00090CED" w:rsidRPr="00AE324F" w:rsidRDefault="00090CED" w:rsidP="00090CED">
            <w:pPr>
              <w:jc w:val="center"/>
              <w:rPr>
                <w:rFonts w:asciiTheme="majorHAnsi" w:eastAsia="Verdana" w:hAnsiTheme="majorHAnsi" w:cstheme="majorHAnsi"/>
                <w:sz w:val="18"/>
                <w:szCs w:val="18"/>
              </w:rPr>
            </w:pPr>
            <w:r w:rsidRPr="00AE324F">
              <w:rPr>
                <w:rFonts w:asciiTheme="majorHAnsi" w:eastAsia="Verdana" w:hAnsiTheme="majorHAnsi" w:cstheme="majorHAnsi"/>
                <w:sz w:val="18"/>
                <w:szCs w:val="18"/>
              </w:rPr>
              <w:t>Total</w:t>
            </w:r>
          </w:p>
        </w:tc>
        <w:tc>
          <w:tcPr>
            <w:tcW w:w="1086" w:type="dxa"/>
            <w:shd w:val="clear" w:color="auto" w:fill="E2EFD9" w:themeFill="accent6" w:themeFillTint="33"/>
            <w:noWrap/>
            <w:hideMark/>
          </w:tcPr>
          <w:p w14:paraId="446F5726" w14:textId="56B4772F"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29,588</w:t>
            </w:r>
          </w:p>
        </w:tc>
        <w:tc>
          <w:tcPr>
            <w:tcW w:w="1387" w:type="dxa"/>
            <w:shd w:val="clear" w:color="auto" w:fill="E2EFD9" w:themeFill="accent6" w:themeFillTint="33"/>
            <w:noWrap/>
            <w:hideMark/>
          </w:tcPr>
          <w:p w14:paraId="7E6F38C6"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c>
          <w:tcPr>
            <w:tcW w:w="990" w:type="dxa"/>
            <w:shd w:val="clear" w:color="auto" w:fill="E2EFD9" w:themeFill="accent6" w:themeFillTint="33"/>
            <w:noWrap/>
            <w:hideMark/>
          </w:tcPr>
          <w:p w14:paraId="0BE1FA52" w14:textId="092157A1"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76,588</w:t>
            </w:r>
          </w:p>
        </w:tc>
        <w:tc>
          <w:tcPr>
            <w:tcW w:w="1080" w:type="dxa"/>
            <w:shd w:val="clear" w:color="auto" w:fill="E2EFD9" w:themeFill="accent6" w:themeFillTint="33"/>
            <w:noWrap/>
            <w:hideMark/>
          </w:tcPr>
          <w:p w14:paraId="774CCEF6"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c>
          <w:tcPr>
            <w:tcW w:w="990" w:type="dxa"/>
            <w:shd w:val="clear" w:color="auto" w:fill="E2EFD9" w:themeFill="accent6" w:themeFillTint="33"/>
            <w:noWrap/>
            <w:hideMark/>
          </w:tcPr>
          <w:p w14:paraId="58ACB5E4" w14:textId="0E3CD2D8"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81,086</w:t>
            </w:r>
          </w:p>
        </w:tc>
        <w:tc>
          <w:tcPr>
            <w:tcW w:w="990" w:type="dxa"/>
            <w:shd w:val="clear" w:color="auto" w:fill="E2EFD9" w:themeFill="accent6" w:themeFillTint="33"/>
            <w:noWrap/>
            <w:hideMark/>
          </w:tcPr>
          <w:p w14:paraId="74CAD5D9"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c>
          <w:tcPr>
            <w:tcW w:w="717" w:type="dxa"/>
            <w:shd w:val="clear" w:color="auto" w:fill="E2EFD9" w:themeFill="accent6" w:themeFillTint="33"/>
          </w:tcPr>
          <w:p w14:paraId="361A69A6" w14:textId="6D699FEB"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61,437</w:t>
            </w:r>
          </w:p>
        </w:tc>
        <w:tc>
          <w:tcPr>
            <w:tcW w:w="875" w:type="dxa"/>
            <w:shd w:val="clear" w:color="auto" w:fill="E2EFD9" w:themeFill="accent6" w:themeFillTint="33"/>
          </w:tcPr>
          <w:p w14:paraId="660759B0" w14:textId="3E51366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r>
      <w:tr w:rsidR="00090CED" w:rsidRPr="00AE324F" w14:paraId="43AB41B5" w14:textId="4308ADDF" w:rsidTr="00F57A4A">
        <w:trPr>
          <w:cantSplit/>
          <w:trHeight w:val="280"/>
          <w:jc w:val="center"/>
        </w:trPr>
        <w:tc>
          <w:tcPr>
            <w:tcW w:w="2065" w:type="dxa"/>
            <w:shd w:val="clear" w:color="auto" w:fill="DEEAF6" w:themeFill="accent5" w:themeFillTint="33"/>
            <w:noWrap/>
          </w:tcPr>
          <w:p w14:paraId="19F757AC" w14:textId="77777777" w:rsidR="00090CED" w:rsidRPr="00AE324F" w:rsidRDefault="00090CED" w:rsidP="00090CED">
            <w:pPr>
              <w:jc w:val="center"/>
              <w:rPr>
                <w:rFonts w:asciiTheme="majorHAnsi" w:eastAsia="Verdana" w:hAnsiTheme="majorHAnsi" w:cstheme="majorHAnsi"/>
                <w:sz w:val="18"/>
                <w:szCs w:val="18"/>
                <w:highlight w:val="yellow"/>
              </w:rPr>
            </w:pPr>
            <w:r w:rsidRPr="00AE324F">
              <w:rPr>
                <w:rFonts w:asciiTheme="majorHAnsi" w:eastAsia="Verdana" w:hAnsiTheme="majorHAnsi" w:cstheme="majorHAnsi"/>
                <w:b/>
                <w:bCs/>
                <w:sz w:val="18"/>
                <w:szCs w:val="18"/>
              </w:rPr>
              <w:t>Gender</w:t>
            </w:r>
          </w:p>
        </w:tc>
        <w:tc>
          <w:tcPr>
            <w:tcW w:w="1086" w:type="dxa"/>
            <w:shd w:val="clear" w:color="auto" w:fill="DEEAF6" w:themeFill="accent5" w:themeFillTint="33"/>
            <w:noWrap/>
          </w:tcPr>
          <w:p w14:paraId="40EB1B7B"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1387" w:type="dxa"/>
            <w:shd w:val="clear" w:color="auto" w:fill="DEEAF6" w:themeFill="accent5" w:themeFillTint="33"/>
            <w:noWrap/>
          </w:tcPr>
          <w:p w14:paraId="168A07CA"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tcPr>
          <w:p w14:paraId="48599C83"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noWrap/>
          </w:tcPr>
          <w:p w14:paraId="30D6160C"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tcPr>
          <w:p w14:paraId="201896A3"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tcPr>
          <w:p w14:paraId="6A57C19B"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717" w:type="dxa"/>
            <w:shd w:val="clear" w:color="auto" w:fill="DEEAF6" w:themeFill="accent5" w:themeFillTint="33"/>
          </w:tcPr>
          <w:p w14:paraId="5F5FE5BF"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875" w:type="dxa"/>
            <w:shd w:val="clear" w:color="auto" w:fill="DEEAF6" w:themeFill="accent5" w:themeFillTint="33"/>
          </w:tcPr>
          <w:p w14:paraId="3F03244C" w14:textId="77777777" w:rsidR="00090CED" w:rsidRPr="002B01A1" w:rsidRDefault="00090CED" w:rsidP="00090CED">
            <w:pPr>
              <w:jc w:val="center"/>
              <w:rPr>
                <w:rFonts w:asciiTheme="majorHAnsi" w:eastAsia="Verdana" w:hAnsiTheme="majorHAnsi" w:cstheme="majorHAnsi"/>
                <w:sz w:val="18"/>
                <w:szCs w:val="18"/>
                <w:highlight w:val="yellow"/>
              </w:rPr>
            </w:pPr>
          </w:p>
        </w:tc>
      </w:tr>
      <w:tr w:rsidR="00090CED" w:rsidRPr="00AE324F" w14:paraId="2D35F603" w14:textId="76943ABE" w:rsidTr="00F57A4A">
        <w:trPr>
          <w:cantSplit/>
          <w:trHeight w:val="152"/>
          <w:jc w:val="center"/>
        </w:trPr>
        <w:tc>
          <w:tcPr>
            <w:tcW w:w="2065" w:type="dxa"/>
            <w:shd w:val="clear" w:color="auto" w:fill="auto"/>
            <w:noWrap/>
          </w:tcPr>
          <w:p w14:paraId="1C0493E6" w14:textId="77777777" w:rsidR="00090CED" w:rsidRPr="00AE324F" w:rsidRDefault="00090CED" w:rsidP="00090CED">
            <w:pPr>
              <w:rPr>
                <w:rFonts w:asciiTheme="majorHAnsi" w:eastAsia="Verdana" w:hAnsiTheme="majorHAnsi" w:cstheme="majorHAnsi"/>
                <w:sz w:val="18"/>
                <w:szCs w:val="18"/>
              </w:rPr>
            </w:pPr>
            <w:r w:rsidRPr="00AE324F">
              <w:rPr>
                <w:rFonts w:asciiTheme="majorHAnsi" w:eastAsia="Verdana" w:hAnsiTheme="majorHAnsi" w:cstheme="majorHAnsi"/>
                <w:sz w:val="18"/>
                <w:szCs w:val="18"/>
              </w:rPr>
              <w:t>Female</w:t>
            </w:r>
          </w:p>
        </w:tc>
        <w:tc>
          <w:tcPr>
            <w:tcW w:w="1086" w:type="dxa"/>
            <w:shd w:val="clear" w:color="auto" w:fill="auto"/>
            <w:noWrap/>
            <w:vAlign w:val="bottom"/>
          </w:tcPr>
          <w:p w14:paraId="76AA9B8B" w14:textId="31A04A5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17,547 </w:t>
            </w:r>
          </w:p>
        </w:tc>
        <w:tc>
          <w:tcPr>
            <w:tcW w:w="1387" w:type="dxa"/>
            <w:shd w:val="clear" w:color="auto" w:fill="auto"/>
            <w:noWrap/>
            <w:vAlign w:val="bottom"/>
          </w:tcPr>
          <w:p w14:paraId="0A1E1E28" w14:textId="27037B3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59.30%</w:t>
            </w:r>
          </w:p>
        </w:tc>
        <w:tc>
          <w:tcPr>
            <w:tcW w:w="990" w:type="dxa"/>
            <w:shd w:val="clear" w:color="auto" w:fill="auto"/>
            <w:noWrap/>
            <w:vAlign w:val="bottom"/>
          </w:tcPr>
          <w:p w14:paraId="4077A558" w14:textId="62B419E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43,181 </w:t>
            </w:r>
          </w:p>
        </w:tc>
        <w:tc>
          <w:tcPr>
            <w:tcW w:w="1080" w:type="dxa"/>
            <w:shd w:val="clear" w:color="auto" w:fill="auto"/>
            <w:noWrap/>
            <w:vAlign w:val="bottom"/>
          </w:tcPr>
          <w:p w14:paraId="490EFF61" w14:textId="4E7031EB"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56.38%</w:t>
            </w:r>
          </w:p>
        </w:tc>
        <w:tc>
          <w:tcPr>
            <w:tcW w:w="990" w:type="dxa"/>
            <w:shd w:val="clear" w:color="auto" w:fill="auto"/>
            <w:noWrap/>
            <w:vAlign w:val="bottom"/>
          </w:tcPr>
          <w:p w14:paraId="5F6800FB" w14:textId="08F18A48"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46,356 </w:t>
            </w:r>
          </w:p>
        </w:tc>
        <w:tc>
          <w:tcPr>
            <w:tcW w:w="990" w:type="dxa"/>
            <w:shd w:val="clear" w:color="auto" w:fill="auto"/>
            <w:noWrap/>
            <w:vAlign w:val="bottom"/>
          </w:tcPr>
          <w:p w14:paraId="33FA87BC" w14:textId="355389EE"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57.17%</w:t>
            </w:r>
          </w:p>
        </w:tc>
        <w:tc>
          <w:tcPr>
            <w:tcW w:w="717" w:type="dxa"/>
            <w:vAlign w:val="bottom"/>
          </w:tcPr>
          <w:p w14:paraId="2BE55452" w14:textId="204CB8D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35,571 </w:t>
            </w:r>
          </w:p>
        </w:tc>
        <w:tc>
          <w:tcPr>
            <w:tcW w:w="875" w:type="dxa"/>
            <w:vAlign w:val="bottom"/>
          </w:tcPr>
          <w:p w14:paraId="2F9E81A3" w14:textId="18D61993"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57.90%</w:t>
            </w:r>
          </w:p>
        </w:tc>
      </w:tr>
      <w:tr w:rsidR="00090CED" w:rsidRPr="00AE324F" w14:paraId="3A4F209F" w14:textId="6EE0125E" w:rsidTr="00F57A4A">
        <w:trPr>
          <w:cantSplit/>
          <w:trHeight w:val="251"/>
          <w:jc w:val="center"/>
        </w:trPr>
        <w:tc>
          <w:tcPr>
            <w:tcW w:w="2065" w:type="dxa"/>
            <w:shd w:val="clear" w:color="auto" w:fill="auto"/>
            <w:noWrap/>
          </w:tcPr>
          <w:p w14:paraId="0A2BAC35" w14:textId="77777777" w:rsidR="00090CED" w:rsidRPr="00AE324F" w:rsidRDefault="00090CED" w:rsidP="00090CED">
            <w:pPr>
              <w:rPr>
                <w:rFonts w:asciiTheme="majorHAnsi" w:eastAsia="Verdana" w:hAnsiTheme="majorHAnsi" w:cstheme="majorHAnsi"/>
                <w:sz w:val="18"/>
                <w:szCs w:val="18"/>
              </w:rPr>
            </w:pPr>
            <w:r w:rsidRPr="00AE324F">
              <w:rPr>
                <w:rFonts w:asciiTheme="majorHAnsi" w:eastAsia="Verdana" w:hAnsiTheme="majorHAnsi" w:cstheme="majorHAnsi"/>
                <w:sz w:val="18"/>
                <w:szCs w:val="18"/>
              </w:rPr>
              <w:t>Male</w:t>
            </w:r>
          </w:p>
        </w:tc>
        <w:tc>
          <w:tcPr>
            <w:tcW w:w="1086" w:type="dxa"/>
            <w:shd w:val="clear" w:color="auto" w:fill="auto"/>
            <w:noWrap/>
            <w:vAlign w:val="bottom"/>
          </w:tcPr>
          <w:p w14:paraId="487A1BEF" w14:textId="6CF35BAE"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12,000 </w:t>
            </w:r>
          </w:p>
        </w:tc>
        <w:tc>
          <w:tcPr>
            <w:tcW w:w="1387" w:type="dxa"/>
            <w:shd w:val="clear" w:color="auto" w:fill="auto"/>
            <w:noWrap/>
            <w:vAlign w:val="bottom"/>
          </w:tcPr>
          <w:p w14:paraId="0F8E7FE3" w14:textId="4B9A819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40.56%</w:t>
            </w:r>
          </w:p>
        </w:tc>
        <w:tc>
          <w:tcPr>
            <w:tcW w:w="990" w:type="dxa"/>
            <w:shd w:val="clear" w:color="auto" w:fill="auto"/>
            <w:noWrap/>
            <w:vAlign w:val="bottom"/>
          </w:tcPr>
          <w:p w14:paraId="68CCD5B2" w14:textId="48E59668"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33,272 </w:t>
            </w:r>
          </w:p>
        </w:tc>
        <w:tc>
          <w:tcPr>
            <w:tcW w:w="1080" w:type="dxa"/>
            <w:shd w:val="clear" w:color="auto" w:fill="auto"/>
            <w:noWrap/>
            <w:vAlign w:val="bottom"/>
          </w:tcPr>
          <w:p w14:paraId="152EEA47" w14:textId="4137DF6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43.44%</w:t>
            </w:r>
          </w:p>
        </w:tc>
        <w:tc>
          <w:tcPr>
            <w:tcW w:w="990" w:type="dxa"/>
            <w:shd w:val="clear" w:color="auto" w:fill="auto"/>
            <w:noWrap/>
            <w:vAlign w:val="bottom"/>
          </w:tcPr>
          <w:p w14:paraId="43DE6CC0" w14:textId="402FBF9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34,486 </w:t>
            </w:r>
          </w:p>
        </w:tc>
        <w:tc>
          <w:tcPr>
            <w:tcW w:w="990" w:type="dxa"/>
            <w:shd w:val="clear" w:color="auto" w:fill="auto"/>
            <w:noWrap/>
            <w:vAlign w:val="bottom"/>
          </w:tcPr>
          <w:p w14:paraId="46FEDC1D" w14:textId="60DF389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42.53%</w:t>
            </w:r>
          </w:p>
        </w:tc>
        <w:tc>
          <w:tcPr>
            <w:tcW w:w="717" w:type="dxa"/>
            <w:vAlign w:val="bottom"/>
          </w:tcPr>
          <w:p w14:paraId="1CCB885C" w14:textId="1375C6A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25,566 </w:t>
            </w:r>
          </w:p>
        </w:tc>
        <w:tc>
          <w:tcPr>
            <w:tcW w:w="875" w:type="dxa"/>
            <w:vAlign w:val="bottom"/>
          </w:tcPr>
          <w:p w14:paraId="252D9D48" w14:textId="689FD4A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41.61%</w:t>
            </w:r>
          </w:p>
        </w:tc>
      </w:tr>
      <w:tr w:rsidR="00090CED" w:rsidRPr="00AE324F" w14:paraId="72F55B57" w14:textId="61F793D1" w:rsidTr="00F57A4A">
        <w:trPr>
          <w:cantSplit/>
          <w:trHeight w:val="170"/>
          <w:jc w:val="center"/>
        </w:trPr>
        <w:tc>
          <w:tcPr>
            <w:tcW w:w="2065" w:type="dxa"/>
            <w:shd w:val="clear" w:color="auto" w:fill="auto"/>
            <w:noWrap/>
          </w:tcPr>
          <w:p w14:paraId="08A356AC" w14:textId="77777777" w:rsidR="00090CED" w:rsidRPr="00AE324F" w:rsidRDefault="00090CED" w:rsidP="00090CED">
            <w:pPr>
              <w:rPr>
                <w:rFonts w:asciiTheme="majorHAnsi" w:eastAsia="Verdana" w:hAnsiTheme="majorHAnsi" w:cstheme="majorHAnsi"/>
                <w:sz w:val="18"/>
                <w:szCs w:val="18"/>
              </w:rPr>
            </w:pPr>
            <w:r w:rsidRPr="00AE324F">
              <w:rPr>
                <w:rFonts w:asciiTheme="majorHAnsi" w:eastAsia="Verdana" w:hAnsiTheme="majorHAnsi" w:cstheme="majorHAnsi"/>
                <w:sz w:val="18"/>
                <w:szCs w:val="18"/>
              </w:rPr>
              <w:t>Unknown</w:t>
            </w:r>
            <w:r w:rsidRPr="00AE324F">
              <w:rPr>
                <w:rStyle w:val="FootnoteReference"/>
                <w:rFonts w:asciiTheme="majorHAnsi" w:eastAsia="Verdana" w:hAnsiTheme="majorHAnsi" w:cstheme="majorHAnsi"/>
                <w:sz w:val="18"/>
                <w:szCs w:val="18"/>
              </w:rPr>
              <w:footnoteReference w:id="10"/>
            </w:r>
          </w:p>
        </w:tc>
        <w:tc>
          <w:tcPr>
            <w:tcW w:w="1086" w:type="dxa"/>
            <w:shd w:val="clear" w:color="auto" w:fill="auto"/>
            <w:noWrap/>
            <w:vAlign w:val="bottom"/>
          </w:tcPr>
          <w:p w14:paraId="7D40AEF7" w14:textId="2D309D8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41 </w:t>
            </w:r>
          </w:p>
        </w:tc>
        <w:tc>
          <w:tcPr>
            <w:tcW w:w="1387" w:type="dxa"/>
            <w:shd w:val="clear" w:color="auto" w:fill="auto"/>
            <w:noWrap/>
            <w:vAlign w:val="bottom"/>
          </w:tcPr>
          <w:p w14:paraId="3585398F" w14:textId="016A2F7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0.14%</w:t>
            </w:r>
          </w:p>
        </w:tc>
        <w:tc>
          <w:tcPr>
            <w:tcW w:w="990" w:type="dxa"/>
            <w:shd w:val="clear" w:color="auto" w:fill="auto"/>
            <w:noWrap/>
            <w:vAlign w:val="bottom"/>
          </w:tcPr>
          <w:p w14:paraId="52FDF84B" w14:textId="3DF77BB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135 </w:t>
            </w:r>
          </w:p>
        </w:tc>
        <w:tc>
          <w:tcPr>
            <w:tcW w:w="1080" w:type="dxa"/>
            <w:shd w:val="clear" w:color="auto" w:fill="auto"/>
            <w:noWrap/>
            <w:vAlign w:val="bottom"/>
          </w:tcPr>
          <w:p w14:paraId="742B2AD0" w14:textId="1782A43A"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0.18%</w:t>
            </w:r>
          </w:p>
        </w:tc>
        <w:tc>
          <w:tcPr>
            <w:tcW w:w="990" w:type="dxa"/>
            <w:shd w:val="clear" w:color="auto" w:fill="auto"/>
            <w:noWrap/>
            <w:vAlign w:val="bottom"/>
          </w:tcPr>
          <w:p w14:paraId="37165809" w14:textId="27B57205"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244 </w:t>
            </w:r>
          </w:p>
        </w:tc>
        <w:tc>
          <w:tcPr>
            <w:tcW w:w="990" w:type="dxa"/>
            <w:shd w:val="clear" w:color="auto" w:fill="auto"/>
            <w:noWrap/>
            <w:vAlign w:val="bottom"/>
          </w:tcPr>
          <w:p w14:paraId="6F3C2F74" w14:textId="6E8ADD7B"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0.30%</w:t>
            </w:r>
          </w:p>
        </w:tc>
        <w:tc>
          <w:tcPr>
            <w:tcW w:w="717" w:type="dxa"/>
            <w:vAlign w:val="bottom"/>
          </w:tcPr>
          <w:p w14:paraId="38A8A605" w14:textId="58971092"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300</w:t>
            </w:r>
          </w:p>
        </w:tc>
        <w:tc>
          <w:tcPr>
            <w:tcW w:w="875" w:type="dxa"/>
            <w:vAlign w:val="bottom"/>
          </w:tcPr>
          <w:p w14:paraId="71EEAFC2" w14:textId="56AEB422"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0.49%</w:t>
            </w:r>
          </w:p>
        </w:tc>
      </w:tr>
      <w:tr w:rsidR="00090CED" w:rsidRPr="00AE324F" w14:paraId="3E2D1514" w14:textId="6CD9A8D3" w:rsidTr="00F57A4A">
        <w:trPr>
          <w:cantSplit/>
          <w:trHeight w:val="280"/>
          <w:jc w:val="center"/>
        </w:trPr>
        <w:tc>
          <w:tcPr>
            <w:tcW w:w="2065" w:type="dxa"/>
            <w:shd w:val="clear" w:color="auto" w:fill="E2EFD9" w:themeFill="accent6" w:themeFillTint="33"/>
            <w:noWrap/>
          </w:tcPr>
          <w:p w14:paraId="49BE0F84" w14:textId="77777777" w:rsidR="00090CED" w:rsidRPr="00AE324F" w:rsidRDefault="00090CED" w:rsidP="00090CED">
            <w:pPr>
              <w:jc w:val="center"/>
              <w:rPr>
                <w:rFonts w:asciiTheme="majorHAnsi" w:eastAsia="Verdana" w:hAnsiTheme="majorHAnsi" w:cstheme="majorHAnsi"/>
                <w:sz w:val="18"/>
                <w:szCs w:val="18"/>
              </w:rPr>
            </w:pPr>
            <w:r w:rsidRPr="00AE324F">
              <w:rPr>
                <w:rFonts w:asciiTheme="majorHAnsi" w:eastAsia="Verdana" w:hAnsiTheme="majorHAnsi" w:cstheme="majorHAnsi"/>
                <w:sz w:val="18"/>
                <w:szCs w:val="18"/>
              </w:rPr>
              <w:t>Total</w:t>
            </w:r>
          </w:p>
        </w:tc>
        <w:tc>
          <w:tcPr>
            <w:tcW w:w="1086" w:type="dxa"/>
            <w:shd w:val="clear" w:color="auto" w:fill="E2EFD9" w:themeFill="accent6" w:themeFillTint="33"/>
            <w:noWrap/>
          </w:tcPr>
          <w:p w14:paraId="1B661EFC" w14:textId="4EF4FD05"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29,588</w:t>
            </w:r>
          </w:p>
        </w:tc>
        <w:tc>
          <w:tcPr>
            <w:tcW w:w="1387" w:type="dxa"/>
            <w:shd w:val="clear" w:color="auto" w:fill="E2EFD9" w:themeFill="accent6" w:themeFillTint="33"/>
            <w:noWrap/>
          </w:tcPr>
          <w:p w14:paraId="37BF6FD5"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c>
          <w:tcPr>
            <w:tcW w:w="990" w:type="dxa"/>
            <w:shd w:val="clear" w:color="auto" w:fill="E2EFD9" w:themeFill="accent6" w:themeFillTint="33"/>
            <w:noWrap/>
          </w:tcPr>
          <w:p w14:paraId="46320064" w14:textId="7FFE5DE6"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76,588</w:t>
            </w:r>
          </w:p>
        </w:tc>
        <w:tc>
          <w:tcPr>
            <w:tcW w:w="1080" w:type="dxa"/>
            <w:shd w:val="clear" w:color="auto" w:fill="E2EFD9" w:themeFill="accent6" w:themeFillTint="33"/>
            <w:noWrap/>
          </w:tcPr>
          <w:p w14:paraId="0745D725"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c>
          <w:tcPr>
            <w:tcW w:w="990" w:type="dxa"/>
            <w:shd w:val="clear" w:color="auto" w:fill="E2EFD9" w:themeFill="accent6" w:themeFillTint="33"/>
            <w:noWrap/>
          </w:tcPr>
          <w:p w14:paraId="1D5B5F9D" w14:textId="18740CA0"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81,086</w:t>
            </w:r>
          </w:p>
        </w:tc>
        <w:tc>
          <w:tcPr>
            <w:tcW w:w="990" w:type="dxa"/>
            <w:shd w:val="clear" w:color="auto" w:fill="E2EFD9" w:themeFill="accent6" w:themeFillTint="33"/>
            <w:noWrap/>
          </w:tcPr>
          <w:p w14:paraId="556FD437" w14:textId="77777777"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eastAsia="Verdana" w:hAnsiTheme="majorHAnsi" w:cstheme="majorHAnsi"/>
                <w:sz w:val="18"/>
                <w:szCs w:val="18"/>
              </w:rPr>
              <w:t>100.00%</w:t>
            </w:r>
          </w:p>
        </w:tc>
        <w:tc>
          <w:tcPr>
            <w:tcW w:w="717" w:type="dxa"/>
            <w:shd w:val="clear" w:color="auto" w:fill="E2EFD9" w:themeFill="accent6" w:themeFillTint="33"/>
          </w:tcPr>
          <w:p w14:paraId="4E74164E" w14:textId="69BBBA05"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61,437</w:t>
            </w:r>
          </w:p>
        </w:tc>
        <w:tc>
          <w:tcPr>
            <w:tcW w:w="875" w:type="dxa"/>
            <w:shd w:val="clear" w:color="auto" w:fill="E2EFD9" w:themeFill="accent6" w:themeFillTint="33"/>
          </w:tcPr>
          <w:p w14:paraId="752E9086" w14:textId="05A09DA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r>
      <w:tr w:rsidR="00090CED" w:rsidRPr="00AE324F" w14:paraId="213BA9D8" w14:textId="166B57D9" w:rsidTr="00F57A4A">
        <w:trPr>
          <w:cantSplit/>
          <w:trHeight w:val="280"/>
          <w:jc w:val="center"/>
        </w:trPr>
        <w:tc>
          <w:tcPr>
            <w:tcW w:w="2065" w:type="dxa"/>
            <w:shd w:val="clear" w:color="auto" w:fill="DEEAF6" w:themeFill="accent5" w:themeFillTint="33"/>
            <w:noWrap/>
            <w:vAlign w:val="bottom"/>
          </w:tcPr>
          <w:p w14:paraId="628E6499" w14:textId="77777777" w:rsidR="00090CED" w:rsidRPr="00AE324F" w:rsidRDefault="00090CED" w:rsidP="00090CED">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Race</w:t>
            </w:r>
          </w:p>
        </w:tc>
        <w:tc>
          <w:tcPr>
            <w:tcW w:w="1086" w:type="dxa"/>
            <w:shd w:val="clear" w:color="auto" w:fill="DEEAF6" w:themeFill="accent5" w:themeFillTint="33"/>
            <w:noWrap/>
            <w:vAlign w:val="bottom"/>
          </w:tcPr>
          <w:p w14:paraId="0BB6349A"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1387" w:type="dxa"/>
            <w:shd w:val="clear" w:color="auto" w:fill="DEEAF6" w:themeFill="accent5" w:themeFillTint="33"/>
            <w:noWrap/>
            <w:vAlign w:val="bottom"/>
          </w:tcPr>
          <w:p w14:paraId="680CA473"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vAlign w:val="bottom"/>
          </w:tcPr>
          <w:p w14:paraId="480DCBEF"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noWrap/>
            <w:vAlign w:val="bottom"/>
          </w:tcPr>
          <w:p w14:paraId="545568D7"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vAlign w:val="bottom"/>
          </w:tcPr>
          <w:p w14:paraId="6BA3D1DA"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990" w:type="dxa"/>
            <w:shd w:val="clear" w:color="auto" w:fill="DEEAF6" w:themeFill="accent5" w:themeFillTint="33"/>
            <w:noWrap/>
            <w:vAlign w:val="bottom"/>
          </w:tcPr>
          <w:p w14:paraId="06B6788F"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717" w:type="dxa"/>
            <w:shd w:val="clear" w:color="auto" w:fill="DEEAF6" w:themeFill="accent5" w:themeFillTint="33"/>
          </w:tcPr>
          <w:p w14:paraId="4E25004C" w14:textId="77777777" w:rsidR="00090CED" w:rsidRPr="002B01A1" w:rsidRDefault="00090CED" w:rsidP="00090CED">
            <w:pPr>
              <w:jc w:val="center"/>
              <w:rPr>
                <w:rFonts w:asciiTheme="majorHAnsi" w:eastAsia="Verdana" w:hAnsiTheme="majorHAnsi" w:cstheme="majorHAnsi"/>
                <w:sz w:val="18"/>
                <w:szCs w:val="18"/>
                <w:highlight w:val="yellow"/>
              </w:rPr>
            </w:pPr>
          </w:p>
        </w:tc>
        <w:tc>
          <w:tcPr>
            <w:tcW w:w="875" w:type="dxa"/>
            <w:shd w:val="clear" w:color="auto" w:fill="DEEAF6" w:themeFill="accent5" w:themeFillTint="33"/>
          </w:tcPr>
          <w:p w14:paraId="2F15DA5A" w14:textId="77777777" w:rsidR="00090CED" w:rsidRPr="002B01A1" w:rsidRDefault="00090CED" w:rsidP="00090CED">
            <w:pPr>
              <w:jc w:val="center"/>
              <w:rPr>
                <w:rFonts w:asciiTheme="majorHAnsi" w:eastAsia="Verdana" w:hAnsiTheme="majorHAnsi" w:cstheme="majorHAnsi"/>
                <w:sz w:val="18"/>
                <w:szCs w:val="18"/>
                <w:highlight w:val="yellow"/>
              </w:rPr>
            </w:pPr>
          </w:p>
        </w:tc>
      </w:tr>
      <w:tr w:rsidR="00090CED" w:rsidRPr="00AE324F" w14:paraId="1AEB1C54" w14:textId="74668336" w:rsidTr="00F57A4A">
        <w:trPr>
          <w:cantSplit/>
          <w:trHeight w:val="280"/>
          <w:jc w:val="center"/>
        </w:trPr>
        <w:tc>
          <w:tcPr>
            <w:tcW w:w="2065" w:type="dxa"/>
            <w:shd w:val="clear" w:color="auto" w:fill="auto"/>
            <w:noWrap/>
            <w:vAlign w:val="bottom"/>
          </w:tcPr>
          <w:p w14:paraId="08EF772C" w14:textId="35DBBA0C"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African American</w:t>
            </w:r>
          </w:p>
        </w:tc>
        <w:tc>
          <w:tcPr>
            <w:tcW w:w="1086" w:type="dxa"/>
            <w:shd w:val="clear" w:color="auto" w:fill="auto"/>
            <w:noWrap/>
            <w:vAlign w:val="bottom"/>
          </w:tcPr>
          <w:p w14:paraId="65BB9332" w14:textId="5D173645"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6,709 </w:t>
            </w:r>
          </w:p>
        </w:tc>
        <w:tc>
          <w:tcPr>
            <w:tcW w:w="1387" w:type="dxa"/>
            <w:shd w:val="clear" w:color="auto" w:fill="auto"/>
            <w:noWrap/>
            <w:vAlign w:val="bottom"/>
          </w:tcPr>
          <w:p w14:paraId="680AD88D" w14:textId="07910DD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22.67%</w:t>
            </w:r>
          </w:p>
        </w:tc>
        <w:tc>
          <w:tcPr>
            <w:tcW w:w="990" w:type="dxa"/>
            <w:shd w:val="clear" w:color="auto" w:fill="auto"/>
            <w:noWrap/>
            <w:vAlign w:val="bottom"/>
          </w:tcPr>
          <w:p w14:paraId="03228EF0" w14:textId="78FA986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16,658 </w:t>
            </w:r>
          </w:p>
        </w:tc>
        <w:tc>
          <w:tcPr>
            <w:tcW w:w="1080" w:type="dxa"/>
            <w:shd w:val="clear" w:color="auto" w:fill="auto"/>
            <w:noWrap/>
            <w:vAlign w:val="bottom"/>
          </w:tcPr>
          <w:p w14:paraId="5FD24E60" w14:textId="13A50FA3"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21.75%</w:t>
            </w:r>
          </w:p>
        </w:tc>
        <w:tc>
          <w:tcPr>
            <w:tcW w:w="990" w:type="dxa"/>
            <w:shd w:val="clear" w:color="auto" w:fill="auto"/>
            <w:noWrap/>
            <w:vAlign w:val="bottom"/>
          </w:tcPr>
          <w:p w14:paraId="221593C4" w14:textId="22D85903"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17,847 </w:t>
            </w:r>
          </w:p>
        </w:tc>
        <w:tc>
          <w:tcPr>
            <w:tcW w:w="990" w:type="dxa"/>
            <w:shd w:val="clear" w:color="auto" w:fill="auto"/>
            <w:noWrap/>
            <w:vAlign w:val="bottom"/>
          </w:tcPr>
          <w:p w14:paraId="30D29D59" w14:textId="42FA0F3E"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22.01%</w:t>
            </w:r>
          </w:p>
        </w:tc>
        <w:tc>
          <w:tcPr>
            <w:tcW w:w="717" w:type="dxa"/>
            <w:vAlign w:val="bottom"/>
          </w:tcPr>
          <w:p w14:paraId="373DFF81" w14:textId="4D707CF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14,000 </w:t>
            </w:r>
          </w:p>
        </w:tc>
        <w:tc>
          <w:tcPr>
            <w:tcW w:w="875" w:type="dxa"/>
            <w:vAlign w:val="bottom"/>
          </w:tcPr>
          <w:p w14:paraId="1BC4AAA0" w14:textId="23E7001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22.79%</w:t>
            </w:r>
          </w:p>
        </w:tc>
      </w:tr>
      <w:tr w:rsidR="00090CED" w:rsidRPr="00AE324F" w14:paraId="64CD40EE" w14:textId="62D28747" w:rsidTr="00F57A4A">
        <w:trPr>
          <w:cantSplit/>
          <w:trHeight w:val="280"/>
          <w:jc w:val="center"/>
        </w:trPr>
        <w:tc>
          <w:tcPr>
            <w:tcW w:w="2065" w:type="dxa"/>
            <w:shd w:val="clear" w:color="auto" w:fill="auto"/>
            <w:noWrap/>
            <w:vAlign w:val="bottom"/>
          </w:tcPr>
          <w:p w14:paraId="48AA7072" w14:textId="611EAE03"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American Indian or Alaska Native</w:t>
            </w:r>
          </w:p>
        </w:tc>
        <w:tc>
          <w:tcPr>
            <w:tcW w:w="1086" w:type="dxa"/>
            <w:shd w:val="clear" w:color="auto" w:fill="auto"/>
            <w:noWrap/>
            <w:vAlign w:val="bottom"/>
          </w:tcPr>
          <w:p w14:paraId="4DA8AC84" w14:textId="5E89D100"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38 </w:t>
            </w:r>
          </w:p>
        </w:tc>
        <w:tc>
          <w:tcPr>
            <w:tcW w:w="1387" w:type="dxa"/>
            <w:shd w:val="clear" w:color="auto" w:fill="auto"/>
            <w:noWrap/>
            <w:vAlign w:val="bottom"/>
          </w:tcPr>
          <w:p w14:paraId="5AEF1B65" w14:textId="62CD768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0.13%</w:t>
            </w:r>
          </w:p>
        </w:tc>
        <w:tc>
          <w:tcPr>
            <w:tcW w:w="990" w:type="dxa"/>
            <w:shd w:val="clear" w:color="auto" w:fill="auto"/>
            <w:noWrap/>
            <w:vAlign w:val="bottom"/>
          </w:tcPr>
          <w:p w14:paraId="21FACA8F" w14:textId="40B5DBD8"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102 </w:t>
            </w:r>
          </w:p>
        </w:tc>
        <w:tc>
          <w:tcPr>
            <w:tcW w:w="1080" w:type="dxa"/>
            <w:shd w:val="clear" w:color="auto" w:fill="auto"/>
            <w:noWrap/>
            <w:vAlign w:val="bottom"/>
          </w:tcPr>
          <w:p w14:paraId="2D3993C3" w14:textId="3E558CB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0.13%</w:t>
            </w:r>
          </w:p>
        </w:tc>
        <w:tc>
          <w:tcPr>
            <w:tcW w:w="990" w:type="dxa"/>
            <w:shd w:val="clear" w:color="auto" w:fill="auto"/>
            <w:noWrap/>
            <w:vAlign w:val="bottom"/>
          </w:tcPr>
          <w:p w14:paraId="14E66214" w14:textId="60DB92CB"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108 </w:t>
            </w:r>
          </w:p>
        </w:tc>
        <w:tc>
          <w:tcPr>
            <w:tcW w:w="990" w:type="dxa"/>
            <w:shd w:val="clear" w:color="auto" w:fill="auto"/>
            <w:noWrap/>
            <w:vAlign w:val="bottom"/>
          </w:tcPr>
          <w:p w14:paraId="654D629E" w14:textId="0E27986A"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0.13%</w:t>
            </w:r>
          </w:p>
        </w:tc>
        <w:tc>
          <w:tcPr>
            <w:tcW w:w="717" w:type="dxa"/>
            <w:vAlign w:val="bottom"/>
          </w:tcPr>
          <w:p w14:paraId="1FC858A8" w14:textId="6F77DB4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91 </w:t>
            </w:r>
          </w:p>
        </w:tc>
        <w:tc>
          <w:tcPr>
            <w:tcW w:w="875" w:type="dxa"/>
            <w:vAlign w:val="bottom"/>
          </w:tcPr>
          <w:p w14:paraId="419C8FC0" w14:textId="6FFC22D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0.15%</w:t>
            </w:r>
          </w:p>
        </w:tc>
      </w:tr>
      <w:tr w:rsidR="00090CED" w:rsidRPr="00AE324F" w14:paraId="19CCD859" w14:textId="2E43943D" w:rsidTr="00F57A4A">
        <w:trPr>
          <w:cantSplit/>
          <w:trHeight w:val="280"/>
          <w:jc w:val="center"/>
        </w:trPr>
        <w:tc>
          <w:tcPr>
            <w:tcW w:w="2065" w:type="dxa"/>
            <w:shd w:val="clear" w:color="auto" w:fill="auto"/>
            <w:noWrap/>
            <w:vAlign w:val="bottom"/>
          </w:tcPr>
          <w:p w14:paraId="3140DC21" w14:textId="243B1AB8"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Asian</w:t>
            </w:r>
          </w:p>
        </w:tc>
        <w:tc>
          <w:tcPr>
            <w:tcW w:w="1086" w:type="dxa"/>
            <w:shd w:val="clear" w:color="auto" w:fill="auto"/>
            <w:noWrap/>
            <w:vAlign w:val="bottom"/>
          </w:tcPr>
          <w:p w14:paraId="2049A685" w14:textId="6823E854"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290 </w:t>
            </w:r>
          </w:p>
        </w:tc>
        <w:tc>
          <w:tcPr>
            <w:tcW w:w="1387" w:type="dxa"/>
            <w:shd w:val="clear" w:color="auto" w:fill="auto"/>
            <w:noWrap/>
            <w:vAlign w:val="bottom"/>
          </w:tcPr>
          <w:p w14:paraId="44860F90" w14:textId="7F490F6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0.98%</w:t>
            </w:r>
          </w:p>
        </w:tc>
        <w:tc>
          <w:tcPr>
            <w:tcW w:w="990" w:type="dxa"/>
            <w:shd w:val="clear" w:color="auto" w:fill="auto"/>
            <w:noWrap/>
            <w:vAlign w:val="bottom"/>
          </w:tcPr>
          <w:p w14:paraId="660FD995" w14:textId="1BBFD64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841 </w:t>
            </w:r>
          </w:p>
        </w:tc>
        <w:tc>
          <w:tcPr>
            <w:tcW w:w="1080" w:type="dxa"/>
            <w:shd w:val="clear" w:color="auto" w:fill="auto"/>
            <w:noWrap/>
            <w:vAlign w:val="bottom"/>
          </w:tcPr>
          <w:p w14:paraId="091B13E8" w14:textId="73046AFF"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1.10%</w:t>
            </w:r>
          </w:p>
        </w:tc>
        <w:tc>
          <w:tcPr>
            <w:tcW w:w="990" w:type="dxa"/>
            <w:shd w:val="clear" w:color="auto" w:fill="auto"/>
            <w:noWrap/>
            <w:vAlign w:val="bottom"/>
          </w:tcPr>
          <w:p w14:paraId="6ED75889" w14:textId="629B534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1,111 </w:t>
            </w:r>
          </w:p>
        </w:tc>
        <w:tc>
          <w:tcPr>
            <w:tcW w:w="990" w:type="dxa"/>
            <w:shd w:val="clear" w:color="auto" w:fill="auto"/>
            <w:noWrap/>
            <w:vAlign w:val="bottom"/>
          </w:tcPr>
          <w:p w14:paraId="566C74E2" w14:textId="200EDAA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1.37%</w:t>
            </w:r>
          </w:p>
        </w:tc>
        <w:tc>
          <w:tcPr>
            <w:tcW w:w="717" w:type="dxa"/>
            <w:vAlign w:val="bottom"/>
          </w:tcPr>
          <w:p w14:paraId="1CBE0105" w14:textId="6424768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802 </w:t>
            </w:r>
          </w:p>
        </w:tc>
        <w:tc>
          <w:tcPr>
            <w:tcW w:w="875" w:type="dxa"/>
            <w:vAlign w:val="bottom"/>
          </w:tcPr>
          <w:p w14:paraId="719AB9AE" w14:textId="36D2595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1.31%</w:t>
            </w:r>
          </w:p>
        </w:tc>
      </w:tr>
      <w:tr w:rsidR="00090CED" w:rsidRPr="00AE324F" w14:paraId="725F2C79" w14:textId="57D23A07" w:rsidTr="00F57A4A">
        <w:trPr>
          <w:cantSplit/>
          <w:trHeight w:val="280"/>
          <w:jc w:val="center"/>
        </w:trPr>
        <w:tc>
          <w:tcPr>
            <w:tcW w:w="2065" w:type="dxa"/>
            <w:shd w:val="clear" w:color="auto" w:fill="auto"/>
            <w:noWrap/>
            <w:vAlign w:val="bottom"/>
          </w:tcPr>
          <w:p w14:paraId="6294846E" w14:textId="74A564FD"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Declined</w:t>
            </w:r>
            <w:r w:rsidRPr="00AE324F">
              <w:rPr>
                <w:rStyle w:val="FootnoteReference"/>
                <w:rFonts w:asciiTheme="majorHAnsi" w:hAnsiTheme="majorHAnsi" w:cstheme="majorHAnsi"/>
                <w:color w:val="000000"/>
                <w:sz w:val="18"/>
                <w:szCs w:val="18"/>
              </w:rPr>
              <w:footnoteReference w:id="11"/>
            </w:r>
          </w:p>
        </w:tc>
        <w:tc>
          <w:tcPr>
            <w:tcW w:w="1086" w:type="dxa"/>
            <w:shd w:val="clear" w:color="auto" w:fill="auto"/>
            <w:noWrap/>
            <w:vAlign w:val="bottom"/>
          </w:tcPr>
          <w:p w14:paraId="76A94F57" w14:textId="4494DDF8"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257 </w:t>
            </w:r>
          </w:p>
        </w:tc>
        <w:tc>
          <w:tcPr>
            <w:tcW w:w="1387" w:type="dxa"/>
            <w:shd w:val="clear" w:color="auto" w:fill="auto"/>
            <w:noWrap/>
            <w:vAlign w:val="bottom"/>
          </w:tcPr>
          <w:p w14:paraId="5855C593" w14:textId="30E1C880"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0.87%</w:t>
            </w:r>
          </w:p>
        </w:tc>
        <w:tc>
          <w:tcPr>
            <w:tcW w:w="990" w:type="dxa"/>
            <w:shd w:val="clear" w:color="auto" w:fill="auto"/>
            <w:noWrap/>
            <w:vAlign w:val="bottom"/>
          </w:tcPr>
          <w:p w14:paraId="6D8973BD" w14:textId="298CD982"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826 </w:t>
            </w:r>
          </w:p>
        </w:tc>
        <w:tc>
          <w:tcPr>
            <w:tcW w:w="1080" w:type="dxa"/>
            <w:shd w:val="clear" w:color="auto" w:fill="auto"/>
            <w:noWrap/>
            <w:vAlign w:val="bottom"/>
          </w:tcPr>
          <w:p w14:paraId="4D2A039C" w14:textId="0B89B805"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1.08%</w:t>
            </w:r>
          </w:p>
        </w:tc>
        <w:tc>
          <w:tcPr>
            <w:tcW w:w="990" w:type="dxa"/>
            <w:shd w:val="clear" w:color="auto" w:fill="auto"/>
            <w:noWrap/>
            <w:vAlign w:val="bottom"/>
          </w:tcPr>
          <w:p w14:paraId="5FD94B84" w14:textId="7BD5D8D3"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776 </w:t>
            </w:r>
          </w:p>
        </w:tc>
        <w:tc>
          <w:tcPr>
            <w:tcW w:w="990" w:type="dxa"/>
            <w:shd w:val="clear" w:color="auto" w:fill="auto"/>
            <w:noWrap/>
            <w:vAlign w:val="bottom"/>
          </w:tcPr>
          <w:p w14:paraId="2E32EA9C" w14:textId="74E6D85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0.96%</w:t>
            </w:r>
          </w:p>
        </w:tc>
        <w:tc>
          <w:tcPr>
            <w:tcW w:w="717" w:type="dxa"/>
            <w:vAlign w:val="bottom"/>
          </w:tcPr>
          <w:p w14:paraId="095F6C3A" w14:textId="65E31DC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442 </w:t>
            </w:r>
          </w:p>
        </w:tc>
        <w:tc>
          <w:tcPr>
            <w:tcW w:w="875" w:type="dxa"/>
            <w:vAlign w:val="bottom"/>
          </w:tcPr>
          <w:p w14:paraId="3708F516" w14:textId="3EB95AF5"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0.72%</w:t>
            </w:r>
          </w:p>
        </w:tc>
      </w:tr>
      <w:tr w:rsidR="00090CED" w:rsidRPr="00AE324F" w14:paraId="4D22F0D0" w14:textId="6DAF1EF6" w:rsidTr="00F57A4A">
        <w:trPr>
          <w:cantSplit/>
          <w:trHeight w:val="280"/>
          <w:jc w:val="center"/>
        </w:trPr>
        <w:tc>
          <w:tcPr>
            <w:tcW w:w="2065" w:type="dxa"/>
            <w:shd w:val="clear" w:color="auto" w:fill="auto"/>
            <w:noWrap/>
            <w:vAlign w:val="bottom"/>
          </w:tcPr>
          <w:p w14:paraId="483A1AF0" w14:textId="2F95FBFD"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Hispanic</w:t>
            </w:r>
          </w:p>
        </w:tc>
        <w:tc>
          <w:tcPr>
            <w:tcW w:w="1086" w:type="dxa"/>
            <w:shd w:val="clear" w:color="auto" w:fill="auto"/>
            <w:noWrap/>
            <w:vAlign w:val="bottom"/>
          </w:tcPr>
          <w:p w14:paraId="78284220" w14:textId="1E144BD0"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1,681 </w:t>
            </w:r>
          </w:p>
        </w:tc>
        <w:tc>
          <w:tcPr>
            <w:tcW w:w="1387" w:type="dxa"/>
            <w:shd w:val="clear" w:color="auto" w:fill="auto"/>
            <w:noWrap/>
            <w:vAlign w:val="bottom"/>
          </w:tcPr>
          <w:p w14:paraId="3B7DB6C4" w14:textId="60D5B2BC"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5.68%</w:t>
            </w:r>
          </w:p>
        </w:tc>
        <w:tc>
          <w:tcPr>
            <w:tcW w:w="990" w:type="dxa"/>
            <w:shd w:val="clear" w:color="auto" w:fill="auto"/>
            <w:noWrap/>
            <w:vAlign w:val="bottom"/>
          </w:tcPr>
          <w:p w14:paraId="60D961D5" w14:textId="1B811709"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4,141 </w:t>
            </w:r>
          </w:p>
        </w:tc>
        <w:tc>
          <w:tcPr>
            <w:tcW w:w="1080" w:type="dxa"/>
            <w:shd w:val="clear" w:color="auto" w:fill="auto"/>
            <w:noWrap/>
            <w:vAlign w:val="bottom"/>
          </w:tcPr>
          <w:p w14:paraId="0E8B000C" w14:textId="3D654333"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5.41%</w:t>
            </w:r>
          </w:p>
        </w:tc>
        <w:tc>
          <w:tcPr>
            <w:tcW w:w="990" w:type="dxa"/>
            <w:shd w:val="clear" w:color="auto" w:fill="auto"/>
            <w:noWrap/>
            <w:vAlign w:val="bottom"/>
          </w:tcPr>
          <w:p w14:paraId="058D93C5" w14:textId="55EC0C4A"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4,333 </w:t>
            </w:r>
          </w:p>
        </w:tc>
        <w:tc>
          <w:tcPr>
            <w:tcW w:w="990" w:type="dxa"/>
            <w:shd w:val="clear" w:color="auto" w:fill="auto"/>
            <w:noWrap/>
            <w:vAlign w:val="bottom"/>
          </w:tcPr>
          <w:p w14:paraId="236AA404" w14:textId="57073B4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5.34%</w:t>
            </w:r>
          </w:p>
        </w:tc>
        <w:tc>
          <w:tcPr>
            <w:tcW w:w="717" w:type="dxa"/>
            <w:vAlign w:val="bottom"/>
          </w:tcPr>
          <w:p w14:paraId="00B4B48E" w14:textId="54FA8993"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3,565 </w:t>
            </w:r>
          </w:p>
        </w:tc>
        <w:tc>
          <w:tcPr>
            <w:tcW w:w="875" w:type="dxa"/>
            <w:vAlign w:val="bottom"/>
          </w:tcPr>
          <w:p w14:paraId="7243B8A1" w14:textId="67E33D5F"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5.80%</w:t>
            </w:r>
          </w:p>
        </w:tc>
      </w:tr>
      <w:tr w:rsidR="00090CED" w:rsidRPr="00AE324F" w14:paraId="106F573F" w14:textId="2B0EDCAB" w:rsidTr="00F57A4A">
        <w:trPr>
          <w:cantSplit/>
          <w:trHeight w:val="280"/>
          <w:jc w:val="center"/>
        </w:trPr>
        <w:tc>
          <w:tcPr>
            <w:tcW w:w="2065" w:type="dxa"/>
            <w:shd w:val="clear" w:color="auto" w:fill="auto"/>
            <w:noWrap/>
            <w:vAlign w:val="bottom"/>
          </w:tcPr>
          <w:p w14:paraId="507D40B7" w14:textId="5EEE8054"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Native Hawaiian or Other Pacific Islander</w:t>
            </w:r>
          </w:p>
        </w:tc>
        <w:tc>
          <w:tcPr>
            <w:tcW w:w="1086" w:type="dxa"/>
            <w:shd w:val="clear" w:color="auto" w:fill="auto"/>
            <w:noWrap/>
            <w:vAlign w:val="bottom"/>
          </w:tcPr>
          <w:p w14:paraId="70288E8F" w14:textId="0BAD2071"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16 </w:t>
            </w:r>
          </w:p>
        </w:tc>
        <w:tc>
          <w:tcPr>
            <w:tcW w:w="1387" w:type="dxa"/>
            <w:shd w:val="clear" w:color="auto" w:fill="auto"/>
            <w:noWrap/>
            <w:vAlign w:val="bottom"/>
          </w:tcPr>
          <w:p w14:paraId="5EF1FB3C" w14:textId="0136C725"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0.05%</w:t>
            </w:r>
          </w:p>
        </w:tc>
        <w:tc>
          <w:tcPr>
            <w:tcW w:w="990" w:type="dxa"/>
            <w:shd w:val="clear" w:color="auto" w:fill="auto"/>
            <w:noWrap/>
            <w:vAlign w:val="bottom"/>
          </w:tcPr>
          <w:p w14:paraId="04400D3C" w14:textId="425D80B2"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29 </w:t>
            </w:r>
          </w:p>
        </w:tc>
        <w:tc>
          <w:tcPr>
            <w:tcW w:w="1080" w:type="dxa"/>
            <w:shd w:val="clear" w:color="auto" w:fill="auto"/>
            <w:noWrap/>
            <w:vAlign w:val="bottom"/>
          </w:tcPr>
          <w:p w14:paraId="28486182" w14:textId="70CFDBE2"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0.04%</w:t>
            </w:r>
          </w:p>
        </w:tc>
        <w:tc>
          <w:tcPr>
            <w:tcW w:w="990" w:type="dxa"/>
            <w:shd w:val="clear" w:color="auto" w:fill="auto"/>
            <w:noWrap/>
            <w:vAlign w:val="bottom"/>
          </w:tcPr>
          <w:p w14:paraId="7BD1803B" w14:textId="5BA0539D"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31 </w:t>
            </w:r>
          </w:p>
        </w:tc>
        <w:tc>
          <w:tcPr>
            <w:tcW w:w="990" w:type="dxa"/>
            <w:shd w:val="clear" w:color="auto" w:fill="auto"/>
            <w:noWrap/>
            <w:vAlign w:val="bottom"/>
          </w:tcPr>
          <w:p w14:paraId="2F3146A1" w14:textId="4B7913F0"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0.04%</w:t>
            </w:r>
          </w:p>
        </w:tc>
        <w:tc>
          <w:tcPr>
            <w:tcW w:w="717" w:type="dxa"/>
            <w:vAlign w:val="bottom"/>
          </w:tcPr>
          <w:p w14:paraId="426951C4" w14:textId="2A7CB94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 xml:space="preserve">                          31 </w:t>
            </w:r>
          </w:p>
        </w:tc>
        <w:tc>
          <w:tcPr>
            <w:tcW w:w="875" w:type="dxa"/>
            <w:vAlign w:val="bottom"/>
          </w:tcPr>
          <w:p w14:paraId="7434606A" w14:textId="13B65396"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0.05%</w:t>
            </w:r>
          </w:p>
        </w:tc>
      </w:tr>
      <w:tr w:rsidR="00090CED" w:rsidRPr="00AE324F" w14:paraId="0299975A" w14:textId="1863A99D" w:rsidTr="00F57A4A">
        <w:trPr>
          <w:cantSplit/>
          <w:trHeight w:val="280"/>
          <w:jc w:val="center"/>
        </w:trPr>
        <w:tc>
          <w:tcPr>
            <w:tcW w:w="2065" w:type="dxa"/>
            <w:shd w:val="clear" w:color="auto" w:fill="auto"/>
            <w:noWrap/>
            <w:vAlign w:val="bottom"/>
          </w:tcPr>
          <w:p w14:paraId="1A72CDAD" w14:textId="5B8918E3"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Other</w:t>
            </w:r>
            <w:r w:rsidRPr="00AE324F">
              <w:rPr>
                <w:rStyle w:val="FootnoteReference"/>
                <w:rFonts w:asciiTheme="majorHAnsi" w:hAnsiTheme="majorHAnsi" w:cstheme="majorHAnsi"/>
                <w:color w:val="000000"/>
                <w:sz w:val="18"/>
                <w:szCs w:val="18"/>
              </w:rPr>
              <w:footnoteReference w:id="12"/>
            </w:r>
          </w:p>
        </w:tc>
        <w:tc>
          <w:tcPr>
            <w:tcW w:w="1086" w:type="dxa"/>
            <w:shd w:val="clear" w:color="auto" w:fill="auto"/>
            <w:noWrap/>
            <w:vAlign w:val="bottom"/>
          </w:tcPr>
          <w:p w14:paraId="41492BC2" w14:textId="0BC2332B"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1,760 </w:t>
            </w:r>
          </w:p>
        </w:tc>
        <w:tc>
          <w:tcPr>
            <w:tcW w:w="1387" w:type="dxa"/>
            <w:shd w:val="clear" w:color="auto" w:fill="auto"/>
            <w:noWrap/>
            <w:vAlign w:val="bottom"/>
          </w:tcPr>
          <w:p w14:paraId="2F207703" w14:textId="2D8278AF"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5.95%</w:t>
            </w:r>
          </w:p>
        </w:tc>
        <w:tc>
          <w:tcPr>
            <w:tcW w:w="990" w:type="dxa"/>
            <w:shd w:val="clear" w:color="auto" w:fill="auto"/>
            <w:noWrap/>
            <w:vAlign w:val="bottom"/>
          </w:tcPr>
          <w:p w14:paraId="0B827726" w14:textId="181F10FF"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4,786 </w:t>
            </w:r>
          </w:p>
        </w:tc>
        <w:tc>
          <w:tcPr>
            <w:tcW w:w="1080" w:type="dxa"/>
            <w:shd w:val="clear" w:color="auto" w:fill="auto"/>
            <w:noWrap/>
            <w:vAlign w:val="bottom"/>
          </w:tcPr>
          <w:p w14:paraId="2721A41B" w14:textId="71335D91"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6.25%</w:t>
            </w:r>
          </w:p>
        </w:tc>
        <w:tc>
          <w:tcPr>
            <w:tcW w:w="990" w:type="dxa"/>
            <w:shd w:val="clear" w:color="auto" w:fill="auto"/>
            <w:noWrap/>
            <w:vAlign w:val="bottom"/>
          </w:tcPr>
          <w:p w14:paraId="50A1553B" w14:textId="30B49AFB"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5,047 </w:t>
            </w:r>
          </w:p>
        </w:tc>
        <w:tc>
          <w:tcPr>
            <w:tcW w:w="990" w:type="dxa"/>
            <w:shd w:val="clear" w:color="auto" w:fill="auto"/>
            <w:noWrap/>
            <w:vAlign w:val="bottom"/>
          </w:tcPr>
          <w:p w14:paraId="584FA5D4" w14:textId="7EFECA88"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6.22%</w:t>
            </w:r>
          </w:p>
        </w:tc>
        <w:tc>
          <w:tcPr>
            <w:tcW w:w="717" w:type="dxa"/>
            <w:vAlign w:val="bottom"/>
          </w:tcPr>
          <w:p w14:paraId="102F6E9B" w14:textId="0DDC895A"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3,848 </w:t>
            </w:r>
          </w:p>
        </w:tc>
        <w:tc>
          <w:tcPr>
            <w:tcW w:w="875" w:type="dxa"/>
            <w:vAlign w:val="bottom"/>
          </w:tcPr>
          <w:p w14:paraId="426E9D1D" w14:textId="54B14E73"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6.26%</w:t>
            </w:r>
          </w:p>
        </w:tc>
      </w:tr>
      <w:tr w:rsidR="00090CED" w:rsidRPr="00AE324F" w14:paraId="0B00EC88" w14:textId="288E3A67" w:rsidTr="00F57A4A">
        <w:trPr>
          <w:cantSplit/>
          <w:trHeight w:val="280"/>
          <w:jc w:val="center"/>
        </w:trPr>
        <w:tc>
          <w:tcPr>
            <w:tcW w:w="2065" w:type="dxa"/>
            <w:shd w:val="clear" w:color="auto" w:fill="auto"/>
            <w:noWrap/>
            <w:vAlign w:val="bottom"/>
          </w:tcPr>
          <w:p w14:paraId="5950094C" w14:textId="7B3DC1F8" w:rsidR="00090CED" w:rsidRPr="00AE324F" w:rsidRDefault="00090CED" w:rsidP="00090CED">
            <w:pPr>
              <w:rPr>
                <w:rFonts w:asciiTheme="majorHAnsi" w:eastAsia="Verdana" w:hAnsiTheme="majorHAnsi" w:cstheme="majorHAnsi"/>
                <w:sz w:val="18"/>
                <w:szCs w:val="18"/>
              </w:rPr>
            </w:pPr>
            <w:r w:rsidRPr="00AE324F">
              <w:rPr>
                <w:rFonts w:asciiTheme="majorHAnsi" w:hAnsiTheme="majorHAnsi" w:cstheme="majorHAnsi"/>
                <w:color w:val="000000"/>
                <w:sz w:val="18"/>
                <w:szCs w:val="18"/>
              </w:rPr>
              <w:t>Unable to Obtain</w:t>
            </w:r>
            <w:r w:rsidRPr="00AE324F">
              <w:rPr>
                <w:rStyle w:val="FootnoteReference"/>
                <w:rFonts w:asciiTheme="majorHAnsi" w:hAnsiTheme="majorHAnsi" w:cstheme="majorHAnsi"/>
                <w:color w:val="000000"/>
                <w:sz w:val="18"/>
                <w:szCs w:val="18"/>
              </w:rPr>
              <w:footnoteReference w:id="13"/>
            </w:r>
          </w:p>
        </w:tc>
        <w:tc>
          <w:tcPr>
            <w:tcW w:w="1086" w:type="dxa"/>
            <w:shd w:val="clear" w:color="auto" w:fill="auto"/>
            <w:noWrap/>
            <w:vAlign w:val="bottom"/>
          </w:tcPr>
          <w:p w14:paraId="6E818BE4" w14:textId="3431C13A"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142 </w:t>
            </w:r>
          </w:p>
        </w:tc>
        <w:tc>
          <w:tcPr>
            <w:tcW w:w="1387" w:type="dxa"/>
            <w:shd w:val="clear" w:color="auto" w:fill="auto"/>
            <w:noWrap/>
            <w:vAlign w:val="bottom"/>
          </w:tcPr>
          <w:p w14:paraId="7AE08E27" w14:textId="015CABCB"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0.48%</w:t>
            </w:r>
          </w:p>
        </w:tc>
        <w:tc>
          <w:tcPr>
            <w:tcW w:w="990" w:type="dxa"/>
            <w:shd w:val="clear" w:color="auto" w:fill="auto"/>
            <w:noWrap/>
            <w:vAlign w:val="bottom"/>
          </w:tcPr>
          <w:p w14:paraId="13BA76C4" w14:textId="7ADBC26D"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789 </w:t>
            </w:r>
          </w:p>
        </w:tc>
        <w:tc>
          <w:tcPr>
            <w:tcW w:w="1080" w:type="dxa"/>
            <w:shd w:val="clear" w:color="auto" w:fill="auto"/>
            <w:noWrap/>
            <w:vAlign w:val="bottom"/>
          </w:tcPr>
          <w:p w14:paraId="736AF5C5" w14:textId="5A99763D"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1.03%</w:t>
            </w:r>
          </w:p>
        </w:tc>
        <w:tc>
          <w:tcPr>
            <w:tcW w:w="990" w:type="dxa"/>
            <w:shd w:val="clear" w:color="auto" w:fill="auto"/>
            <w:noWrap/>
            <w:vAlign w:val="bottom"/>
          </w:tcPr>
          <w:p w14:paraId="69638C16" w14:textId="1BAA6D12"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835 </w:t>
            </w:r>
          </w:p>
        </w:tc>
        <w:tc>
          <w:tcPr>
            <w:tcW w:w="990" w:type="dxa"/>
            <w:shd w:val="clear" w:color="auto" w:fill="auto"/>
            <w:noWrap/>
            <w:vAlign w:val="bottom"/>
          </w:tcPr>
          <w:p w14:paraId="2B021C35" w14:textId="0FACB646"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1.03%</w:t>
            </w:r>
          </w:p>
        </w:tc>
        <w:tc>
          <w:tcPr>
            <w:tcW w:w="717" w:type="dxa"/>
            <w:vAlign w:val="bottom"/>
          </w:tcPr>
          <w:p w14:paraId="1674F7BB" w14:textId="608DE9C8"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700 </w:t>
            </w:r>
          </w:p>
        </w:tc>
        <w:tc>
          <w:tcPr>
            <w:tcW w:w="875" w:type="dxa"/>
            <w:vAlign w:val="bottom"/>
          </w:tcPr>
          <w:p w14:paraId="7363453A" w14:textId="311B6B05"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1.14%</w:t>
            </w:r>
          </w:p>
        </w:tc>
      </w:tr>
      <w:tr w:rsidR="00090CED" w:rsidRPr="00AE324F" w14:paraId="0E4FD907" w14:textId="4263AAAC" w:rsidTr="00F57A4A">
        <w:trPr>
          <w:cantSplit/>
          <w:trHeight w:val="280"/>
          <w:jc w:val="center"/>
        </w:trPr>
        <w:tc>
          <w:tcPr>
            <w:tcW w:w="2065" w:type="dxa"/>
            <w:shd w:val="clear" w:color="auto" w:fill="auto"/>
            <w:noWrap/>
            <w:vAlign w:val="bottom"/>
          </w:tcPr>
          <w:p w14:paraId="3D7ED7A0" w14:textId="39A28379" w:rsidR="00090CED" w:rsidRPr="00AE324F" w:rsidRDefault="00090CED" w:rsidP="00090CED">
            <w:pPr>
              <w:rPr>
                <w:rFonts w:asciiTheme="majorHAnsi" w:hAnsiTheme="majorHAnsi" w:cstheme="majorHAnsi"/>
                <w:color w:val="000000"/>
                <w:sz w:val="18"/>
                <w:szCs w:val="18"/>
              </w:rPr>
            </w:pPr>
            <w:r w:rsidRPr="00AE324F">
              <w:rPr>
                <w:rFonts w:asciiTheme="majorHAnsi" w:hAnsiTheme="majorHAnsi" w:cstheme="majorHAnsi"/>
                <w:color w:val="000000"/>
                <w:sz w:val="18"/>
                <w:szCs w:val="18"/>
              </w:rPr>
              <w:t>White</w:t>
            </w:r>
          </w:p>
        </w:tc>
        <w:tc>
          <w:tcPr>
            <w:tcW w:w="1086" w:type="dxa"/>
            <w:shd w:val="clear" w:color="auto" w:fill="auto"/>
            <w:noWrap/>
            <w:vAlign w:val="bottom"/>
          </w:tcPr>
          <w:p w14:paraId="4622F422" w14:textId="73CEA848"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18,695 </w:t>
            </w:r>
          </w:p>
        </w:tc>
        <w:tc>
          <w:tcPr>
            <w:tcW w:w="1387" w:type="dxa"/>
            <w:shd w:val="clear" w:color="auto" w:fill="auto"/>
            <w:noWrap/>
            <w:vAlign w:val="bottom"/>
          </w:tcPr>
          <w:p w14:paraId="45FCA27B" w14:textId="5B373E08"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63.18%</w:t>
            </w:r>
          </w:p>
        </w:tc>
        <w:tc>
          <w:tcPr>
            <w:tcW w:w="990" w:type="dxa"/>
            <w:shd w:val="clear" w:color="auto" w:fill="auto"/>
            <w:noWrap/>
            <w:vAlign w:val="bottom"/>
          </w:tcPr>
          <w:p w14:paraId="07F21244" w14:textId="5BBECDDA"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48,416 </w:t>
            </w:r>
          </w:p>
        </w:tc>
        <w:tc>
          <w:tcPr>
            <w:tcW w:w="1080" w:type="dxa"/>
            <w:shd w:val="clear" w:color="auto" w:fill="auto"/>
            <w:noWrap/>
            <w:vAlign w:val="bottom"/>
          </w:tcPr>
          <w:p w14:paraId="6CB37C6A" w14:textId="4C59F806"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63.22%</w:t>
            </w:r>
          </w:p>
        </w:tc>
        <w:tc>
          <w:tcPr>
            <w:tcW w:w="990" w:type="dxa"/>
            <w:shd w:val="clear" w:color="auto" w:fill="auto"/>
            <w:noWrap/>
            <w:vAlign w:val="bottom"/>
          </w:tcPr>
          <w:p w14:paraId="3CB8D3D0" w14:textId="742715DD"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50,998 </w:t>
            </w:r>
          </w:p>
        </w:tc>
        <w:tc>
          <w:tcPr>
            <w:tcW w:w="990" w:type="dxa"/>
            <w:shd w:val="clear" w:color="auto" w:fill="auto"/>
            <w:noWrap/>
            <w:vAlign w:val="bottom"/>
          </w:tcPr>
          <w:p w14:paraId="19A29C38" w14:textId="6FD96070"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62.89%</w:t>
            </w:r>
          </w:p>
        </w:tc>
        <w:tc>
          <w:tcPr>
            <w:tcW w:w="717" w:type="dxa"/>
            <w:vAlign w:val="bottom"/>
          </w:tcPr>
          <w:p w14:paraId="4B54DD62" w14:textId="3F4E7E50"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 xml:space="preserve">                   37,958 </w:t>
            </w:r>
          </w:p>
        </w:tc>
        <w:tc>
          <w:tcPr>
            <w:tcW w:w="875" w:type="dxa"/>
            <w:vAlign w:val="bottom"/>
          </w:tcPr>
          <w:p w14:paraId="049751D8" w14:textId="03E55F1C"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61.78%</w:t>
            </w:r>
          </w:p>
        </w:tc>
      </w:tr>
      <w:tr w:rsidR="00090CED" w:rsidRPr="00AE324F" w14:paraId="543E4443" w14:textId="4AC7129D" w:rsidTr="00F57A4A">
        <w:trPr>
          <w:cantSplit/>
          <w:trHeight w:val="280"/>
          <w:jc w:val="center"/>
        </w:trPr>
        <w:tc>
          <w:tcPr>
            <w:tcW w:w="2065" w:type="dxa"/>
            <w:shd w:val="clear" w:color="auto" w:fill="E2EFD9" w:themeFill="accent6" w:themeFillTint="33"/>
            <w:noWrap/>
            <w:vAlign w:val="bottom"/>
          </w:tcPr>
          <w:p w14:paraId="34D6ACC2" w14:textId="77777777" w:rsidR="00090CED" w:rsidRPr="00AE324F" w:rsidRDefault="00090CED" w:rsidP="00090CED">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Total</w:t>
            </w:r>
          </w:p>
        </w:tc>
        <w:tc>
          <w:tcPr>
            <w:tcW w:w="1086" w:type="dxa"/>
            <w:shd w:val="clear" w:color="auto" w:fill="E2EFD9" w:themeFill="accent6" w:themeFillTint="33"/>
            <w:noWrap/>
            <w:vAlign w:val="bottom"/>
          </w:tcPr>
          <w:p w14:paraId="2AAE56B6" w14:textId="279B9889" w:rsidR="00090CED" w:rsidRPr="002B01A1" w:rsidRDefault="00090CED" w:rsidP="00090CED">
            <w:pPr>
              <w:jc w:val="center"/>
              <w:rPr>
                <w:rFonts w:asciiTheme="majorHAnsi" w:eastAsia="Verdana" w:hAnsiTheme="majorHAnsi" w:cstheme="majorHAnsi"/>
                <w:sz w:val="18"/>
                <w:szCs w:val="18"/>
                <w:highlight w:val="yellow"/>
              </w:rPr>
            </w:pPr>
            <w:r w:rsidRPr="002B01A1">
              <w:rPr>
                <w:rFonts w:asciiTheme="majorHAnsi" w:eastAsia="Verdana" w:hAnsiTheme="majorHAnsi" w:cstheme="majorHAnsi"/>
                <w:sz w:val="18"/>
                <w:szCs w:val="18"/>
              </w:rPr>
              <w:t>29,588</w:t>
            </w:r>
          </w:p>
        </w:tc>
        <w:tc>
          <w:tcPr>
            <w:tcW w:w="1387" w:type="dxa"/>
            <w:shd w:val="clear" w:color="auto" w:fill="E2EFD9" w:themeFill="accent6" w:themeFillTint="33"/>
            <w:noWrap/>
            <w:vAlign w:val="bottom"/>
          </w:tcPr>
          <w:p w14:paraId="7D413B7C"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c>
          <w:tcPr>
            <w:tcW w:w="990" w:type="dxa"/>
            <w:shd w:val="clear" w:color="auto" w:fill="E2EFD9" w:themeFill="accent6" w:themeFillTint="33"/>
            <w:noWrap/>
            <w:vAlign w:val="bottom"/>
          </w:tcPr>
          <w:p w14:paraId="4A940D2A" w14:textId="5C65495F"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76,588</w:t>
            </w:r>
          </w:p>
        </w:tc>
        <w:tc>
          <w:tcPr>
            <w:tcW w:w="1080" w:type="dxa"/>
            <w:shd w:val="clear" w:color="auto" w:fill="E2EFD9" w:themeFill="accent6" w:themeFillTint="33"/>
            <w:noWrap/>
            <w:vAlign w:val="bottom"/>
          </w:tcPr>
          <w:p w14:paraId="2CC9EDAF"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c>
          <w:tcPr>
            <w:tcW w:w="990" w:type="dxa"/>
            <w:shd w:val="clear" w:color="auto" w:fill="E2EFD9" w:themeFill="accent6" w:themeFillTint="33"/>
            <w:noWrap/>
            <w:vAlign w:val="bottom"/>
          </w:tcPr>
          <w:p w14:paraId="59B01BDA" w14:textId="371514D7" w:rsidR="00090CED" w:rsidRPr="002B01A1" w:rsidRDefault="00090CED" w:rsidP="00090CED">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81,086</w:t>
            </w:r>
          </w:p>
        </w:tc>
        <w:tc>
          <w:tcPr>
            <w:tcW w:w="990" w:type="dxa"/>
            <w:shd w:val="clear" w:color="auto" w:fill="E2EFD9" w:themeFill="accent6" w:themeFillTint="33"/>
            <w:noWrap/>
            <w:vAlign w:val="bottom"/>
          </w:tcPr>
          <w:p w14:paraId="54296CC2" w14:textId="77777777" w:rsidR="00090CED" w:rsidRPr="002B01A1" w:rsidRDefault="00090CED" w:rsidP="00090CED">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c>
          <w:tcPr>
            <w:tcW w:w="717" w:type="dxa"/>
            <w:shd w:val="clear" w:color="auto" w:fill="E2EFD9" w:themeFill="accent6" w:themeFillTint="33"/>
          </w:tcPr>
          <w:p w14:paraId="54D0216E" w14:textId="61DC4CC6" w:rsidR="00090CED" w:rsidRPr="002B01A1" w:rsidRDefault="00090CED" w:rsidP="00090CED">
            <w:pPr>
              <w:jc w:val="center"/>
              <w:rPr>
                <w:rFonts w:asciiTheme="majorHAnsi" w:hAnsiTheme="majorHAnsi" w:cstheme="majorHAnsi"/>
                <w:color w:val="000000"/>
                <w:sz w:val="18"/>
                <w:szCs w:val="18"/>
              </w:rPr>
            </w:pPr>
            <w:r w:rsidRPr="002B01A1">
              <w:rPr>
                <w:rFonts w:asciiTheme="majorHAnsi" w:eastAsia="Verdana" w:hAnsiTheme="majorHAnsi" w:cstheme="majorHAnsi"/>
                <w:sz w:val="18"/>
                <w:szCs w:val="18"/>
              </w:rPr>
              <w:t>61,437</w:t>
            </w:r>
          </w:p>
        </w:tc>
        <w:tc>
          <w:tcPr>
            <w:tcW w:w="875" w:type="dxa"/>
            <w:shd w:val="clear" w:color="auto" w:fill="E2EFD9" w:themeFill="accent6" w:themeFillTint="33"/>
          </w:tcPr>
          <w:p w14:paraId="5221E448" w14:textId="5CE73827" w:rsidR="00090CED" w:rsidRPr="002B01A1" w:rsidRDefault="00090CED" w:rsidP="00090CED">
            <w:pPr>
              <w:jc w:val="center"/>
              <w:rPr>
                <w:rFonts w:asciiTheme="majorHAnsi" w:hAnsiTheme="majorHAnsi" w:cstheme="majorHAnsi"/>
                <w:color w:val="000000"/>
                <w:sz w:val="18"/>
                <w:szCs w:val="18"/>
              </w:rPr>
            </w:pPr>
            <w:r w:rsidRPr="002B01A1">
              <w:rPr>
                <w:rFonts w:asciiTheme="majorHAnsi" w:hAnsiTheme="majorHAnsi" w:cstheme="majorHAnsi"/>
                <w:color w:val="000000"/>
                <w:sz w:val="18"/>
                <w:szCs w:val="18"/>
              </w:rPr>
              <w:t>100.00%</w:t>
            </w:r>
          </w:p>
        </w:tc>
      </w:tr>
      <w:bookmarkEnd w:id="3"/>
    </w:tbl>
    <w:p w14:paraId="346D62B4" w14:textId="3D698C81" w:rsidR="000164AC" w:rsidRDefault="000164AC" w:rsidP="00A56746">
      <w:pPr>
        <w:spacing w:after="0" w:line="240" w:lineRule="auto"/>
        <w:ind w:left="720"/>
        <w:jc w:val="both"/>
        <w:rPr>
          <w:rFonts w:asciiTheme="majorHAnsi" w:eastAsia="Times New Roman" w:hAnsiTheme="majorHAnsi" w:cstheme="majorHAnsi"/>
          <w:kern w:val="2"/>
          <w:sz w:val="20"/>
          <w:szCs w:val="20"/>
        </w:rPr>
      </w:pPr>
    </w:p>
    <w:p w14:paraId="15400ADB" w14:textId="54ED2CCE" w:rsidR="008C781B" w:rsidRDefault="008C781B" w:rsidP="00A56746">
      <w:pPr>
        <w:spacing w:after="0" w:line="240" w:lineRule="auto"/>
        <w:ind w:left="720"/>
        <w:jc w:val="both"/>
        <w:rPr>
          <w:rFonts w:asciiTheme="majorHAnsi" w:eastAsia="Times New Roman" w:hAnsiTheme="majorHAnsi" w:cstheme="majorHAnsi"/>
          <w:kern w:val="2"/>
          <w:sz w:val="20"/>
          <w:szCs w:val="20"/>
        </w:rPr>
      </w:pPr>
    </w:p>
    <w:p w14:paraId="29DCABFC" w14:textId="11BEB186" w:rsidR="008C781B" w:rsidRDefault="008C781B" w:rsidP="00A56746">
      <w:pPr>
        <w:spacing w:after="0" w:line="240" w:lineRule="auto"/>
        <w:ind w:left="720"/>
        <w:jc w:val="both"/>
        <w:rPr>
          <w:rFonts w:asciiTheme="majorHAnsi" w:eastAsia="Times New Roman" w:hAnsiTheme="majorHAnsi" w:cstheme="majorHAnsi"/>
          <w:kern w:val="2"/>
          <w:sz w:val="20"/>
          <w:szCs w:val="20"/>
        </w:rPr>
      </w:pPr>
    </w:p>
    <w:p w14:paraId="5BAD2663" w14:textId="1CA69376" w:rsidR="008C781B" w:rsidRDefault="008C781B" w:rsidP="00A56746">
      <w:pPr>
        <w:spacing w:after="0" w:line="240" w:lineRule="auto"/>
        <w:ind w:left="720"/>
        <w:jc w:val="both"/>
        <w:rPr>
          <w:rFonts w:asciiTheme="majorHAnsi" w:eastAsia="Times New Roman" w:hAnsiTheme="majorHAnsi" w:cstheme="majorHAnsi"/>
          <w:kern w:val="2"/>
          <w:sz w:val="20"/>
          <w:szCs w:val="20"/>
        </w:rPr>
      </w:pPr>
    </w:p>
    <w:p w14:paraId="3D73D422" w14:textId="77777777" w:rsidR="008C781B" w:rsidRPr="00AE324F" w:rsidRDefault="008C781B" w:rsidP="00A56746">
      <w:pPr>
        <w:spacing w:after="0" w:line="240" w:lineRule="auto"/>
        <w:ind w:left="720"/>
        <w:jc w:val="both"/>
        <w:rPr>
          <w:rFonts w:asciiTheme="majorHAnsi" w:eastAsia="Times New Roman" w:hAnsiTheme="majorHAnsi" w:cstheme="majorHAnsi"/>
          <w:kern w:val="2"/>
          <w:sz w:val="20"/>
          <w:szCs w:val="20"/>
        </w:rPr>
      </w:pPr>
    </w:p>
    <w:tbl>
      <w:tblPr>
        <w:tblStyle w:val="TableGrid"/>
        <w:tblW w:w="5216" w:type="dxa"/>
        <w:jc w:val="center"/>
        <w:tblLook w:val="04A0" w:firstRow="1" w:lastRow="0" w:firstColumn="1" w:lastColumn="0" w:noHBand="0" w:noVBand="1"/>
      </w:tblPr>
      <w:tblGrid>
        <w:gridCol w:w="2156"/>
        <w:gridCol w:w="1080"/>
        <w:gridCol w:w="990"/>
        <w:gridCol w:w="990"/>
      </w:tblGrid>
      <w:tr w:rsidR="007145AD" w:rsidRPr="00AE324F" w14:paraId="7A085464" w14:textId="77777777" w:rsidTr="00456782">
        <w:trPr>
          <w:cantSplit/>
          <w:trHeight w:val="280"/>
          <w:tblHeader/>
          <w:jc w:val="center"/>
        </w:trPr>
        <w:tc>
          <w:tcPr>
            <w:tcW w:w="2156" w:type="dxa"/>
            <w:shd w:val="clear" w:color="auto" w:fill="DEEAF6" w:themeFill="accent5" w:themeFillTint="33"/>
            <w:noWrap/>
            <w:vAlign w:val="bottom"/>
          </w:tcPr>
          <w:p w14:paraId="116BF709" w14:textId="77777777" w:rsidR="007145AD" w:rsidRPr="00AE324F" w:rsidRDefault="007145AD" w:rsidP="001D5FE3">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Payer</w:t>
            </w:r>
          </w:p>
        </w:tc>
        <w:tc>
          <w:tcPr>
            <w:tcW w:w="1080" w:type="dxa"/>
            <w:shd w:val="clear" w:color="auto" w:fill="DEEAF6" w:themeFill="accent5" w:themeFillTint="33"/>
            <w:noWrap/>
            <w:vAlign w:val="bottom"/>
          </w:tcPr>
          <w:p w14:paraId="75F0C5A5" w14:textId="77777777" w:rsidR="007145AD" w:rsidRPr="00AE324F" w:rsidRDefault="007145AD"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FY19</w:t>
            </w:r>
          </w:p>
        </w:tc>
        <w:tc>
          <w:tcPr>
            <w:tcW w:w="990" w:type="dxa"/>
            <w:shd w:val="clear" w:color="auto" w:fill="DEEAF6" w:themeFill="accent5" w:themeFillTint="33"/>
            <w:noWrap/>
            <w:vAlign w:val="bottom"/>
          </w:tcPr>
          <w:p w14:paraId="30DB3FAE" w14:textId="77777777" w:rsidR="007145AD" w:rsidRPr="00AE324F" w:rsidRDefault="007145AD"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FY20</w:t>
            </w:r>
          </w:p>
        </w:tc>
        <w:tc>
          <w:tcPr>
            <w:tcW w:w="990" w:type="dxa"/>
            <w:shd w:val="clear" w:color="auto" w:fill="DEEAF6" w:themeFill="accent5" w:themeFillTint="33"/>
            <w:noWrap/>
            <w:vAlign w:val="bottom"/>
          </w:tcPr>
          <w:p w14:paraId="6626D00C" w14:textId="77777777" w:rsidR="007145AD" w:rsidRPr="00AE324F" w:rsidRDefault="007145AD"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FY21</w:t>
            </w:r>
          </w:p>
        </w:tc>
      </w:tr>
      <w:tr w:rsidR="007145AD" w:rsidRPr="00AE324F" w14:paraId="5923EF03" w14:textId="77777777" w:rsidTr="00456782">
        <w:trPr>
          <w:cantSplit/>
          <w:trHeight w:val="280"/>
          <w:jc w:val="center"/>
        </w:trPr>
        <w:tc>
          <w:tcPr>
            <w:tcW w:w="2156" w:type="dxa"/>
            <w:shd w:val="clear" w:color="auto" w:fill="auto"/>
            <w:noWrap/>
            <w:vAlign w:val="bottom"/>
          </w:tcPr>
          <w:p w14:paraId="18ADE784" w14:textId="77777777" w:rsidR="007145AD" w:rsidRPr="00AE324F" w:rsidRDefault="007145AD" w:rsidP="005A0AAD">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PPO/Indemnity</w:t>
            </w:r>
          </w:p>
        </w:tc>
        <w:tc>
          <w:tcPr>
            <w:tcW w:w="1080" w:type="dxa"/>
            <w:shd w:val="clear" w:color="auto" w:fill="auto"/>
            <w:noWrap/>
            <w:vAlign w:val="center"/>
          </w:tcPr>
          <w:p w14:paraId="62976D8C" w14:textId="77777777" w:rsidR="007145AD" w:rsidRPr="00AE324F" w:rsidRDefault="007145AD" w:rsidP="005A0AAD">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12.33%</w:t>
            </w:r>
          </w:p>
        </w:tc>
        <w:tc>
          <w:tcPr>
            <w:tcW w:w="990" w:type="dxa"/>
            <w:shd w:val="clear" w:color="auto" w:fill="auto"/>
            <w:noWrap/>
            <w:vAlign w:val="center"/>
          </w:tcPr>
          <w:p w14:paraId="66526F58"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12.77%</w:t>
            </w:r>
          </w:p>
        </w:tc>
        <w:tc>
          <w:tcPr>
            <w:tcW w:w="990" w:type="dxa"/>
            <w:shd w:val="clear" w:color="auto" w:fill="auto"/>
            <w:noWrap/>
            <w:vAlign w:val="center"/>
          </w:tcPr>
          <w:p w14:paraId="03867ADC"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12.91%</w:t>
            </w:r>
          </w:p>
        </w:tc>
      </w:tr>
      <w:tr w:rsidR="007145AD" w:rsidRPr="00AE324F" w14:paraId="6C1E345D" w14:textId="77777777" w:rsidTr="00456782">
        <w:trPr>
          <w:cantSplit/>
          <w:trHeight w:val="280"/>
          <w:jc w:val="center"/>
        </w:trPr>
        <w:tc>
          <w:tcPr>
            <w:tcW w:w="2156" w:type="dxa"/>
            <w:shd w:val="clear" w:color="auto" w:fill="auto"/>
            <w:noWrap/>
            <w:vAlign w:val="bottom"/>
          </w:tcPr>
          <w:p w14:paraId="255C9390" w14:textId="77777777" w:rsidR="007145AD" w:rsidRPr="00AE324F" w:rsidRDefault="007145AD" w:rsidP="005A0AAD">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HMO/POS</w:t>
            </w:r>
          </w:p>
        </w:tc>
        <w:tc>
          <w:tcPr>
            <w:tcW w:w="1080" w:type="dxa"/>
            <w:shd w:val="clear" w:color="auto" w:fill="auto"/>
            <w:noWrap/>
            <w:vAlign w:val="center"/>
          </w:tcPr>
          <w:p w14:paraId="6B95CBEF"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13.08%</w:t>
            </w:r>
          </w:p>
        </w:tc>
        <w:tc>
          <w:tcPr>
            <w:tcW w:w="990" w:type="dxa"/>
            <w:shd w:val="clear" w:color="auto" w:fill="auto"/>
            <w:noWrap/>
            <w:vAlign w:val="center"/>
          </w:tcPr>
          <w:p w14:paraId="6CBD7ABF"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13.32%</w:t>
            </w:r>
          </w:p>
        </w:tc>
        <w:tc>
          <w:tcPr>
            <w:tcW w:w="990" w:type="dxa"/>
            <w:shd w:val="clear" w:color="auto" w:fill="auto"/>
            <w:noWrap/>
            <w:vAlign w:val="center"/>
          </w:tcPr>
          <w:p w14:paraId="3C1AD305"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12.80%</w:t>
            </w:r>
          </w:p>
        </w:tc>
      </w:tr>
      <w:tr w:rsidR="007145AD" w:rsidRPr="00AE324F" w14:paraId="3F040814" w14:textId="77777777" w:rsidTr="00456782">
        <w:trPr>
          <w:cantSplit/>
          <w:trHeight w:val="280"/>
          <w:jc w:val="center"/>
        </w:trPr>
        <w:tc>
          <w:tcPr>
            <w:tcW w:w="2156" w:type="dxa"/>
            <w:shd w:val="clear" w:color="auto" w:fill="auto"/>
            <w:noWrap/>
            <w:vAlign w:val="bottom"/>
          </w:tcPr>
          <w:p w14:paraId="7ACF1C80" w14:textId="77777777" w:rsidR="007145AD" w:rsidRPr="00AE324F" w:rsidRDefault="007145AD" w:rsidP="005A0AAD">
            <w:pPr>
              <w:rPr>
                <w:rFonts w:asciiTheme="majorHAnsi" w:eastAsia="Verdana" w:hAnsiTheme="majorHAnsi" w:cstheme="majorHAnsi"/>
                <w:sz w:val="18"/>
                <w:szCs w:val="18"/>
              </w:rPr>
            </w:pPr>
            <w:r w:rsidRPr="00AE324F">
              <w:rPr>
                <w:rFonts w:asciiTheme="majorHAnsi" w:hAnsiTheme="majorHAnsi" w:cstheme="majorHAnsi"/>
                <w:color w:val="000000"/>
                <w:sz w:val="18"/>
                <w:szCs w:val="18"/>
              </w:rPr>
              <w:t>MassHealth</w:t>
            </w:r>
          </w:p>
        </w:tc>
        <w:tc>
          <w:tcPr>
            <w:tcW w:w="1080" w:type="dxa"/>
            <w:shd w:val="clear" w:color="auto" w:fill="auto"/>
            <w:noWrap/>
            <w:vAlign w:val="center"/>
          </w:tcPr>
          <w:p w14:paraId="76854DD0"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13.82%</w:t>
            </w:r>
          </w:p>
        </w:tc>
        <w:tc>
          <w:tcPr>
            <w:tcW w:w="990" w:type="dxa"/>
            <w:shd w:val="clear" w:color="auto" w:fill="auto"/>
            <w:noWrap/>
            <w:vAlign w:val="center"/>
          </w:tcPr>
          <w:p w14:paraId="73071361"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13.04%</w:t>
            </w:r>
          </w:p>
        </w:tc>
        <w:tc>
          <w:tcPr>
            <w:tcW w:w="990" w:type="dxa"/>
            <w:shd w:val="clear" w:color="auto" w:fill="auto"/>
            <w:noWrap/>
            <w:vAlign w:val="center"/>
          </w:tcPr>
          <w:p w14:paraId="717F62F3"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13.29%</w:t>
            </w:r>
          </w:p>
        </w:tc>
      </w:tr>
      <w:tr w:rsidR="007145AD" w:rsidRPr="00AE324F" w14:paraId="78A9E953" w14:textId="77777777" w:rsidTr="00456782">
        <w:trPr>
          <w:cantSplit/>
          <w:trHeight w:val="280"/>
          <w:jc w:val="center"/>
        </w:trPr>
        <w:tc>
          <w:tcPr>
            <w:tcW w:w="2156" w:type="dxa"/>
            <w:shd w:val="clear" w:color="auto" w:fill="auto"/>
            <w:noWrap/>
            <w:vAlign w:val="bottom"/>
          </w:tcPr>
          <w:p w14:paraId="3535B763" w14:textId="77777777" w:rsidR="007145AD" w:rsidRPr="00AE324F" w:rsidRDefault="007145AD" w:rsidP="005A0AAD">
            <w:pPr>
              <w:rPr>
                <w:rFonts w:asciiTheme="majorHAnsi" w:eastAsia="Verdana" w:hAnsiTheme="majorHAnsi" w:cstheme="majorHAnsi"/>
                <w:sz w:val="18"/>
                <w:szCs w:val="18"/>
              </w:rPr>
            </w:pPr>
            <w:r w:rsidRPr="00AE324F">
              <w:rPr>
                <w:rFonts w:asciiTheme="majorHAnsi" w:hAnsiTheme="majorHAnsi" w:cstheme="majorHAnsi"/>
                <w:color w:val="000000"/>
                <w:sz w:val="18"/>
                <w:szCs w:val="18"/>
              </w:rPr>
              <w:t>Managed Medicaid</w:t>
            </w:r>
          </w:p>
        </w:tc>
        <w:tc>
          <w:tcPr>
            <w:tcW w:w="1080" w:type="dxa"/>
            <w:shd w:val="clear" w:color="auto" w:fill="auto"/>
            <w:noWrap/>
            <w:vAlign w:val="center"/>
          </w:tcPr>
          <w:p w14:paraId="68C92DA6"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4.88%</w:t>
            </w:r>
          </w:p>
        </w:tc>
        <w:tc>
          <w:tcPr>
            <w:tcW w:w="990" w:type="dxa"/>
            <w:shd w:val="clear" w:color="auto" w:fill="auto"/>
            <w:noWrap/>
            <w:vAlign w:val="center"/>
          </w:tcPr>
          <w:p w14:paraId="08E92D99"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5.29%</w:t>
            </w:r>
          </w:p>
        </w:tc>
        <w:tc>
          <w:tcPr>
            <w:tcW w:w="990" w:type="dxa"/>
            <w:shd w:val="clear" w:color="auto" w:fill="auto"/>
            <w:noWrap/>
            <w:vAlign w:val="center"/>
          </w:tcPr>
          <w:p w14:paraId="7486F675"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5.08%</w:t>
            </w:r>
          </w:p>
        </w:tc>
      </w:tr>
      <w:tr w:rsidR="007145AD" w:rsidRPr="00AE324F" w14:paraId="7493B06D" w14:textId="77777777" w:rsidTr="00456782">
        <w:trPr>
          <w:cantSplit/>
          <w:trHeight w:val="280"/>
          <w:jc w:val="center"/>
        </w:trPr>
        <w:tc>
          <w:tcPr>
            <w:tcW w:w="2156" w:type="dxa"/>
            <w:shd w:val="clear" w:color="auto" w:fill="auto"/>
            <w:noWrap/>
            <w:vAlign w:val="bottom"/>
          </w:tcPr>
          <w:p w14:paraId="63D099D7" w14:textId="77777777" w:rsidR="007145AD" w:rsidRPr="00AE324F" w:rsidRDefault="007145AD" w:rsidP="005A0AAD">
            <w:pPr>
              <w:rPr>
                <w:rFonts w:asciiTheme="majorHAnsi" w:eastAsia="Verdana" w:hAnsiTheme="majorHAnsi" w:cstheme="majorHAnsi"/>
                <w:sz w:val="18"/>
                <w:szCs w:val="18"/>
              </w:rPr>
            </w:pPr>
            <w:r w:rsidRPr="00AE324F">
              <w:rPr>
                <w:rFonts w:asciiTheme="majorHAnsi" w:hAnsiTheme="majorHAnsi" w:cstheme="majorHAnsi"/>
                <w:color w:val="000000"/>
                <w:sz w:val="18"/>
                <w:szCs w:val="18"/>
              </w:rPr>
              <w:t>Commercial Medicare</w:t>
            </w:r>
          </w:p>
        </w:tc>
        <w:tc>
          <w:tcPr>
            <w:tcW w:w="1080" w:type="dxa"/>
            <w:shd w:val="clear" w:color="auto" w:fill="auto"/>
            <w:noWrap/>
            <w:vAlign w:val="center"/>
          </w:tcPr>
          <w:p w14:paraId="54AABF5F"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12.28%</w:t>
            </w:r>
          </w:p>
        </w:tc>
        <w:tc>
          <w:tcPr>
            <w:tcW w:w="990" w:type="dxa"/>
            <w:shd w:val="clear" w:color="auto" w:fill="auto"/>
            <w:noWrap/>
            <w:vAlign w:val="center"/>
          </w:tcPr>
          <w:p w14:paraId="357C796D"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12.76%</w:t>
            </w:r>
          </w:p>
        </w:tc>
        <w:tc>
          <w:tcPr>
            <w:tcW w:w="990" w:type="dxa"/>
            <w:shd w:val="clear" w:color="auto" w:fill="auto"/>
            <w:noWrap/>
            <w:vAlign w:val="center"/>
          </w:tcPr>
          <w:p w14:paraId="034B233E"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15.17%</w:t>
            </w:r>
          </w:p>
        </w:tc>
      </w:tr>
      <w:tr w:rsidR="007145AD" w:rsidRPr="00A56746" w14:paraId="3712306F" w14:textId="77777777" w:rsidTr="00456782">
        <w:trPr>
          <w:cantSplit/>
          <w:trHeight w:val="280"/>
          <w:jc w:val="center"/>
        </w:trPr>
        <w:tc>
          <w:tcPr>
            <w:tcW w:w="2156" w:type="dxa"/>
            <w:shd w:val="clear" w:color="auto" w:fill="auto"/>
            <w:noWrap/>
            <w:vAlign w:val="bottom"/>
          </w:tcPr>
          <w:p w14:paraId="7681F254" w14:textId="77777777" w:rsidR="007145AD" w:rsidRPr="00321095" w:rsidRDefault="007145AD" w:rsidP="005A0AAD">
            <w:pPr>
              <w:rPr>
                <w:rFonts w:asciiTheme="majorHAnsi" w:eastAsia="Verdana" w:hAnsiTheme="majorHAnsi" w:cstheme="majorHAnsi"/>
                <w:sz w:val="18"/>
                <w:szCs w:val="18"/>
              </w:rPr>
            </w:pPr>
            <w:r w:rsidRPr="00321095">
              <w:rPr>
                <w:rFonts w:asciiTheme="majorHAnsi" w:hAnsiTheme="majorHAnsi" w:cstheme="majorHAnsi"/>
                <w:color w:val="000000"/>
                <w:sz w:val="18"/>
                <w:szCs w:val="18"/>
              </w:rPr>
              <w:t>Medicare FFS</w:t>
            </w:r>
          </w:p>
        </w:tc>
        <w:tc>
          <w:tcPr>
            <w:tcW w:w="1080" w:type="dxa"/>
            <w:shd w:val="clear" w:color="auto" w:fill="auto"/>
            <w:noWrap/>
            <w:vAlign w:val="center"/>
          </w:tcPr>
          <w:p w14:paraId="723A85BC"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36.04%</w:t>
            </w:r>
          </w:p>
        </w:tc>
        <w:tc>
          <w:tcPr>
            <w:tcW w:w="990" w:type="dxa"/>
            <w:shd w:val="clear" w:color="auto" w:fill="auto"/>
            <w:noWrap/>
            <w:vAlign w:val="center"/>
          </w:tcPr>
          <w:p w14:paraId="4A297C00"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35.45%</w:t>
            </w:r>
          </w:p>
        </w:tc>
        <w:tc>
          <w:tcPr>
            <w:tcW w:w="990" w:type="dxa"/>
            <w:shd w:val="clear" w:color="auto" w:fill="auto"/>
            <w:noWrap/>
            <w:vAlign w:val="center"/>
          </w:tcPr>
          <w:p w14:paraId="3486EBD6" w14:textId="77777777" w:rsidR="007145AD" w:rsidRPr="00AE324F" w:rsidRDefault="007145AD" w:rsidP="005A0AAD">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34.05%</w:t>
            </w:r>
          </w:p>
        </w:tc>
      </w:tr>
      <w:tr w:rsidR="007145AD" w:rsidRPr="00A56746" w14:paraId="21FA922B" w14:textId="77777777" w:rsidTr="00456782">
        <w:trPr>
          <w:cantSplit/>
          <w:trHeight w:val="280"/>
          <w:jc w:val="center"/>
        </w:trPr>
        <w:tc>
          <w:tcPr>
            <w:tcW w:w="2156" w:type="dxa"/>
            <w:shd w:val="clear" w:color="auto" w:fill="auto"/>
            <w:noWrap/>
            <w:vAlign w:val="bottom"/>
          </w:tcPr>
          <w:p w14:paraId="738954CB" w14:textId="77777777" w:rsidR="007145AD" w:rsidRPr="00321095" w:rsidRDefault="007145AD" w:rsidP="005A0AAD">
            <w:pPr>
              <w:rPr>
                <w:rFonts w:asciiTheme="majorHAnsi" w:hAnsiTheme="majorHAnsi" w:cstheme="majorHAnsi"/>
                <w:color w:val="000000"/>
                <w:sz w:val="18"/>
                <w:szCs w:val="18"/>
              </w:rPr>
            </w:pPr>
            <w:r w:rsidRPr="00321095">
              <w:rPr>
                <w:rFonts w:asciiTheme="majorHAnsi" w:hAnsiTheme="majorHAnsi" w:cstheme="majorHAnsi"/>
                <w:color w:val="000000"/>
                <w:sz w:val="18"/>
                <w:szCs w:val="18"/>
              </w:rPr>
              <w:t>All Other</w:t>
            </w:r>
            <w:r w:rsidRPr="00321095">
              <w:rPr>
                <w:rStyle w:val="FootnoteReference"/>
                <w:rFonts w:asciiTheme="majorHAnsi" w:hAnsiTheme="majorHAnsi" w:cstheme="majorHAnsi"/>
                <w:color w:val="000000"/>
                <w:sz w:val="18"/>
                <w:szCs w:val="18"/>
              </w:rPr>
              <w:footnoteReference w:id="14"/>
            </w:r>
          </w:p>
        </w:tc>
        <w:tc>
          <w:tcPr>
            <w:tcW w:w="1080" w:type="dxa"/>
            <w:shd w:val="clear" w:color="auto" w:fill="auto"/>
            <w:noWrap/>
            <w:vAlign w:val="center"/>
          </w:tcPr>
          <w:p w14:paraId="7686E3BB" w14:textId="77777777" w:rsidR="007145AD" w:rsidRPr="00AE324F" w:rsidRDefault="007145AD" w:rsidP="005A0AAD">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7.58%</w:t>
            </w:r>
          </w:p>
        </w:tc>
        <w:tc>
          <w:tcPr>
            <w:tcW w:w="990" w:type="dxa"/>
            <w:shd w:val="clear" w:color="auto" w:fill="auto"/>
            <w:noWrap/>
            <w:vAlign w:val="center"/>
          </w:tcPr>
          <w:p w14:paraId="2FDB8408" w14:textId="77777777" w:rsidR="007145AD" w:rsidRPr="00AE324F" w:rsidRDefault="007145AD" w:rsidP="005A0AAD">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7.36%</w:t>
            </w:r>
          </w:p>
        </w:tc>
        <w:tc>
          <w:tcPr>
            <w:tcW w:w="990" w:type="dxa"/>
            <w:shd w:val="clear" w:color="auto" w:fill="auto"/>
            <w:noWrap/>
            <w:vAlign w:val="center"/>
          </w:tcPr>
          <w:p w14:paraId="1364ED91" w14:textId="77777777" w:rsidR="007145AD" w:rsidRPr="00AE324F" w:rsidRDefault="007145AD" w:rsidP="005A0AAD">
            <w:pPr>
              <w:jc w:val="center"/>
              <w:rPr>
                <w:rFonts w:asciiTheme="majorHAnsi" w:hAnsiTheme="majorHAnsi" w:cstheme="majorHAnsi"/>
                <w:color w:val="000000"/>
                <w:sz w:val="18"/>
                <w:szCs w:val="18"/>
                <w:highlight w:val="yellow"/>
              </w:rPr>
            </w:pPr>
            <w:r w:rsidRPr="00AE324F">
              <w:rPr>
                <w:rFonts w:asciiTheme="majorHAnsi" w:hAnsiTheme="majorHAnsi" w:cstheme="majorHAnsi"/>
                <w:color w:val="000000"/>
                <w:sz w:val="18"/>
                <w:szCs w:val="18"/>
              </w:rPr>
              <w:t>6.71%</w:t>
            </w:r>
          </w:p>
        </w:tc>
      </w:tr>
      <w:tr w:rsidR="007145AD" w14:paraId="45C7BF81" w14:textId="77777777" w:rsidTr="00456782">
        <w:trPr>
          <w:cantSplit/>
          <w:trHeight w:val="280"/>
          <w:jc w:val="center"/>
        </w:trPr>
        <w:tc>
          <w:tcPr>
            <w:tcW w:w="2156" w:type="dxa"/>
            <w:shd w:val="clear" w:color="auto" w:fill="E2EFD9" w:themeFill="accent6" w:themeFillTint="33"/>
            <w:noWrap/>
            <w:vAlign w:val="bottom"/>
          </w:tcPr>
          <w:p w14:paraId="7457D3EA" w14:textId="77777777" w:rsidR="007145AD" w:rsidRPr="00321095" w:rsidRDefault="007145AD" w:rsidP="001D5FE3">
            <w:pPr>
              <w:jc w:val="center"/>
              <w:rPr>
                <w:rFonts w:asciiTheme="majorHAnsi" w:eastAsia="Verdana" w:hAnsiTheme="majorHAnsi" w:cstheme="majorHAnsi"/>
                <w:sz w:val="18"/>
                <w:szCs w:val="18"/>
              </w:rPr>
            </w:pPr>
            <w:r w:rsidRPr="00321095">
              <w:rPr>
                <w:rFonts w:asciiTheme="majorHAnsi" w:hAnsiTheme="majorHAnsi" w:cstheme="majorHAnsi"/>
                <w:color w:val="000000"/>
                <w:sz w:val="18"/>
                <w:szCs w:val="18"/>
              </w:rPr>
              <w:t>Total</w:t>
            </w:r>
          </w:p>
        </w:tc>
        <w:tc>
          <w:tcPr>
            <w:tcW w:w="1080" w:type="dxa"/>
            <w:shd w:val="clear" w:color="auto" w:fill="E2EFD9" w:themeFill="accent6" w:themeFillTint="33"/>
            <w:noWrap/>
            <w:vAlign w:val="bottom"/>
          </w:tcPr>
          <w:p w14:paraId="6869A6D3" w14:textId="77777777" w:rsidR="007145AD" w:rsidRPr="00321095" w:rsidRDefault="007145AD" w:rsidP="001D5FE3">
            <w:pPr>
              <w:jc w:val="center"/>
              <w:rPr>
                <w:rFonts w:ascii="Calibri" w:hAnsi="Calibri"/>
                <w:color w:val="000000"/>
                <w:sz w:val="18"/>
                <w:szCs w:val="18"/>
              </w:rPr>
            </w:pPr>
            <w:r w:rsidRPr="00321095">
              <w:rPr>
                <w:rFonts w:ascii="Calibri" w:hAnsi="Calibri"/>
                <w:color w:val="000000"/>
                <w:sz w:val="18"/>
                <w:szCs w:val="18"/>
              </w:rPr>
              <w:t>100%</w:t>
            </w:r>
          </w:p>
        </w:tc>
        <w:tc>
          <w:tcPr>
            <w:tcW w:w="990" w:type="dxa"/>
            <w:shd w:val="clear" w:color="auto" w:fill="E2EFD9" w:themeFill="accent6" w:themeFillTint="33"/>
            <w:noWrap/>
            <w:vAlign w:val="bottom"/>
          </w:tcPr>
          <w:p w14:paraId="3831DF5E" w14:textId="77777777" w:rsidR="007145AD" w:rsidRPr="00321095" w:rsidRDefault="007145AD" w:rsidP="001D5FE3">
            <w:pPr>
              <w:jc w:val="center"/>
              <w:rPr>
                <w:rFonts w:ascii="Calibri" w:hAnsi="Calibri"/>
                <w:color w:val="000000"/>
                <w:sz w:val="18"/>
                <w:szCs w:val="18"/>
              </w:rPr>
            </w:pPr>
            <w:r w:rsidRPr="00321095">
              <w:rPr>
                <w:rFonts w:ascii="Calibri" w:hAnsi="Calibri"/>
                <w:color w:val="000000"/>
                <w:sz w:val="18"/>
                <w:szCs w:val="18"/>
              </w:rPr>
              <w:t>100%</w:t>
            </w:r>
          </w:p>
        </w:tc>
        <w:tc>
          <w:tcPr>
            <w:tcW w:w="990" w:type="dxa"/>
            <w:shd w:val="clear" w:color="auto" w:fill="E2EFD9" w:themeFill="accent6" w:themeFillTint="33"/>
            <w:noWrap/>
            <w:vAlign w:val="bottom"/>
          </w:tcPr>
          <w:p w14:paraId="6C52F682" w14:textId="77777777" w:rsidR="007145AD" w:rsidRPr="00321095" w:rsidRDefault="007145AD" w:rsidP="001D5FE3">
            <w:pPr>
              <w:jc w:val="center"/>
              <w:rPr>
                <w:rFonts w:ascii="Calibri" w:hAnsi="Calibri"/>
                <w:color w:val="000000"/>
                <w:sz w:val="18"/>
                <w:szCs w:val="18"/>
              </w:rPr>
            </w:pPr>
            <w:r w:rsidRPr="00321095">
              <w:rPr>
                <w:rFonts w:ascii="Calibri" w:hAnsi="Calibri"/>
                <w:color w:val="000000"/>
                <w:sz w:val="18"/>
                <w:szCs w:val="18"/>
              </w:rPr>
              <w:t>100%</w:t>
            </w:r>
          </w:p>
        </w:tc>
      </w:tr>
    </w:tbl>
    <w:p w14:paraId="253233AE" w14:textId="16DDFBFC" w:rsidR="00B96E5F" w:rsidRDefault="00B96E5F" w:rsidP="001251B9">
      <w:pPr>
        <w:spacing w:after="0" w:line="240" w:lineRule="auto"/>
        <w:jc w:val="both"/>
        <w:rPr>
          <w:rFonts w:ascii="Arial" w:eastAsia="Times New Roman" w:hAnsi="Arial" w:cs="Arial"/>
          <w:kern w:val="2"/>
          <w:sz w:val="20"/>
          <w:szCs w:val="20"/>
        </w:rPr>
      </w:pPr>
    </w:p>
    <w:tbl>
      <w:tblPr>
        <w:tblStyle w:val="TableGrid"/>
        <w:tblW w:w="5216" w:type="dxa"/>
        <w:jc w:val="center"/>
        <w:tblLook w:val="04A0" w:firstRow="1" w:lastRow="0" w:firstColumn="1" w:lastColumn="0" w:noHBand="0" w:noVBand="1"/>
      </w:tblPr>
      <w:tblGrid>
        <w:gridCol w:w="2156"/>
        <w:gridCol w:w="1080"/>
        <w:gridCol w:w="990"/>
        <w:gridCol w:w="990"/>
      </w:tblGrid>
      <w:tr w:rsidR="003533B0" w:rsidRPr="00AE324F" w14:paraId="3A71E281" w14:textId="77777777" w:rsidTr="001D5FE3">
        <w:trPr>
          <w:trHeight w:val="280"/>
          <w:jc w:val="center"/>
        </w:trPr>
        <w:tc>
          <w:tcPr>
            <w:tcW w:w="2156" w:type="dxa"/>
            <w:shd w:val="clear" w:color="auto" w:fill="DEEAF6" w:themeFill="accent5" w:themeFillTint="33"/>
            <w:noWrap/>
            <w:vAlign w:val="bottom"/>
          </w:tcPr>
          <w:p w14:paraId="7CE130AB" w14:textId="77777777" w:rsidR="003533B0" w:rsidRPr="00AE324F" w:rsidRDefault="003533B0" w:rsidP="001D5FE3">
            <w:pPr>
              <w:jc w:val="center"/>
              <w:rPr>
                <w:rFonts w:asciiTheme="majorHAnsi" w:eastAsia="Verdana" w:hAnsiTheme="majorHAnsi" w:cstheme="majorHAnsi"/>
                <w:sz w:val="18"/>
                <w:szCs w:val="18"/>
              </w:rPr>
            </w:pPr>
            <w:r w:rsidRPr="00AE324F">
              <w:rPr>
                <w:rFonts w:asciiTheme="majorHAnsi" w:hAnsiTheme="majorHAnsi" w:cstheme="majorHAnsi"/>
                <w:b/>
                <w:bCs/>
                <w:color w:val="000000"/>
                <w:sz w:val="18"/>
                <w:szCs w:val="18"/>
              </w:rPr>
              <w:t>Payer</w:t>
            </w:r>
          </w:p>
        </w:tc>
        <w:tc>
          <w:tcPr>
            <w:tcW w:w="1080" w:type="dxa"/>
            <w:shd w:val="clear" w:color="auto" w:fill="DEEAF6" w:themeFill="accent5" w:themeFillTint="33"/>
            <w:noWrap/>
            <w:vAlign w:val="bottom"/>
          </w:tcPr>
          <w:p w14:paraId="6614FFD6" w14:textId="77777777" w:rsidR="003533B0" w:rsidRPr="00AE324F" w:rsidRDefault="003533B0"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FY19</w:t>
            </w:r>
          </w:p>
        </w:tc>
        <w:tc>
          <w:tcPr>
            <w:tcW w:w="990" w:type="dxa"/>
            <w:shd w:val="clear" w:color="auto" w:fill="DEEAF6" w:themeFill="accent5" w:themeFillTint="33"/>
            <w:noWrap/>
            <w:vAlign w:val="bottom"/>
          </w:tcPr>
          <w:p w14:paraId="4EA7AE5A" w14:textId="77777777" w:rsidR="003533B0" w:rsidRPr="00AE324F" w:rsidRDefault="003533B0" w:rsidP="001D5FE3">
            <w:pPr>
              <w:jc w:val="center"/>
              <w:rPr>
                <w:rFonts w:asciiTheme="majorHAnsi" w:eastAsia="Verdana" w:hAnsiTheme="majorHAnsi" w:cstheme="majorHAnsi"/>
                <w:b/>
                <w:bCs/>
                <w:sz w:val="18"/>
                <w:szCs w:val="18"/>
              </w:rPr>
            </w:pPr>
            <w:r w:rsidRPr="00AE324F">
              <w:rPr>
                <w:rFonts w:asciiTheme="majorHAnsi" w:eastAsia="Verdana" w:hAnsiTheme="majorHAnsi" w:cstheme="majorHAnsi"/>
                <w:b/>
                <w:bCs/>
                <w:sz w:val="18"/>
                <w:szCs w:val="18"/>
              </w:rPr>
              <w:t>FY20</w:t>
            </w:r>
          </w:p>
        </w:tc>
        <w:tc>
          <w:tcPr>
            <w:tcW w:w="990" w:type="dxa"/>
            <w:shd w:val="clear" w:color="auto" w:fill="DEEAF6" w:themeFill="accent5" w:themeFillTint="33"/>
            <w:noWrap/>
            <w:vAlign w:val="bottom"/>
          </w:tcPr>
          <w:p w14:paraId="11D884F8" w14:textId="77777777" w:rsidR="003533B0" w:rsidRPr="00AE324F" w:rsidRDefault="003533B0" w:rsidP="001D5FE3">
            <w:pPr>
              <w:pStyle w:val="Heading9"/>
              <w:outlineLvl w:val="8"/>
            </w:pPr>
            <w:r w:rsidRPr="00AE324F">
              <w:t>FY21</w:t>
            </w:r>
          </w:p>
        </w:tc>
      </w:tr>
      <w:tr w:rsidR="003533B0" w:rsidRPr="00AE324F" w14:paraId="7C254205" w14:textId="77777777" w:rsidTr="001D5FE3">
        <w:trPr>
          <w:trHeight w:val="280"/>
          <w:jc w:val="center"/>
        </w:trPr>
        <w:tc>
          <w:tcPr>
            <w:tcW w:w="2156" w:type="dxa"/>
            <w:shd w:val="clear" w:color="auto" w:fill="auto"/>
            <w:noWrap/>
            <w:vAlign w:val="bottom"/>
          </w:tcPr>
          <w:p w14:paraId="3E0B427C" w14:textId="1AB1202C" w:rsidR="003533B0" w:rsidRPr="00AE324F" w:rsidRDefault="003533B0" w:rsidP="001D5FE3">
            <w:pPr>
              <w:rPr>
                <w:rFonts w:asciiTheme="majorHAnsi" w:eastAsia="Verdana" w:hAnsiTheme="majorHAnsi" w:cstheme="majorHAnsi"/>
                <w:sz w:val="18"/>
                <w:szCs w:val="18"/>
              </w:rPr>
            </w:pPr>
            <w:r>
              <w:rPr>
                <w:rFonts w:asciiTheme="majorHAnsi" w:hAnsiTheme="majorHAnsi" w:cstheme="majorHAnsi"/>
                <w:color w:val="000000"/>
                <w:sz w:val="18"/>
                <w:szCs w:val="18"/>
              </w:rPr>
              <w:t>APM/ACO Contracts</w:t>
            </w:r>
          </w:p>
        </w:tc>
        <w:tc>
          <w:tcPr>
            <w:tcW w:w="1080" w:type="dxa"/>
            <w:shd w:val="clear" w:color="auto" w:fill="auto"/>
            <w:noWrap/>
            <w:vAlign w:val="center"/>
          </w:tcPr>
          <w:p w14:paraId="51025DCC" w14:textId="46DEB11D" w:rsidR="003533B0" w:rsidRPr="00C93157" w:rsidRDefault="003533B0" w:rsidP="001D5FE3">
            <w:pPr>
              <w:jc w:val="center"/>
              <w:rPr>
                <w:rFonts w:asciiTheme="majorHAnsi" w:hAnsiTheme="majorHAnsi" w:cstheme="majorHAnsi"/>
                <w:color w:val="000000"/>
                <w:sz w:val="18"/>
                <w:szCs w:val="18"/>
              </w:rPr>
            </w:pPr>
            <w:r w:rsidRPr="00C93157">
              <w:rPr>
                <w:rFonts w:asciiTheme="majorHAnsi" w:hAnsiTheme="majorHAnsi" w:cstheme="majorHAnsi"/>
                <w:color w:val="000000"/>
                <w:sz w:val="18"/>
                <w:szCs w:val="18"/>
              </w:rPr>
              <w:t>24.09%</w:t>
            </w:r>
          </w:p>
        </w:tc>
        <w:tc>
          <w:tcPr>
            <w:tcW w:w="990" w:type="dxa"/>
            <w:shd w:val="clear" w:color="auto" w:fill="auto"/>
            <w:noWrap/>
            <w:vAlign w:val="center"/>
          </w:tcPr>
          <w:p w14:paraId="62D53146" w14:textId="03401BCF" w:rsidR="003533B0" w:rsidRPr="00C93157" w:rsidRDefault="003533B0" w:rsidP="001D5FE3">
            <w:pPr>
              <w:jc w:val="center"/>
              <w:rPr>
                <w:rFonts w:asciiTheme="majorHAnsi" w:eastAsia="Verdana" w:hAnsiTheme="majorHAnsi" w:cstheme="majorHAnsi"/>
                <w:sz w:val="18"/>
                <w:szCs w:val="18"/>
              </w:rPr>
            </w:pPr>
            <w:r w:rsidRPr="00C93157">
              <w:rPr>
                <w:rFonts w:asciiTheme="majorHAnsi" w:eastAsia="Verdana" w:hAnsiTheme="majorHAnsi" w:cstheme="majorHAnsi"/>
                <w:sz w:val="18"/>
                <w:szCs w:val="18"/>
              </w:rPr>
              <w:t>24.05%</w:t>
            </w:r>
          </w:p>
        </w:tc>
        <w:tc>
          <w:tcPr>
            <w:tcW w:w="990" w:type="dxa"/>
            <w:shd w:val="clear" w:color="auto" w:fill="auto"/>
            <w:noWrap/>
            <w:vAlign w:val="center"/>
          </w:tcPr>
          <w:p w14:paraId="27D0464A" w14:textId="271FCA9A" w:rsidR="003533B0" w:rsidRPr="00C93157" w:rsidRDefault="003533B0" w:rsidP="001D5FE3">
            <w:pPr>
              <w:jc w:val="center"/>
              <w:rPr>
                <w:rFonts w:asciiTheme="majorHAnsi" w:eastAsia="Verdana" w:hAnsiTheme="majorHAnsi" w:cstheme="majorHAnsi"/>
                <w:sz w:val="18"/>
                <w:szCs w:val="18"/>
              </w:rPr>
            </w:pPr>
            <w:r w:rsidRPr="00C93157">
              <w:rPr>
                <w:rFonts w:asciiTheme="majorHAnsi" w:eastAsia="Verdana" w:hAnsiTheme="majorHAnsi" w:cstheme="majorHAnsi"/>
                <w:sz w:val="18"/>
                <w:szCs w:val="18"/>
              </w:rPr>
              <w:t>23.48%</w:t>
            </w:r>
          </w:p>
        </w:tc>
      </w:tr>
      <w:tr w:rsidR="003533B0" w:rsidRPr="00AE324F" w14:paraId="4A90B94F" w14:textId="77777777" w:rsidTr="001D5FE3">
        <w:trPr>
          <w:trHeight w:val="280"/>
          <w:jc w:val="center"/>
        </w:trPr>
        <w:tc>
          <w:tcPr>
            <w:tcW w:w="2156" w:type="dxa"/>
            <w:shd w:val="clear" w:color="auto" w:fill="auto"/>
            <w:noWrap/>
            <w:vAlign w:val="bottom"/>
          </w:tcPr>
          <w:p w14:paraId="3C62C269" w14:textId="39AC7E3C" w:rsidR="003533B0" w:rsidRPr="00AE324F" w:rsidRDefault="003533B0" w:rsidP="001D5FE3">
            <w:pPr>
              <w:rPr>
                <w:rFonts w:asciiTheme="majorHAnsi" w:eastAsia="Verdana" w:hAnsiTheme="majorHAnsi" w:cstheme="majorHAnsi"/>
                <w:sz w:val="18"/>
                <w:szCs w:val="18"/>
              </w:rPr>
            </w:pPr>
            <w:r>
              <w:rPr>
                <w:rFonts w:asciiTheme="majorHAnsi" w:hAnsiTheme="majorHAnsi" w:cstheme="majorHAnsi"/>
                <w:color w:val="000000"/>
                <w:sz w:val="18"/>
                <w:szCs w:val="18"/>
              </w:rPr>
              <w:t>Non-APM/Non-ACO Contracts</w:t>
            </w:r>
          </w:p>
        </w:tc>
        <w:tc>
          <w:tcPr>
            <w:tcW w:w="1080" w:type="dxa"/>
            <w:shd w:val="clear" w:color="auto" w:fill="auto"/>
            <w:noWrap/>
            <w:vAlign w:val="center"/>
          </w:tcPr>
          <w:p w14:paraId="33C91514" w14:textId="39CF3A90" w:rsidR="003533B0" w:rsidRPr="00C93157" w:rsidRDefault="003533B0" w:rsidP="001D5FE3">
            <w:pPr>
              <w:jc w:val="center"/>
              <w:rPr>
                <w:rFonts w:asciiTheme="majorHAnsi" w:eastAsia="Verdana" w:hAnsiTheme="majorHAnsi" w:cstheme="majorHAnsi"/>
                <w:sz w:val="18"/>
                <w:szCs w:val="18"/>
              </w:rPr>
            </w:pPr>
            <w:r w:rsidRPr="00C93157">
              <w:rPr>
                <w:rFonts w:asciiTheme="majorHAnsi" w:eastAsia="Verdana" w:hAnsiTheme="majorHAnsi" w:cstheme="majorHAnsi"/>
                <w:sz w:val="18"/>
                <w:szCs w:val="18"/>
              </w:rPr>
              <w:t>75.91%</w:t>
            </w:r>
          </w:p>
        </w:tc>
        <w:tc>
          <w:tcPr>
            <w:tcW w:w="990" w:type="dxa"/>
            <w:shd w:val="clear" w:color="auto" w:fill="auto"/>
            <w:noWrap/>
            <w:vAlign w:val="center"/>
          </w:tcPr>
          <w:p w14:paraId="443A7F6D" w14:textId="72CC6978" w:rsidR="003533B0" w:rsidRPr="00C93157" w:rsidRDefault="003533B0" w:rsidP="001D5FE3">
            <w:pPr>
              <w:jc w:val="center"/>
              <w:rPr>
                <w:rFonts w:asciiTheme="majorHAnsi" w:eastAsia="Verdana" w:hAnsiTheme="majorHAnsi" w:cstheme="majorHAnsi"/>
                <w:sz w:val="18"/>
                <w:szCs w:val="18"/>
              </w:rPr>
            </w:pPr>
            <w:r w:rsidRPr="00C93157">
              <w:rPr>
                <w:rFonts w:asciiTheme="majorHAnsi" w:eastAsia="Verdana" w:hAnsiTheme="majorHAnsi" w:cstheme="majorHAnsi"/>
                <w:sz w:val="18"/>
                <w:szCs w:val="18"/>
              </w:rPr>
              <w:t>75.</w:t>
            </w:r>
            <w:r w:rsidR="0092699B">
              <w:rPr>
                <w:rFonts w:asciiTheme="majorHAnsi" w:eastAsia="Verdana" w:hAnsiTheme="majorHAnsi" w:cstheme="majorHAnsi"/>
                <w:sz w:val="18"/>
                <w:szCs w:val="18"/>
              </w:rPr>
              <w:t>95</w:t>
            </w:r>
            <w:r w:rsidRPr="00C93157">
              <w:rPr>
                <w:rFonts w:asciiTheme="majorHAnsi" w:eastAsia="Verdana" w:hAnsiTheme="majorHAnsi" w:cstheme="majorHAnsi"/>
                <w:sz w:val="18"/>
                <w:szCs w:val="18"/>
              </w:rPr>
              <w:t>%</w:t>
            </w:r>
          </w:p>
        </w:tc>
        <w:tc>
          <w:tcPr>
            <w:tcW w:w="990" w:type="dxa"/>
            <w:shd w:val="clear" w:color="auto" w:fill="auto"/>
            <w:noWrap/>
            <w:vAlign w:val="center"/>
          </w:tcPr>
          <w:p w14:paraId="1337464D" w14:textId="71C07DB6" w:rsidR="003533B0" w:rsidRPr="00C93157" w:rsidRDefault="00C93157" w:rsidP="001D5FE3">
            <w:pPr>
              <w:jc w:val="center"/>
              <w:rPr>
                <w:rFonts w:asciiTheme="majorHAnsi" w:eastAsia="Verdana" w:hAnsiTheme="majorHAnsi" w:cstheme="majorHAnsi"/>
                <w:sz w:val="18"/>
                <w:szCs w:val="18"/>
              </w:rPr>
            </w:pPr>
            <w:r w:rsidRPr="00C93157">
              <w:rPr>
                <w:rFonts w:asciiTheme="majorHAnsi" w:eastAsia="Verdana" w:hAnsiTheme="majorHAnsi" w:cstheme="majorHAnsi"/>
                <w:sz w:val="18"/>
                <w:szCs w:val="18"/>
              </w:rPr>
              <w:t>76.</w:t>
            </w:r>
            <w:r w:rsidR="0092699B">
              <w:rPr>
                <w:rFonts w:asciiTheme="majorHAnsi" w:eastAsia="Verdana" w:hAnsiTheme="majorHAnsi" w:cstheme="majorHAnsi"/>
                <w:sz w:val="18"/>
                <w:szCs w:val="18"/>
              </w:rPr>
              <w:t>52</w:t>
            </w:r>
            <w:r w:rsidRPr="00C93157">
              <w:rPr>
                <w:rFonts w:asciiTheme="majorHAnsi" w:eastAsia="Verdana" w:hAnsiTheme="majorHAnsi" w:cstheme="majorHAnsi"/>
                <w:sz w:val="18"/>
                <w:szCs w:val="18"/>
              </w:rPr>
              <w:t>%</w:t>
            </w:r>
          </w:p>
        </w:tc>
      </w:tr>
      <w:tr w:rsidR="003533B0" w:rsidRPr="00AE324F" w14:paraId="20BECF75" w14:textId="77777777" w:rsidTr="001D5FE3">
        <w:trPr>
          <w:trHeight w:val="280"/>
          <w:jc w:val="center"/>
        </w:trPr>
        <w:tc>
          <w:tcPr>
            <w:tcW w:w="2156" w:type="dxa"/>
            <w:shd w:val="clear" w:color="auto" w:fill="E2EFD9" w:themeFill="accent6" w:themeFillTint="33"/>
            <w:noWrap/>
            <w:vAlign w:val="bottom"/>
          </w:tcPr>
          <w:p w14:paraId="27FF1321" w14:textId="77777777" w:rsidR="003533B0" w:rsidRPr="00AE324F" w:rsidRDefault="003533B0" w:rsidP="001D5FE3">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Total</w:t>
            </w:r>
          </w:p>
        </w:tc>
        <w:tc>
          <w:tcPr>
            <w:tcW w:w="1080" w:type="dxa"/>
            <w:shd w:val="clear" w:color="auto" w:fill="E2EFD9" w:themeFill="accent6" w:themeFillTint="33"/>
            <w:noWrap/>
            <w:vAlign w:val="bottom"/>
          </w:tcPr>
          <w:p w14:paraId="7F8D917B" w14:textId="77777777" w:rsidR="003533B0" w:rsidRPr="00AE324F" w:rsidRDefault="003533B0"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c>
          <w:tcPr>
            <w:tcW w:w="990" w:type="dxa"/>
            <w:shd w:val="clear" w:color="auto" w:fill="E2EFD9" w:themeFill="accent6" w:themeFillTint="33"/>
            <w:noWrap/>
            <w:vAlign w:val="bottom"/>
          </w:tcPr>
          <w:p w14:paraId="75131A3C" w14:textId="77777777" w:rsidR="003533B0" w:rsidRPr="00AE324F" w:rsidRDefault="003533B0"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c>
          <w:tcPr>
            <w:tcW w:w="990" w:type="dxa"/>
            <w:shd w:val="clear" w:color="auto" w:fill="E2EFD9" w:themeFill="accent6" w:themeFillTint="33"/>
            <w:noWrap/>
            <w:vAlign w:val="bottom"/>
          </w:tcPr>
          <w:p w14:paraId="78E2680E" w14:textId="77777777" w:rsidR="003533B0" w:rsidRPr="00AE324F" w:rsidRDefault="003533B0" w:rsidP="001D5FE3">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w:t>
            </w:r>
          </w:p>
        </w:tc>
      </w:tr>
    </w:tbl>
    <w:p w14:paraId="5D18A2F3" w14:textId="15302B28" w:rsidR="00B96E5F" w:rsidRDefault="00B96E5F" w:rsidP="001251B9">
      <w:pPr>
        <w:spacing w:after="0" w:line="240" w:lineRule="auto"/>
        <w:jc w:val="both"/>
        <w:rPr>
          <w:rFonts w:ascii="Arial" w:eastAsia="Times New Roman" w:hAnsi="Arial" w:cs="Arial"/>
          <w:kern w:val="2"/>
          <w:sz w:val="20"/>
          <w:szCs w:val="20"/>
        </w:rPr>
      </w:pPr>
    </w:p>
    <w:p w14:paraId="36F0512F" w14:textId="7AD2DCDF" w:rsidR="0025192B" w:rsidRDefault="00B12B40" w:rsidP="009418CB">
      <w:pPr>
        <w:jc w:val="both"/>
        <w:rPr>
          <w:rFonts w:ascii="Arial" w:eastAsia="Verdana" w:hAnsi="Arial" w:cs="Arial"/>
          <w:sz w:val="20"/>
          <w:szCs w:val="20"/>
        </w:rPr>
      </w:pPr>
      <w:r w:rsidRPr="00060FE9">
        <w:rPr>
          <w:rFonts w:ascii="Arial" w:hAnsi="Arial" w:cs="Arial"/>
          <w:sz w:val="20"/>
          <w:szCs w:val="20"/>
        </w:rPr>
        <w:t>As illustrated in the table above, GSMC’s</w:t>
      </w:r>
      <w:r w:rsidR="00060FE9" w:rsidRPr="00060FE9">
        <w:rPr>
          <w:rFonts w:ascii="Arial" w:hAnsi="Arial" w:cs="Arial"/>
          <w:sz w:val="20"/>
          <w:szCs w:val="20"/>
        </w:rPr>
        <w:t xml:space="preserve"> </w:t>
      </w:r>
      <w:r w:rsidRPr="00060FE9">
        <w:rPr>
          <w:rFonts w:ascii="Arial" w:hAnsi="Arial" w:cs="Arial"/>
          <w:sz w:val="20"/>
          <w:szCs w:val="20"/>
        </w:rPr>
        <w:t xml:space="preserve">overall Patient Panel is </w:t>
      </w:r>
      <w:proofErr w:type="gramStart"/>
      <w:r w:rsidRPr="00060FE9">
        <w:rPr>
          <w:rFonts w:ascii="Arial" w:hAnsi="Arial" w:cs="Arial"/>
          <w:sz w:val="20"/>
          <w:szCs w:val="20"/>
        </w:rPr>
        <w:t>similar to</w:t>
      </w:r>
      <w:proofErr w:type="gramEnd"/>
      <w:r w:rsidRPr="00060FE9">
        <w:rPr>
          <w:rFonts w:ascii="Arial" w:hAnsi="Arial" w:cs="Arial"/>
          <w:sz w:val="20"/>
          <w:szCs w:val="20"/>
        </w:rPr>
        <w:t xml:space="preserve"> Steward</w:t>
      </w:r>
      <w:r w:rsidR="00492BB6">
        <w:rPr>
          <w:rFonts w:ascii="Arial" w:hAnsi="Arial" w:cs="Arial"/>
          <w:sz w:val="20"/>
          <w:szCs w:val="20"/>
        </w:rPr>
        <w:t xml:space="preserve"> Northeast</w:t>
      </w:r>
      <w:r w:rsidRPr="00060FE9">
        <w:rPr>
          <w:rFonts w:ascii="Arial" w:hAnsi="Arial" w:cs="Arial"/>
          <w:sz w:val="20"/>
          <w:szCs w:val="20"/>
        </w:rPr>
        <w:t xml:space="preserve">’s Patient Panel with some notable differences. Like the </w:t>
      </w:r>
      <w:r w:rsidR="00492BB6">
        <w:rPr>
          <w:rFonts w:ascii="Arial" w:hAnsi="Arial" w:cs="Arial"/>
          <w:sz w:val="20"/>
          <w:szCs w:val="20"/>
        </w:rPr>
        <w:t xml:space="preserve">Steward Northeast </w:t>
      </w:r>
      <w:r w:rsidR="003C011E">
        <w:rPr>
          <w:rFonts w:ascii="Arial" w:hAnsi="Arial" w:cs="Arial"/>
          <w:sz w:val="20"/>
          <w:szCs w:val="20"/>
        </w:rPr>
        <w:t>Patient Panel</w:t>
      </w:r>
      <w:r w:rsidRPr="00060FE9">
        <w:rPr>
          <w:rFonts w:ascii="Arial" w:hAnsi="Arial" w:cs="Arial"/>
          <w:sz w:val="20"/>
          <w:szCs w:val="20"/>
        </w:rPr>
        <w:t xml:space="preserve">, the majority of </w:t>
      </w:r>
      <w:r w:rsidR="003C011E">
        <w:rPr>
          <w:rFonts w:ascii="Arial" w:hAnsi="Arial" w:cs="Arial"/>
          <w:sz w:val="20"/>
          <w:szCs w:val="20"/>
        </w:rPr>
        <w:t>GSMC</w:t>
      </w:r>
      <w:r w:rsidRPr="00060FE9">
        <w:rPr>
          <w:rFonts w:ascii="Arial" w:hAnsi="Arial" w:cs="Arial"/>
          <w:sz w:val="20"/>
          <w:szCs w:val="20"/>
        </w:rPr>
        <w:t xml:space="preserve"> patients are female, with </w:t>
      </w:r>
      <w:r w:rsidR="00BB3D54">
        <w:rPr>
          <w:rFonts w:ascii="Arial" w:hAnsi="Arial" w:cs="Arial"/>
          <w:sz w:val="20"/>
          <w:szCs w:val="20"/>
        </w:rPr>
        <w:t>58</w:t>
      </w:r>
      <w:r w:rsidRPr="00060FE9">
        <w:rPr>
          <w:rFonts w:ascii="Arial" w:hAnsi="Arial" w:cs="Arial"/>
          <w:sz w:val="20"/>
          <w:szCs w:val="20"/>
        </w:rPr>
        <w:t xml:space="preserve">% of the patients identifying as female and </w:t>
      </w:r>
      <w:r w:rsidR="00BB3D54">
        <w:rPr>
          <w:rFonts w:ascii="Arial" w:hAnsi="Arial" w:cs="Arial"/>
          <w:sz w:val="20"/>
          <w:szCs w:val="20"/>
        </w:rPr>
        <w:t>42</w:t>
      </w:r>
      <w:r w:rsidRPr="00060FE9">
        <w:rPr>
          <w:rFonts w:ascii="Arial" w:hAnsi="Arial" w:cs="Arial"/>
          <w:sz w:val="20"/>
          <w:szCs w:val="20"/>
        </w:rPr>
        <w:t xml:space="preserve">% as male. </w:t>
      </w:r>
      <w:r w:rsidR="00060FE9" w:rsidRPr="00060FE9">
        <w:rPr>
          <w:rFonts w:ascii="Arial" w:hAnsi="Arial" w:cs="Arial"/>
          <w:sz w:val="20"/>
          <w:szCs w:val="20"/>
        </w:rPr>
        <w:t>GSMC’s</w:t>
      </w:r>
      <w:r w:rsidRPr="00060FE9">
        <w:rPr>
          <w:rFonts w:ascii="Arial" w:hAnsi="Arial" w:cs="Arial"/>
          <w:sz w:val="20"/>
          <w:szCs w:val="20"/>
        </w:rPr>
        <w:t xml:space="preserve"> Patient Panel differs from </w:t>
      </w:r>
      <w:r w:rsidR="00492BB6">
        <w:rPr>
          <w:rFonts w:ascii="Arial" w:hAnsi="Arial" w:cs="Arial"/>
          <w:sz w:val="20"/>
          <w:szCs w:val="20"/>
        </w:rPr>
        <w:t xml:space="preserve">Steward Northeast </w:t>
      </w:r>
      <w:r w:rsidRPr="00060FE9">
        <w:rPr>
          <w:rFonts w:ascii="Arial" w:hAnsi="Arial" w:cs="Arial"/>
          <w:sz w:val="20"/>
          <w:szCs w:val="20"/>
        </w:rPr>
        <w:t xml:space="preserve">with respect to race and ethnicity. While the predominant self-reported race at </w:t>
      </w:r>
      <w:r w:rsidR="00060FE9" w:rsidRPr="00060FE9">
        <w:rPr>
          <w:rFonts w:ascii="Arial" w:hAnsi="Arial" w:cs="Arial"/>
          <w:sz w:val="20"/>
          <w:szCs w:val="20"/>
        </w:rPr>
        <w:t>Steward</w:t>
      </w:r>
      <w:r w:rsidRPr="00060FE9">
        <w:rPr>
          <w:rFonts w:ascii="Arial" w:hAnsi="Arial" w:cs="Arial"/>
          <w:sz w:val="20"/>
          <w:szCs w:val="20"/>
        </w:rPr>
        <w:t xml:space="preserve"> </w:t>
      </w:r>
      <w:r w:rsidR="00313356">
        <w:rPr>
          <w:rFonts w:ascii="Arial" w:hAnsi="Arial" w:cs="Arial"/>
          <w:sz w:val="20"/>
          <w:szCs w:val="20"/>
        </w:rPr>
        <w:t xml:space="preserve">Northeast </w:t>
      </w:r>
      <w:r w:rsidRPr="00060FE9">
        <w:rPr>
          <w:rFonts w:ascii="Arial" w:hAnsi="Arial" w:cs="Arial"/>
          <w:sz w:val="20"/>
          <w:szCs w:val="20"/>
        </w:rPr>
        <w:t xml:space="preserve">and </w:t>
      </w:r>
      <w:r w:rsidR="00060FE9" w:rsidRPr="00060FE9">
        <w:rPr>
          <w:rFonts w:ascii="Arial" w:hAnsi="Arial" w:cs="Arial"/>
          <w:sz w:val="20"/>
          <w:szCs w:val="20"/>
        </w:rPr>
        <w:t xml:space="preserve">GSMC </w:t>
      </w:r>
      <w:r w:rsidRPr="00060FE9">
        <w:rPr>
          <w:rFonts w:ascii="Arial" w:hAnsi="Arial" w:cs="Arial"/>
          <w:sz w:val="20"/>
          <w:szCs w:val="20"/>
        </w:rPr>
        <w:t xml:space="preserve">patients was White, </w:t>
      </w:r>
      <w:r w:rsidR="00060FE9" w:rsidRPr="00060FE9">
        <w:rPr>
          <w:rFonts w:ascii="Arial" w:hAnsi="Arial" w:cs="Arial"/>
          <w:sz w:val="20"/>
          <w:szCs w:val="20"/>
        </w:rPr>
        <w:t>GSMC’s second predominant self-reported race was African American (</w:t>
      </w:r>
      <w:r w:rsidR="00BB3D54">
        <w:rPr>
          <w:rFonts w:ascii="Arial" w:hAnsi="Arial" w:cs="Arial"/>
          <w:sz w:val="20"/>
          <w:szCs w:val="20"/>
        </w:rPr>
        <w:t>22</w:t>
      </w:r>
      <w:r w:rsidR="00060FE9" w:rsidRPr="00060FE9">
        <w:rPr>
          <w:rFonts w:ascii="Arial" w:hAnsi="Arial" w:cs="Arial"/>
          <w:sz w:val="20"/>
          <w:szCs w:val="20"/>
        </w:rPr>
        <w:t xml:space="preserve">% compared to </w:t>
      </w:r>
      <w:r w:rsidR="00BB3D54">
        <w:rPr>
          <w:rFonts w:ascii="Arial" w:hAnsi="Arial" w:cs="Arial"/>
          <w:sz w:val="20"/>
          <w:szCs w:val="20"/>
        </w:rPr>
        <w:t>11</w:t>
      </w:r>
      <w:r w:rsidR="00060FE9" w:rsidRPr="00060FE9">
        <w:rPr>
          <w:rFonts w:ascii="Arial" w:hAnsi="Arial" w:cs="Arial"/>
          <w:sz w:val="20"/>
          <w:szCs w:val="20"/>
        </w:rPr>
        <w:t xml:space="preserve">%) </w:t>
      </w:r>
      <w:r w:rsidR="002B64E7">
        <w:rPr>
          <w:rFonts w:ascii="Arial" w:hAnsi="Arial" w:cs="Arial"/>
          <w:sz w:val="20"/>
          <w:szCs w:val="20"/>
        </w:rPr>
        <w:t>whereas</w:t>
      </w:r>
      <w:r w:rsidR="00BB3D54">
        <w:rPr>
          <w:rFonts w:ascii="Arial" w:hAnsi="Arial" w:cs="Arial"/>
          <w:sz w:val="20"/>
          <w:szCs w:val="20"/>
        </w:rPr>
        <w:t xml:space="preserve"> </w:t>
      </w:r>
      <w:r w:rsidR="00492BB6">
        <w:rPr>
          <w:rFonts w:ascii="Arial" w:hAnsi="Arial" w:cs="Arial"/>
          <w:sz w:val="20"/>
          <w:szCs w:val="20"/>
        </w:rPr>
        <w:t xml:space="preserve">Steward Northeast’s </w:t>
      </w:r>
      <w:r w:rsidR="00BB3D54">
        <w:rPr>
          <w:rFonts w:ascii="Arial" w:hAnsi="Arial" w:cs="Arial"/>
          <w:sz w:val="20"/>
          <w:szCs w:val="20"/>
        </w:rPr>
        <w:t>second predominant self-reported race was Hispanic</w:t>
      </w:r>
      <w:r w:rsidR="002B64E7">
        <w:rPr>
          <w:rFonts w:ascii="Arial" w:hAnsi="Arial" w:cs="Arial"/>
          <w:sz w:val="20"/>
          <w:szCs w:val="20"/>
        </w:rPr>
        <w:t>.</w:t>
      </w:r>
      <w:r w:rsidR="00BB3D54">
        <w:rPr>
          <w:rFonts w:ascii="Arial" w:hAnsi="Arial" w:cs="Arial"/>
          <w:sz w:val="20"/>
          <w:szCs w:val="20"/>
        </w:rPr>
        <w:t xml:space="preserve"> </w:t>
      </w:r>
      <w:r w:rsidR="00BB3D54" w:rsidRPr="00C0152D">
        <w:rPr>
          <w:rFonts w:ascii="Arial" w:hAnsi="Arial" w:cs="Arial"/>
          <w:sz w:val="20"/>
          <w:szCs w:val="20"/>
        </w:rPr>
        <w:t>GSMC had</w:t>
      </w:r>
      <w:r w:rsidRPr="00C0152D">
        <w:rPr>
          <w:rFonts w:ascii="Arial" w:hAnsi="Arial" w:cs="Arial"/>
          <w:sz w:val="20"/>
          <w:szCs w:val="20"/>
        </w:rPr>
        <w:t xml:space="preserve"> approximately </w:t>
      </w:r>
      <w:r w:rsidR="00BB3D54" w:rsidRPr="00C0152D">
        <w:rPr>
          <w:rFonts w:ascii="Arial" w:hAnsi="Arial" w:cs="Arial"/>
          <w:sz w:val="20"/>
          <w:szCs w:val="20"/>
        </w:rPr>
        <w:t>9</w:t>
      </w:r>
      <w:r w:rsidRPr="00C0152D">
        <w:rPr>
          <w:rFonts w:ascii="Arial" w:hAnsi="Arial" w:cs="Arial"/>
          <w:sz w:val="20"/>
          <w:szCs w:val="20"/>
        </w:rPr>
        <w:t xml:space="preserve">% </w:t>
      </w:r>
      <w:r w:rsidR="00060FE9" w:rsidRPr="00C0152D">
        <w:rPr>
          <w:rFonts w:ascii="Arial" w:hAnsi="Arial" w:cs="Arial"/>
          <w:sz w:val="20"/>
          <w:szCs w:val="20"/>
        </w:rPr>
        <w:t>less</w:t>
      </w:r>
      <w:r w:rsidRPr="00C0152D">
        <w:rPr>
          <w:rFonts w:ascii="Arial" w:hAnsi="Arial" w:cs="Arial"/>
          <w:sz w:val="20"/>
          <w:szCs w:val="20"/>
        </w:rPr>
        <w:t xml:space="preserve"> patients self-reporting as </w:t>
      </w:r>
      <w:r w:rsidR="00060FE9" w:rsidRPr="00C0152D">
        <w:rPr>
          <w:rFonts w:ascii="Arial" w:hAnsi="Arial" w:cs="Arial"/>
          <w:sz w:val="20"/>
          <w:szCs w:val="20"/>
        </w:rPr>
        <w:t>Hispanic</w:t>
      </w:r>
      <w:r w:rsidRPr="00C0152D">
        <w:rPr>
          <w:rFonts w:ascii="Arial" w:hAnsi="Arial" w:cs="Arial"/>
          <w:sz w:val="20"/>
          <w:szCs w:val="20"/>
        </w:rPr>
        <w:t xml:space="preserve"> (</w:t>
      </w:r>
      <w:r w:rsidR="00BB3D54" w:rsidRPr="00C0152D">
        <w:rPr>
          <w:rFonts w:ascii="Arial" w:hAnsi="Arial" w:cs="Arial"/>
          <w:sz w:val="20"/>
          <w:szCs w:val="20"/>
        </w:rPr>
        <w:t>3</w:t>
      </w:r>
      <w:r w:rsidRPr="00C0152D">
        <w:rPr>
          <w:rFonts w:ascii="Arial" w:hAnsi="Arial" w:cs="Arial"/>
          <w:sz w:val="20"/>
          <w:szCs w:val="20"/>
        </w:rPr>
        <w:t xml:space="preserve">% compared to </w:t>
      </w:r>
      <w:r w:rsidR="00BB3D54" w:rsidRPr="00C0152D">
        <w:rPr>
          <w:rFonts w:ascii="Arial" w:hAnsi="Arial" w:cs="Arial"/>
          <w:sz w:val="20"/>
          <w:szCs w:val="20"/>
        </w:rPr>
        <w:t>12</w:t>
      </w:r>
      <w:r w:rsidRPr="00C0152D">
        <w:rPr>
          <w:rFonts w:ascii="Arial" w:hAnsi="Arial" w:cs="Arial"/>
          <w:sz w:val="20"/>
          <w:szCs w:val="20"/>
        </w:rPr>
        <w:t xml:space="preserve">%). </w:t>
      </w:r>
      <w:r w:rsidR="00507C7B" w:rsidRPr="00C0152D">
        <w:rPr>
          <w:rFonts w:ascii="Arial" w:hAnsi="Arial" w:cs="Arial"/>
          <w:sz w:val="20"/>
          <w:szCs w:val="20"/>
        </w:rPr>
        <w:t xml:space="preserve">GSMC </w:t>
      </w:r>
      <w:r w:rsidRPr="00C0152D">
        <w:rPr>
          <w:rFonts w:ascii="Arial" w:hAnsi="Arial" w:cs="Arial"/>
          <w:sz w:val="20"/>
          <w:szCs w:val="20"/>
        </w:rPr>
        <w:t xml:space="preserve">patients </w:t>
      </w:r>
      <w:r w:rsidR="00507C7B" w:rsidRPr="00C0152D">
        <w:rPr>
          <w:rFonts w:ascii="Arial" w:hAnsi="Arial" w:cs="Arial"/>
          <w:sz w:val="20"/>
          <w:szCs w:val="20"/>
        </w:rPr>
        <w:t xml:space="preserve">also </w:t>
      </w:r>
      <w:r w:rsidRPr="00C0152D">
        <w:rPr>
          <w:rFonts w:ascii="Arial" w:hAnsi="Arial" w:cs="Arial"/>
          <w:sz w:val="20"/>
          <w:szCs w:val="20"/>
        </w:rPr>
        <w:t xml:space="preserve">self-identified </w:t>
      </w:r>
      <w:r w:rsidR="002B64E7">
        <w:rPr>
          <w:rFonts w:ascii="Arial" w:hAnsi="Arial" w:cs="Arial"/>
          <w:sz w:val="20"/>
          <w:szCs w:val="20"/>
        </w:rPr>
        <w:t xml:space="preserve">as Asian </w:t>
      </w:r>
      <w:r w:rsidRPr="00C0152D">
        <w:rPr>
          <w:rFonts w:ascii="Arial" w:hAnsi="Arial" w:cs="Arial"/>
          <w:sz w:val="20"/>
          <w:szCs w:val="20"/>
        </w:rPr>
        <w:t>at significantly lower rates (</w:t>
      </w:r>
      <w:r w:rsidR="00507C7B" w:rsidRPr="00C0152D">
        <w:rPr>
          <w:rFonts w:ascii="Arial" w:hAnsi="Arial" w:cs="Arial"/>
          <w:sz w:val="20"/>
          <w:szCs w:val="20"/>
        </w:rPr>
        <w:t>1</w:t>
      </w:r>
      <w:r w:rsidRPr="00C0152D">
        <w:rPr>
          <w:rFonts w:ascii="Arial" w:hAnsi="Arial" w:cs="Arial"/>
          <w:sz w:val="20"/>
          <w:szCs w:val="20"/>
        </w:rPr>
        <w:t xml:space="preserve">% compared to </w:t>
      </w:r>
      <w:r w:rsidR="00507C7B" w:rsidRPr="00C0152D">
        <w:rPr>
          <w:rFonts w:ascii="Arial" w:hAnsi="Arial" w:cs="Arial"/>
          <w:sz w:val="20"/>
          <w:szCs w:val="20"/>
        </w:rPr>
        <w:t>3</w:t>
      </w:r>
      <w:r w:rsidRPr="00C0152D">
        <w:rPr>
          <w:rFonts w:ascii="Arial" w:hAnsi="Arial" w:cs="Arial"/>
          <w:sz w:val="20"/>
          <w:szCs w:val="20"/>
        </w:rPr>
        <w:t>%)</w:t>
      </w:r>
      <w:r w:rsidR="00C0152D" w:rsidRPr="00C0152D">
        <w:rPr>
          <w:rFonts w:ascii="Arial" w:hAnsi="Arial" w:cs="Arial"/>
          <w:sz w:val="20"/>
          <w:szCs w:val="20"/>
        </w:rPr>
        <w:t>. Steward</w:t>
      </w:r>
      <w:r w:rsidR="00313356">
        <w:rPr>
          <w:rFonts w:ascii="Arial" w:hAnsi="Arial" w:cs="Arial"/>
          <w:sz w:val="20"/>
          <w:szCs w:val="20"/>
        </w:rPr>
        <w:t xml:space="preserve"> Northeast</w:t>
      </w:r>
      <w:r w:rsidRPr="00C0152D">
        <w:rPr>
          <w:rFonts w:ascii="Arial" w:hAnsi="Arial" w:cs="Arial"/>
          <w:sz w:val="20"/>
          <w:szCs w:val="20"/>
        </w:rPr>
        <w:t xml:space="preserve"> and </w:t>
      </w:r>
      <w:r w:rsidR="00C0152D" w:rsidRPr="00C0152D">
        <w:rPr>
          <w:rFonts w:ascii="Arial" w:hAnsi="Arial" w:cs="Arial"/>
          <w:sz w:val="20"/>
          <w:szCs w:val="20"/>
        </w:rPr>
        <w:t>GSMC</w:t>
      </w:r>
      <w:r w:rsidRPr="00C0152D">
        <w:rPr>
          <w:rFonts w:ascii="Arial" w:hAnsi="Arial" w:cs="Arial"/>
          <w:sz w:val="20"/>
          <w:szCs w:val="20"/>
        </w:rPr>
        <w:t xml:space="preserve"> have a similar proportion of patients who self-identified as </w:t>
      </w:r>
      <w:proofErr w:type="gramStart"/>
      <w:r w:rsidR="00C0152D" w:rsidRPr="00C0152D">
        <w:rPr>
          <w:rFonts w:ascii="Arial" w:eastAsia="Verdana" w:hAnsi="Arial" w:cs="Arial"/>
          <w:sz w:val="20"/>
        </w:rPr>
        <w:t>Other</w:t>
      </w:r>
      <w:proofErr w:type="gramEnd"/>
      <w:r w:rsidRPr="00C0152D">
        <w:rPr>
          <w:rFonts w:ascii="Arial" w:eastAsia="Verdana" w:hAnsi="Arial" w:cs="Arial"/>
          <w:sz w:val="20"/>
        </w:rPr>
        <w:t xml:space="preserve"> race/ethnicity</w:t>
      </w:r>
      <w:r w:rsidR="00C0152D" w:rsidRPr="00C0152D">
        <w:rPr>
          <w:rFonts w:ascii="Arial" w:eastAsia="Verdana" w:hAnsi="Arial" w:cs="Arial"/>
          <w:sz w:val="20"/>
        </w:rPr>
        <w:t xml:space="preserve"> and Declined, </w:t>
      </w:r>
      <w:r w:rsidRPr="00C0152D">
        <w:rPr>
          <w:rFonts w:ascii="Arial" w:eastAsia="Verdana" w:hAnsi="Arial" w:cs="Arial"/>
          <w:sz w:val="20"/>
        </w:rPr>
        <w:t xml:space="preserve">and less than 1% self-identified as American Indian or Alaska Native, Native Hawaiian or Other Pacific Islander, or </w:t>
      </w:r>
      <w:r w:rsidR="00C0152D" w:rsidRPr="00C0152D">
        <w:rPr>
          <w:rFonts w:ascii="Arial" w:eastAsia="Verdana" w:hAnsi="Arial" w:cs="Arial"/>
          <w:sz w:val="20"/>
        </w:rPr>
        <w:t>unable to obtain</w:t>
      </w:r>
      <w:r w:rsidRPr="00455E26">
        <w:rPr>
          <w:rFonts w:ascii="Arial" w:eastAsia="Verdana" w:hAnsi="Arial" w:cs="Arial"/>
          <w:sz w:val="20"/>
        </w:rPr>
        <w:t>.</w:t>
      </w:r>
      <w:r w:rsidRPr="00455E26">
        <w:rPr>
          <w:rFonts w:ascii="Arial" w:hAnsi="Arial" w:cs="Arial"/>
          <w:sz w:val="20"/>
          <w:szCs w:val="20"/>
        </w:rPr>
        <w:t xml:space="preserve"> </w:t>
      </w:r>
      <w:r w:rsidR="009418CB" w:rsidRPr="00455E26">
        <w:rPr>
          <w:rFonts w:ascii="Arial" w:hAnsi="Arial" w:cs="Arial"/>
          <w:sz w:val="20"/>
          <w:szCs w:val="20"/>
        </w:rPr>
        <w:t xml:space="preserve">In FY22 (Q1-Q3), GSMC served approximately </w:t>
      </w:r>
      <w:r w:rsidR="009418CB" w:rsidRPr="00455E26">
        <w:rPr>
          <w:rFonts w:ascii="Arial" w:eastAsia="Verdana" w:hAnsi="Arial" w:cs="Arial"/>
          <w:sz w:val="20"/>
          <w:szCs w:val="20"/>
        </w:rPr>
        <w:t>61,437 patients (81,916 annualized), an increase of 6.22% from FY20.</w:t>
      </w:r>
      <w:r w:rsidR="009418CB" w:rsidRPr="00455E26">
        <w:rPr>
          <w:rStyle w:val="FootnoteReference"/>
          <w:rFonts w:ascii="Arial" w:eastAsia="Verdana" w:hAnsi="Arial" w:cs="Arial"/>
          <w:sz w:val="20"/>
          <w:szCs w:val="20"/>
        </w:rPr>
        <w:footnoteReference w:id="15"/>
      </w:r>
      <w:r w:rsidR="00455E26">
        <w:rPr>
          <w:rFonts w:ascii="Arial" w:eastAsia="Verdana" w:hAnsi="Arial" w:cs="Arial"/>
          <w:sz w:val="20"/>
          <w:szCs w:val="20"/>
        </w:rPr>
        <w:t xml:space="preserve"> GSMC’s payor mix </w:t>
      </w:r>
      <w:r w:rsidR="00F24A49">
        <w:rPr>
          <w:rFonts w:ascii="Arial" w:eastAsia="Verdana" w:hAnsi="Arial" w:cs="Arial"/>
          <w:sz w:val="20"/>
          <w:szCs w:val="20"/>
        </w:rPr>
        <w:t xml:space="preserve">was very similar to </w:t>
      </w:r>
      <w:r w:rsidR="00492BB6">
        <w:rPr>
          <w:rFonts w:ascii="Arial" w:hAnsi="Arial" w:cs="Arial"/>
          <w:sz w:val="20"/>
          <w:szCs w:val="20"/>
        </w:rPr>
        <w:t>Steward Northeast</w:t>
      </w:r>
      <w:r w:rsidR="00313356">
        <w:rPr>
          <w:rFonts w:ascii="Arial" w:hAnsi="Arial" w:cs="Arial"/>
          <w:sz w:val="20"/>
          <w:szCs w:val="20"/>
        </w:rPr>
        <w:t>’</w:t>
      </w:r>
      <w:r w:rsidR="00492BB6">
        <w:rPr>
          <w:rFonts w:ascii="Arial" w:hAnsi="Arial" w:cs="Arial"/>
          <w:sz w:val="20"/>
          <w:szCs w:val="20"/>
        </w:rPr>
        <w:t xml:space="preserve">s </w:t>
      </w:r>
      <w:r w:rsidR="00F24A49">
        <w:rPr>
          <w:rFonts w:ascii="Arial" w:eastAsia="Verdana" w:hAnsi="Arial" w:cs="Arial"/>
          <w:sz w:val="20"/>
          <w:szCs w:val="20"/>
        </w:rPr>
        <w:t>payor mix.</w:t>
      </w:r>
    </w:p>
    <w:p w14:paraId="433D24B3" w14:textId="56D0947A" w:rsidR="0025192B" w:rsidRDefault="0025192B" w:rsidP="009418CB">
      <w:pPr>
        <w:jc w:val="both"/>
        <w:rPr>
          <w:rFonts w:ascii="Arial" w:hAnsi="Arial" w:cs="Arial"/>
          <w:i/>
          <w:iCs/>
          <w:sz w:val="20"/>
          <w:szCs w:val="20"/>
          <w:highlight w:val="yellow"/>
          <w:u w:val="single"/>
        </w:rPr>
      </w:pPr>
      <w:r>
        <w:rPr>
          <w:rFonts w:ascii="Arial" w:eastAsia="Verdana" w:hAnsi="Arial" w:cs="Arial"/>
          <w:sz w:val="20"/>
          <w:szCs w:val="20"/>
        </w:rPr>
        <w:tab/>
      </w:r>
      <w:r w:rsidRPr="0025192B">
        <w:rPr>
          <w:rFonts w:ascii="Arial" w:eastAsia="Verdana" w:hAnsi="Arial" w:cs="Arial"/>
          <w:i/>
          <w:iCs/>
          <w:sz w:val="20"/>
          <w:szCs w:val="20"/>
          <w:u w:val="single"/>
        </w:rPr>
        <w:t>Good Samaritan Inpatient Psychiatric</w:t>
      </w:r>
      <w:r w:rsidR="00492BB6">
        <w:rPr>
          <w:rFonts w:ascii="Arial" w:eastAsia="Verdana" w:hAnsi="Arial" w:cs="Arial"/>
          <w:i/>
          <w:iCs/>
          <w:sz w:val="20"/>
          <w:szCs w:val="20"/>
          <w:u w:val="single"/>
        </w:rPr>
        <w:t xml:space="preserve"> Patient Panel</w:t>
      </w:r>
    </w:p>
    <w:p w14:paraId="63148BCC" w14:textId="4C4921F0" w:rsidR="0025192B" w:rsidRDefault="0025192B" w:rsidP="009418CB">
      <w:pPr>
        <w:jc w:val="both"/>
        <w:rPr>
          <w:rFonts w:ascii="Arial" w:eastAsia="Verdana" w:hAnsi="Arial" w:cs="Arial"/>
          <w:sz w:val="20"/>
          <w:szCs w:val="20"/>
        </w:rPr>
      </w:pPr>
      <w:r>
        <w:rPr>
          <w:rFonts w:ascii="Arial" w:hAnsi="Arial" w:cs="Arial"/>
          <w:sz w:val="20"/>
          <w:szCs w:val="20"/>
        </w:rPr>
        <w:t>GSMC offers inpatient psychiatric treatment for those 65 and older</w:t>
      </w:r>
      <w:r w:rsidR="00492BB6">
        <w:rPr>
          <w:rFonts w:ascii="Arial" w:hAnsi="Arial" w:cs="Arial"/>
          <w:sz w:val="20"/>
          <w:szCs w:val="20"/>
        </w:rPr>
        <w:t xml:space="preserve"> in</w:t>
      </w:r>
      <w:r>
        <w:rPr>
          <w:rFonts w:ascii="Arial" w:hAnsi="Arial" w:cs="Arial"/>
          <w:sz w:val="20"/>
          <w:szCs w:val="20"/>
        </w:rPr>
        <w:t xml:space="preserve"> </w:t>
      </w:r>
      <w:r w:rsidRPr="0025192B">
        <w:rPr>
          <w:rFonts w:ascii="Arial" w:hAnsi="Arial" w:cs="Arial"/>
          <w:sz w:val="20"/>
          <w:szCs w:val="20"/>
        </w:rPr>
        <w:t xml:space="preserve">16 geriatric inpatient psychiatric beds. </w:t>
      </w:r>
      <w:r>
        <w:rPr>
          <w:rFonts w:ascii="Arial" w:hAnsi="Arial" w:cs="Arial"/>
          <w:sz w:val="20"/>
          <w:szCs w:val="20"/>
        </w:rPr>
        <w:t>GSMC</w:t>
      </w:r>
      <w:r w:rsidR="00313356">
        <w:rPr>
          <w:rFonts w:ascii="Arial" w:hAnsi="Arial" w:cs="Arial"/>
          <w:sz w:val="20"/>
          <w:szCs w:val="20"/>
        </w:rPr>
        <w:t>’s</w:t>
      </w:r>
      <w:r>
        <w:rPr>
          <w:rFonts w:ascii="Arial" w:hAnsi="Arial" w:cs="Arial"/>
          <w:sz w:val="20"/>
          <w:szCs w:val="20"/>
        </w:rPr>
        <w:t xml:space="preserve"> </w:t>
      </w:r>
      <w:r w:rsidR="00492BB6">
        <w:rPr>
          <w:rFonts w:ascii="Arial" w:hAnsi="Arial" w:cs="Arial"/>
          <w:sz w:val="20"/>
          <w:szCs w:val="20"/>
        </w:rPr>
        <w:t>inpatient</w:t>
      </w:r>
      <w:r w:rsidR="00903803">
        <w:rPr>
          <w:rFonts w:ascii="Arial" w:hAnsi="Arial" w:cs="Arial"/>
          <w:sz w:val="20"/>
          <w:szCs w:val="20"/>
        </w:rPr>
        <w:t xml:space="preserve"> psychiatric</w:t>
      </w:r>
      <w:r>
        <w:rPr>
          <w:rFonts w:ascii="Arial" w:hAnsi="Arial" w:cs="Arial"/>
          <w:sz w:val="20"/>
          <w:szCs w:val="20"/>
        </w:rPr>
        <w:t xml:space="preserve"> </w:t>
      </w:r>
      <w:r w:rsidR="00492BB6">
        <w:rPr>
          <w:rFonts w:ascii="Arial" w:hAnsi="Arial" w:cs="Arial"/>
          <w:sz w:val="20"/>
          <w:szCs w:val="20"/>
        </w:rPr>
        <w:t xml:space="preserve">service </w:t>
      </w:r>
      <w:r>
        <w:rPr>
          <w:rFonts w:ascii="Arial" w:hAnsi="Arial" w:cs="Arial"/>
          <w:sz w:val="20"/>
          <w:szCs w:val="20"/>
        </w:rPr>
        <w:t xml:space="preserve">offers comprehensive assessment, short-term intensive </w:t>
      </w:r>
      <w:proofErr w:type="gramStart"/>
      <w:r>
        <w:rPr>
          <w:rFonts w:ascii="Arial" w:hAnsi="Arial" w:cs="Arial"/>
          <w:sz w:val="20"/>
          <w:szCs w:val="20"/>
        </w:rPr>
        <w:t>treatment</w:t>
      </w:r>
      <w:proofErr w:type="gramEnd"/>
      <w:r>
        <w:rPr>
          <w:rFonts w:ascii="Arial" w:hAnsi="Arial" w:cs="Arial"/>
          <w:sz w:val="20"/>
          <w:szCs w:val="20"/>
        </w:rPr>
        <w:t xml:space="preserve"> and discharge planning services </w:t>
      </w:r>
      <w:r w:rsidR="006A4D8C">
        <w:rPr>
          <w:rFonts w:ascii="Arial" w:hAnsi="Arial" w:cs="Arial"/>
          <w:sz w:val="20"/>
          <w:szCs w:val="20"/>
        </w:rPr>
        <w:t xml:space="preserve">with a variety of acute emotional health problems. Patients may </w:t>
      </w:r>
      <w:r w:rsidR="004259BA">
        <w:rPr>
          <w:rFonts w:ascii="Arial" w:hAnsi="Arial" w:cs="Arial"/>
          <w:sz w:val="20"/>
          <w:szCs w:val="20"/>
        </w:rPr>
        <w:t>present</w:t>
      </w:r>
      <w:r w:rsidR="006A4D8C">
        <w:rPr>
          <w:rFonts w:ascii="Arial" w:hAnsi="Arial" w:cs="Arial"/>
          <w:sz w:val="20"/>
          <w:szCs w:val="20"/>
        </w:rPr>
        <w:t xml:space="preserve"> to GSMC</w:t>
      </w:r>
      <w:r w:rsidR="007145AD">
        <w:rPr>
          <w:rFonts w:ascii="Arial" w:hAnsi="Arial" w:cs="Arial"/>
          <w:sz w:val="20"/>
          <w:szCs w:val="20"/>
        </w:rPr>
        <w:t xml:space="preserve"> for inpatient</w:t>
      </w:r>
      <w:r w:rsidR="00903803">
        <w:rPr>
          <w:rFonts w:ascii="Arial" w:hAnsi="Arial" w:cs="Arial"/>
          <w:sz w:val="20"/>
          <w:szCs w:val="20"/>
        </w:rPr>
        <w:t xml:space="preserve"> psychiatric</w:t>
      </w:r>
      <w:r w:rsidR="007145AD">
        <w:rPr>
          <w:rFonts w:ascii="Arial" w:hAnsi="Arial" w:cs="Arial"/>
          <w:sz w:val="20"/>
          <w:szCs w:val="20"/>
        </w:rPr>
        <w:t xml:space="preserve"> care</w:t>
      </w:r>
      <w:r w:rsidR="006A4D8C">
        <w:rPr>
          <w:rFonts w:ascii="Arial" w:hAnsi="Arial" w:cs="Arial"/>
          <w:sz w:val="20"/>
          <w:szCs w:val="20"/>
        </w:rPr>
        <w:t xml:space="preserve"> voluntarily or </w:t>
      </w:r>
      <w:r w:rsidR="004259BA">
        <w:rPr>
          <w:rFonts w:ascii="Arial" w:hAnsi="Arial" w:cs="Arial"/>
          <w:sz w:val="20"/>
          <w:szCs w:val="20"/>
        </w:rPr>
        <w:t xml:space="preserve">on </w:t>
      </w:r>
      <w:r w:rsidR="006A4D8C">
        <w:rPr>
          <w:rFonts w:ascii="Arial" w:hAnsi="Arial" w:cs="Arial"/>
          <w:sz w:val="20"/>
          <w:szCs w:val="20"/>
        </w:rPr>
        <w:t>involunta</w:t>
      </w:r>
      <w:r w:rsidR="004259BA">
        <w:rPr>
          <w:rFonts w:ascii="Arial" w:hAnsi="Arial" w:cs="Arial"/>
          <w:sz w:val="20"/>
          <w:szCs w:val="20"/>
        </w:rPr>
        <w:t>ry</w:t>
      </w:r>
      <w:r w:rsidR="006A4D8C">
        <w:rPr>
          <w:rFonts w:ascii="Arial" w:hAnsi="Arial" w:cs="Arial"/>
          <w:sz w:val="20"/>
          <w:szCs w:val="20"/>
        </w:rPr>
        <w:t xml:space="preserve"> holds</w:t>
      </w:r>
      <w:r w:rsidR="004259BA">
        <w:rPr>
          <w:rFonts w:ascii="Arial" w:hAnsi="Arial" w:cs="Arial"/>
          <w:sz w:val="20"/>
          <w:szCs w:val="20"/>
        </w:rPr>
        <w:t xml:space="preserve">. </w:t>
      </w:r>
      <w:r w:rsidRPr="0025192B">
        <w:rPr>
          <w:rFonts w:ascii="Arial" w:eastAsia="Verdana" w:hAnsi="Arial" w:cs="Arial"/>
          <w:sz w:val="20"/>
          <w:szCs w:val="20"/>
        </w:rPr>
        <w:t>The</w:t>
      </w:r>
      <w:r>
        <w:rPr>
          <w:rFonts w:ascii="Arial" w:eastAsia="Verdana" w:hAnsi="Arial" w:cs="Arial"/>
          <w:sz w:val="20"/>
          <w:szCs w:val="20"/>
        </w:rPr>
        <w:t xml:space="preserve"> following table details the characteristics of GSMC’s </w:t>
      </w:r>
      <w:r w:rsidR="007145AD">
        <w:rPr>
          <w:rFonts w:ascii="Arial" w:eastAsia="Verdana" w:hAnsi="Arial" w:cs="Arial"/>
          <w:sz w:val="20"/>
          <w:szCs w:val="20"/>
        </w:rPr>
        <w:t>inpatient</w:t>
      </w:r>
      <w:r w:rsidR="00903803">
        <w:rPr>
          <w:rFonts w:ascii="Arial" w:eastAsia="Verdana" w:hAnsi="Arial" w:cs="Arial"/>
          <w:sz w:val="20"/>
          <w:szCs w:val="20"/>
        </w:rPr>
        <w:t xml:space="preserve"> psychiatric</w:t>
      </w:r>
      <w:r>
        <w:rPr>
          <w:rFonts w:ascii="Arial" w:eastAsia="Verdana" w:hAnsi="Arial" w:cs="Arial"/>
          <w:sz w:val="20"/>
          <w:szCs w:val="20"/>
        </w:rPr>
        <w:t xml:space="preserve"> Patient Panel.</w:t>
      </w:r>
    </w:p>
    <w:p w14:paraId="1C029007" w14:textId="12698435" w:rsidR="000E1E8A" w:rsidRDefault="000E1E8A" w:rsidP="009418CB">
      <w:pPr>
        <w:jc w:val="both"/>
        <w:rPr>
          <w:rFonts w:ascii="Arial" w:hAnsi="Arial" w:cs="Arial"/>
          <w:i/>
          <w:iCs/>
          <w:sz w:val="20"/>
          <w:szCs w:val="20"/>
          <w:highlight w:val="yellow"/>
          <w:u w:val="single"/>
        </w:rPr>
      </w:pPr>
    </w:p>
    <w:p w14:paraId="75019415" w14:textId="2CA7CE54" w:rsidR="001C1231" w:rsidRDefault="001C1231" w:rsidP="009418CB">
      <w:pPr>
        <w:jc w:val="both"/>
        <w:rPr>
          <w:rFonts w:ascii="Arial" w:hAnsi="Arial" w:cs="Arial"/>
          <w:i/>
          <w:iCs/>
          <w:sz w:val="20"/>
          <w:szCs w:val="20"/>
          <w:highlight w:val="yellow"/>
          <w:u w:val="single"/>
        </w:rPr>
      </w:pPr>
    </w:p>
    <w:p w14:paraId="3CA333B3" w14:textId="77777777" w:rsidR="004259BA" w:rsidRDefault="004259BA" w:rsidP="009418CB">
      <w:pPr>
        <w:jc w:val="both"/>
        <w:rPr>
          <w:rFonts w:ascii="Arial" w:hAnsi="Arial" w:cs="Arial"/>
          <w:i/>
          <w:iCs/>
          <w:sz w:val="20"/>
          <w:szCs w:val="20"/>
          <w:highlight w:val="yellow"/>
          <w:u w:val="single"/>
        </w:rPr>
      </w:pPr>
    </w:p>
    <w:p w14:paraId="27539BAD" w14:textId="77777777" w:rsidR="001F2201" w:rsidRDefault="001F2201" w:rsidP="009418CB">
      <w:pPr>
        <w:jc w:val="both"/>
        <w:rPr>
          <w:rFonts w:ascii="Arial" w:hAnsi="Arial" w:cs="Arial"/>
          <w:i/>
          <w:iCs/>
          <w:sz w:val="20"/>
          <w:szCs w:val="20"/>
          <w:highlight w:val="yellow"/>
          <w:u w:val="single"/>
        </w:rPr>
      </w:pPr>
    </w:p>
    <w:p w14:paraId="474EE17A" w14:textId="77777777" w:rsidR="001C1231" w:rsidRPr="0025192B" w:rsidRDefault="001C1231" w:rsidP="009418CB">
      <w:pPr>
        <w:jc w:val="both"/>
        <w:rPr>
          <w:rFonts w:ascii="Arial" w:hAnsi="Arial" w:cs="Arial"/>
          <w:i/>
          <w:iCs/>
          <w:sz w:val="20"/>
          <w:szCs w:val="20"/>
          <w:highlight w:val="yellow"/>
          <w:u w:val="single"/>
        </w:rPr>
      </w:pPr>
    </w:p>
    <w:p w14:paraId="32FCE772" w14:textId="10C427CE" w:rsidR="003E205D" w:rsidRPr="007C2614" w:rsidRDefault="00197384" w:rsidP="00A45041">
      <w:pPr>
        <w:pStyle w:val="Heading7"/>
      </w:pPr>
      <w:r>
        <w:t xml:space="preserve">     </w:t>
      </w:r>
      <w:r w:rsidR="003E205D" w:rsidRPr="007C2614">
        <w:t xml:space="preserve">TABLE </w:t>
      </w:r>
      <w:r w:rsidR="003E205D">
        <w:t xml:space="preserve">3: </w:t>
      </w:r>
      <w:r w:rsidR="00605BD9">
        <w:t xml:space="preserve">GSMC Inpatient Psychiatric </w:t>
      </w:r>
      <w:r w:rsidR="007145AD">
        <w:t>Unit</w:t>
      </w:r>
      <w:r w:rsidR="00605BD9">
        <w:t xml:space="preserve"> Patient </w:t>
      </w:r>
      <w:r w:rsidR="003E205D">
        <w:t>Pane</w:t>
      </w:r>
      <w:r w:rsidR="00A45041">
        <w:t>l</w:t>
      </w:r>
    </w:p>
    <w:tbl>
      <w:tblPr>
        <w:tblStyle w:val="TableGrid"/>
        <w:tblW w:w="9900" w:type="dxa"/>
        <w:jc w:val="center"/>
        <w:tblLook w:val="04A0" w:firstRow="1" w:lastRow="0" w:firstColumn="1" w:lastColumn="0" w:noHBand="0" w:noVBand="1"/>
      </w:tblPr>
      <w:tblGrid>
        <w:gridCol w:w="1895"/>
        <w:gridCol w:w="1170"/>
        <w:gridCol w:w="900"/>
        <w:gridCol w:w="1080"/>
        <w:gridCol w:w="1080"/>
        <w:gridCol w:w="945"/>
        <w:gridCol w:w="45"/>
        <w:gridCol w:w="900"/>
        <w:gridCol w:w="890"/>
        <w:gridCol w:w="10"/>
        <w:gridCol w:w="42"/>
        <w:gridCol w:w="943"/>
      </w:tblGrid>
      <w:tr w:rsidR="003645F4" w:rsidRPr="00702EAF" w14:paraId="5644AA86" w14:textId="6F2A65F3" w:rsidTr="003645F4">
        <w:trPr>
          <w:cantSplit/>
          <w:trHeight w:val="280"/>
          <w:tblHeader/>
          <w:jc w:val="center"/>
        </w:trPr>
        <w:tc>
          <w:tcPr>
            <w:tcW w:w="1895" w:type="dxa"/>
            <w:tcBorders>
              <w:bottom w:val="nil"/>
            </w:tcBorders>
            <w:noWrap/>
            <w:vAlign w:val="center"/>
          </w:tcPr>
          <w:p w14:paraId="1B253975" w14:textId="77777777" w:rsidR="003645F4" w:rsidRPr="00CF4184" w:rsidRDefault="003645F4" w:rsidP="003645F4">
            <w:pPr>
              <w:jc w:val="center"/>
              <w:rPr>
                <w:rFonts w:ascii="Arial" w:eastAsia="Verdana" w:hAnsi="Arial" w:cs="Arial"/>
                <w:sz w:val="18"/>
                <w:szCs w:val="18"/>
              </w:rPr>
            </w:pPr>
            <w:r w:rsidRPr="00CF4184">
              <w:rPr>
                <w:rFonts w:asciiTheme="majorHAnsi" w:eastAsia="Verdana" w:hAnsiTheme="majorHAnsi" w:cstheme="majorHAnsi"/>
                <w:sz w:val="18"/>
                <w:szCs w:val="18"/>
              </w:rPr>
              <w:t>Demographic Measure</w:t>
            </w:r>
          </w:p>
        </w:tc>
        <w:tc>
          <w:tcPr>
            <w:tcW w:w="1170" w:type="dxa"/>
            <w:shd w:val="clear" w:color="auto" w:fill="B4C6E7" w:themeFill="accent1" w:themeFillTint="66"/>
          </w:tcPr>
          <w:p w14:paraId="6E6A29CB" w14:textId="77777777" w:rsidR="003645F4" w:rsidRDefault="003645F4" w:rsidP="003645F4">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(Q4)</w:t>
            </w:r>
          </w:p>
        </w:tc>
        <w:tc>
          <w:tcPr>
            <w:tcW w:w="900" w:type="dxa"/>
            <w:shd w:val="clear" w:color="auto" w:fill="B4C6E7" w:themeFill="accent1" w:themeFillTint="66"/>
          </w:tcPr>
          <w:p w14:paraId="5EA6BCA2" w14:textId="37AA322D" w:rsidR="003645F4" w:rsidRDefault="003645F4" w:rsidP="003645F4">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FY19 (Q4)</w:t>
            </w:r>
          </w:p>
        </w:tc>
        <w:tc>
          <w:tcPr>
            <w:tcW w:w="1080" w:type="dxa"/>
            <w:shd w:val="clear" w:color="auto" w:fill="B4C6E7" w:themeFill="accent1" w:themeFillTint="66"/>
            <w:noWrap/>
          </w:tcPr>
          <w:p w14:paraId="4B022978" w14:textId="77777777" w:rsidR="003645F4" w:rsidRPr="00CF4184" w:rsidRDefault="003645F4" w:rsidP="003645F4">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FY20</w:t>
            </w:r>
          </w:p>
        </w:tc>
        <w:tc>
          <w:tcPr>
            <w:tcW w:w="1080" w:type="dxa"/>
            <w:shd w:val="clear" w:color="auto" w:fill="B4C6E7" w:themeFill="accent1" w:themeFillTint="66"/>
          </w:tcPr>
          <w:p w14:paraId="4293D321" w14:textId="2DDEE6A1" w:rsidR="003645F4" w:rsidRPr="00CF4184" w:rsidRDefault="003645F4" w:rsidP="003645F4">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FY20</w:t>
            </w:r>
          </w:p>
        </w:tc>
        <w:tc>
          <w:tcPr>
            <w:tcW w:w="945" w:type="dxa"/>
            <w:shd w:val="clear" w:color="auto" w:fill="B4C6E7" w:themeFill="accent1" w:themeFillTint="66"/>
            <w:noWrap/>
          </w:tcPr>
          <w:p w14:paraId="0A360095" w14:textId="77777777" w:rsidR="003645F4" w:rsidRPr="00CF4184" w:rsidRDefault="003645F4" w:rsidP="003645F4">
            <w:pPr>
              <w:jc w:val="center"/>
              <w:rPr>
                <w:rFonts w:asciiTheme="majorHAnsi" w:eastAsia="Verdana" w:hAnsiTheme="majorHAnsi" w:cstheme="majorHAnsi"/>
                <w:b/>
                <w:bCs/>
                <w:sz w:val="18"/>
                <w:szCs w:val="18"/>
              </w:rPr>
            </w:pPr>
            <w:r w:rsidRPr="00A733AA">
              <w:rPr>
                <w:rFonts w:asciiTheme="majorHAnsi" w:eastAsia="Verdana" w:hAnsiTheme="majorHAnsi" w:cstheme="majorHAnsi"/>
                <w:b/>
                <w:bCs/>
                <w:sz w:val="18"/>
                <w:szCs w:val="18"/>
              </w:rPr>
              <w:t>FY2</w:t>
            </w:r>
            <w:r>
              <w:rPr>
                <w:rFonts w:asciiTheme="majorHAnsi" w:eastAsia="Verdana" w:hAnsiTheme="majorHAnsi" w:cstheme="majorHAnsi"/>
                <w:b/>
                <w:bCs/>
                <w:sz w:val="18"/>
                <w:szCs w:val="18"/>
              </w:rPr>
              <w:t>1</w:t>
            </w:r>
          </w:p>
        </w:tc>
        <w:tc>
          <w:tcPr>
            <w:tcW w:w="945" w:type="dxa"/>
            <w:gridSpan w:val="2"/>
            <w:shd w:val="clear" w:color="auto" w:fill="B4C6E7" w:themeFill="accent1" w:themeFillTint="66"/>
          </w:tcPr>
          <w:p w14:paraId="6A0ED66B" w14:textId="5F9FE55E" w:rsidR="003645F4" w:rsidRPr="00CF4184" w:rsidRDefault="003645F4" w:rsidP="003645F4">
            <w:pPr>
              <w:jc w:val="center"/>
              <w:rPr>
                <w:rFonts w:asciiTheme="majorHAnsi" w:eastAsia="Verdana" w:hAnsiTheme="majorHAnsi" w:cstheme="majorHAnsi"/>
                <w:b/>
                <w:bCs/>
                <w:sz w:val="18"/>
                <w:szCs w:val="18"/>
              </w:rPr>
            </w:pPr>
            <w:r w:rsidRPr="00A733AA">
              <w:rPr>
                <w:rFonts w:asciiTheme="majorHAnsi" w:eastAsia="Verdana" w:hAnsiTheme="majorHAnsi" w:cstheme="majorHAnsi"/>
                <w:b/>
                <w:bCs/>
                <w:sz w:val="18"/>
                <w:szCs w:val="18"/>
              </w:rPr>
              <w:t>FY2</w:t>
            </w:r>
            <w:r>
              <w:rPr>
                <w:rFonts w:asciiTheme="majorHAnsi" w:eastAsia="Verdana" w:hAnsiTheme="majorHAnsi" w:cstheme="majorHAnsi"/>
                <w:b/>
                <w:bCs/>
                <w:sz w:val="18"/>
                <w:szCs w:val="18"/>
              </w:rPr>
              <w:t>1</w:t>
            </w:r>
          </w:p>
        </w:tc>
        <w:tc>
          <w:tcPr>
            <w:tcW w:w="942" w:type="dxa"/>
            <w:gridSpan w:val="3"/>
            <w:shd w:val="clear" w:color="auto" w:fill="B4C6E7" w:themeFill="accent1" w:themeFillTint="66"/>
          </w:tcPr>
          <w:p w14:paraId="5B64DF21" w14:textId="77777777" w:rsidR="003645F4" w:rsidRPr="00A733AA" w:rsidRDefault="003645F4" w:rsidP="003645F4">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FY22 (Q1, Q2, Q3)</w:t>
            </w:r>
          </w:p>
        </w:tc>
        <w:tc>
          <w:tcPr>
            <w:tcW w:w="943" w:type="dxa"/>
            <w:shd w:val="clear" w:color="auto" w:fill="B4C6E7" w:themeFill="accent1" w:themeFillTint="66"/>
          </w:tcPr>
          <w:p w14:paraId="48961DA8" w14:textId="7CC30794" w:rsidR="003645F4" w:rsidRPr="00A733AA" w:rsidRDefault="003645F4" w:rsidP="003645F4">
            <w:pPr>
              <w:jc w:val="center"/>
              <w:rPr>
                <w:rFonts w:asciiTheme="majorHAnsi" w:eastAsia="Verdana" w:hAnsiTheme="majorHAnsi" w:cstheme="majorHAnsi"/>
                <w:b/>
                <w:bCs/>
                <w:sz w:val="18"/>
                <w:szCs w:val="18"/>
              </w:rPr>
            </w:pPr>
            <w:r>
              <w:rPr>
                <w:rFonts w:asciiTheme="majorHAnsi" w:eastAsia="Verdana" w:hAnsiTheme="majorHAnsi" w:cstheme="majorHAnsi"/>
                <w:b/>
                <w:bCs/>
                <w:sz w:val="18"/>
                <w:szCs w:val="18"/>
              </w:rPr>
              <w:t>FY22 (Q1, Q2, Q3)</w:t>
            </w:r>
          </w:p>
        </w:tc>
      </w:tr>
      <w:tr w:rsidR="003645F4" w:rsidRPr="00702EAF" w14:paraId="779CFE66" w14:textId="7F97D330" w:rsidTr="003645F4">
        <w:trPr>
          <w:cantSplit/>
          <w:trHeight w:val="280"/>
          <w:tblHeader/>
          <w:jc w:val="center"/>
        </w:trPr>
        <w:tc>
          <w:tcPr>
            <w:tcW w:w="1895" w:type="dxa"/>
            <w:tcBorders>
              <w:top w:val="nil"/>
            </w:tcBorders>
            <w:noWrap/>
            <w:vAlign w:val="center"/>
          </w:tcPr>
          <w:p w14:paraId="234EC6D9" w14:textId="77777777" w:rsidR="003645F4" w:rsidRPr="00CF4184" w:rsidRDefault="003645F4" w:rsidP="003645F4">
            <w:pPr>
              <w:jc w:val="center"/>
              <w:rPr>
                <w:rFonts w:asciiTheme="majorHAnsi" w:eastAsia="Verdana" w:hAnsiTheme="majorHAnsi" w:cstheme="majorHAnsi"/>
                <w:sz w:val="18"/>
                <w:szCs w:val="18"/>
              </w:rPr>
            </w:pPr>
          </w:p>
        </w:tc>
        <w:tc>
          <w:tcPr>
            <w:tcW w:w="1170" w:type="dxa"/>
          </w:tcPr>
          <w:p w14:paraId="3C1A04E9" w14:textId="01D8E6A6" w:rsidR="003645F4" w:rsidRPr="00CF4184" w:rsidRDefault="003645F4" w:rsidP="003645F4">
            <w:pPr>
              <w:jc w:val="center"/>
              <w:rPr>
                <w:rFonts w:asciiTheme="majorHAnsi" w:eastAsia="Verdana" w:hAnsiTheme="majorHAnsi" w:cstheme="majorHAnsi"/>
                <w:sz w:val="18"/>
                <w:szCs w:val="18"/>
              </w:rPr>
            </w:pPr>
            <w:r>
              <w:rPr>
                <w:rFonts w:asciiTheme="majorHAnsi" w:eastAsia="Verdana" w:hAnsiTheme="majorHAnsi" w:cstheme="majorHAnsi"/>
                <w:sz w:val="18"/>
                <w:szCs w:val="18"/>
              </w:rPr>
              <w:t>Count</w:t>
            </w:r>
          </w:p>
        </w:tc>
        <w:tc>
          <w:tcPr>
            <w:tcW w:w="900" w:type="dxa"/>
          </w:tcPr>
          <w:p w14:paraId="2908293E" w14:textId="0DF832C0" w:rsidR="003645F4" w:rsidRPr="00CF4184" w:rsidRDefault="003645F4" w:rsidP="003645F4">
            <w:pPr>
              <w:jc w:val="center"/>
              <w:rPr>
                <w:rFonts w:asciiTheme="majorHAnsi" w:eastAsia="Verdana" w:hAnsiTheme="majorHAnsi" w:cstheme="majorHAnsi"/>
                <w:sz w:val="18"/>
                <w:szCs w:val="18"/>
              </w:rPr>
            </w:pPr>
            <w:r>
              <w:rPr>
                <w:rFonts w:asciiTheme="majorHAnsi" w:eastAsia="Verdana" w:hAnsiTheme="majorHAnsi" w:cstheme="majorHAnsi"/>
                <w:sz w:val="18"/>
                <w:szCs w:val="18"/>
              </w:rPr>
              <w:t>Percent</w:t>
            </w:r>
          </w:p>
        </w:tc>
        <w:tc>
          <w:tcPr>
            <w:tcW w:w="1080" w:type="dxa"/>
            <w:noWrap/>
            <w:vAlign w:val="center"/>
          </w:tcPr>
          <w:p w14:paraId="202F4974" w14:textId="3D9F72E9" w:rsidR="003645F4" w:rsidRPr="00CF4184" w:rsidRDefault="003645F4" w:rsidP="003645F4">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1080" w:type="dxa"/>
          </w:tcPr>
          <w:p w14:paraId="6BB0F445" w14:textId="75BA37D2" w:rsidR="003645F4" w:rsidRPr="00CF4184" w:rsidRDefault="003645F4" w:rsidP="003645F4">
            <w:pPr>
              <w:jc w:val="center"/>
              <w:rPr>
                <w:rFonts w:asciiTheme="majorHAnsi" w:eastAsia="Verdana" w:hAnsiTheme="majorHAnsi" w:cstheme="majorHAnsi"/>
                <w:sz w:val="18"/>
                <w:szCs w:val="18"/>
              </w:rPr>
            </w:pPr>
            <w:r>
              <w:rPr>
                <w:rFonts w:asciiTheme="majorHAnsi" w:eastAsia="Verdana" w:hAnsiTheme="majorHAnsi" w:cstheme="majorHAnsi"/>
                <w:sz w:val="18"/>
                <w:szCs w:val="18"/>
              </w:rPr>
              <w:t>Percent</w:t>
            </w:r>
          </w:p>
        </w:tc>
        <w:tc>
          <w:tcPr>
            <w:tcW w:w="990" w:type="dxa"/>
            <w:gridSpan w:val="2"/>
            <w:noWrap/>
            <w:vAlign w:val="center"/>
          </w:tcPr>
          <w:p w14:paraId="1112F2A0" w14:textId="77777777" w:rsidR="003645F4" w:rsidRPr="00CF4184" w:rsidRDefault="003645F4" w:rsidP="003645F4">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Count</w:t>
            </w:r>
          </w:p>
        </w:tc>
        <w:tc>
          <w:tcPr>
            <w:tcW w:w="900" w:type="dxa"/>
            <w:noWrap/>
            <w:vAlign w:val="center"/>
          </w:tcPr>
          <w:p w14:paraId="1EF2A23E" w14:textId="77777777" w:rsidR="003645F4" w:rsidRPr="00CF4184" w:rsidRDefault="003645F4" w:rsidP="003645F4">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c>
          <w:tcPr>
            <w:tcW w:w="900" w:type="dxa"/>
            <w:gridSpan w:val="2"/>
          </w:tcPr>
          <w:p w14:paraId="0F2E4673" w14:textId="21808994" w:rsidR="003645F4" w:rsidRPr="00CF4184" w:rsidRDefault="003645F4" w:rsidP="003645F4">
            <w:pPr>
              <w:jc w:val="center"/>
              <w:rPr>
                <w:rFonts w:asciiTheme="majorHAnsi" w:eastAsia="Verdana" w:hAnsiTheme="majorHAnsi" w:cstheme="majorHAnsi"/>
                <w:sz w:val="18"/>
                <w:szCs w:val="18"/>
              </w:rPr>
            </w:pPr>
            <w:r>
              <w:rPr>
                <w:rFonts w:asciiTheme="majorHAnsi" w:eastAsia="Verdana" w:hAnsiTheme="majorHAnsi" w:cstheme="majorHAnsi"/>
                <w:sz w:val="18"/>
                <w:szCs w:val="18"/>
              </w:rPr>
              <w:t>Count</w:t>
            </w:r>
          </w:p>
        </w:tc>
        <w:tc>
          <w:tcPr>
            <w:tcW w:w="985" w:type="dxa"/>
            <w:gridSpan w:val="2"/>
            <w:noWrap/>
            <w:vAlign w:val="center"/>
          </w:tcPr>
          <w:p w14:paraId="052F0344" w14:textId="77777777" w:rsidR="003645F4" w:rsidRPr="00CF4184" w:rsidRDefault="003645F4" w:rsidP="003645F4">
            <w:pPr>
              <w:jc w:val="center"/>
              <w:rPr>
                <w:rFonts w:asciiTheme="majorHAnsi" w:eastAsia="Verdana" w:hAnsiTheme="majorHAnsi" w:cstheme="majorHAnsi"/>
                <w:sz w:val="18"/>
                <w:szCs w:val="18"/>
              </w:rPr>
            </w:pPr>
            <w:r w:rsidRPr="00CF4184">
              <w:rPr>
                <w:rFonts w:asciiTheme="majorHAnsi" w:eastAsia="Verdana" w:hAnsiTheme="majorHAnsi" w:cstheme="majorHAnsi"/>
                <w:sz w:val="18"/>
                <w:szCs w:val="18"/>
              </w:rPr>
              <w:t>Percent</w:t>
            </w:r>
          </w:p>
        </w:tc>
      </w:tr>
      <w:tr w:rsidR="003645F4" w:rsidRPr="00702EAF" w14:paraId="1363C5B0" w14:textId="2102313E" w:rsidTr="003645F4">
        <w:trPr>
          <w:cantSplit/>
          <w:trHeight w:val="280"/>
          <w:jc w:val="center"/>
        </w:trPr>
        <w:tc>
          <w:tcPr>
            <w:tcW w:w="1895" w:type="dxa"/>
            <w:shd w:val="clear" w:color="auto" w:fill="DEEAF6" w:themeFill="accent5" w:themeFillTint="33"/>
            <w:noWrap/>
          </w:tcPr>
          <w:p w14:paraId="5CD87FD2" w14:textId="77777777" w:rsidR="003645F4" w:rsidRPr="00702EAF" w:rsidRDefault="003645F4" w:rsidP="003645F4">
            <w:pPr>
              <w:jc w:val="center"/>
              <w:rPr>
                <w:rFonts w:asciiTheme="majorHAnsi" w:eastAsia="Verdana" w:hAnsiTheme="majorHAnsi" w:cstheme="majorHAnsi"/>
                <w:b/>
                <w:bCs/>
                <w:sz w:val="18"/>
                <w:szCs w:val="18"/>
                <w:highlight w:val="yellow"/>
              </w:rPr>
            </w:pPr>
            <w:r w:rsidRPr="00201745">
              <w:rPr>
                <w:rFonts w:asciiTheme="majorHAnsi" w:eastAsia="Verdana" w:hAnsiTheme="majorHAnsi" w:cstheme="majorHAnsi"/>
                <w:b/>
                <w:bCs/>
                <w:sz w:val="18"/>
                <w:szCs w:val="18"/>
              </w:rPr>
              <w:t>Age</w:t>
            </w:r>
          </w:p>
        </w:tc>
        <w:tc>
          <w:tcPr>
            <w:tcW w:w="1170" w:type="dxa"/>
            <w:shd w:val="clear" w:color="auto" w:fill="DEEAF6" w:themeFill="accent5" w:themeFillTint="33"/>
          </w:tcPr>
          <w:p w14:paraId="75C749A3" w14:textId="77777777" w:rsidR="003645F4" w:rsidRPr="00702EAF" w:rsidRDefault="003645F4" w:rsidP="003645F4">
            <w:pPr>
              <w:jc w:val="center"/>
              <w:rPr>
                <w:rFonts w:ascii="Arial" w:eastAsia="Verdana" w:hAnsi="Arial" w:cs="Arial"/>
                <w:sz w:val="18"/>
                <w:szCs w:val="18"/>
                <w:highlight w:val="yellow"/>
              </w:rPr>
            </w:pPr>
          </w:p>
        </w:tc>
        <w:tc>
          <w:tcPr>
            <w:tcW w:w="900" w:type="dxa"/>
            <w:shd w:val="clear" w:color="auto" w:fill="DEEAF6" w:themeFill="accent5" w:themeFillTint="33"/>
          </w:tcPr>
          <w:p w14:paraId="0AD5A3E4" w14:textId="77777777" w:rsidR="003645F4" w:rsidRPr="00702EAF" w:rsidRDefault="003645F4" w:rsidP="003645F4">
            <w:pPr>
              <w:jc w:val="center"/>
              <w:rPr>
                <w:rFonts w:ascii="Arial" w:eastAsia="Verdana" w:hAnsi="Arial" w:cs="Arial"/>
                <w:sz w:val="18"/>
                <w:szCs w:val="18"/>
                <w:highlight w:val="yellow"/>
              </w:rPr>
            </w:pPr>
          </w:p>
        </w:tc>
        <w:tc>
          <w:tcPr>
            <w:tcW w:w="1080" w:type="dxa"/>
            <w:shd w:val="clear" w:color="auto" w:fill="DEEAF6" w:themeFill="accent5" w:themeFillTint="33"/>
            <w:noWrap/>
          </w:tcPr>
          <w:p w14:paraId="78AC835C" w14:textId="3922E5C6" w:rsidR="003645F4" w:rsidRPr="00702EAF" w:rsidRDefault="003645F4" w:rsidP="003645F4">
            <w:pPr>
              <w:jc w:val="center"/>
              <w:rPr>
                <w:rFonts w:ascii="Arial" w:eastAsia="Verdana" w:hAnsi="Arial" w:cs="Arial"/>
                <w:sz w:val="18"/>
                <w:szCs w:val="18"/>
                <w:highlight w:val="yellow"/>
              </w:rPr>
            </w:pPr>
          </w:p>
        </w:tc>
        <w:tc>
          <w:tcPr>
            <w:tcW w:w="1080" w:type="dxa"/>
            <w:shd w:val="clear" w:color="auto" w:fill="DEEAF6" w:themeFill="accent5" w:themeFillTint="33"/>
          </w:tcPr>
          <w:p w14:paraId="25B22D49" w14:textId="77777777" w:rsidR="003645F4" w:rsidRPr="00702EAF" w:rsidRDefault="003645F4" w:rsidP="003645F4">
            <w:pPr>
              <w:jc w:val="center"/>
              <w:rPr>
                <w:rFonts w:ascii="Arial" w:eastAsia="Verdana" w:hAnsi="Arial" w:cs="Arial"/>
                <w:sz w:val="18"/>
                <w:szCs w:val="18"/>
                <w:highlight w:val="yellow"/>
              </w:rPr>
            </w:pPr>
          </w:p>
        </w:tc>
        <w:tc>
          <w:tcPr>
            <w:tcW w:w="990" w:type="dxa"/>
            <w:gridSpan w:val="2"/>
            <w:shd w:val="clear" w:color="auto" w:fill="DEEAF6" w:themeFill="accent5" w:themeFillTint="33"/>
            <w:noWrap/>
          </w:tcPr>
          <w:p w14:paraId="48977803" w14:textId="77777777" w:rsidR="003645F4" w:rsidRPr="00702EAF" w:rsidRDefault="003645F4" w:rsidP="003645F4">
            <w:pPr>
              <w:jc w:val="center"/>
              <w:rPr>
                <w:rFonts w:ascii="Arial" w:eastAsia="Verdana" w:hAnsi="Arial" w:cs="Arial"/>
                <w:sz w:val="18"/>
                <w:szCs w:val="18"/>
                <w:highlight w:val="yellow"/>
              </w:rPr>
            </w:pPr>
          </w:p>
        </w:tc>
        <w:tc>
          <w:tcPr>
            <w:tcW w:w="900" w:type="dxa"/>
            <w:shd w:val="clear" w:color="auto" w:fill="DEEAF6" w:themeFill="accent5" w:themeFillTint="33"/>
            <w:noWrap/>
          </w:tcPr>
          <w:p w14:paraId="75E3D3C4" w14:textId="77777777" w:rsidR="003645F4" w:rsidRPr="00702EAF" w:rsidRDefault="003645F4" w:rsidP="003645F4">
            <w:pPr>
              <w:jc w:val="center"/>
              <w:rPr>
                <w:rFonts w:ascii="Arial" w:eastAsia="Verdana" w:hAnsi="Arial" w:cs="Arial"/>
                <w:sz w:val="18"/>
                <w:szCs w:val="18"/>
                <w:highlight w:val="yellow"/>
              </w:rPr>
            </w:pPr>
          </w:p>
        </w:tc>
        <w:tc>
          <w:tcPr>
            <w:tcW w:w="900" w:type="dxa"/>
            <w:gridSpan w:val="2"/>
            <w:shd w:val="clear" w:color="auto" w:fill="DEEAF6" w:themeFill="accent5" w:themeFillTint="33"/>
          </w:tcPr>
          <w:p w14:paraId="34D81F45" w14:textId="77777777" w:rsidR="003645F4" w:rsidRPr="00702EAF" w:rsidRDefault="003645F4" w:rsidP="003645F4">
            <w:pPr>
              <w:jc w:val="center"/>
              <w:rPr>
                <w:rFonts w:ascii="Arial" w:eastAsia="Verdana" w:hAnsi="Arial" w:cs="Arial"/>
                <w:sz w:val="18"/>
                <w:szCs w:val="18"/>
                <w:highlight w:val="yellow"/>
              </w:rPr>
            </w:pPr>
          </w:p>
        </w:tc>
        <w:tc>
          <w:tcPr>
            <w:tcW w:w="985" w:type="dxa"/>
            <w:gridSpan w:val="2"/>
            <w:shd w:val="clear" w:color="auto" w:fill="DEEAF6" w:themeFill="accent5" w:themeFillTint="33"/>
            <w:noWrap/>
          </w:tcPr>
          <w:p w14:paraId="745C48DA" w14:textId="77777777" w:rsidR="003645F4" w:rsidRPr="00702EAF" w:rsidRDefault="003645F4" w:rsidP="003645F4">
            <w:pPr>
              <w:jc w:val="center"/>
              <w:rPr>
                <w:rFonts w:ascii="Arial" w:eastAsia="Verdana" w:hAnsi="Arial" w:cs="Arial"/>
                <w:sz w:val="18"/>
                <w:szCs w:val="18"/>
                <w:highlight w:val="yellow"/>
              </w:rPr>
            </w:pPr>
          </w:p>
        </w:tc>
      </w:tr>
      <w:tr w:rsidR="003645F4" w:rsidRPr="00702EAF" w14:paraId="590B0862" w14:textId="51BFA156" w:rsidTr="003645F4">
        <w:trPr>
          <w:cantSplit/>
          <w:trHeight w:val="197"/>
          <w:jc w:val="center"/>
        </w:trPr>
        <w:tc>
          <w:tcPr>
            <w:tcW w:w="1895" w:type="dxa"/>
            <w:noWrap/>
            <w:hideMark/>
          </w:tcPr>
          <w:p w14:paraId="75A3B964" w14:textId="1E373024" w:rsidR="003645F4" w:rsidRPr="00201745" w:rsidRDefault="003645F4" w:rsidP="003645F4">
            <w:pPr>
              <w:rPr>
                <w:rFonts w:asciiTheme="majorHAnsi" w:eastAsia="Verdana" w:hAnsiTheme="majorHAnsi" w:cstheme="majorHAnsi"/>
                <w:sz w:val="18"/>
                <w:szCs w:val="18"/>
              </w:rPr>
            </w:pPr>
            <w:r w:rsidRPr="00201745">
              <w:rPr>
                <w:rFonts w:asciiTheme="majorHAnsi" w:eastAsia="Verdana" w:hAnsiTheme="majorHAnsi" w:cstheme="majorHAnsi"/>
                <w:sz w:val="18"/>
                <w:szCs w:val="18"/>
              </w:rPr>
              <w:t xml:space="preserve">0 to </w:t>
            </w:r>
            <w:r>
              <w:rPr>
                <w:rFonts w:asciiTheme="majorHAnsi" w:eastAsia="Verdana" w:hAnsiTheme="majorHAnsi" w:cstheme="majorHAnsi"/>
                <w:sz w:val="18"/>
                <w:szCs w:val="18"/>
              </w:rPr>
              <w:t>18</w:t>
            </w:r>
          </w:p>
        </w:tc>
        <w:tc>
          <w:tcPr>
            <w:tcW w:w="1170" w:type="dxa"/>
          </w:tcPr>
          <w:p w14:paraId="14414713" w14:textId="35CC33EF"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00" w:type="dxa"/>
            <w:vAlign w:val="bottom"/>
          </w:tcPr>
          <w:p w14:paraId="483B421A" w14:textId="4A4A1F53"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1080" w:type="dxa"/>
            <w:noWrap/>
            <w:hideMark/>
          </w:tcPr>
          <w:p w14:paraId="250C23F8" w14:textId="75F11DA8"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1080" w:type="dxa"/>
            <w:vAlign w:val="bottom"/>
          </w:tcPr>
          <w:p w14:paraId="2C1F540D" w14:textId="29D410D2"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990" w:type="dxa"/>
            <w:gridSpan w:val="2"/>
            <w:shd w:val="clear" w:color="auto" w:fill="auto"/>
            <w:noWrap/>
            <w:hideMark/>
          </w:tcPr>
          <w:p w14:paraId="11ADBA31" w14:textId="3E0B9AF6"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00" w:type="dxa"/>
            <w:noWrap/>
            <w:vAlign w:val="bottom"/>
            <w:hideMark/>
          </w:tcPr>
          <w:p w14:paraId="50CC9256" w14:textId="0366AC9C"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900" w:type="dxa"/>
            <w:gridSpan w:val="2"/>
          </w:tcPr>
          <w:p w14:paraId="1018EAEC" w14:textId="5E449C9E"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85" w:type="dxa"/>
            <w:gridSpan w:val="2"/>
            <w:noWrap/>
            <w:vAlign w:val="bottom"/>
            <w:hideMark/>
          </w:tcPr>
          <w:p w14:paraId="2D6A1096" w14:textId="5A3D254E"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41E6834B" w14:textId="11A6DCD1" w:rsidTr="003645F4">
        <w:trPr>
          <w:cantSplit/>
          <w:trHeight w:val="224"/>
          <w:jc w:val="center"/>
        </w:trPr>
        <w:tc>
          <w:tcPr>
            <w:tcW w:w="1895" w:type="dxa"/>
            <w:noWrap/>
            <w:hideMark/>
          </w:tcPr>
          <w:p w14:paraId="174D72CB" w14:textId="27FF5393" w:rsidR="003645F4" w:rsidRPr="00201745" w:rsidRDefault="003645F4" w:rsidP="003645F4">
            <w:pPr>
              <w:rPr>
                <w:rFonts w:asciiTheme="majorHAnsi" w:eastAsia="Verdana" w:hAnsiTheme="majorHAnsi" w:cstheme="majorHAnsi"/>
                <w:sz w:val="18"/>
                <w:szCs w:val="18"/>
              </w:rPr>
            </w:pPr>
            <w:r>
              <w:rPr>
                <w:rFonts w:asciiTheme="majorHAnsi" w:eastAsia="Verdana" w:hAnsiTheme="majorHAnsi" w:cstheme="majorHAnsi"/>
                <w:sz w:val="18"/>
                <w:szCs w:val="18"/>
              </w:rPr>
              <w:t>19 to 45</w:t>
            </w:r>
          </w:p>
        </w:tc>
        <w:tc>
          <w:tcPr>
            <w:tcW w:w="1170" w:type="dxa"/>
            <w:vAlign w:val="bottom"/>
          </w:tcPr>
          <w:p w14:paraId="5411C96C" w14:textId="0586CA34"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297</w:t>
            </w:r>
          </w:p>
        </w:tc>
        <w:tc>
          <w:tcPr>
            <w:tcW w:w="900" w:type="dxa"/>
            <w:vAlign w:val="bottom"/>
          </w:tcPr>
          <w:p w14:paraId="2223C78C" w14:textId="18A09756"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60.24%</w:t>
            </w:r>
          </w:p>
        </w:tc>
        <w:tc>
          <w:tcPr>
            <w:tcW w:w="1080" w:type="dxa"/>
            <w:noWrap/>
            <w:vAlign w:val="bottom"/>
            <w:hideMark/>
          </w:tcPr>
          <w:p w14:paraId="11398B66" w14:textId="660A942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821</w:t>
            </w:r>
          </w:p>
        </w:tc>
        <w:tc>
          <w:tcPr>
            <w:tcW w:w="1080" w:type="dxa"/>
            <w:vAlign w:val="bottom"/>
          </w:tcPr>
          <w:p w14:paraId="121A04FD" w14:textId="47960AF0"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57.98%</w:t>
            </w:r>
          </w:p>
        </w:tc>
        <w:tc>
          <w:tcPr>
            <w:tcW w:w="990" w:type="dxa"/>
            <w:gridSpan w:val="2"/>
            <w:shd w:val="clear" w:color="auto" w:fill="auto"/>
            <w:noWrap/>
            <w:vAlign w:val="bottom"/>
            <w:hideMark/>
          </w:tcPr>
          <w:p w14:paraId="52D15E75" w14:textId="604E5B45"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588</w:t>
            </w:r>
          </w:p>
        </w:tc>
        <w:tc>
          <w:tcPr>
            <w:tcW w:w="900" w:type="dxa"/>
            <w:noWrap/>
            <w:vAlign w:val="bottom"/>
            <w:hideMark/>
          </w:tcPr>
          <w:p w14:paraId="45218798" w14:textId="14F88D01"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55.47%</w:t>
            </w:r>
          </w:p>
        </w:tc>
        <w:tc>
          <w:tcPr>
            <w:tcW w:w="900" w:type="dxa"/>
            <w:gridSpan w:val="2"/>
          </w:tcPr>
          <w:p w14:paraId="3FC6E93C" w14:textId="75E0D36A" w:rsidR="003645F4" w:rsidRPr="002B01A1" w:rsidRDefault="003645F4" w:rsidP="003645F4">
            <w:pPr>
              <w:jc w:val="center"/>
              <w:rPr>
                <w:rFonts w:asciiTheme="majorHAnsi" w:hAnsiTheme="majorHAnsi" w:cstheme="majorHAnsi"/>
                <w:color w:val="000000"/>
                <w:sz w:val="18"/>
                <w:szCs w:val="18"/>
              </w:rPr>
            </w:pPr>
            <w:r w:rsidRPr="002B01A1">
              <w:rPr>
                <w:rFonts w:asciiTheme="majorHAnsi" w:hAnsiTheme="majorHAnsi" w:cstheme="majorHAnsi"/>
                <w:color w:val="000000"/>
                <w:sz w:val="18"/>
                <w:szCs w:val="18"/>
              </w:rPr>
              <w:t>0</w:t>
            </w:r>
          </w:p>
        </w:tc>
        <w:tc>
          <w:tcPr>
            <w:tcW w:w="985" w:type="dxa"/>
            <w:gridSpan w:val="2"/>
            <w:noWrap/>
            <w:vAlign w:val="bottom"/>
            <w:hideMark/>
          </w:tcPr>
          <w:p w14:paraId="01B96F11" w14:textId="76CCF9D3"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38575251" w14:textId="337A8BC3" w:rsidTr="003645F4">
        <w:trPr>
          <w:cantSplit/>
          <w:trHeight w:val="233"/>
          <w:jc w:val="center"/>
        </w:trPr>
        <w:tc>
          <w:tcPr>
            <w:tcW w:w="1895" w:type="dxa"/>
            <w:noWrap/>
            <w:hideMark/>
          </w:tcPr>
          <w:p w14:paraId="43479CDB" w14:textId="1DE688C9" w:rsidR="003645F4" w:rsidRPr="00201745" w:rsidRDefault="003645F4" w:rsidP="003645F4">
            <w:pPr>
              <w:rPr>
                <w:rFonts w:asciiTheme="majorHAnsi" w:eastAsia="Verdana" w:hAnsiTheme="majorHAnsi" w:cstheme="majorHAnsi"/>
                <w:sz w:val="18"/>
                <w:szCs w:val="18"/>
              </w:rPr>
            </w:pPr>
            <w:r>
              <w:rPr>
                <w:rFonts w:asciiTheme="majorHAnsi" w:eastAsia="Verdana" w:hAnsiTheme="majorHAnsi" w:cstheme="majorHAnsi"/>
                <w:sz w:val="18"/>
                <w:szCs w:val="18"/>
              </w:rPr>
              <w:t>46 to 64</w:t>
            </w:r>
          </w:p>
        </w:tc>
        <w:tc>
          <w:tcPr>
            <w:tcW w:w="1170" w:type="dxa"/>
            <w:vAlign w:val="bottom"/>
          </w:tcPr>
          <w:p w14:paraId="5E817E3F" w14:textId="1F07E65D"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138</w:t>
            </w:r>
          </w:p>
        </w:tc>
        <w:tc>
          <w:tcPr>
            <w:tcW w:w="900" w:type="dxa"/>
            <w:vAlign w:val="bottom"/>
          </w:tcPr>
          <w:p w14:paraId="271DCA90" w14:textId="63DA6C19"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27.99%</w:t>
            </w:r>
          </w:p>
        </w:tc>
        <w:tc>
          <w:tcPr>
            <w:tcW w:w="1080" w:type="dxa"/>
            <w:noWrap/>
            <w:vAlign w:val="bottom"/>
            <w:hideMark/>
          </w:tcPr>
          <w:p w14:paraId="2D59486A" w14:textId="3EE2938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410</w:t>
            </w:r>
          </w:p>
        </w:tc>
        <w:tc>
          <w:tcPr>
            <w:tcW w:w="1080" w:type="dxa"/>
            <w:vAlign w:val="bottom"/>
          </w:tcPr>
          <w:p w14:paraId="69C2F6E4" w14:textId="622E75AF"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28.95%</w:t>
            </w:r>
          </w:p>
        </w:tc>
        <w:tc>
          <w:tcPr>
            <w:tcW w:w="990" w:type="dxa"/>
            <w:gridSpan w:val="2"/>
            <w:shd w:val="clear" w:color="auto" w:fill="auto"/>
            <w:noWrap/>
            <w:vAlign w:val="bottom"/>
            <w:hideMark/>
          </w:tcPr>
          <w:p w14:paraId="7297BFD3" w14:textId="391054E3"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306</w:t>
            </w:r>
          </w:p>
        </w:tc>
        <w:tc>
          <w:tcPr>
            <w:tcW w:w="900" w:type="dxa"/>
            <w:noWrap/>
            <w:vAlign w:val="bottom"/>
            <w:hideMark/>
          </w:tcPr>
          <w:p w14:paraId="42A6F80A" w14:textId="1E4618E9"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28.87%</w:t>
            </w:r>
          </w:p>
        </w:tc>
        <w:tc>
          <w:tcPr>
            <w:tcW w:w="900" w:type="dxa"/>
            <w:gridSpan w:val="2"/>
          </w:tcPr>
          <w:p w14:paraId="719568E3" w14:textId="6691537B" w:rsidR="003645F4" w:rsidRPr="002B01A1" w:rsidRDefault="003645F4" w:rsidP="003645F4">
            <w:pPr>
              <w:jc w:val="center"/>
              <w:rPr>
                <w:rFonts w:asciiTheme="majorHAnsi" w:hAnsiTheme="majorHAnsi" w:cstheme="majorHAnsi"/>
                <w:color w:val="000000"/>
                <w:sz w:val="18"/>
                <w:szCs w:val="18"/>
              </w:rPr>
            </w:pPr>
            <w:r>
              <w:rPr>
                <w:rFonts w:asciiTheme="majorHAnsi" w:hAnsiTheme="majorHAnsi" w:cstheme="majorHAnsi"/>
                <w:color w:val="000000"/>
                <w:sz w:val="18"/>
                <w:szCs w:val="18"/>
              </w:rPr>
              <w:t>&lt;11</w:t>
            </w:r>
            <w:r>
              <w:rPr>
                <w:rStyle w:val="FootnoteReference"/>
                <w:rFonts w:asciiTheme="majorHAnsi" w:hAnsiTheme="majorHAnsi" w:cstheme="majorHAnsi"/>
                <w:color w:val="000000"/>
                <w:sz w:val="18"/>
                <w:szCs w:val="18"/>
              </w:rPr>
              <w:footnoteReference w:id="16"/>
            </w:r>
          </w:p>
        </w:tc>
        <w:tc>
          <w:tcPr>
            <w:tcW w:w="985" w:type="dxa"/>
            <w:gridSpan w:val="2"/>
            <w:noWrap/>
            <w:vAlign w:val="bottom"/>
            <w:hideMark/>
          </w:tcPr>
          <w:p w14:paraId="32B08126" w14:textId="30990159"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14.29%</w:t>
            </w:r>
          </w:p>
        </w:tc>
      </w:tr>
      <w:tr w:rsidR="003645F4" w:rsidRPr="00702EAF" w14:paraId="1D8B2C50" w14:textId="51420E43" w:rsidTr="003645F4">
        <w:trPr>
          <w:cantSplit/>
          <w:trHeight w:val="233"/>
          <w:jc w:val="center"/>
        </w:trPr>
        <w:tc>
          <w:tcPr>
            <w:tcW w:w="1895" w:type="dxa"/>
            <w:noWrap/>
          </w:tcPr>
          <w:p w14:paraId="08FDBA28" w14:textId="1C3DD9C9" w:rsidR="003645F4" w:rsidRPr="00201745" w:rsidRDefault="003645F4" w:rsidP="003645F4">
            <w:pPr>
              <w:rPr>
                <w:rFonts w:asciiTheme="majorHAnsi" w:eastAsia="Verdana" w:hAnsiTheme="majorHAnsi" w:cstheme="majorHAnsi"/>
                <w:sz w:val="18"/>
                <w:szCs w:val="18"/>
              </w:rPr>
            </w:pPr>
            <w:r>
              <w:rPr>
                <w:rFonts w:asciiTheme="majorHAnsi" w:eastAsia="Verdana" w:hAnsiTheme="majorHAnsi" w:cstheme="majorHAnsi"/>
                <w:sz w:val="18"/>
                <w:szCs w:val="18"/>
              </w:rPr>
              <w:t>65+</w:t>
            </w:r>
          </w:p>
        </w:tc>
        <w:tc>
          <w:tcPr>
            <w:tcW w:w="1170" w:type="dxa"/>
            <w:vAlign w:val="bottom"/>
          </w:tcPr>
          <w:p w14:paraId="113FFDA0" w14:textId="0D1D3D7A"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58</w:t>
            </w:r>
          </w:p>
        </w:tc>
        <w:tc>
          <w:tcPr>
            <w:tcW w:w="900" w:type="dxa"/>
            <w:vAlign w:val="bottom"/>
          </w:tcPr>
          <w:p w14:paraId="7AB3B943" w14:textId="4D71DB3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11.76%</w:t>
            </w:r>
          </w:p>
        </w:tc>
        <w:tc>
          <w:tcPr>
            <w:tcW w:w="1080" w:type="dxa"/>
            <w:noWrap/>
            <w:vAlign w:val="bottom"/>
          </w:tcPr>
          <w:p w14:paraId="08DB4403" w14:textId="15428972"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185</w:t>
            </w:r>
          </w:p>
        </w:tc>
        <w:tc>
          <w:tcPr>
            <w:tcW w:w="1080" w:type="dxa"/>
            <w:vAlign w:val="bottom"/>
          </w:tcPr>
          <w:p w14:paraId="7B21F92B" w14:textId="2B65B0AA"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13.06%</w:t>
            </w:r>
          </w:p>
        </w:tc>
        <w:tc>
          <w:tcPr>
            <w:tcW w:w="990" w:type="dxa"/>
            <w:gridSpan w:val="2"/>
            <w:shd w:val="clear" w:color="auto" w:fill="auto"/>
            <w:noWrap/>
            <w:vAlign w:val="bottom"/>
          </w:tcPr>
          <w:p w14:paraId="72B06C71" w14:textId="429554BE"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166</w:t>
            </w:r>
          </w:p>
        </w:tc>
        <w:tc>
          <w:tcPr>
            <w:tcW w:w="900" w:type="dxa"/>
            <w:noWrap/>
            <w:vAlign w:val="bottom"/>
          </w:tcPr>
          <w:p w14:paraId="753D1FA3" w14:textId="0236694E"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15.66%</w:t>
            </w:r>
          </w:p>
        </w:tc>
        <w:tc>
          <w:tcPr>
            <w:tcW w:w="900" w:type="dxa"/>
            <w:gridSpan w:val="2"/>
          </w:tcPr>
          <w:p w14:paraId="096553D2" w14:textId="3B9D0F13" w:rsidR="003645F4" w:rsidRPr="002B01A1" w:rsidRDefault="003645F4" w:rsidP="003645F4">
            <w:pPr>
              <w:jc w:val="center"/>
              <w:rPr>
                <w:rFonts w:asciiTheme="majorHAnsi" w:hAnsiTheme="majorHAnsi" w:cstheme="majorHAnsi"/>
                <w:color w:val="000000"/>
                <w:sz w:val="18"/>
                <w:szCs w:val="18"/>
              </w:rPr>
            </w:pPr>
            <w:r>
              <w:rPr>
                <w:rFonts w:asciiTheme="majorHAnsi" w:hAnsiTheme="majorHAnsi" w:cstheme="majorHAnsi"/>
                <w:color w:val="000000"/>
                <w:sz w:val="18"/>
                <w:szCs w:val="18"/>
              </w:rPr>
              <w:t>&lt;11</w:t>
            </w:r>
          </w:p>
        </w:tc>
        <w:tc>
          <w:tcPr>
            <w:tcW w:w="985" w:type="dxa"/>
            <w:gridSpan w:val="2"/>
            <w:noWrap/>
            <w:vAlign w:val="bottom"/>
          </w:tcPr>
          <w:p w14:paraId="51A762EE" w14:textId="78D58A2C"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85.71%</w:t>
            </w:r>
          </w:p>
        </w:tc>
      </w:tr>
      <w:tr w:rsidR="003645F4" w:rsidRPr="00702EAF" w14:paraId="0BBAA70C" w14:textId="0B7DA404" w:rsidTr="003645F4">
        <w:trPr>
          <w:cantSplit/>
          <w:trHeight w:val="251"/>
          <w:jc w:val="center"/>
        </w:trPr>
        <w:tc>
          <w:tcPr>
            <w:tcW w:w="1895" w:type="dxa"/>
            <w:shd w:val="clear" w:color="auto" w:fill="E2EFD9" w:themeFill="accent6" w:themeFillTint="33"/>
            <w:noWrap/>
            <w:hideMark/>
          </w:tcPr>
          <w:p w14:paraId="7F2FC975" w14:textId="77777777" w:rsidR="003645F4" w:rsidRPr="00201745" w:rsidRDefault="003645F4" w:rsidP="003645F4">
            <w:pPr>
              <w:jc w:val="center"/>
              <w:rPr>
                <w:rFonts w:asciiTheme="majorHAnsi" w:eastAsia="Verdana" w:hAnsiTheme="majorHAnsi" w:cstheme="majorHAnsi"/>
                <w:sz w:val="18"/>
                <w:szCs w:val="18"/>
              </w:rPr>
            </w:pPr>
            <w:r w:rsidRPr="00201745">
              <w:rPr>
                <w:rFonts w:asciiTheme="majorHAnsi" w:eastAsia="Verdana" w:hAnsiTheme="majorHAnsi" w:cstheme="majorHAnsi"/>
                <w:sz w:val="18"/>
                <w:szCs w:val="18"/>
              </w:rPr>
              <w:t>Total</w:t>
            </w:r>
          </w:p>
        </w:tc>
        <w:tc>
          <w:tcPr>
            <w:tcW w:w="1170" w:type="dxa"/>
            <w:shd w:val="clear" w:color="auto" w:fill="E2EFD9" w:themeFill="accent6" w:themeFillTint="33"/>
          </w:tcPr>
          <w:p w14:paraId="403F242D" w14:textId="4ECFCF81"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493</w:t>
            </w:r>
          </w:p>
        </w:tc>
        <w:tc>
          <w:tcPr>
            <w:tcW w:w="900" w:type="dxa"/>
            <w:shd w:val="clear" w:color="auto" w:fill="E2EFD9" w:themeFill="accent6" w:themeFillTint="33"/>
          </w:tcPr>
          <w:p w14:paraId="2300373E" w14:textId="2F49859D"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c>
          <w:tcPr>
            <w:tcW w:w="1080" w:type="dxa"/>
            <w:shd w:val="clear" w:color="auto" w:fill="E2EFD9" w:themeFill="accent6" w:themeFillTint="33"/>
            <w:noWrap/>
            <w:hideMark/>
          </w:tcPr>
          <w:p w14:paraId="675089E2" w14:textId="61694A54"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1,416</w:t>
            </w:r>
          </w:p>
        </w:tc>
        <w:tc>
          <w:tcPr>
            <w:tcW w:w="1080" w:type="dxa"/>
            <w:shd w:val="clear" w:color="auto" w:fill="E2EFD9" w:themeFill="accent6" w:themeFillTint="33"/>
          </w:tcPr>
          <w:p w14:paraId="62C228A1" w14:textId="7E0EACE2"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c>
          <w:tcPr>
            <w:tcW w:w="990" w:type="dxa"/>
            <w:gridSpan w:val="2"/>
            <w:shd w:val="clear" w:color="auto" w:fill="E2EFD9" w:themeFill="accent6" w:themeFillTint="33"/>
            <w:noWrap/>
            <w:hideMark/>
          </w:tcPr>
          <w:p w14:paraId="37B65890" w14:textId="189338F0"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1,060</w:t>
            </w:r>
          </w:p>
        </w:tc>
        <w:tc>
          <w:tcPr>
            <w:tcW w:w="900" w:type="dxa"/>
            <w:shd w:val="clear" w:color="auto" w:fill="E2EFD9" w:themeFill="accent6" w:themeFillTint="33"/>
            <w:noWrap/>
            <w:hideMark/>
          </w:tcPr>
          <w:p w14:paraId="69706DCB" w14:textId="77777777"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c>
          <w:tcPr>
            <w:tcW w:w="900" w:type="dxa"/>
            <w:gridSpan w:val="2"/>
            <w:shd w:val="clear" w:color="auto" w:fill="E2EFD9" w:themeFill="accent6" w:themeFillTint="33"/>
          </w:tcPr>
          <w:p w14:paraId="744FF43F" w14:textId="27EDBDA6" w:rsidR="003645F4" w:rsidRPr="002B01A1" w:rsidRDefault="003645F4" w:rsidP="003645F4">
            <w:pPr>
              <w:jc w:val="center"/>
              <w:rPr>
                <w:rFonts w:asciiTheme="majorHAnsi" w:eastAsia="Verdana" w:hAnsiTheme="majorHAnsi" w:cstheme="majorHAnsi"/>
                <w:sz w:val="18"/>
                <w:szCs w:val="18"/>
              </w:rPr>
            </w:pPr>
            <w:r>
              <w:rPr>
                <w:rFonts w:asciiTheme="majorHAnsi" w:eastAsia="Verdana" w:hAnsiTheme="majorHAnsi" w:cstheme="majorHAnsi"/>
                <w:sz w:val="18"/>
                <w:szCs w:val="18"/>
              </w:rPr>
              <w:t>&lt;11</w:t>
            </w:r>
            <w:r>
              <w:rPr>
                <w:rStyle w:val="FootnoteReference"/>
                <w:rFonts w:asciiTheme="majorHAnsi" w:eastAsia="Verdana" w:hAnsiTheme="majorHAnsi" w:cstheme="majorHAnsi"/>
                <w:sz w:val="18"/>
                <w:szCs w:val="18"/>
              </w:rPr>
              <w:footnoteReference w:id="17"/>
            </w:r>
          </w:p>
        </w:tc>
        <w:tc>
          <w:tcPr>
            <w:tcW w:w="985" w:type="dxa"/>
            <w:gridSpan w:val="2"/>
            <w:shd w:val="clear" w:color="auto" w:fill="E2EFD9" w:themeFill="accent6" w:themeFillTint="33"/>
            <w:noWrap/>
            <w:hideMark/>
          </w:tcPr>
          <w:p w14:paraId="04A6BD59" w14:textId="77777777"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r>
      <w:tr w:rsidR="003645F4" w:rsidRPr="00702EAF" w14:paraId="25EA92C2" w14:textId="0DB048FF" w:rsidTr="003645F4">
        <w:trPr>
          <w:cantSplit/>
          <w:trHeight w:val="280"/>
          <w:jc w:val="center"/>
        </w:trPr>
        <w:tc>
          <w:tcPr>
            <w:tcW w:w="1895" w:type="dxa"/>
            <w:shd w:val="clear" w:color="auto" w:fill="DEEAF6" w:themeFill="accent5" w:themeFillTint="33"/>
            <w:noWrap/>
          </w:tcPr>
          <w:p w14:paraId="12A7352E" w14:textId="77777777" w:rsidR="003645F4" w:rsidRPr="00702EAF" w:rsidRDefault="003645F4" w:rsidP="003645F4">
            <w:pPr>
              <w:jc w:val="center"/>
              <w:rPr>
                <w:rFonts w:asciiTheme="majorHAnsi" w:eastAsia="Verdana" w:hAnsiTheme="majorHAnsi" w:cstheme="majorHAnsi"/>
                <w:sz w:val="18"/>
                <w:szCs w:val="18"/>
                <w:highlight w:val="yellow"/>
              </w:rPr>
            </w:pPr>
            <w:r w:rsidRPr="00201745">
              <w:rPr>
                <w:rFonts w:asciiTheme="majorHAnsi" w:eastAsia="Verdana" w:hAnsiTheme="majorHAnsi" w:cstheme="majorHAnsi"/>
                <w:b/>
                <w:bCs/>
                <w:sz w:val="18"/>
                <w:szCs w:val="18"/>
              </w:rPr>
              <w:t>Gender</w:t>
            </w:r>
          </w:p>
        </w:tc>
        <w:tc>
          <w:tcPr>
            <w:tcW w:w="1170" w:type="dxa"/>
            <w:shd w:val="clear" w:color="auto" w:fill="DEEAF6" w:themeFill="accent5" w:themeFillTint="33"/>
          </w:tcPr>
          <w:p w14:paraId="461D1145"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00" w:type="dxa"/>
            <w:shd w:val="clear" w:color="auto" w:fill="DEEAF6" w:themeFill="accent5" w:themeFillTint="33"/>
          </w:tcPr>
          <w:p w14:paraId="666C99AA"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noWrap/>
          </w:tcPr>
          <w:p w14:paraId="33AFD391" w14:textId="5A541313" w:rsidR="003645F4" w:rsidRPr="002B01A1" w:rsidRDefault="003645F4" w:rsidP="003645F4">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tcPr>
          <w:p w14:paraId="32AE335F"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90" w:type="dxa"/>
            <w:gridSpan w:val="2"/>
            <w:shd w:val="clear" w:color="auto" w:fill="DEEAF6" w:themeFill="accent5" w:themeFillTint="33"/>
            <w:noWrap/>
          </w:tcPr>
          <w:p w14:paraId="6A6D7DC2"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00" w:type="dxa"/>
            <w:shd w:val="clear" w:color="auto" w:fill="DEEAF6" w:themeFill="accent5" w:themeFillTint="33"/>
            <w:noWrap/>
          </w:tcPr>
          <w:p w14:paraId="057E7A7C"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00" w:type="dxa"/>
            <w:gridSpan w:val="2"/>
            <w:shd w:val="clear" w:color="auto" w:fill="DEEAF6" w:themeFill="accent5" w:themeFillTint="33"/>
          </w:tcPr>
          <w:p w14:paraId="2DED7969"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85" w:type="dxa"/>
            <w:gridSpan w:val="2"/>
            <w:shd w:val="clear" w:color="auto" w:fill="DEEAF6" w:themeFill="accent5" w:themeFillTint="33"/>
            <w:noWrap/>
          </w:tcPr>
          <w:p w14:paraId="4FDE803D" w14:textId="77777777" w:rsidR="003645F4" w:rsidRPr="002B01A1" w:rsidRDefault="003645F4" w:rsidP="003645F4">
            <w:pPr>
              <w:jc w:val="center"/>
              <w:rPr>
                <w:rFonts w:asciiTheme="majorHAnsi" w:eastAsia="Verdana" w:hAnsiTheme="majorHAnsi" w:cstheme="majorHAnsi"/>
                <w:sz w:val="18"/>
                <w:szCs w:val="18"/>
                <w:highlight w:val="yellow"/>
              </w:rPr>
            </w:pPr>
          </w:p>
        </w:tc>
      </w:tr>
      <w:tr w:rsidR="003645F4" w:rsidRPr="00702EAF" w14:paraId="4B58A86C" w14:textId="2866AE00" w:rsidTr="003645F4">
        <w:trPr>
          <w:cantSplit/>
          <w:trHeight w:val="152"/>
          <w:jc w:val="center"/>
        </w:trPr>
        <w:tc>
          <w:tcPr>
            <w:tcW w:w="1895" w:type="dxa"/>
            <w:shd w:val="clear" w:color="auto" w:fill="auto"/>
            <w:noWrap/>
          </w:tcPr>
          <w:p w14:paraId="330CD3DA" w14:textId="77777777" w:rsidR="003645F4" w:rsidRPr="00201745" w:rsidRDefault="003645F4" w:rsidP="003645F4">
            <w:pPr>
              <w:rPr>
                <w:rFonts w:asciiTheme="majorHAnsi" w:eastAsia="Verdana" w:hAnsiTheme="majorHAnsi" w:cstheme="majorHAnsi"/>
                <w:sz w:val="18"/>
                <w:szCs w:val="18"/>
              </w:rPr>
            </w:pPr>
            <w:r>
              <w:rPr>
                <w:rFonts w:asciiTheme="majorHAnsi" w:eastAsia="Verdana" w:hAnsiTheme="majorHAnsi" w:cstheme="majorHAnsi"/>
                <w:sz w:val="18"/>
                <w:szCs w:val="18"/>
              </w:rPr>
              <w:t>Female</w:t>
            </w:r>
          </w:p>
        </w:tc>
        <w:tc>
          <w:tcPr>
            <w:tcW w:w="1170" w:type="dxa"/>
            <w:vAlign w:val="bottom"/>
          </w:tcPr>
          <w:p w14:paraId="17F29E3D" w14:textId="1927CF4B"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16</w:t>
            </w:r>
            <w:r>
              <w:rPr>
                <w:rFonts w:asciiTheme="majorHAnsi" w:hAnsiTheme="majorHAnsi" w:cstheme="majorHAnsi"/>
                <w:color w:val="000000"/>
                <w:sz w:val="18"/>
                <w:szCs w:val="18"/>
              </w:rPr>
              <w:t>7</w:t>
            </w:r>
          </w:p>
        </w:tc>
        <w:tc>
          <w:tcPr>
            <w:tcW w:w="900" w:type="dxa"/>
            <w:vAlign w:val="bottom"/>
          </w:tcPr>
          <w:p w14:paraId="6B161F29" w14:textId="26A4C45D"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32.86%</w:t>
            </w:r>
          </w:p>
        </w:tc>
        <w:tc>
          <w:tcPr>
            <w:tcW w:w="1080" w:type="dxa"/>
            <w:shd w:val="clear" w:color="auto" w:fill="auto"/>
            <w:noWrap/>
            <w:vAlign w:val="bottom"/>
          </w:tcPr>
          <w:p w14:paraId="0E280E97" w14:textId="3E5ED0F3" w:rsidR="003645F4" w:rsidRPr="002B01A1" w:rsidRDefault="003645F4" w:rsidP="003645F4">
            <w:pPr>
              <w:jc w:val="center"/>
              <w:rPr>
                <w:rFonts w:asciiTheme="majorHAnsi" w:eastAsia="Verdana" w:hAnsiTheme="majorHAnsi" w:cstheme="majorHAnsi"/>
                <w:sz w:val="18"/>
                <w:szCs w:val="18"/>
              </w:rPr>
            </w:pPr>
            <w:r>
              <w:rPr>
                <w:rFonts w:asciiTheme="majorHAnsi" w:eastAsia="Verdana" w:hAnsiTheme="majorHAnsi" w:cstheme="majorHAnsi"/>
                <w:sz w:val="18"/>
                <w:szCs w:val="18"/>
              </w:rPr>
              <w:t>505</w:t>
            </w:r>
          </w:p>
        </w:tc>
        <w:tc>
          <w:tcPr>
            <w:tcW w:w="1080" w:type="dxa"/>
            <w:vAlign w:val="bottom"/>
          </w:tcPr>
          <w:p w14:paraId="6D37D0A4" w14:textId="18F163D4"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35.03%</w:t>
            </w:r>
          </w:p>
        </w:tc>
        <w:tc>
          <w:tcPr>
            <w:tcW w:w="990" w:type="dxa"/>
            <w:gridSpan w:val="2"/>
            <w:shd w:val="clear" w:color="auto" w:fill="auto"/>
            <w:noWrap/>
            <w:vAlign w:val="bottom"/>
          </w:tcPr>
          <w:p w14:paraId="598035E9" w14:textId="31F45C1C"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333</w:t>
            </w:r>
          </w:p>
        </w:tc>
        <w:tc>
          <w:tcPr>
            <w:tcW w:w="900" w:type="dxa"/>
            <w:shd w:val="clear" w:color="auto" w:fill="auto"/>
            <w:noWrap/>
            <w:vAlign w:val="bottom"/>
          </w:tcPr>
          <w:p w14:paraId="26A10017" w14:textId="60E5FE19"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31.42%</w:t>
            </w:r>
          </w:p>
        </w:tc>
        <w:tc>
          <w:tcPr>
            <w:tcW w:w="900" w:type="dxa"/>
            <w:gridSpan w:val="2"/>
          </w:tcPr>
          <w:p w14:paraId="590BF348" w14:textId="75C2610A"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85" w:type="dxa"/>
            <w:gridSpan w:val="2"/>
            <w:shd w:val="clear" w:color="auto" w:fill="auto"/>
            <w:noWrap/>
            <w:vAlign w:val="bottom"/>
          </w:tcPr>
          <w:p w14:paraId="0B049F1C" w14:textId="582E3AF1"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57.14%</w:t>
            </w:r>
          </w:p>
        </w:tc>
      </w:tr>
      <w:tr w:rsidR="003645F4" w:rsidRPr="00702EAF" w14:paraId="11B8336F" w14:textId="2F2B47E7" w:rsidTr="003645F4">
        <w:trPr>
          <w:cantSplit/>
          <w:trHeight w:val="251"/>
          <w:jc w:val="center"/>
        </w:trPr>
        <w:tc>
          <w:tcPr>
            <w:tcW w:w="1895" w:type="dxa"/>
            <w:shd w:val="clear" w:color="auto" w:fill="auto"/>
            <w:noWrap/>
          </w:tcPr>
          <w:p w14:paraId="23421A5E" w14:textId="77777777" w:rsidR="003645F4" w:rsidRPr="00201745" w:rsidRDefault="003645F4" w:rsidP="003645F4">
            <w:pPr>
              <w:rPr>
                <w:rFonts w:asciiTheme="majorHAnsi" w:eastAsia="Verdana" w:hAnsiTheme="majorHAnsi" w:cstheme="majorHAnsi"/>
                <w:sz w:val="18"/>
                <w:szCs w:val="18"/>
              </w:rPr>
            </w:pPr>
            <w:r>
              <w:rPr>
                <w:rFonts w:asciiTheme="majorHAnsi" w:eastAsia="Verdana" w:hAnsiTheme="majorHAnsi" w:cstheme="majorHAnsi"/>
                <w:sz w:val="18"/>
                <w:szCs w:val="18"/>
              </w:rPr>
              <w:t>Male</w:t>
            </w:r>
          </w:p>
        </w:tc>
        <w:tc>
          <w:tcPr>
            <w:tcW w:w="1170" w:type="dxa"/>
            <w:vAlign w:val="bottom"/>
          </w:tcPr>
          <w:p w14:paraId="7D0B946E" w14:textId="35B4829C"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326</w:t>
            </w:r>
          </w:p>
        </w:tc>
        <w:tc>
          <w:tcPr>
            <w:tcW w:w="900" w:type="dxa"/>
            <w:vAlign w:val="bottom"/>
          </w:tcPr>
          <w:p w14:paraId="50F86D85" w14:textId="1A0DE786"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66.13%</w:t>
            </w:r>
          </w:p>
        </w:tc>
        <w:tc>
          <w:tcPr>
            <w:tcW w:w="1080" w:type="dxa"/>
            <w:shd w:val="clear" w:color="auto" w:fill="auto"/>
            <w:noWrap/>
            <w:vAlign w:val="bottom"/>
          </w:tcPr>
          <w:p w14:paraId="39FA478A" w14:textId="4C6B43BF"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911</w:t>
            </w:r>
          </w:p>
        </w:tc>
        <w:tc>
          <w:tcPr>
            <w:tcW w:w="1080" w:type="dxa"/>
            <w:vAlign w:val="bottom"/>
          </w:tcPr>
          <w:p w14:paraId="2D95E8FA" w14:textId="7F8F897D"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64.34%</w:t>
            </w:r>
          </w:p>
        </w:tc>
        <w:tc>
          <w:tcPr>
            <w:tcW w:w="990" w:type="dxa"/>
            <w:gridSpan w:val="2"/>
            <w:shd w:val="clear" w:color="auto" w:fill="auto"/>
            <w:noWrap/>
            <w:vAlign w:val="bottom"/>
          </w:tcPr>
          <w:p w14:paraId="336E421E" w14:textId="067E5D1E"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706</w:t>
            </w:r>
          </w:p>
        </w:tc>
        <w:tc>
          <w:tcPr>
            <w:tcW w:w="900" w:type="dxa"/>
            <w:shd w:val="clear" w:color="auto" w:fill="auto"/>
            <w:noWrap/>
            <w:vAlign w:val="bottom"/>
          </w:tcPr>
          <w:p w14:paraId="27EB35F7" w14:textId="7251E17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66.60%</w:t>
            </w:r>
          </w:p>
        </w:tc>
        <w:tc>
          <w:tcPr>
            <w:tcW w:w="900" w:type="dxa"/>
            <w:gridSpan w:val="2"/>
          </w:tcPr>
          <w:p w14:paraId="007BD687" w14:textId="6B301ECD"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85" w:type="dxa"/>
            <w:gridSpan w:val="2"/>
            <w:shd w:val="clear" w:color="auto" w:fill="auto"/>
            <w:noWrap/>
            <w:vAlign w:val="bottom"/>
          </w:tcPr>
          <w:p w14:paraId="6C123640" w14:textId="64C3E674"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42.86%</w:t>
            </w:r>
          </w:p>
        </w:tc>
      </w:tr>
      <w:tr w:rsidR="003645F4" w:rsidRPr="00702EAF" w14:paraId="0F8605D7" w14:textId="7805915C" w:rsidTr="003645F4">
        <w:trPr>
          <w:cantSplit/>
          <w:trHeight w:val="170"/>
          <w:jc w:val="center"/>
        </w:trPr>
        <w:tc>
          <w:tcPr>
            <w:tcW w:w="1895" w:type="dxa"/>
            <w:shd w:val="clear" w:color="auto" w:fill="auto"/>
            <w:noWrap/>
          </w:tcPr>
          <w:p w14:paraId="6299D84D" w14:textId="77777777" w:rsidR="003645F4" w:rsidRPr="009D6ABD" w:rsidRDefault="003645F4" w:rsidP="003645F4">
            <w:pPr>
              <w:rPr>
                <w:rFonts w:asciiTheme="majorHAnsi" w:eastAsia="Verdana" w:hAnsiTheme="majorHAnsi" w:cstheme="majorHAnsi"/>
                <w:sz w:val="18"/>
                <w:szCs w:val="18"/>
              </w:rPr>
            </w:pPr>
            <w:r w:rsidRPr="009D6ABD">
              <w:rPr>
                <w:rFonts w:asciiTheme="majorHAnsi" w:eastAsia="Verdana" w:hAnsiTheme="majorHAnsi" w:cstheme="majorHAnsi"/>
                <w:sz w:val="18"/>
                <w:szCs w:val="18"/>
              </w:rPr>
              <w:t>Unknown</w:t>
            </w:r>
            <w:r w:rsidRPr="009D6ABD">
              <w:rPr>
                <w:rStyle w:val="FootnoteReference"/>
                <w:rFonts w:asciiTheme="majorHAnsi" w:eastAsia="Verdana" w:hAnsiTheme="majorHAnsi" w:cstheme="majorHAnsi"/>
                <w:sz w:val="18"/>
                <w:szCs w:val="18"/>
              </w:rPr>
              <w:footnoteReference w:id="18"/>
            </w:r>
          </w:p>
        </w:tc>
        <w:tc>
          <w:tcPr>
            <w:tcW w:w="1170" w:type="dxa"/>
            <w:vAlign w:val="bottom"/>
          </w:tcPr>
          <w:p w14:paraId="7825641D" w14:textId="3E7AF398"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00" w:type="dxa"/>
            <w:vAlign w:val="bottom"/>
          </w:tcPr>
          <w:p w14:paraId="2440158A" w14:textId="2277BAF3"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1.01%</w:t>
            </w:r>
          </w:p>
        </w:tc>
        <w:tc>
          <w:tcPr>
            <w:tcW w:w="1080" w:type="dxa"/>
            <w:shd w:val="clear" w:color="auto" w:fill="auto"/>
            <w:noWrap/>
            <w:vAlign w:val="bottom"/>
          </w:tcPr>
          <w:p w14:paraId="430BFDE7" w14:textId="51808FA6"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1080" w:type="dxa"/>
            <w:vAlign w:val="bottom"/>
          </w:tcPr>
          <w:p w14:paraId="0384BA5B" w14:textId="409A7992"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0.64%</w:t>
            </w:r>
          </w:p>
        </w:tc>
        <w:tc>
          <w:tcPr>
            <w:tcW w:w="990" w:type="dxa"/>
            <w:gridSpan w:val="2"/>
            <w:shd w:val="clear" w:color="auto" w:fill="auto"/>
            <w:noWrap/>
            <w:vAlign w:val="bottom"/>
          </w:tcPr>
          <w:p w14:paraId="4AC2E770" w14:textId="7F6D385F"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21</w:t>
            </w:r>
          </w:p>
        </w:tc>
        <w:tc>
          <w:tcPr>
            <w:tcW w:w="900" w:type="dxa"/>
            <w:shd w:val="clear" w:color="auto" w:fill="auto"/>
            <w:noWrap/>
            <w:vAlign w:val="bottom"/>
          </w:tcPr>
          <w:p w14:paraId="323592EC" w14:textId="4A439102"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1.98%</w:t>
            </w:r>
          </w:p>
        </w:tc>
        <w:tc>
          <w:tcPr>
            <w:tcW w:w="900" w:type="dxa"/>
            <w:gridSpan w:val="2"/>
          </w:tcPr>
          <w:p w14:paraId="4F11F99B" w14:textId="4E2F78AD"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85" w:type="dxa"/>
            <w:gridSpan w:val="2"/>
            <w:shd w:val="clear" w:color="auto" w:fill="auto"/>
            <w:noWrap/>
            <w:vAlign w:val="bottom"/>
          </w:tcPr>
          <w:p w14:paraId="09E41F00" w14:textId="602F27B6"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0320BDBE" w14:textId="726A092A" w:rsidTr="003645F4">
        <w:trPr>
          <w:cantSplit/>
          <w:trHeight w:val="280"/>
          <w:jc w:val="center"/>
        </w:trPr>
        <w:tc>
          <w:tcPr>
            <w:tcW w:w="1895" w:type="dxa"/>
            <w:shd w:val="clear" w:color="auto" w:fill="E2EFD9" w:themeFill="accent6" w:themeFillTint="33"/>
            <w:noWrap/>
          </w:tcPr>
          <w:p w14:paraId="239ABD7B" w14:textId="77777777" w:rsidR="003645F4" w:rsidRPr="009D6ABD" w:rsidRDefault="003645F4" w:rsidP="003645F4">
            <w:pPr>
              <w:jc w:val="center"/>
              <w:rPr>
                <w:rFonts w:asciiTheme="majorHAnsi" w:eastAsia="Verdana" w:hAnsiTheme="majorHAnsi" w:cstheme="majorHAnsi"/>
                <w:sz w:val="18"/>
                <w:szCs w:val="18"/>
              </w:rPr>
            </w:pPr>
            <w:r w:rsidRPr="009D6ABD">
              <w:rPr>
                <w:rFonts w:asciiTheme="majorHAnsi" w:eastAsia="Verdana" w:hAnsiTheme="majorHAnsi" w:cstheme="majorHAnsi"/>
                <w:sz w:val="18"/>
                <w:szCs w:val="18"/>
              </w:rPr>
              <w:t>Total</w:t>
            </w:r>
          </w:p>
        </w:tc>
        <w:tc>
          <w:tcPr>
            <w:tcW w:w="1170" w:type="dxa"/>
            <w:shd w:val="clear" w:color="auto" w:fill="E2EFD9" w:themeFill="accent6" w:themeFillTint="33"/>
          </w:tcPr>
          <w:p w14:paraId="0D0C5F23" w14:textId="06B15414"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493</w:t>
            </w:r>
          </w:p>
        </w:tc>
        <w:tc>
          <w:tcPr>
            <w:tcW w:w="900" w:type="dxa"/>
            <w:shd w:val="clear" w:color="auto" w:fill="E2EFD9" w:themeFill="accent6" w:themeFillTint="33"/>
          </w:tcPr>
          <w:p w14:paraId="5D61B67C" w14:textId="1240D7E9"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c>
          <w:tcPr>
            <w:tcW w:w="1080" w:type="dxa"/>
            <w:shd w:val="clear" w:color="auto" w:fill="E2EFD9" w:themeFill="accent6" w:themeFillTint="33"/>
            <w:noWrap/>
          </w:tcPr>
          <w:p w14:paraId="0263F041" w14:textId="6CCD021F"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1,416</w:t>
            </w:r>
          </w:p>
        </w:tc>
        <w:tc>
          <w:tcPr>
            <w:tcW w:w="1080" w:type="dxa"/>
            <w:shd w:val="clear" w:color="auto" w:fill="E2EFD9" w:themeFill="accent6" w:themeFillTint="33"/>
          </w:tcPr>
          <w:p w14:paraId="6177B307" w14:textId="2C24AD0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100.00%</w:t>
            </w:r>
          </w:p>
        </w:tc>
        <w:tc>
          <w:tcPr>
            <w:tcW w:w="990" w:type="dxa"/>
            <w:gridSpan w:val="2"/>
            <w:shd w:val="clear" w:color="auto" w:fill="E2EFD9" w:themeFill="accent6" w:themeFillTint="33"/>
            <w:noWrap/>
          </w:tcPr>
          <w:p w14:paraId="7DEA14F1" w14:textId="284A4027"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1,060</w:t>
            </w:r>
          </w:p>
        </w:tc>
        <w:tc>
          <w:tcPr>
            <w:tcW w:w="900" w:type="dxa"/>
            <w:shd w:val="clear" w:color="auto" w:fill="E2EFD9" w:themeFill="accent6" w:themeFillTint="33"/>
            <w:noWrap/>
          </w:tcPr>
          <w:p w14:paraId="183266C7" w14:textId="77777777"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100.00%</w:t>
            </w:r>
          </w:p>
        </w:tc>
        <w:tc>
          <w:tcPr>
            <w:tcW w:w="890" w:type="dxa"/>
            <w:shd w:val="clear" w:color="auto" w:fill="E2EFD9" w:themeFill="accent6" w:themeFillTint="33"/>
          </w:tcPr>
          <w:p w14:paraId="7271FFDF" w14:textId="06F5D3CE"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95" w:type="dxa"/>
            <w:gridSpan w:val="3"/>
            <w:shd w:val="clear" w:color="auto" w:fill="E2EFD9" w:themeFill="accent6" w:themeFillTint="33"/>
            <w:noWrap/>
          </w:tcPr>
          <w:p w14:paraId="180140D4" w14:textId="77777777" w:rsidR="003645F4" w:rsidRPr="002B01A1" w:rsidRDefault="003645F4" w:rsidP="003645F4">
            <w:pPr>
              <w:jc w:val="center"/>
              <w:rPr>
                <w:rFonts w:asciiTheme="majorHAnsi" w:eastAsia="Verdana" w:hAnsiTheme="majorHAnsi" w:cstheme="majorHAnsi"/>
                <w:sz w:val="18"/>
                <w:szCs w:val="18"/>
                <w:highlight w:val="yellow"/>
              </w:rPr>
            </w:pPr>
            <w:r w:rsidRPr="002B01A1">
              <w:rPr>
                <w:rFonts w:asciiTheme="majorHAnsi" w:eastAsia="Verdana" w:hAnsiTheme="majorHAnsi" w:cstheme="majorHAnsi"/>
                <w:sz w:val="18"/>
                <w:szCs w:val="18"/>
              </w:rPr>
              <w:t>100.00%</w:t>
            </w:r>
          </w:p>
        </w:tc>
      </w:tr>
      <w:tr w:rsidR="003645F4" w:rsidRPr="00702EAF" w14:paraId="63202DDD" w14:textId="241D258C" w:rsidTr="003645F4">
        <w:trPr>
          <w:cantSplit/>
          <w:trHeight w:val="280"/>
          <w:jc w:val="center"/>
        </w:trPr>
        <w:tc>
          <w:tcPr>
            <w:tcW w:w="1895" w:type="dxa"/>
            <w:shd w:val="clear" w:color="auto" w:fill="DEEAF6" w:themeFill="accent5" w:themeFillTint="33"/>
            <w:noWrap/>
            <w:vAlign w:val="bottom"/>
          </w:tcPr>
          <w:p w14:paraId="1A1BC265" w14:textId="77777777" w:rsidR="003645F4" w:rsidRPr="009D6ABD" w:rsidRDefault="003645F4" w:rsidP="003645F4">
            <w:pPr>
              <w:jc w:val="center"/>
              <w:rPr>
                <w:rFonts w:asciiTheme="majorHAnsi" w:eastAsia="Verdana" w:hAnsiTheme="majorHAnsi" w:cstheme="majorHAnsi"/>
                <w:sz w:val="18"/>
                <w:szCs w:val="18"/>
              </w:rPr>
            </w:pPr>
            <w:r w:rsidRPr="009D6ABD">
              <w:rPr>
                <w:rFonts w:asciiTheme="majorHAnsi" w:hAnsiTheme="majorHAnsi" w:cstheme="majorHAnsi"/>
                <w:b/>
                <w:bCs/>
                <w:color w:val="000000"/>
                <w:sz w:val="18"/>
                <w:szCs w:val="18"/>
              </w:rPr>
              <w:t>Race</w:t>
            </w:r>
          </w:p>
        </w:tc>
        <w:tc>
          <w:tcPr>
            <w:tcW w:w="1170" w:type="dxa"/>
            <w:shd w:val="clear" w:color="auto" w:fill="DEEAF6" w:themeFill="accent5" w:themeFillTint="33"/>
          </w:tcPr>
          <w:p w14:paraId="5B47D704"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00" w:type="dxa"/>
            <w:shd w:val="clear" w:color="auto" w:fill="DEEAF6" w:themeFill="accent5" w:themeFillTint="33"/>
          </w:tcPr>
          <w:p w14:paraId="63CF1AEA"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noWrap/>
            <w:vAlign w:val="bottom"/>
          </w:tcPr>
          <w:p w14:paraId="35FD6227" w14:textId="08A2ACE2" w:rsidR="003645F4" w:rsidRPr="002B01A1" w:rsidRDefault="003645F4" w:rsidP="003645F4">
            <w:pPr>
              <w:jc w:val="center"/>
              <w:rPr>
                <w:rFonts w:asciiTheme="majorHAnsi" w:eastAsia="Verdana" w:hAnsiTheme="majorHAnsi" w:cstheme="majorHAnsi"/>
                <w:sz w:val="18"/>
                <w:szCs w:val="18"/>
                <w:highlight w:val="yellow"/>
              </w:rPr>
            </w:pPr>
          </w:p>
        </w:tc>
        <w:tc>
          <w:tcPr>
            <w:tcW w:w="1080" w:type="dxa"/>
            <w:shd w:val="clear" w:color="auto" w:fill="DEEAF6" w:themeFill="accent5" w:themeFillTint="33"/>
          </w:tcPr>
          <w:p w14:paraId="75DE32B2"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90" w:type="dxa"/>
            <w:gridSpan w:val="2"/>
            <w:shd w:val="clear" w:color="auto" w:fill="DEEAF6" w:themeFill="accent5" w:themeFillTint="33"/>
            <w:noWrap/>
            <w:vAlign w:val="bottom"/>
          </w:tcPr>
          <w:p w14:paraId="4A72FBB1"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00" w:type="dxa"/>
            <w:shd w:val="clear" w:color="auto" w:fill="DEEAF6" w:themeFill="accent5" w:themeFillTint="33"/>
            <w:noWrap/>
            <w:vAlign w:val="bottom"/>
          </w:tcPr>
          <w:p w14:paraId="382E918A"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890" w:type="dxa"/>
            <w:shd w:val="clear" w:color="auto" w:fill="DEEAF6" w:themeFill="accent5" w:themeFillTint="33"/>
          </w:tcPr>
          <w:p w14:paraId="250B208E" w14:textId="77777777" w:rsidR="003645F4" w:rsidRPr="002B01A1" w:rsidRDefault="003645F4" w:rsidP="003645F4">
            <w:pPr>
              <w:jc w:val="center"/>
              <w:rPr>
                <w:rFonts w:asciiTheme="majorHAnsi" w:eastAsia="Verdana" w:hAnsiTheme="majorHAnsi" w:cstheme="majorHAnsi"/>
                <w:sz w:val="18"/>
                <w:szCs w:val="18"/>
                <w:highlight w:val="yellow"/>
              </w:rPr>
            </w:pPr>
          </w:p>
        </w:tc>
        <w:tc>
          <w:tcPr>
            <w:tcW w:w="995" w:type="dxa"/>
            <w:gridSpan w:val="3"/>
            <w:shd w:val="clear" w:color="auto" w:fill="DEEAF6" w:themeFill="accent5" w:themeFillTint="33"/>
            <w:noWrap/>
            <w:vAlign w:val="bottom"/>
          </w:tcPr>
          <w:p w14:paraId="1AB9C0A5" w14:textId="77777777" w:rsidR="003645F4" w:rsidRPr="002B01A1" w:rsidRDefault="003645F4" w:rsidP="003645F4">
            <w:pPr>
              <w:jc w:val="center"/>
              <w:rPr>
                <w:rFonts w:asciiTheme="majorHAnsi" w:eastAsia="Verdana" w:hAnsiTheme="majorHAnsi" w:cstheme="majorHAnsi"/>
                <w:sz w:val="18"/>
                <w:szCs w:val="18"/>
                <w:highlight w:val="yellow"/>
              </w:rPr>
            </w:pPr>
          </w:p>
        </w:tc>
      </w:tr>
      <w:tr w:rsidR="003645F4" w:rsidRPr="00702EAF" w14:paraId="4D8DBE30" w14:textId="754ADF23" w:rsidTr="003645F4">
        <w:trPr>
          <w:cantSplit/>
          <w:trHeight w:val="280"/>
          <w:jc w:val="center"/>
        </w:trPr>
        <w:tc>
          <w:tcPr>
            <w:tcW w:w="1895" w:type="dxa"/>
            <w:shd w:val="clear" w:color="auto" w:fill="auto"/>
            <w:noWrap/>
            <w:vAlign w:val="bottom"/>
          </w:tcPr>
          <w:p w14:paraId="648C72C4" w14:textId="52FF6E32" w:rsidR="003645F4" w:rsidRPr="009D6ABD" w:rsidRDefault="003645F4" w:rsidP="003645F4">
            <w:pPr>
              <w:rPr>
                <w:rFonts w:asciiTheme="majorHAnsi" w:eastAsia="Verdana" w:hAnsiTheme="majorHAnsi" w:cstheme="majorHAnsi"/>
                <w:sz w:val="18"/>
                <w:szCs w:val="18"/>
              </w:rPr>
            </w:pPr>
            <w:r>
              <w:rPr>
                <w:rFonts w:asciiTheme="majorHAnsi" w:hAnsiTheme="majorHAnsi" w:cstheme="majorHAnsi"/>
                <w:color w:val="000000"/>
                <w:sz w:val="18"/>
                <w:szCs w:val="18"/>
              </w:rPr>
              <w:t>African American</w:t>
            </w:r>
          </w:p>
        </w:tc>
        <w:tc>
          <w:tcPr>
            <w:tcW w:w="1170" w:type="dxa"/>
            <w:vAlign w:val="bottom"/>
          </w:tcPr>
          <w:p w14:paraId="0E8869E4" w14:textId="20329C2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26</w:t>
            </w:r>
          </w:p>
        </w:tc>
        <w:tc>
          <w:tcPr>
            <w:tcW w:w="900" w:type="dxa"/>
            <w:vAlign w:val="bottom"/>
          </w:tcPr>
          <w:p w14:paraId="42CE1A9D" w14:textId="127B33FB"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5.27%</w:t>
            </w:r>
          </w:p>
        </w:tc>
        <w:tc>
          <w:tcPr>
            <w:tcW w:w="1080" w:type="dxa"/>
            <w:shd w:val="clear" w:color="auto" w:fill="auto"/>
            <w:noWrap/>
            <w:vAlign w:val="bottom"/>
          </w:tcPr>
          <w:p w14:paraId="7B1BB03A" w14:textId="09B5CFDE"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83</w:t>
            </w:r>
          </w:p>
        </w:tc>
        <w:tc>
          <w:tcPr>
            <w:tcW w:w="1080" w:type="dxa"/>
            <w:shd w:val="clear" w:color="auto" w:fill="auto"/>
            <w:vAlign w:val="bottom"/>
          </w:tcPr>
          <w:p w14:paraId="412B4CA3" w14:textId="6EC7A901"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5.86%</w:t>
            </w:r>
          </w:p>
        </w:tc>
        <w:tc>
          <w:tcPr>
            <w:tcW w:w="990" w:type="dxa"/>
            <w:gridSpan w:val="2"/>
            <w:shd w:val="clear" w:color="auto" w:fill="auto"/>
            <w:noWrap/>
            <w:vAlign w:val="bottom"/>
          </w:tcPr>
          <w:p w14:paraId="12847C6C" w14:textId="4B26EA23"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82</w:t>
            </w:r>
          </w:p>
        </w:tc>
        <w:tc>
          <w:tcPr>
            <w:tcW w:w="900" w:type="dxa"/>
            <w:shd w:val="clear" w:color="auto" w:fill="auto"/>
            <w:noWrap/>
            <w:vAlign w:val="bottom"/>
          </w:tcPr>
          <w:p w14:paraId="7FA5E651" w14:textId="1B859CAB"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7.74%</w:t>
            </w:r>
          </w:p>
        </w:tc>
        <w:tc>
          <w:tcPr>
            <w:tcW w:w="890" w:type="dxa"/>
          </w:tcPr>
          <w:p w14:paraId="330A6CAD" w14:textId="3DD13227"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95" w:type="dxa"/>
            <w:gridSpan w:val="3"/>
            <w:shd w:val="clear" w:color="auto" w:fill="auto"/>
            <w:noWrap/>
            <w:vAlign w:val="bottom"/>
          </w:tcPr>
          <w:p w14:paraId="7955042A" w14:textId="5780957F"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1FB5D4EC" w14:textId="6476914B" w:rsidTr="003645F4">
        <w:trPr>
          <w:cantSplit/>
          <w:trHeight w:val="280"/>
          <w:jc w:val="center"/>
        </w:trPr>
        <w:tc>
          <w:tcPr>
            <w:tcW w:w="1895" w:type="dxa"/>
            <w:shd w:val="clear" w:color="auto" w:fill="auto"/>
            <w:noWrap/>
            <w:vAlign w:val="bottom"/>
          </w:tcPr>
          <w:p w14:paraId="51C605E3" w14:textId="46081C43" w:rsidR="003645F4" w:rsidRPr="009D6ABD" w:rsidRDefault="003645F4" w:rsidP="003645F4">
            <w:pPr>
              <w:rPr>
                <w:rFonts w:asciiTheme="majorHAnsi" w:eastAsia="Verdana" w:hAnsiTheme="majorHAnsi" w:cstheme="majorHAnsi"/>
                <w:sz w:val="18"/>
                <w:szCs w:val="18"/>
              </w:rPr>
            </w:pPr>
            <w:r w:rsidRPr="009D6ABD">
              <w:rPr>
                <w:rFonts w:asciiTheme="majorHAnsi" w:hAnsiTheme="majorHAnsi" w:cstheme="majorHAnsi"/>
                <w:color w:val="000000"/>
                <w:sz w:val="18"/>
                <w:szCs w:val="18"/>
              </w:rPr>
              <w:t>American Indian or Alaska Native</w:t>
            </w:r>
          </w:p>
        </w:tc>
        <w:tc>
          <w:tcPr>
            <w:tcW w:w="1170" w:type="dxa"/>
            <w:vAlign w:val="bottom"/>
          </w:tcPr>
          <w:p w14:paraId="68CBF550" w14:textId="51ECA909"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00" w:type="dxa"/>
            <w:vAlign w:val="bottom"/>
          </w:tcPr>
          <w:p w14:paraId="632AB035" w14:textId="7AEE2633"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0.20%</w:t>
            </w:r>
          </w:p>
        </w:tc>
        <w:tc>
          <w:tcPr>
            <w:tcW w:w="1080" w:type="dxa"/>
            <w:shd w:val="clear" w:color="auto" w:fill="auto"/>
            <w:noWrap/>
            <w:vAlign w:val="bottom"/>
          </w:tcPr>
          <w:p w14:paraId="34DCB620" w14:textId="30D508A5"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1080" w:type="dxa"/>
            <w:vAlign w:val="bottom"/>
          </w:tcPr>
          <w:p w14:paraId="54A913FE" w14:textId="579DFEE5"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0.21%</w:t>
            </w:r>
          </w:p>
        </w:tc>
        <w:tc>
          <w:tcPr>
            <w:tcW w:w="990" w:type="dxa"/>
            <w:gridSpan w:val="2"/>
            <w:shd w:val="clear" w:color="auto" w:fill="auto"/>
            <w:noWrap/>
            <w:vAlign w:val="bottom"/>
          </w:tcPr>
          <w:p w14:paraId="48C06B2B" w14:textId="0F8B9F59"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00" w:type="dxa"/>
            <w:shd w:val="clear" w:color="auto" w:fill="auto"/>
            <w:noWrap/>
            <w:vAlign w:val="bottom"/>
          </w:tcPr>
          <w:p w14:paraId="18DC1A94" w14:textId="4FAB7D44"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890" w:type="dxa"/>
          </w:tcPr>
          <w:p w14:paraId="1260CD8D" w14:textId="1D7DD4D1"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95" w:type="dxa"/>
            <w:gridSpan w:val="3"/>
            <w:shd w:val="clear" w:color="auto" w:fill="auto"/>
            <w:noWrap/>
            <w:vAlign w:val="bottom"/>
          </w:tcPr>
          <w:p w14:paraId="0FC550B4" w14:textId="7AF4201F"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54FCD883" w14:textId="214ADB8D" w:rsidTr="003645F4">
        <w:trPr>
          <w:cantSplit/>
          <w:trHeight w:val="280"/>
          <w:jc w:val="center"/>
        </w:trPr>
        <w:tc>
          <w:tcPr>
            <w:tcW w:w="1895" w:type="dxa"/>
            <w:shd w:val="clear" w:color="auto" w:fill="auto"/>
            <w:noWrap/>
            <w:vAlign w:val="bottom"/>
          </w:tcPr>
          <w:p w14:paraId="1DB618CF" w14:textId="34271351" w:rsidR="003645F4" w:rsidRPr="009D6ABD" w:rsidRDefault="003645F4" w:rsidP="003645F4">
            <w:pPr>
              <w:rPr>
                <w:rFonts w:asciiTheme="majorHAnsi" w:eastAsia="Verdana" w:hAnsiTheme="majorHAnsi" w:cstheme="majorHAnsi"/>
                <w:sz w:val="18"/>
                <w:szCs w:val="18"/>
              </w:rPr>
            </w:pPr>
            <w:r w:rsidRPr="009D6ABD">
              <w:rPr>
                <w:rFonts w:asciiTheme="majorHAnsi" w:hAnsiTheme="majorHAnsi" w:cstheme="majorHAnsi"/>
                <w:color w:val="000000"/>
                <w:sz w:val="18"/>
                <w:szCs w:val="18"/>
              </w:rPr>
              <w:t>Asian</w:t>
            </w:r>
          </w:p>
        </w:tc>
        <w:tc>
          <w:tcPr>
            <w:tcW w:w="1170" w:type="dxa"/>
            <w:vAlign w:val="bottom"/>
          </w:tcPr>
          <w:p w14:paraId="4BF1B416" w14:textId="00D5F726"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00" w:type="dxa"/>
            <w:vAlign w:val="bottom"/>
          </w:tcPr>
          <w:p w14:paraId="38681710" w14:textId="30302288"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1080" w:type="dxa"/>
            <w:shd w:val="clear" w:color="auto" w:fill="auto"/>
            <w:noWrap/>
            <w:vAlign w:val="bottom"/>
          </w:tcPr>
          <w:p w14:paraId="6DE28414" w14:textId="20E2C3EF"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1080" w:type="dxa"/>
            <w:vAlign w:val="bottom"/>
          </w:tcPr>
          <w:p w14:paraId="04D96E4A" w14:textId="6CB7D67D"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0.07%</w:t>
            </w:r>
          </w:p>
        </w:tc>
        <w:tc>
          <w:tcPr>
            <w:tcW w:w="990" w:type="dxa"/>
            <w:gridSpan w:val="2"/>
            <w:shd w:val="clear" w:color="auto" w:fill="auto"/>
            <w:noWrap/>
            <w:vAlign w:val="bottom"/>
          </w:tcPr>
          <w:p w14:paraId="4D1EDF76" w14:textId="53C7F20E"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00" w:type="dxa"/>
            <w:shd w:val="clear" w:color="auto" w:fill="auto"/>
            <w:noWrap/>
            <w:vAlign w:val="bottom"/>
          </w:tcPr>
          <w:p w14:paraId="346F9B5E" w14:textId="4B715B94"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0.19%</w:t>
            </w:r>
          </w:p>
        </w:tc>
        <w:tc>
          <w:tcPr>
            <w:tcW w:w="890" w:type="dxa"/>
          </w:tcPr>
          <w:p w14:paraId="57B615FF" w14:textId="7F5A16CF"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95" w:type="dxa"/>
            <w:gridSpan w:val="3"/>
            <w:shd w:val="clear" w:color="auto" w:fill="auto"/>
            <w:noWrap/>
            <w:vAlign w:val="bottom"/>
          </w:tcPr>
          <w:p w14:paraId="28155223" w14:textId="02813030"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67DD0D19" w14:textId="4BEDD2B4" w:rsidTr="003645F4">
        <w:trPr>
          <w:cantSplit/>
          <w:trHeight w:val="280"/>
          <w:jc w:val="center"/>
        </w:trPr>
        <w:tc>
          <w:tcPr>
            <w:tcW w:w="1895" w:type="dxa"/>
            <w:shd w:val="clear" w:color="auto" w:fill="auto"/>
            <w:noWrap/>
            <w:vAlign w:val="bottom"/>
          </w:tcPr>
          <w:p w14:paraId="030B0497" w14:textId="1DDBAE24" w:rsidR="003645F4" w:rsidRPr="009D6ABD" w:rsidRDefault="003645F4" w:rsidP="003645F4">
            <w:pPr>
              <w:rPr>
                <w:rFonts w:asciiTheme="majorHAnsi" w:eastAsia="Verdana" w:hAnsiTheme="majorHAnsi" w:cstheme="majorHAnsi"/>
                <w:sz w:val="18"/>
                <w:szCs w:val="18"/>
              </w:rPr>
            </w:pPr>
            <w:r>
              <w:rPr>
                <w:rFonts w:asciiTheme="majorHAnsi" w:hAnsiTheme="majorHAnsi" w:cstheme="majorHAnsi"/>
                <w:color w:val="000000"/>
                <w:sz w:val="18"/>
                <w:szCs w:val="18"/>
              </w:rPr>
              <w:t>Declined</w:t>
            </w:r>
            <w:r>
              <w:rPr>
                <w:rStyle w:val="FootnoteReference"/>
                <w:rFonts w:asciiTheme="majorHAnsi" w:hAnsiTheme="majorHAnsi" w:cstheme="majorHAnsi"/>
                <w:color w:val="000000"/>
                <w:sz w:val="18"/>
                <w:szCs w:val="18"/>
              </w:rPr>
              <w:footnoteReference w:id="19"/>
            </w:r>
          </w:p>
        </w:tc>
        <w:tc>
          <w:tcPr>
            <w:tcW w:w="1170" w:type="dxa"/>
            <w:vAlign w:val="bottom"/>
          </w:tcPr>
          <w:p w14:paraId="35E76E65" w14:textId="2FA301DA"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00" w:type="dxa"/>
            <w:vAlign w:val="bottom"/>
          </w:tcPr>
          <w:p w14:paraId="7F0F46B7" w14:textId="1EAD67A5"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0.61%</w:t>
            </w:r>
          </w:p>
        </w:tc>
        <w:tc>
          <w:tcPr>
            <w:tcW w:w="1080" w:type="dxa"/>
            <w:shd w:val="clear" w:color="auto" w:fill="auto"/>
            <w:noWrap/>
            <w:vAlign w:val="bottom"/>
          </w:tcPr>
          <w:p w14:paraId="58BBD704" w14:textId="0CA2BD56"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11</w:t>
            </w:r>
          </w:p>
        </w:tc>
        <w:tc>
          <w:tcPr>
            <w:tcW w:w="1080" w:type="dxa"/>
            <w:vAlign w:val="bottom"/>
          </w:tcPr>
          <w:p w14:paraId="5F3B7707" w14:textId="6B29C920"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0.78%</w:t>
            </w:r>
          </w:p>
        </w:tc>
        <w:tc>
          <w:tcPr>
            <w:tcW w:w="990" w:type="dxa"/>
            <w:gridSpan w:val="2"/>
            <w:shd w:val="clear" w:color="auto" w:fill="auto"/>
            <w:noWrap/>
            <w:vAlign w:val="bottom"/>
          </w:tcPr>
          <w:p w14:paraId="327FC230" w14:textId="1E7B7BE1" w:rsidR="003645F4" w:rsidRPr="002B01A1"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00" w:type="dxa"/>
            <w:shd w:val="clear" w:color="auto" w:fill="auto"/>
            <w:noWrap/>
            <w:vAlign w:val="bottom"/>
          </w:tcPr>
          <w:p w14:paraId="6A496D4C" w14:textId="7D44BC5A"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0.28%</w:t>
            </w:r>
          </w:p>
        </w:tc>
        <w:tc>
          <w:tcPr>
            <w:tcW w:w="890" w:type="dxa"/>
          </w:tcPr>
          <w:p w14:paraId="0791C659" w14:textId="3E2A0EF1"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95" w:type="dxa"/>
            <w:gridSpan w:val="3"/>
            <w:shd w:val="clear" w:color="auto" w:fill="auto"/>
            <w:noWrap/>
            <w:vAlign w:val="bottom"/>
          </w:tcPr>
          <w:p w14:paraId="0BE83F9C" w14:textId="31225CB5"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0759AFFB" w14:textId="41445660" w:rsidTr="003645F4">
        <w:trPr>
          <w:cantSplit/>
          <w:trHeight w:val="280"/>
          <w:jc w:val="center"/>
        </w:trPr>
        <w:tc>
          <w:tcPr>
            <w:tcW w:w="1895" w:type="dxa"/>
            <w:shd w:val="clear" w:color="auto" w:fill="auto"/>
            <w:noWrap/>
            <w:vAlign w:val="bottom"/>
          </w:tcPr>
          <w:p w14:paraId="264C7896" w14:textId="37FB94F3" w:rsidR="003645F4" w:rsidRPr="009D6ABD" w:rsidRDefault="003645F4" w:rsidP="003645F4">
            <w:pPr>
              <w:rPr>
                <w:rFonts w:asciiTheme="majorHAnsi" w:eastAsia="Verdana" w:hAnsiTheme="majorHAnsi" w:cstheme="majorHAnsi"/>
                <w:sz w:val="18"/>
                <w:szCs w:val="18"/>
              </w:rPr>
            </w:pPr>
            <w:r>
              <w:rPr>
                <w:rFonts w:asciiTheme="majorHAnsi" w:hAnsiTheme="majorHAnsi" w:cstheme="majorHAnsi"/>
                <w:color w:val="000000"/>
                <w:sz w:val="18"/>
                <w:szCs w:val="18"/>
              </w:rPr>
              <w:t>Hispanic</w:t>
            </w:r>
          </w:p>
        </w:tc>
        <w:tc>
          <w:tcPr>
            <w:tcW w:w="1170" w:type="dxa"/>
            <w:vAlign w:val="bottom"/>
          </w:tcPr>
          <w:p w14:paraId="5AAAF394" w14:textId="26BF666A"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20</w:t>
            </w:r>
          </w:p>
        </w:tc>
        <w:tc>
          <w:tcPr>
            <w:tcW w:w="900" w:type="dxa"/>
            <w:vAlign w:val="bottom"/>
          </w:tcPr>
          <w:p w14:paraId="3C6D7E9D" w14:textId="79D7F541"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4.06%</w:t>
            </w:r>
          </w:p>
        </w:tc>
        <w:tc>
          <w:tcPr>
            <w:tcW w:w="1080" w:type="dxa"/>
            <w:shd w:val="clear" w:color="auto" w:fill="auto"/>
            <w:noWrap/>
            <w:vAlign w:val="bottom"/>
          </w:tcPr>
          <w:p w14:paraId="5EBAD9AC" w14:textId="5A463C92"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53</w:t>
            </w:r>
          </w:p>
        </w:tc>
        <w:tc>
          <w:tcPr>
            <w:tcW w:w="1080" w:type="dxa"/>
            <w:vAlign w:val="bottom"/>
          </w:tcPr>
          <w:p w14:paraId="75F13199" w14:textId="04F6F503"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3.74%</w:t>
            </w:r>
          </w:p>
        </w:tc>
        <w:tc>
          <w:tcPr>
            <w:tcW w:w="990" w:type="dxa"/>
            <w:gridSpan w:val="2"/>
            <w:shd w:val="clear" w:color="auto" w:fill="auto"/>
            <w:noWrap/>
            <w:vAlign w:val="bottom"/>
          </w:tcPr>
          <w:p w14:paraId="7100DDD6" w14:textId="7411E5DD"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42</w:t>
            </w:r>
          </w:p>
        </w:tc>
        <w:tc>
          <w:tcPr>
            <w:tcW w:w="900" w:type="dxa"/>
            <w:shd w:val="clear" w:color="auto" w:fill="auto"/>
            <w:noWrap/>
            <w:vAlign w:val="bottom"/>
          </w:tcPr>
          <w:p w14:paraId="494B3EC5" w14:textId="3FA0D53C"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3.96%</w:t>
            </w:r>
          </w:p>
        </w:tc>
        <w:tc>
          <w:tcPr>
            <w:tcW w:w="890" w:type="dxa"/>
          </w:tcPr>
          <w:p w14:paraId="1E3473DF" w14:textId="6E8C043F"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95" w:type="dxa"/>
            <w:gridSpan w:val="3"/>
            <w:shd w:val="clear" w:color="auto" w:fill="auto"/>
            <w:noWrap/>
            <w:vAlign w:val="bottom"/>
          </w:tcPr>
          <w:p w14:paraId="2148F7DD" w14:textId="0E4B593C"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57FDE64A" w14:textId="586E6EEE" w:rsidTr="003645F4">
        <w:trPr>
          <w:cantSplit/>
          <w:trHeight w:val="280"/>
          <w:jc w:val="center"/>
        </w:trPr>
        <w:tc>
          <w:tcPr>
            <w:tcW w:w="1895" w:type="dxa"/>
            <w:shd w:val="clear" w:color="auto" w:fill="auto"/>
            <w:noWrap/>
            <w:vAlign w:val="bottom"/>
          </w:tcPr>
          <w:p w14:paraId="16C0E9BB" w14:textId="64D526DE" w:rsidR="003645F4" w:rsidRPr="009D6ABD" w:rsidRDefault="003645F4" w:rsidP="003645F4">
            <w:pPr>
              <w:rPr>
                <w:rFonts w:asciiTheme="majorHAnsi" w:eastAsia="Verdana" w:hAnsiTheme="majorHAnsi" w:cstheme="majorHAnsi"/>
                <w:sz w:val="18"/>
                <w:szCs w:val="18"/>
              </w:rPr>
            </w:pPr>
            <w:r w:rsidRPr="009D6ABD">
              <w:rPr>
                <w:rFonts w:asciiTheme="majorHAnsi" w:hAnsiTheme="majorHAnsi" w:cstheme="majorHAnsi"/>
                <w:color w:val="000000"/>
                <w:sz w:val="18"/>
                <w:szCs w:val="18"/>
              </w:rPr>
              <w:t>Native Hawaiian or Other Pacific Islander</w:t>
            </w:r>
          </w:p>
        </w:tc>
        <w:tc>
          <w:tcPr>
            <w:tcW w:w="1170" w:type="dxa"/>
            <w:vAlign w:val="bottom"/>
          </w:tcPr>
          <w:p w14:paraId="606FB4F9" w14:textId="52C562C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w:t>
            </w:r>
          </w:p>
        </w:tc>
        <w:tc>
          <w:tcPr>
            <w:tcW w:w="900" w:type="dxa"/>
            <w:vAlign w:val="bottom"/>
          </w:tcPr>
          <w:p w14:paraId="290A80E2" w14:textId="39575961"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1080" w:type="dxa"/>
            <w:shd w:val="clear" w:color="auto" w:fill="auto"/>
            <w:noWrap/>
            <w:vAlign w:val="bottom"/>
          </w:tcPr>
          <w:p w14:paraId="01D37198" w14:textId="796B5F01"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w:t>
            </w:r>
          </w:p>
        </w:tc>
        <w:tc>
          <w:tcPr>
            <w:tcW w:w="1080" w:type="dxa"/>
            <w:vAlign w:val="bottom"/>
          </w:tcPr>
          <w:p w14:paraId="03D92677" w14:textId="649CEB22"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990" w:type="dxa"/>
            <w:gridSpan w:val="2"/>
            <w:shd w:val="clear" w:color="auto" w:fill="auto"/>
            <w:noWrap/>
            <w:vAlign w:val="bottom"/>
          </w:tcPr>
          <w:p w14:paraId="153E1655" w14:textId="2728AD17"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w:t>
            </w:r>
          </w:p>
        </w:tc>
        <w:tc>
          <w:tcPr>
            <w:tcW w:w="900" w:type="dxa"/>
            <w:shd w:val="clear" w:color="auto" w:fill="auto"/>
            <w:noWrap/>
            <w:vAlign w:val="bottom"/>
          </w:tcPr>
          <w:p w14:paraId="09EB6691" w14:textId="4F5B21CE"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c>
          <w:tcPr>
            <w:tcW w:w="890" w:type="dxa"/>
          </w:tcPr>
          <w:p w14:paraId="10D1396E" w14:textId="0C8BD6C8"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95" w:type="dxa"/>
            <w:gridSpan w:val="3"/>
            <w:shd w:val="clear" w:color="auto" w:fill="auto"/>
            <w:noWrap/>
            <w:vAlign w:val="bottom"/>
          </w:tcPr>
          <w:p w14:paraId="40715CB2" w14:textId="7BAB163B" w:rsidR="003645F4" w:rsidRPr="002B01A1" w:rsidRDefault="003645F4" w:rsidP="003645F4">
            <w:pPr>
              <w:jc w:val="center"/>
              <w:rPr>
                <w:rFonts w:asciiTheme="majorHAnsi" w:eastAsia="Verdana" w:hAnsiTheme="majorHAnsi" w:cstheme="majorHAnsi"/>
                <w:sz w:val="18"/>
                <w:szCs w:val="18"/>
              </w:rPr>
            </w:pPr>
            <w:r w:rsidRPr="002B01A1">
              <w:rPr>
                <w:rFonts w:asciiTheme="majorHAnsi" w:hAnsiTheme="majorHAnsi" w:cstheme="majorHAnsi"/>
                <w:color w:val="000000"/>
                <w:sz w:val="18"/>
                <w:szCs w:val="18"/>
              </w:rPr>
              <w:t>0.00%</w:t>
            </w:r>
          </w:p>
        </w:tc>
      </w:tr>
      <w:tr w:rsidR="003645F4" w:rsidRPr="00702EAF" w14:paraId="740FCE81" w14:textId="3A6B08EB" w:rsidTr="003645F4">
        <w:trPr>
          <w:cantSplit/>
          <w:trHeight w:val="280"/>
          <w:jc w:val="center"/>
        </w:trPr>
        <w:tc>
          <w:tcPr>
            <w:tcW w:w="1895" w:type="dxa"/>
            <w:shd w:val="clear" w:color="auto" w:fill="auto"/>
            <w:noWrap/>
            <w:vAlign w:val="bottom"/>
          </w:tcPr>
          <w:p w14:paraId="4278859E" w14:textId="384CAB99" w:rsidR="003645F4" w:rsidRPr="009D6ABD" w:rsidRDefault="003645F4" w:rsidP="003645F4">
            <w:pPr>
              <w:rPr>
                <w:rFonts w:asciiTheme="majorHAnsi" w:eastAsia="Verdana" w:hAnsiTheme="majorHAnsi" w:cstheme="majorHAnsi"/>
                <w:sz w:val="18"/>
                <w:szCs w:val="18"/>
              </w:rPr>
            </w:pPr>
            <w:r>
              <w:rPr>
                <w:rFonts w:asciiTheme="majorHAnsi" w:hAnsiTheme="majorHAnsi" w:cstheme="majorHAnsi"/>
                <w:color w:val="000000"/>
                <w:sz w:val="18"/>
                <w:szCs w:val="18"/>
              </w:rPr>
              <w:t>Other</w:t>
            </w:r>
            <w:r>
              <w:rPr>
                <w:rStyle w:val="FootnoteReference"/>
                <w:rFonts w:asciiTheme="majorHAnsi" w:hAnsiTheme="majorHAnsi" w:cstheme="majorHAnsi"/>
                <w:color w:val="000000"/>
                <w:sz w:val="18"/>
                <w:szCs w:val="18"/>
              </w:rPr>
              <w:footnoteReference w:id="20"/>
            </w:r>
          </w:p>
        </w:tc>
        <w:tc>
          <w:tcPr>
            <w:tcW w:w="1170" w:type="dxa"/>
            <w:vAlign w:val="bottom"/>
          </w:tcPr>
          <w:p w14:paraId="6DA6A2EE" w14:textId="3698ECC6" w:rsidR="003645F4" w:rsidRPr="002B01A1" w:rsidRDefault="003645F4" w:rsidP="003645F4">
            <w:pPr>
              <w:jc w:val="center"/>
              <w:rPr>
                <w:rFonts w:asciiTheme="majorHAnsi" w:eastAsia="Verdana" w:hAnsiTheme="majorHAnsi" w:cstheme="majorHAnsi"/>
                <w:sz w:val="18"/>
                <w:szCs w:val="18"/>
                <w:highlight w:val="yellow"/>
              </w:rPr>
            </w:pPr>
            <w:r>
              <w:rPr>
                <w:rFonts w:asciiTheme="majorHAnsi" w:hAnsiTheme="majorHAnsi" w:cstheme="majorHAnsi"/>
                <w:color w:val="000000"/>
                <w:sz w:val="18"/>
                <w:szCs w:val="18"/>
              </w:rPr>
              <w:t>&lt;11</w:t>
            </w:r>
          </w:p>
        </w:tc>
        <w:tc>
          <w:tcPr>
            <w:tcW w:w="900" w:type="dxa"/>
            <w:vAlign w:val="bottom"/>
          </w:tcPr>
          <w:p w14:paraId="618B2752" w14:textId="6BE800FD" w:rsidR="003645F4" w:rsidRPr="002B01A1" w:rsidRDefault="003645F4" w:rsidP="003645F4">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2.03%</w:t>
            </w:r>
          </w:p>
        </w:tc>
        <w:tc>
          <w:tcPr>
            <w:tcW w:w="1080" w:type="dxa"/>
            <w:shd w:val="clear" w:color="auto" w:fill="auto"/>
            <w:noWrap/>
            <w:vAlign w:val="bottom"/>
          </w:tcPr>
          <w:p w14:paraId="24AAC4FC" w14:textId="3113ED53" w:rsidR="003645F4" w:rsidRPr="002B01A1" w:rsidRDefault="003645F4" w:rsidP="003645F4">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24</w:t>
            </w:r>
          </w:p>
        </w:tc>
        <w:tc>
          <w:tcPr>
            <w:tcW w:w="1080" w:type="dxa"/>
            <w:vAlign w:val="bottom"/>
          </w:tcPr>
          <w:p w14:paraId="2CF0DB74" w14:textId="4AA85A69" w:rsidR="003645F4" w:rsidRPr="002B01A1" w:rsidRDefault="003645F4" w:rsidP="003645F4">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1.69%</w:t>
            </w:r>
          </w:p>
        </w:tc>
        <w:tc>
          <w:tcPr>
            <w:tcW w:w="990" w:type="dxa"/>
            <w:gridSpan w:val="2"/>
            <w:shd w:val="clear" w:color="auto" w:fill="auto"/>
            <w:noWrap/>
            <w:vAlign w:val="bottom"/>
          </w:tcPr>
          <w:p w14:paraId="13700FDF" w14:textId="648460BE" w:rsidR="003645F4" w:rsidRPr="002B01A1" w:rsidRDefault="003645F4" w:rsidP="003645F4">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22</w:t>
            </w:r>
          </w:p>
        </w:tc>
        <w:tc>
          <w:tcPr>
            <w:tcW w:w="900" w:type="dxa"/>
            <w:shd w:val="clear" w:color="auto" w:fill="auto"/>
            <w:noWrap/>
            <w:vAlign w:val="bottom"/>
          </w:tcPr>
          <w:p w14:paraId="4D1D98AE" w14:textId="2F02BFD6" w:rsidR="003645F4" w:rsidRPr="002B01A1" w:rsidRDefault="003645F4" w:rsidP="003645F4">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2.08%</w:t>
            </w:r>
          </w:p>
        </w:tc>
        <w:tc>
          <w:tcPr>
            <w:tcW w:w="890" w:type="dxa"/>
          </w:tcPr>
          <w:p w14:paraId="7CBEA656" w14:textId="6BBB6DBA" w:rsidR="003645F4" w:rsidRPr="002B01A1" w:rsidRDefault="003645F4" w:rsidP="003645F4">
            <w:pPr>
              <w:jc w:val="center"/>
              <w:rPr>
                <w:rFonts w:asciiTheme="majorHAnsi" w:eastAsia="Verdana" w:hAnsiTheme="majorHAnsi" w:cstheme="majorHAnsi"/>
                <w:sz w:val="18"/>
                <w:szCs w:val="18"/>
              </w:rPr>
            </w:pPr>
            <w:r w:rsidRPr="002B01A1">
              <w:rPr>
                <w:rFonts w:asciiTheme="majorHAnsi" w:eastAsia="Verdana" w:hAnsiTheme="majorHAnsi" w:cstheme="majorHAnsi"/>
                <w:sz w:val="18"/>
                <w:szCs w:val="18"/>
              </w:rPr>
              <w:t>0</w:t>
            </w:r>
          </w:p>
        </w:tc>
        <w:tc>
          <w:tcPr>
            <w:tcW w:w="995" w:type="dxa"/>
            <w:gridSpan w:val="3"/>
            <w:shd w:val="clear" w:color="auto" w:fill="auto"/>
            <w:noWrap/>
            <w:vAlign w:val="bottom"/>
          </w:tcPr>
          <w:p w14:paraId="0E1FC687" w14:textId="6D80C18D" w:rsidR="003645F4" w:rsidRPr="002B01A1" w:rsidRDefault="003645F4" w:rsidP="003645F4">
            <w:pPr>
              <w:jc w:val="center"/>
              <w:rPr>
                <w:rFonts w:asciiTheme="majorHAnsi" w:eastAsia="Verdana" w:hAnsiTheme="majorHAnsi" w:cstheme="majorHAnsi"/>
                <w:sz w:val="18"/>
                <w:szCs w:val="18"/>
                <w:highlight w:val="yellow"/>
              </w:rPr>
            </w:pPr>
            <w:r w:rsidRPr="002B01A1">
              <w:rPr>
                <w:rFonts w:asciiTheme="majorHAnsi" w:hAnsiTheme="majorHAnsi" w:cstheme="majorHAnsi"/>
                <w:color w:val="000000"/>
                <w:sz w:val="18"/>
                <w:szCs w:val="18"/>
              </w:rPr>
              <w:t>0.00%</w:t>
            </w:r>
          </w:p>
        </w:tc>
      </w:tr>
      <w:tr w:rsidR="003645F4" w:rsidRPr="00702EAF" w14:paraId="428A9008" w14:textId="7605C0B0" w:rsidTr="003645F4">
        <w:trPr>
          <w:cantSplit/>
          <w:trHeight w:val="280"/>
          <w:jc w:val="center"/>
        </w:trPr>
        <w:tc>
          <w:tcPr>
            <w:tcW w:w="1895" w:type="dxa"/>
            <w:shd w:val="clear" w:color="auto" w:fill="auto"/>
            <w:noWrap/>
            <w:vAlign w:val="bottom"/>
          </w:tcPr>
          <w:p w14:paraId="1D72242D" w14:textId="41DB7BE1" w:rsidR="003645F4" w:rsidRPr="009D6ABD" w:rsidRDefault="003645F4" w:rsidP="003645F4">
            <w:pPr>
              <w:rPr>
                <w:rFonts w:asciiTheme="majorHAnsi" w:eastAsia="Verdana" w:hAnsiTheme="majorHAnsi" w:cstheme="majorHAnsi"/>
                <w:sz w:val="18"/>
                <w:szCs w:val="18"/>
              </w:rPr>
            </w:pPr>
            <w:r>
              <w:rPr>
                <w:rFonts w:asciiTheme="majorHAnsi" w:hAnsiTheme="majorHAnsi" w:cstheme="majorHAnsi"/>
                <w:color w:val="000000"/>
                <w:sz w:val="18"/>
                <w:szCs w:val="18"/>
              </w:rPr>
              <w:t>Unable to Obtain</w:t>
            </w:r>
            <w:r>
              <w:rPr>
                <w:rStyle w:val="FootnoteReference"/>
                <w:rFonts w:asciiTheme="majorHAnsi" w:hAnsiTheme="majorHAnsi" w:cstheme="majorHAnsi"/>
                <w:color w:val="000000"/>
                <w:sz w:val="18"/>
                <w:szCs w:val="18"/>
              </w:rPr>
              <w:footnoteReference w:id="21"/>
            </w:r>
          </w:p>
        </w:tc>
        <w:tc>
          <w:tcPr>
            <w:tcW w:w="1170" w:type="dxa"/>
            <w:vAlign w:val="bottom"/>
          </w:tcPr>
          <w:p w14:paraId="2D77226D" w14:textId="22152F53" w:rsidR="003645F4" w:rsidRPr="00BB3D54" w:rsidRDefault="003645F4" w:rsidP="003645F4">
            <w:pPr>
              <w:jc w:val="center"/>
              <w:rPr>
                <w:rFonts w:asciiTheme="majorHAnsi" w:eastAsia="Verdana" w:hAnsiTheme="majorHAnsi" w:cstheme="majorHAnsi"/>
                <w:sz w:val="18"/>
                <w:szCs w:val="18"/>
                <w:highlight w:val="yellow"/>
              </w:rPr>
            </w:pPr>
            <w:r>
              <w:rPr>
                <w:rFonts w:asciiTheme="majorHAnsi" w:hAnsiTheme="majorHAnsi" w:cstheme="majorHAnsi"/>
                <w:color w:val="000000"/>
                <w:sz w:val="18"/>
                <w:szCs w:val="18"/>
              </w:rPr>
              <w:t>&lt;11</w:t>
            </w:r>
          </w:p>
        </w:tc>
        <w:tc>
          <w:tcPr>
            <w:tcW w:w="900" w:type="dxa"/>
            <w:vAlign w:val="bottom"/>
          </w:tcPr>
          <w:p w14:paraId="1A6E1DB0" w14:textId="0C462E5B"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0.81%</w:t>
            </w:r>
          </w:p>
        </w:tc>
        <w:tc>
          <w:tcPr>
            <w:tcW w:w="1080" w:type="dxa"/>
            <w:shd w:val="clear" w:color="auto" w:fill="auto"/>
            <w:noWrap/>
            <w:vAlign w:val="bottom"/>
          </w:tcPr>
          <w:p w14:paraId="3EE288D2" w14:textId="641D6395"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25</w:t>
            </w:r>
          </w:p>
        </w:tc>
        <w:tc>
          <w:tcPr>
            <w:tcW w:w="1080" w:type="dxa"/>
            <w:vAlign w:val="bottom"/>
          </w:tcPr>
          <w:p w14:paraId="719B3246" w14:textId="3F7BF56E"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1.77%</w:t>
            </w:r>
          </w:p>
        </w:tc>
        <w:tc>
          <w:tcPr>
            <w:tcW w:w="990" w:type="dxa"/>
            <w:gridSpan w:val="2"/>
            <w:shd w:val="clear" w:color="auto" w:fill="auto"/>
            <w:noWrap/>
            <w:vAlign w:val="bottom"/>
          </w:tcPr>
          <w:p w14:paraId="24E9F22C" w14:textId="5682347A"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42</w:t>
            </w:r>
          </w:p>
        </w:tc>
        <w:tc>
          <w:tcPr>
            <w:tcW w:w="900" w:type="dxa"/>
            <w:shd w:val="clear" w:color="auto" w:fill="auto"/>
            <w:noWrap/>
            <w:vAlign w:val="bottom"/>
          </w:tcPr>
          <w:p w14:paraId="3DFC38D5" w14:textId="149E9188"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3.96%</w:t>
            </w:r>
          </w:p>
        </w:tc>
        <w:tc>
          <w:tcPr>
            <w:tcW w:w="890" w:type="dxa"/>
          </w:tcPr>
          <w:p w14:paraId="59589E6F" w14:textId="106D65D2" w:rsidR="003645F4" w:rsidRPr="00BB3D54" w:rsidRDefault="003645F4" w:rsidP="003645F4">
            <w:pPr>
              <w:jc w:val="center"/>
              <w:rPr>
                <w:rFonts w:asciiTheme="majorHAnsi" w:eastAsia="Verdana" w:hAnsiTheme="majorHAnsi" w:cstheme="majorHAnsi"/>
                <w:sz w:val="18"/>
                <w:szCs w:val="18"/>
              </w:rPr>
            </w:pPr>
            <w:r w:rsidRPr="00BB3D54">
              <w:rPr>
                <w:rFonts w:asciiTheme="majorHAnsi" w:eastAsia="Verdana" w:hAnsiTheme="majorHAnsi" w:cstheme="majorHAnsi"/>
                <w:sz w:val="18"/>
                <w:szCs w:val="18"/>
              </w:rPr>
              <w:t>0</w:t>
            </w:r>
          </w:p>
        </w:tc>
        <w:tc>
          <w:tcPr>
            <w:tcW w:w="995" w:type="dxa"/>
            <w:gridSpan w:val="3"/>
            <w:shd w:val="clear" w:color="auto" w:fill="auto"/>
            <w:noWrap/>
            <w:vAlign w:val="bottom"/>
          </w:tcPr>
          <w:p w14:paraId="47BD419A" w14:textId="7F8E429E"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0.00%</w:t>
            </w:r>
          </w:p>
        </w:tc>
      </w:tr>
      <w:tr w:rsidR="003645F4" w:rsidRPr="00702EAF" w14:paraId="79CF296B" w14:textId="775FF3CA" w:rsidTr="003645F4">
        <w:trPr>
          <w:cantSplit/>
          <w:trHeight w:val="280"/>
          <w:jc w:val="center"/>
        </w:trPr>
        <w:tc>
          <w:tcPr>
            <w:tcW w:w="1895" w:type="dxa"/>
            <w:shd w:val="clear" w:color="auto" w:fill="auto"/>
            <w:noWrap/>
            <w:vAlign w:val="bottom"/>
          </w:tcPr>
          <w:p w14:paraId="58C449A3" w14:textId="65B42920" w:rsidR="003645F4" w:rsidRDefault="003645F4" w:rsidP="003645F4">
            <w:pPr>
              <w:rPr>
                <w:rFonts w:asciiTheme="majorHAnsi" w:hAnsiTheme="majorHAnsi" w:cstheme="majorHAnsi"/>
                <w:color w:val="000000"/>
                <w:sz w:val="18"/>
                <w:szCs w:val="18"/>
              </w:rPr>
            </w:pPr>
            <w:r>
              <w:rPr>
                <w:rFonts w:asciiTheme="majorHAnsi" w:hAnsiTheme="majorHAnsi" w:cstheme="majorHAnsi"/>
                <w:color w:val="000000"/>
                <w:sz w:val="18"/>
                <w:szCs w:val="18"/>
              </w:rPr>
              <w:t>White</w:t>
            </w:r>
          </w:p>
        </w:tc>
        <w:tc>
          <w:tcPr>
            <w:tcW w:w="1170" w:type="dxa"/>
            <w:vAlign w:val="bottom"/>
          </w:tcPr>
          <w:p w14:paraId="49957610" w14:textId="1EB972D5"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4</w:t>
            </w:r>
            <w:r>
              <w:rPr>
                <w:rFonts w:asciiTheme="majorHAnsi" w:hAnsiTheme="majorHAnsi" w:cstheme="majorHAnsi"/>
                <w:color w:val="000000"/>
                <w:sz w:val="18"/>
                <w:szCs w:val="18"/>
              </w:rPr>
              <w:t>47</w:t>
            </w:r>
          </w:p>
        </w:tc>
        <w:tc>
          <w:tcPr>
            <w:tcW w:w="900" w:type="dxa"/>
            <w:vAlign w:val="bottom"/>
          </w:tcPr>
          <w:p w14:paraId="75A4ED2A" w14:textId="20E2DCD1"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87.02%</w:t>
            </w:r>
          </w:p>
        </w:tc>
        <w:tc>
          <w:tcPr>
            <w:tcW w:w="1080" w:type="dxa"/>
            <w:shd w:val="clear" w:color="auto" w:fill="auto"/>
            <w:noWrap/>
            <w:vAlign w:val="bottom"/>
          </w:tcPr>
          <w:p w14:paraId="7D49DE09" w14:textId="7D0AD8B8"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12</w:t>
            </w:r>
            <w:r>
              <w:rPr>
                <w:rFonts w:asciiTheme="majorHAnsi" w:hAnsiTheme="majorHAnsi" w:cstheme="majorHAnsi"/>
                <w:color w:val="000000"/>
                <w:sz w:val="18"/>
                <w:szCs w:val="18"/>
              </w:rPr>
              <w:t>20</w:t>
            </w:r>
          </w:p>
        </w:tc>
        <w:tc>
          <w:tcPr>
            <w:tcW w:w="1080" w:type="dxa"/>
            <w:vAlign w:val="bottom"/>
          </w:tcPr>
          <w:p w14:paraId="04F9D86D" w14:textId="74612244"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85.88%</w:t>
            </w:r>
          </w:p>
        </w:tc>
        <w:tc>
          <w:tcPr>
            <w:tcW w:w="990" w:type="dxa"/>
            <w:gridSpan w:val="2"/>
            <w:shd w:val="clear" w:color="auto" w:fill="auto"/>
            <w:noWrap/>
            <w:vAlign w:val="bottom"/>
          </w:tcPr>
          <w:p w14:paraId="16E15FC7" w14:textId="3F4F864E"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8</w:t>
            </w:r>
            <w:r>
              <w:rPr>
                <w:rFonts w:asciiTheme="majorHAnsi" w:hAnsiTheme="majorHAnsi" w:cstheme="majorHAnsi"/>
                <w:color w:val="000000"/>
                <w:sz w:val="18"/>
                <w:szCs w:val="18"/>
              </w:rPr>
              <w:t>72</w:t>
            </w:r>
          </w:p>
        </w:tc>
        <w:tc>
          <w:tcPr>
            <w:tcW w:w="900" w:type="dxa"/>
            <w:shd w:val="clear" w:color="auto" w:fill="auto"/>
            <w:noWrap/>
            <w:vAlign w:val="bottom"/>
          </w:tcPr>
          <w:p w14:paraId="5F241847" w14:textId="4FEB8A72"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81.79%</w:t>
            </w:r>
          </w:p>
        </w:tc>
        <w:tc>
          <w:tcPr>
            <w:tcW w:w="890" w:type="dxa"/>
          </w:tcPr>
          <w:p w14:paraId="4B204EC8" w14:textId="7C1190F1" w:rsidR="003645F4" w:rsidRPr="00BB3D54"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95" w:type="dxa"/>
            <w:gridSpan w:val="3"/>
            <w:shd w:val="clear" w:color="auto" w:fill="auto"/>
            <w:noWrap/>
            <w:vAlign w:val="bottom"/>
          </w:tcPr>
          <w:p w14:paraId="32837FEB" w14:textId="0F9EA61B" w:rsidR="003645F4" w:rsidRPr="00BB3D54" w:rsidRDefault="003645F4" w:rsidP="003645F4">
            <w:pPr>
              <w:jc w:val="center"/>
              <w:rPr>
                <w:rFonts w:asciiTheme="majorHAnsi" w:eastAsia="Verdana" w:hAnsiTheme="majorHAnsi" w:cstheme="majorHAnsi"/>
                <w:sz w:val="18"/>
                <w:szCs w:val="18"/>
                <w:highlight w:val="yellow"/>
              </w:rPr>
            </w:pPr>
            <w:r w:rsidRPr="00BB3D54">
              <w:rPr>
                <w:rFonts w:asciiTheme="majorHAnsi" w:hAnsiTheme="majorHAnsi" w:cstheme="majorHAnsi"/>
                <w:color w:val="000000"/>
                <w:sz w:val="18"/>
                <w:szCs w:val="18"/>
              </w:rPr>
              <w:t>100.00%</w:t>
            </w:r>
          </w:p>
        </w:tc>
      </w:tr>
      <w:tr w:rsidR="003645F4" w:rsidRPr="00702EAF" w14:paraId="2D649B49" w14:textId="64254670" w:rsidTr="003645F4">
        <w:trPr>
          <w:cantSplit/>
          <w:trHeight w:val="280"/>
          <w:jc w:val="center"/>
        </w:trPr>
        <w:tc>
          <w:tcPr>
            <w:tcW w:w="1895" w:type="dxa"/>
            <w:shd w:val="clear" w:color="auto" w:fill="E2EFD9" w:themeFill="accent6" w:themeFillTint="33"/>
            <w:noWrap/>
            <w:vAlign w:val="bottom"/>
          </w:tcPr>
          <w:p w14:paraId="1765BE3F" w14:textId="77777777" w:rsidR="003645F4" w:rsidRPr="00A20DD4" w:rsidRDefault="003645F4" w:rsidP="003645F4">
            <w:pPr>
              <w:jc w:val="center"/>
              <w:rPr>
                <w:rFonts w:asciiTheme="majorHAnsi" w:eastAsia="Verdana" w:hAnsiTheme="majorHAnsi" w:cstheme="majorHAnsi"/>
                <w:sz w:val="18"/>
                <w:szCs w:val="18"/>
              </w:rPr>
            </w:pPr>
            <w:r w:rsidRPr="00A20DD4">
              <w:rPr>
                <w:rFonts w:asciiTheme="majorHAnsi" w:hAnsiTheme="majorHAnsi" w:cstheme="majorHAnsi"/>
                <w:color w:val="000000"/>
                <w:sz w:val="18"/>
                <w:szCs w:val="18"/>
              </w:rPr>
              <w:t>Total</w:t>
            </w:r>
          </w:p>
        </w:tc>
        <w:tc>
          <w:tcPr>
            <w:tcW w:w="1170" w:type="dxa"/>
            <w:shd w:val="clear" w:color="auto" w:fill="E2EFD9" w:themeFill="accent6" w:themeFillTint="33"/>
          </w:tcPr>
          <w:p w14:paraId="59A0E444" w14:textId="5BF326C8" w:rsidR="003645F4" w:rsidRPr="00AE324F" w:rsidRDefault="003645F4" w:rsidP="003645F4">
            <w:pPr>
              <w:jc w:val="center"/>
              <w:rPr>
                <w:rFonts w:asciiTheme="majorHAnsi" w:eastAsia="Verdana" w:hAnsiTheme="majorHAnsi" w:cstheme="majorHAnsi"/>
                <w:sz w:val="18"/>
                <w:szCs w:val="18"/>
                <w:highlight w:val="yellow"/>
              </w:rPr>
            </w:pPr>
            <w:r w:rsidRPr="00AE324F">
              <w:rPr>
                <w:rFonts w:asciiTheme="majorHAnsi" w:eastAsia="Verdana" w:hAnsiTheme="majorHAnsi" w:cstheme="majorHAnsi"/>
                <w:sz w:val="18"/>
                <w:szCs w:val="18"/>
              </w:rPr>
              <w:t>493</w:t>
            </w:r>
          </w:p>
        </w:tc>
        <w:tc>
          <w:tcPr>
            <w:tcW w:w="900" w:type="dxa"/>
            <w:shd w:val="clear" w:color="auto" w:fill="E2EFD9" w:themeFill="accent6" w:themeFillTint="33"/>
          </w:tcPr>
          <w:p w14:paraId="7EE00661" w14:textId="19E1B207" w:rsidR="003645F4" w:rsidRPr="00AE324F" w:rsidRDefault="003645F4" w:rsidP="003645F4">
            <w:pPr>
              <w:jc w:val="center"/>
              <w:rPr>
                <w:rFonts w:asciiTheme="majorHAnsi" w:eastAsia="Verdana" w:hAnsiTheme="majorHAnsi" w:cstheme="majorHAnsi"/>
                <w:sz w:val="18"/>
                <w:szCs w:val="18"/>
                <w:highlight w:val="yellow"/>
              </w:rPr>
            </w:pPr>
            <w:r w:rsidRPr="00AE324F">
              <w:rPr>
                <w:rFonts w:asciiTheme="majorHAnsi" w:hAnsiTheme="majorHAnsi" w:cstheme="majorHAnsi"/>
                <w:color w:val="000000"/>
                <w:sz w:val="18"/>
                <w:szCs w:val="18"/>
              </w:rPr>
              <w:t>100.00%</w:t>
            </w:r>
          </w:p>
        </w:tc>
        <w:tc>
          <w:tcPr>
            <w:tcW w:w="1080" w:type="dxa"/>
            <w:shd w:val="clear" w:color="auto" w:fill="E2EFD9" w:themeFill="accent6" w:themeFillTint="33"/>
            <w:noWrap/>
            <w:vAlign w:val="bottom"/>
          </w:tcPr>
          <w:p w14:paraId="35403202" w14:textId="0FD74039" w:rsidR="003645F4" w:rsidRPr="00AE324F" w:rsidRDefault="003645F4" w:rsidP="003645F4">
            <w:pPr>
              <w:jc w:val="center"/>
              <w:rPr>
                <w:rFonts w:asciiTheme="majorHAnsi" w:eastAsia="Verdana" w:hAnsiTheme="majorHAnsi" w:cstheme="majorHAnsi"/>
                <w:sz w:val="18"/>
                <w:szCs w:val="18"/>
                <w:highlight w:val="yellow"/>
              </w:rPr>
            </w:pPr>
            <w:r w:rsidRPr="00AE324F">
              <w:rPr>
                <w:rFonts w:asciiTheme="majorHAnsi" w:eastAsia="Verdana" w:hAnsiTheme="majorHAnsi" w:cstheme="majorHAnsi"/>
                <w:sz w:val="18"/>
                <w:szCs w:val="18"/>
              </w:rPr>
              <w:t>1,416</w:t>
            </w:r>
          </w:p>
        </w:tc>
        <w:tc>
          <w:tcPr>
            <w:tcW w:w="1080" w:type="dxa"/>
            <w:shd w:val="clear" w:color="auto" w:fill="E2EFD9" w:themeFill="accent6" w:themeFillTint="33"/>
          </w:tcPr>
          <w:p w14:paraId="0B476974" w14:textId="02777856" w:rsidR="003645F4" w:rsidRPr="00AE324F" w:rsidRDefault="003645F4" w:rsidP="003645F4">
            <w:pPr>
              <w:jc w:val="center"/>
              <w:rPr>
                <w:rFonts w:asciiTheme="majorHAnsi" w:hAnsiTheme="majorHAnsi" w:cstheme="majorHAnsi"/>
                <w:color w:val="000000"/>
                <w:sz w:val="18"/>
                <w:szCs w:val="18"/>
              </w:rPr>
            </w:pPr>
            <w:r w:rsidRPr="00AE324F">
              <w:rPr>
                <w:rFonts w:asciiTheme="majorHAnsi" w:hAnsiTheme="majorHAnsi" w:cstheme="majorHAnsi"/>
                <w:color w:val="000000"/>
                <w:sz w:val="18"/>
                <w:szCs w:val="18"/>
              </w:rPr>
              <w:t>100.00%</w:t>
            </w:r>
          </w:p>
        </w:tc>
        <w:tc>
          <w:tcPr>
            <w:tcW w:w="990" w:type="dxa"/>
            <w:gridSpan w:val="2"/>
            <w:shd w:val="clear" w:color="auto" w:fill="E2EFD9" w:themeFill="accent6" w:themeFillTint="33"/>
            <w:noWrap/>
            <w:vAlign w:val="bottom"/>
          </w:tcPr>
          <w:p w14:paraId="60EDA9BD" w14:textId="438BEF62" w:rsidR="003645F4" w:rsidRPr="00AE324F" w:rsidRDefault="003645F4" w:rsidP="003645F4">
            <w:pPr>
              <w:jc w:val="center"/>
              <w:rPr>
                <w:rFonts w:asciiTheme="majorHAnsi" w:eastAsia="Verdana" w:hAnsiTheme="majorHAnsi" w:cstheme="majorHAnsi"/>
                <w:sz w:val="18"/>
                <w:szCs w:val="18"/>
              </w:rPr>
            </w:pPr>
            <w:r w:rsidRPr="00AE324F">
              <w:rPr>
                <w:rFonts w:asciiTheme="majorHAnsi" w:eastAsia="Verdana" w:hAnsiTheme="majorHAnsi" w:cstheme="majorHAnsi"/>
                <w:sz w:val="18"/>
                <w:szCs w:val="18"/>
              </w:rPr>
              <w:t>1,060</w:t>
            </w:r>
          </w:p>
        </w:tc>
        <w:tc>
          <w:tcPr>
            <w:tcW w:w="900" w:type="dxa"/>
            <w:shd w:val="clear" w:color="auto" w:fill="E2EFD9" w:themeFill="accent6" w:themeFillTint="33"/>
            <w:noWrap/>
            <w:vAlign w:val="bottom"/>
          </w:tcPr>
          <w:p w14:paraId="1895AC2D" w14:textId="77777777" w:rsidR="003645F4" w:rsidRPr="00AE324F" w:rsidRDefault="003645F4" w:rsidP="003645F4">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100.00%</w:t>
            </w:r>
          </w:p>
        </w:tc>
        <w:tc>
          <w:tcPr>
            <w:tcW w:w="890" w:type="dxa"/>
            <w:shd w:val="clear" w:color="auto" w:fill="E2EFD9" w:themeFill="accent6" w:themeFillTint="33"/>
          </w:tcPr>
          <w:p w14:paraId="4E94A4FE" w14:textId="13F6DE7E" w:rsidR="003645F4" w:rsidRPr="00AE324F" w:rsidRDefault="003645F4" w:rsidP="003645F4">
            <w:pPr>
              <w:jc w:val="center"/>
              <w:rPr>
                <w:rFonts w:asciiTheme="majorHAnsi" w:eastAsia="Verdana" w:hAnsiTheme="majorHAnsi" w:cstheme="majorHAnsi"/>
                <w:sz w:val="18"/>
                <w:szCs w:val="18"/>
              </w:rPr>
            </w:pPr>
            <w:r>
              <w:rPr>
                <w:rFonts w:asciiTheme="majorHAnsi" w:hAnsiTheme="majorHAnsi" w:cstheme="majorHAnsi"/>
                <w:color w:val="000000"/>
                <w:sz w:val="18"/>
                <w:szCs w:val="18"/>
              </w:rPr>
              <w:t>&lt;11</w:t>
            </w:r>
          </w:p>
        </w:tc>
        <w:tc>
          <w:tcPr>
            <w:tcW w:w="995" w:type="dxa"/>
            <w:gridSpan w:val="3"/>
            <w:shd w:val="clear" w:color="auto" w:fill="E2EFD9" w:themeFill="accent6" w:themeFillTint="33"/>
            <w:noWrap/>
            <w:vAlign w:val="bottom"/>
          </w:tcPr>
          <w:p w14:paraId="781A8B72" w14:textId="77777777" w:rsidR="003645F4" w:rsidRPr="00AE324F" w:rsidRDefault="003645F4" w:rsidP="003645F4">
            <w:pPr>
              <w:jc w:val="center"/>
              <w:rPr>
                <w:rFonts w:asciiTheme="majorHAnsi" w:eastAsia="Verdana" w:hAnsiTheme="majorHAnsi" w:cstheme="majorHAnsi"/>
                <w:sz w:val="18"/>
                <w:szCs w:val="18"/>
              </w:rPr>
            </w:pPr>
            <w:r w:rsidRPr="00AE324F">
              <w:rPr>
                <w:rFonts w:asciiTheme="majorHAnsi" w:hAnsiTheme="majorHAnsi" w:cstheme="majorHAnsi"/>
                <w:color w:val="000000"/>
                <w:sz w:val="18"/>
                <w:szCs w:val="18"/>
              </w:rPr>
              <w:t>100.00%</w:t>
            </w:r>
          </w:p>
        </w:tc>
      </w:tr>
    </w:tbl>
    <w:p w14:paraId="5CE1D2EF" w14:textId="77777777" w:rsidR="003E205D" w:rsidRDefault="003E205D" w:rsidP="001251B9">
      <w:pPr>
        <w:spacing w:after="0" w:line="240" w:lineRule="auto"/>
        <w:jc w:val="both"/>
        <w:rPr>
          <w:rFonts w:ascii="Arial" w:eastAsia="Times New Roman" w:hAnsi="Arial" w:cs="Arial"/>
          <w:kern w:val="2"/>
          <w:sz w:val="20"/>
          <w:szCs w:val="20"/>
        </w:rPr>
      </w:pPr>
    </w:p>
    <w:p w14:paraId="6B8991F5" w14:textId="2A36E50F" w:rsidR="00213732" w:rsidRPr="005A4A28" w:rsidRDefault="00F24A49" w:rsidP="00F24A49">
      <w:pPr>
        <w:jc w:val="both"/>
        <w:rPr>
          <w:rFonts w:ascii="Arial" w:hAnsi="Arial" w:cs="Arial"/>
          <w:sz w:val="20"/>
          <w:szCs w:val="20"/>
        </w:rPr>
      </w:pPr>
      <w:r w:rsidRPr="00060FE9">
        <w:rPr>
          <w:rFonts w:ascii="Arial" w:hAnsi="Arial" w:cs="Arial"/>
          <w:sz w:val="20"/>
          <w:szCs w:val="20"/>
        </w:rPr>
        <w:t xml:space="preserve">As illustrated in the table above, GSMC </w:t>
      </w:r>
      <w:r w:rsidR="007145AD">
        <w:rPr>
          <w:rFonts w:ascii="Arial" w:hAnsi="Arial" w:cs="Arial"/>
          <w:sz w:val="20"/>
          <w:szCs w:val="20"/>
        </w:rPr>
        <w:t xml:space="preserve">inpatient </w:t>
      </w:r>
      <w:r w:rsidR="00903803">
        <w:rPr>
          <w:rFonts w:ascii="Arial" w:hAnsi="Arial" w:cs="Arial"/>
          <w:sz w:val="20"/>
          <w:szCs w:val="20"/>
        </w:rPr>
        <w:t>psychiatric</w:t>
      </w:r>
      <w:r w:rsidRPr="00060FE9">
        <w:rPr>
          <w:rFonts w:ascii="Arial" w:hAnsi="Arial" w:cs="Arial"/>
          <w:sz w:val="20"/>
          <w:szCs w:val="20"/>
        </w:rPr>
        <w:t xml:space="preserve"> Patient Panel </w:t>
      </w:r>
      <w:r w:rsidR="007145AD">
        <w:rPr>
          <w:rFonts w:ascii="Arial" w:hAnsi="Arial" w:cs="Arial"/>
          <w:sz w:val="20"/>
          <w:szCs w:val="20"/>
        </w:rPr>
        <w:t>differs from</w:t>
      </w:r>
      <w:r w:rsidRPr="00060FE9">
        <w:rPr>
          <w:rFonts w:ascii="Arial" w:hAnsi="Arial" w:cs="Arial"/>
          <w:sz w:val="20"/>
          <w:szCs w:val="20"/>
        </w:rPr>
        <w:t xml:space="preserve"> Steward</w:t>
      </w:r>
      <w:r w:rsidR="007145AD">
        <w:rPr>
          <w:rFonts w:ascii="Arial" w:hAnsi="Arial" w:cs="Arial"/>
          <w:sz w:val="20"/>
          <w:szCs w:val="20"/>
        </w:rPr>
        <w:t xml:space="preserve"> Northeast</w:t>
      </w:r>
      <w:r w:rsidRPr="00060FE9">
        <w:rPr>
          <w:rFonts w:ascii="Arial" w:hAnsi="Arial" w:cs="Arial"/>
          <w:sz w:val="20"/>
          <w:szCs w:val="20"/>
        </w:rPr>
        <w:t>’s</w:t>
      </w:r>
      <w:r w:rsidR="003C011E">
        <w:rPr>
          <w:rFonts w:ascii="Arial" w:hAnsi="Arial" w:cs="Arial"/>
          <w:sz w:val="20"/>
          <w:szCs w:val="20"/>
        </w:rPr>
        <w:t xml:space="preserve"> and GSMC’s overall</w:t>
      </w:r>
      <w:r w:rsidRPr="00060FE9">
        <w:rPr>
          <w:rFonts w:ascii="Arial" w:hAnsi="Arial" w:cs="Arial"/>
          <w:sz w:val="20"/>
          <w:szCs w:val="20"/>
        </w:rPr>
        <w:t xml:space="preserve"> Patient Panel with some </w:t>
      </w:r>
      <w:r w:rsidR="003C011E">
        <w:rPr>
          <w:rFonts w:ascii="Arial" w:hAnsi="Arial" w:cs="Arial"/>
          <w:sz w:val="20"/>
          <w:szCs w:val="20"/>
        </w:rPr>
        <w:t>similarities</w:t>
      </w:r>
      <w:r w:rsidRPr="00060FE9">
        <w:rPr>
          <w:rFonts w:ascii="Arial" w:hAnsi="Arial" w:cs="Arial"/>
          <w:sz w:val="20"/>
          <w:szCs w:val="20"/>
        </w:rPr>
        <w:t xml:space="preserve">. </w:t>
      </w:r>
      <w:r w:rsidR="003C011E">
        <w:rPr>
          <w:rFonts w:ascii="Arial" w:hAnsi="Arial" w:cs="Arial"/>
          <w:sz w:val="20"/>
          <w:szCs w:val="20"/>
        </w:rPr>
        <w:t>Unl</w:t>
      </w:r>
      <w:r w:rsidRPr="00060FE9">
        <w:rPr>
          <w:rFonts w:ascii="Arial" w:hAnsi="Arial" w:cs="Arial"/>
          <w:sz w:val="20"/>
          <w:szCs w:val="20"/>
        </w:rPr>
        <w:t xml:space="preserve">ike the </w:t>
      </w:r>
      <w:r w:rsidR="003C011E">
        <w:rPr>
          <w:rFonts w:ascii="Arial" w:hAnsi="Arial" w:cs="Arial"/>
          <w:sz w:val="20"/>
          <w:szCs w:val="20"/>
        </w:rPr>
        <w:t xml:space="preserve">Steward </w:t>
      </w:r>
      <w:r w:rsidR="007145AD">
        <w:rPr>
          <w:rFonts w:ascii="Arial" w:hAnsi="Arial" w:cs="Arial"/>
          <w:sz w:val="20"/>
          <w:szCs w:val="20"/>
        </w:rPr>
        <w:t xml:space="preserve">Northeast </w:t>
      </w:r>
      <w:r w:rsidR="003C011E">
        <w:rPr>
          <w:rFonts w:ascii="Arial" w:hAnsi="Arial" w:cs="Arial"/>
          <w:sz w:val="20"/>
          <w:szCs w:val="20"/>
        </w:rPr>
        <w:t>and GSMC</w:t>
      </w:r>
      <w:r w:rsidR="007145AD">
        <w:rPr>
          <w:rFonts w:ascii="Arial" w:hAnsi="Arial" w:cs="Arial"/>
          <w:sz w:val="20"/>
          <w:szCs w:val="20"/>
        </w:rPr>
        <w:t>’s</w:t>
      </w:r>
      <w:r w:rsidR="003C011E">
        <w:rPr>
          <w:rFonts w:ascii="Arial" w:hAnsi="Arial" w:cs="Arial"/>
          <w:sz w:val="20"/>
          <w:szCs w:val="20"/>
        </w:rPr>
        <w:t xml:space="preserve"> overall</w:t>
      </w:r>
      <w:r w:rsidRPr="00060FE9">
        <w:rPr>
          <w:rFonts w:ascii="Arial" w:hAnsi="Arial" w:cs="Arial"/>
          <w:sz w:val="20"/>
          <w:szCs w:val="20"/>
        </w:rPr>
        <w:t xml:space="preserve"> Patient Panel, </w:t>
      </w:r>
      <w:r w:rsidR="005A4A28">
        <w:rPr>
          <w:rFonts w:ascii="Arial" w:hAnsi="Arial" w:cs="Arial"/>
          <w:sz w:val="20"/>
          <w:szCs w:val="20"/>
        </w:rPr>
        <w:t xml:space="preserve">the largest percentage of patients </w:t>
      </w:r>
      <w:r w:rsidR="0068074E">
        <w:rPr>
          <w:rFonts w:ascii="Arial" w:hAnsi="Arial" w:cs="Arial"/>
          <w:sz w:val="20"/>
          <w:szCs w:val="20"/>
        </w:rPr>
        <w:t xml:space="preserve">at GSMC </w:t>
      </w:r>
      <w:r w:rsidR="007145AD">
        <w:rPr>
          <w:rFonts w:ascii="Arial" w:hAnsi="Arial" w:cs="Arial"/>
          <w:sz w:val="20"/>
          <w:szCs w:val="20"/>
        </w:rPr>
        <w:t>inpatient</w:t>
      </w:r>
      <w:r w:rsidR="0068074E">
        <w:rPr>
          <w:rFonts w:ascii="Arial" w:hAnsi="Arial" w:cs="Arial"/>
          <w:sz w:val="20"/>
          <w:szCs w:val="20"/>
        </w:rPr>
        <w:t xml:space="preserve"> psychiatric </w:t>
      </w:r>
      <w:r w:rsidR="005A4A28">
        <w:rPr>
          <w:rFonts w:ascii="Arial" w:hAnsi="Arial" w:cs="Arial"/>
          <w:sz w:val="20"/>
          <w:szCs w:val="20"/>
        </w:rPr>
        <w:t>were in the 19-45 (compared to 46-64 age cohort) followed by 46-64 and 65+</w:t>
      </w:r>
      <w:r w:rsidR="002B64E7">
        <w:rPr>
          <w:rFonts w:ascii="Arial" w:hAnsi="Arial" w:cs="Arial"/>
          <w:sz w:val="20"/>
          <w:szCs w:val="20"/>
        </w:rPr>
        <w:t>,</w:t>
      </w:r>
      <w:r w:rsidR="005A4A28">
        <w:rPr>
          <w:rFonts w:ascii="Arial" w:hAnsi="Arial" w:cs="Arial"/>
          <w:sz w:val="20"/>
          <w:szCs w:val="20"/>
        </w:rPr>
        <w:t xml:space="preserve"> </w:t>
      </w:r>
      <w:r w:rsidR="0068074E">
        <w:rPr>
          <w:rFonts w:ascii="Arial" w:hAnsi="Arial" w:cs="Arial"/>
          <w:sz w:val="20"/>
          <w:szCs w:val="20"/>
        </w:rPr>
        <w:t>respectively.</w:t>
      </w:r>
      <w:r w:rsidR="005A4A28">
        <w:rPr>
          <w:rFonts w:ascii="Arial" w:hAnsi="Arial" w:cs="Arial"/>
          <w:sz w:val="20"/>
          <w:szCs w:val="20"/>
        </w:rPr>
        <w:t xml:space="preserve"> </w:t>
      </w:r>
      <w:r w:rsidR="002B64E7">
        <w:rPr>
          <w:rFonts w:ascii="Arial" w:hAnsi="Arial" w:cs="Arial"/>
          <w:sz w:val="20"/>
          <w:szCs w:val="20"/>
        </w:rPr>
        <w:t xml:space="preserve">Patients </w:t>
      </w:r>
      <w:r w:rsidR="007145AD">
        <w:rPr>
          <w:rFonts w:ascii="Arial" w:hAnsi="Arial" w:cs="Arial"/>
          <w:sz w:val="20"/>
          <w:szCs w:val="20"/>
        </w:rPr>
        <w:t>in the</w:t>
      </w:r>
      <w:r w:rsidR="005A4A28">
        <w:rPr>
          <w:rFonts w:ascii="Arial" w:hAnsi="Arial" w:cs="Arial"/>
          <w:sz w:val="20"/>
          <w:szCs w:val="20"/>
        </w:rPr>
        <w:t xml:space="preserve"> GSMC</w:t>
      </w:r>
      <w:r w:rsidR="002B64E7">
        <w:rPr>
          <w:rFonts w:ascii="Arial" w:hAnsi="Arial" w:cs="Arial"/>
          <w:sz w:val="20"/>
          <w:szCs w:val="20"/>
        </w:rPr>
        <w:t xml:space="preserve"> </w:t>
      </w:r>
      <w:r w:rsidR="007145AD">
        <w:rPr>
          <w:rFonts w:ascii="Arial" w:hAnsi="Arial" w:cs="Arial"/>
          <w:sz w:val="20"/>
          <w:szCs w:val="20"/>
        </w:rPr>
        <w:t>inpatient</w:t>
      </w:r>
      <w:r w:rsidR="002B64E7">
        <w:rPr>
          <w:rFonts w:ascii="Arial" w:hAnsi="Arial" w:cs="Arial"/>
          <w:sz w:val="20"/>
          <w:szCs w:val="20"/>
        </w:rPr>
        <w:t xml:space="preserve"> psychiatric</w:t>
      </w:r>
      <w:r w:rsidR="007145AD">
        <w:rPr>
          <w:rFonts w:ascii="Arial" w:hAnsi="Arial" w:cs="Arial"/>
          <w:sz w:val="20"/>
          <w:szCs w:val="20"/>
        </w:rPr>
        <w:t xml:space="preserve"> patient panel</w:t>
      </w:r>
      <w:r w:rsidR="005A4A28">
        <w:rPr>
          <w:rFonts w:ascii="Arial" w:hAnsi="Arial" w:cs="Arial"/>
          <w:sz w:val="20"/>
          <w:szCs w:val="20"/>
        </w:rPr>
        <w:t xml:space="preserve"> are adult and geriatric so there were no patients in the 0-18 age cohort. Unlike</w:t>
      </w:r>
      <w:r w:rsidR="007145AD">
        <w:rPr>
          <w:rFonts w:ascii="Arial" w:hAnsi="Arial" w:cs="Arial"/>
          <w:sz w:val="20"/>
          <w:szCs w:val="20"/>
        </w:rPr>
        <w:t xml:space="preserve"> the </w:t>
      </w:r>
      <w:r w:rsidR="005A4A28">
        <w:rPr>
          <w:rFonts w:ascii="Arial" w:hAnsi="Arial" w:cs="Arial"/>
          <w:sz w:val="20"/>
          <w:szCs w:val="20"/>
        </w:rPr>
        <w:t>Steward</w:t>
      </w:r>
      <w:r w:rsidR="007145AD">
        <w:rPr>
          <w:rFonts w:ascii="Arial" w:hAnsi="Arial" w:cs="Arial"/>
          <w:sz w:val="20"/>
          <w:szCs w:val="20"/>
        </w:rPr>
        <w:t xml:space="preserve"> Northeast</w:t>
      </w:r>
      <w:r w:rsidR="005A4A28">
        <w:rPr>
          <w:rFonts w:ascii="Arial" w:hAnsi="Arial" w:cs="Arial"/>
          <w:sz w:val="20"/>
          <w:szCs w:val="20"/>
        </w:rPr>
        <w:t xml:space="preserve"> and GSMC overall Patient Panel</w:t>
      </w:r>
      <w:r w:rsidR="007145AD">
        <w:rPr>
          <w:rFonts w:ascii="Arial" w:hAnsi="Arial" w:cs="Arial"/>
          <w:sz w:val="20"/>
          <w:szCs w:val="20"/>
        </w:rPr>
        <w:t>s</w:t>
      </w:r>
      <w:r w:rsidR="005A4A28">
        <w:rPr>
          <w:rFonts w:ascii="Arial" w:hAnsi="Arial" w:cs="Arial"/>
          <w:sz w:val="20"/>
          <w:szCs w:val="20"/>
        </w:rPr>
        <w:t xml:space="preserve">, </w:t>
      </w:r>
      <w:r w:rsidRPr="00060FE9">
        <w:rPr>
          <w:rFonts w:ascii="Arial" w:hAnsi="Arial" w:cs="Arial"/>
          <w:sz w:val="20"/>
          <w:szCs w:val="20"/>
        </w:rPr>
        <w:t xml:space="preserve">the majority of </w:t>
      </w:r>
      <w:r w:rsidR="003C011E">
        <w:rPr>
          <w:rFonts w:ascii="Arial" w:hAnsi="Arial" w:cs="Arial"/>
          <w:sz w:val="20"/>
          <w:szCs w:val="20"/>
        </w:rPr>
        <w:t>GSMC</w:t>
      </w:r>
      <w:r w:rsidR="002B64E7">
        <w:rPr>
          <w:rFonts w:ascii="Arial" w:hAnsi="Arial" w:cs="Arial"/>
          <w:sz w:val="20"/>
          <w:szCs w:val="20"/>
        </w:rPr>
        <w:t xml:space="preserve"> psychiatric</w:t>
      </w:r>
      <w:r w:rsidRPr="00060FE9">
        <w:rPr>
          <w:rFonts w:ascii="Arial" w:hAnsi="Arial" w:cs="Arial"/>
          <w:sz w:val="20"/>
          <w:szCs w:val="20"/>
        </w:rPr>
        <w:t xml:space="preserve"> patients are </w:t>
      </w:r>
      <w:r w:rsidR="005A4A28">
        <w:rPr>
          <w:rFonts w:ascii="Arial" w:hAnsi="Arial" w:cs="Arial"/>
          <w:sz w:val="20"/>
          <w:szCs w:val="20"/>
        </w:rPr>
        <w:t>male</w:t>
      </w:r>
      <w:r w:rsidRPr="00060FE9">
        <w:rPr>
          <w:rFonts w:ascii="Arial" w:hAnsi="Arial" w:cs="Arial"/>
          <w:sz w:val="20"/>
          <w:szCs w:val="20"/>
        </w:rPr>
        <w:t xml:space="preserve">, with </w:t>
      </w:r>
      <w:r w:rsidR="005A4A28">
        <w:rPr>
          <w:rFonts w:ascii="Arial" w:hAnsi="Arial" w:cs="Arial"/>
          <w:sz w:val="20"/>
          <w:szCs w:val="20"/>
        </w:rPr>
        <w:t>60</w:t>
      </w:r>
      <w:r w:rsidRPr="00060FE9">
        <w:rPr>
          <w:rFonts w:ascii="Arial" w:hAnsi="Arial" w:cs="Arial"/>
          <w:sz w:val="20"/>
          <w:szCs w:val="20"/>
        </w:rPr>
        <w:t xml:space="preserve">% of the patients identifying as </w:t>
      </w:r>
      <w:r w:rsidR="005A4A28">
        <w:rPr>
          <w:rFonts w:ascii="Arial" w:hAnsi="Arial" w:cs="Arial"/>
          <w:sz w:val="20"/>
          <w:szCs w:val="20"/>
        </w:rPr>
        <w:t>male</w:t>
      </w:r>
      <w:r w:rsidRPr="00060FE9">
        <w:rPr>
          <w:rFonts w:ascii="Arial" w:hAnsi="Arial" w:cs="Arial"/>
          <w:sz w:val="20"/>
          <w:szCs w:val="20"/>
        </w:rPr>
        <w:t xml:space="preserve"> and</w:t>
      </w:r>
      <w:r w:rsidR="005A4A28">
        <w:rPr>
          <w:rFonts w:ascii="Arial" w:hAnsi="Arial" w:cs="Arial"/>
          <w:sz w:val="20"/>
          <w:szCs w:val="20"/>
        </w:rPr>
        <w:t xml:space="preserve"> 39</w:t>
      </w:r>
      <w:r w:rsidRPr="00060FE9">
        <w:rPr>
          <w:rFonts w:ascii="Arial" w:hAnsi="Arial" w:cs="Arial"/>
          <w:sz w:val="20"/>
          <w:szCs w:val="20"/>
        </w:rPr>
        <w:t xml:space="preserve">% as </w:t>
      </w:r>
      <w:r w:rsidR="005A4A28">
        <w:rPr>
          <w:rFonts w:ascii="Arial" w:hAnsi="Arial" w:cs="Arial"/>
          <w:sz w:val="20"/>
          <w:szCs w:val="20"/>
        </w:rPr>
        <w:t>fe</w:t>
      </w:r>
      <w:r w:rsidRPr="00060FE9">
        <w:rPr>
          <w:rFonts w:ascii="Arial" w:hAnsi="Arial" w:cs="Arial"/>
          <w:sz w:val="20"/>
          <w:szCs w:val="20"/>
        </w:rPr>
        <w:t>m</w:t>
      </w:r>
      <w:r w:rsidR="00DE7CAF">
        <w:rPr>
          <w:rFonts w:ascii="Arial" w:hAnsi="Arial" w:cs="Arial"/>
          <w:sz w:val="20"/>
          <w:szCs w:val="20"/>
        </w:rPr>
        <w:t>ale</w:t>
      </w:r>
      <w:r w:rsidR="005A4A28">
        <w:rPr>
          <w:rFonts w:ascii="Arial" w:hAnsi="Arial" w:cs="Arial"/>
          <w:sz w:val="20"/>
          <w:szCs w:val="20"/>
        </w:rPr>
        <w:t xml:space="preserve"> (compared to the converse for Steward</w:t>
      </w:r>
      <w:r w:rsidR="007145AD">
        <w:rPr>
          <w:rFonts w:ascii="Arial" w:hAnsi="Arial" w:cs="Arial"/>
          <w:sz w:val="20"/>
          <w:szCs w:val="20"/>
        </w:rPr>
        <w:t xml:space="preserve"> Northeast</w:t>
      </w:r>
      <w:r w:rsidR="005A4A28">
        <w:rPr>
          <w:rFonts w:ascii="Arial" w:hAnsi="Arial" w:cs="Arial"/>
          <w:sz w:val="20"/>
          <w:szCs w:val="20"/>
        </w:rPr>
        <w:t xml:space="preserve"> and GSMC overall)</w:t>
      </w:r>
      <w:r w:rsidRPr="00060FE9">
        <w:rPr>
          <w:rFonts w:ascii="Arial" w:hAnsi="Arial" w:cs="Arial"/>
          <w:sz w:val="20"/>
          <w:szCs w:val="20"/>
        </w:rPr>
        <w:t xml:space="preserve">. </w:t>
      </w:r>
      <w:r w:rsidRPr="00777A9A">
        <w:rPr>
          <w:rFonts w:ascii="Arial" w:hAnsi="Arial" w:cs="Arial"/>
          <w:sz w:val="20"/>
          <w:szCs w:val="20"/>
        </w:rPr>
        <w:t xml:space="preserve">GSMC’s </w:t>
      </w:r>
      <w:r w:rsidR="002B64E7">
        <w:rPr>
          <w:rFonts w:ascii="Arial" w:hAnsi="Arial" w:cs="Arial"/>
          <w:sz w:val="20"/>
          <w:szCs w:val="20"/>
        </w:rPr>
        <w:t xml:space="preserve">psychiatric </w:t>
      </w:r>
      <w:r w:rsidRPr="00777A9A">
        <w:rPr>
          <w:rFonts w:ascii="Arial" w:hAnsi="Arial" w:cs="Arial"/>
          <w:sz w:val="20"/>
          <w:szCs w:val="20"/>
        </w:rPr>
        <w:t xml:space="preserve">Patient Panel </w:t>
      </w:r>
      <w:r w:rsidR="00DE7CAF" w:rsidRPr="00777A9A">
        <w:rPr>
          <w:rFonts w:ascii="Arial" w:hAnsi="Arial" w:cs="Arial"/>
          <w:sz w:val="20"/>
          <w:szCs w:val="20"/>
        </w:rPr>
        <w:t xml:space="preserve">is </w:t>
      </w:r>
      <w:proofErr w:type="gramStart"/>
      <w:r w:rsidR="00DE7CAF" w:rsidRPr="00777A9A">
        <w:rPr>
          <w:rFonts w:ascii="Arial" w:hAnsi="Arial" w:cs="Arial"/>
          <w:sz w:val="20"/>
          <w:szCs w:val="20"/>
        </w:rPr>
        <w:t>similar to</w:t>
      </w:r>
      <w:proofErr w:type="gramEnd"/>
      <w:r w:rsidR="00DE7CAF" w:rsidRPr="00777A9A">
        <w:rPr>
          <w:rFonts w:ascii="Arial" w:hAnsi="Arial" w:cs="Arial"/>
          <w:sz w:val="20"/>
          <w:szCs w:val="20"/>
        </w:rPr>
        <w:t xml:space="preserve"> GSMC’s overall</w:t>
      </w:r>
      <w:r w:rsidRPr="00777A9A">
        <w:rPr>
          <w:rFonts w:ascii="Arial" w:hAnsi="Arial" w:cs="Arial"/>
          <w:sz w:val="20"/>
          <w:szCs w:val="20"/>
        </w:rPr>
        <w:t xml:space="preserve"> </w:t>
      </w:r>
      <w:r w:rsidR="00DE7CAF" w:rsidRPr="00777A9A">
        <w:rPr>
          <w:rFonts w:ascii="Arial" w:hAnsi="Arial" w:cs="Arial"/>
          <w:sz w:val="20"/>
          <w:szCs w:val="20"/>
        </w:rPr>
        <w:t xml:space="preserve">Patient Panel </w:t>
      </w:r>
      <w:r w:rsidRPr="00777A9A">
        <w:rPr>
          <w:rFonts w:ascii="Arial" w:hAnsi="Arial" w:cs="Arial"/>
          <w:sz w:val="20"/>
          <w:szCs w:val="20"/>
        </w:rPr>
        <w:t xml:space="preserve">with respect to race and ethnicity. </w:t>
      </w:r>
      <w:r w:rsidR="00DE7CAF" w:rsidRPr="00777A9A">
        <w:rPr>
          <w:rFonts w:ascii="Arial" w:hAnsi="Arial" w:cs="Arial"/>
          <w:sz w:val="20"/>
          <w:szCs w:val="20"/>
        </w:rPr>
        <w:t>The</w:t>
      </w:r>
      <w:r w:rsidRPr="00777A9A">
        <w:rPr>
          <w:rFonts w:ascii="Arial" w:hAnsi="Arial" w:cs="Arial"/>
          <w:sz w:val="20"/>
          <w:szCs w:val="20"/>
        </w:rPr>
        <w:t xml:space="preserve"> predominant self-reported race </w:t>
      </w:r>
      <w:r w:rsidR="007145AD">
        <w:rPr>
          <w:rFonts w:ascii="Arial" w:hAnsi="Arial" w:cs="Arial"/>
          <w:sz w:val="20"/>
          <w:szCs w:val="20"/>
        </w:rPr>
        <w:t xml:space="preserve">of </w:t>
      </w:r>
      <w:r w:rsidRPr="00777A9A">
        <w:rPr>
          <w:rFonts w:ascii="Arial" w:hAnsi="Arial" w:cs="Arial"/>
          <w:sz w:val="20"/>
          <w:szCs w:val="20"/>
        </w:rPr>
        <w:t xml:space="preserve">GSMC </w:t>
      </w:r>
      <w:r w:rsidR="00903803">
        <w:rPr>
          <w:rFonts w:ascii="Arial" w:hAnsi="Arial" w:cs="Arial"/>
          <w:sz w:val="20"/>
          <w:szCs w:val="20"/>
        </w:rPr>
        <w:t>psychiatric</w:t>
      </w:r>
      <w:r w:rsidR="00903803" w:rsidRPr="00777A9A">
        <w:rPr>
          <w:rFonts w:ascii="Arial" w:hAnsi="Arial" w:cs="Arial"/>
          <w:sz w:val="20"/>
          <w:szCs w:val="20"/>
        </w:rPr>
        <w:t xml:space="preserve"> </w:t>
      </w:r>
      <w:r w:rsidR="007145AD">
        <w:rPr>
          <w:rFonts w:ascii="Arial" w:hAnsi="Arial" w:cs="Arial"/>
          <w:sz w:val="20"/>
          <w:szCs w:val="20"/>
        </w:rPr>
        <w:t>in</w:t>
      </w:r>
      <w:r w:rsidRPr="00777A9A">
        <w:rPr>
          <w:rFonts w:ascii="Arial" w:hAnsi="Arial" w:cs="Arial"/>
          <w:sz w:val="20"/>
          <w:szCs w:val="20"/>
        </w:rPr>
        <w:t xml:space="preserve">patients was White, </w:t>
      </w:r>
      <w:r w:rsidR="00DE7CAF" w:rsidRPr="00777A9A">
        <w:rPr>
          <w:rFonts w:ascii="Arial" w:hAnsi="Arial" w:cs="Arial"/>
          <w:sz w:val="20"/>
          <w:szCs w:val="20"/>
        </w:rPr>
        <w:t>followed by African American and Hispanic, respectively</w:t>
      </w:r>
      <w:r w:rsidR="00DA401C">
        <w:rPr>
          <w:rFonts w:ascii="Arial" w:hAnsi="Arial" w:cs="Arial"/>
          <w:sz w:val="20"/>
          <w:szCs w:val="20"/>
        </w:rPr>
        <w:t>,</w:t>
      </w:r>
      <w:r w:rsidR="00DE7CAF" w:rsidRPr="00777A9A">
        <w:rPr>
          <w:rFonts w:ascii="Arial" w:hAnsi="Arial" w:cs="Arial"/>
          <w:sz w:val="20"/>
          <w:szCs w:val="20"/>
        </w:rPr>
        <w:t xml:space="preserve"> and had similar patterns as GSMC overall for the remaining race</w:t>
      </w:r>
      <w:r w:rsidR="001F2201">
        <w:rPr>
          <w:rFonts w:ascii="Arial" w:hAnsi="Arial" w:cs="Arial"/>
          <w:sz w:val="20"/>
          <w:szCs w:val="20"/>
        </w:rPr>
        <w:t>s</w:t>
      </w:r>
      <w:r w:rsidR="00DE7CAF" w:rsidRPr="00777A9A">
        <w:rPr>
          <w:rFonts w:ascii="Arial" w:hAnsi="Arial" w:cs="Arial"/>
          <w:sz w:val="20"/>
          <w:szCs w:val="20"/>
        </w:rPr>
        <w:t xml:space="preserve"> and ethnicities</w:t>
      </w:r>
      <w:r w:rsidR="007145AD">
        <w:rPr>
          <w:rFonts w:ascii="Arial" w:hAnsi="Arial" w:cs="Arial"/>
          <w:sz w:val="20"/>
          <w:szCs w:val="20"/>
        </w:rPr>
        <w:t>;</w:t>
      </w:r>
      <w:r w:rsidR="00DE7CAF" w:rsidRPr="00777A9A">
        <w:rPr>
          <w:rFonts w:ascii="Arial" w:hAnsi="Arial" w:cs="Arial"/>
          <w:sz w:val="20"/>
          <w:szCs w:val="20"/>
        </w:rPr>
        <w:t xml:space="preserve"> </w:t>
      </w:r>
      <w:r w:rsidR="007145AD">
        <w:rPr>
          <w:rFonts w:ascii="Arial" w:hAnsi="Arial" w:cs="Arial"/>
          <w:sz w:val="20"/>
          <w:szCs w:val="20"/>
        </w:rPr>
        <w:t>h</w:t>
      </w:r>
      <w:r w:rsidR="00DE7CAF" w:rsidRPr="00777A9A">
        <w:rPr>
          <w:rFonts w:ascii="Arial" w:hAnsi="Arial" w:cs="Arial"/>
          <w:sz w:val="20"/>
          <w:szCs w:val="20"/>
        </w:rPr>
        <w:t xml:space="preserve">owever, there were no patients who self-reported as Native </w:t>
      </w:r>
      <w:r w:rsidR="00DE7CAF" w:rsidRPr="00777A9A">
        <w:rPr>
          <w:rFonts w:ascii="Arial" w:hAnsi="Arial" w:cs="Arial"/>
          <w:sz w:val="20"/>
          <w:szCs w:val="20"/>
        </w:rPr>
        <w:lastRenderedPageBreak/>
        <w:t>Hawaiian or Other Pacific Islander.</w:t>
      </w:r>
      <w:r w:rsidR="00777A9A">
        <w:rPr>
          <w:rFonts w:ascii="Arial" w:hAnsi="Arial" w:cs="Arial"/>
          <w:sz w:val="20"/>
          <w:szCs w:val="20"/>
        </w:rPr>
        <w:t xml:space="preserve"> Between FY19 (Q4) and FY21</w:t>
      </w:r>
      <w:r w:rsidR="00777A9A" w:rsidRPr="00777A9A">
        <w:rPr>
          <w:rStyle w:val="FootnoteReference"/>
          <w:rFonts w:ascii="Arial" w:hAnsi="Arial" w:cs="Arial"/>
          <w:sz w:val="20"/>
          <w:szCs w:val="20"/>
        </w:rPr>
        <w:footnoteReference w:id="22"/>
      </w:r>
      <w:r w:rsidR="00777A9A">
        <w:rPr>
          <w:rFonts w:ascii="Arial" w:hAnsi="Arial" w:cs="Arial"/>
          <w:sz w:val="20"/>
          <w:szCs w:val="20"/>
        </w:rPr>
        <w:t xml:space="preserve"> there was on average 1,482 </w:t>
      </w:r>
      <w:r w:rsidR="007145AD">
        <w:rPr>
          <w:rFonts w:ascii="Arial" w:hAnsi="Arial" w:cs="Arial"/>
          <w:sz w:val="20"/>
          <w:szCs w:val="20"/>
        </w:rPr>
        <w:t xml:space="preserve">unique </w:t>
      </w:r>
      <w:r w:rsidR="00777A9A">
        <w:rPr>
          <w:rFonts w:ascii="Arial" w:hAnsi="Arial" w:cs="Arial"/>
          <w:sz w:val="20"/>
          <w:szCs w:val="20"/>
        </w:rPr>
        <w:t xml:space="preserve">GSMC </w:t>
      </w:r>
      <w:r w:rsidR="00903803">
        <w:rPr>
          <w:rFonts w:ascii="Arial" w:hAnsi="Arial" w:cs="Arial"/>
          <w:sz w:val="20"/>
          <w:szCs w:val="20"/>
        </w:rPr>
        <w:t>psychiatric</w:t>
      </w:r>
      <w:r w:rsidR="007145AD">
        <w:rPr>
          <w:rFonts w:ascii="Arial" w:hAnsi="Arial" w:cs="Arial"/>
          <w:sz w:val="20"/>
          <w:szCs w:val="20"/>
        </w:rPr>
        <w:t xml:space="preserve"> inpatients</w:t>
      </w:r>
      <w:r w:rsidR="00777A9A">
        <w:rPr>
          <w:rFonts w:ascii="Arial" w:hAnsi="Arial" w:cs="Arial"/>
          <w:sz w:val="20"/>
          <w:szCs w:val="20"/>
        </w:rPr>
        <w:t>.</w:t>
      </w:r>
      <w:r w:rsidR="00777A9A" w:rsidRPr="00777A9A">
        <w:rPr>
          <w:rStyle w:val="FootnoteReference"/>
          <w:rFonts w:ascii="Arial" w:eastAsia="Verdana" w:hAnsi="Arial" w:cs="Arial"/>
          <w:sz w:val="20"/>
          <w:szCs w:val="20"/>
        </w:rPr>
        <w:footnoteReference w:id="23"/>
      </w:r>
      <w:r w:rsidRPr="00777A9A">
        <w:rPr>
          <w:rFonts w:ascii="Arial" w:hAnsi="Arial" w:cs="Arial"/>
          <w:sz w:val="20"/>
          <w:szCs w:val="20"/>
        </w:rPr>
        <w:t xml:space="preserve"> </w:t>
      </w:r>
    </w:p>
    <w:p w14:paraId="0A9A9FCC" w14:textId="77777777" w:rsidR="00213732" w:rsidRPr="00702EAF" w:rsidRDefault="00213732" w:rsidP="006C7671">
      <w:pPr>
        <w:spacing w:after="0" w:line="240" w:lineRule="auto"/>
        <w:jc w:val="both"/>
        <w:rPr>
          <w:rFonts w:ascii="Arial" w:eastAsia="Calibri" w:hAnsi="Arial" w:cs="Arial"/>
          <w:b/>
          <w:kern w:val="2"/>
          <w:highlight w:val="yellow"/>
        </w:rPr>
      </w:pPr>
    </w:p>
    <w:p w14:paraId="38519970" w14:textId="48932353" w:rsidR="006C7671" w:rsidRPr="009E7F98" w:rsidRDefault="006C7671" w:rsidP="006C7671">
      <w:pPr>
        <w:spacing w:after="0" w:line="240" w:lineRule="auto"/>
        <w:jc w:val="both"/>
        <w:rPr>
          <w:rFonts w:ascii="Arial" w:eastAsia="Arial" w:hAnsi="Arial" w:cs="Arial"/>
          <w:kern w:val="2"/>
          <w:u w:val="single"/>
        </w:rPr>
      </w:pPr>
      <w:r w:rsidRPr="009E7F98">
        <w:rPr>
          <w:rFonts w:ascii="Arial" w:eastAsia="Calibri" w:hAnsi="Arial" w:cs="Arial"/>
          <w:b/>
          <w:kern w:val="2"/>
        </w:rPr>
        <w:t>F1.</w:t>
      </w:r>
      <w:proofErr w:type="gramStart"/>
      <w:r w:rsidRPr="009E7F98">
        <w:rPr>
          <w:rFonts w:ascii="Arial" w:eastAsia="Calibri" w:hAnsi="Arial" w:cs="Arial"/>
          <w:b/>
          <w:kern w:val="2"/>
        </w:rPr>
        <w:t>a.ii</w:t>
      </w:r>
      <w:proofErr w:type="gramEnd"/>
      <w:r w:rsidRPr="009E7F98">
        <w:rPr>
          <w:rFonts w:ascii="Arial" w:eastAsia="Calibri" w:hAnsi="Arial" w:cs="Arial"/>
          <w:b/>
          <w:kern w:val="2"/>
        </w:rPr>
        <w:tab/>
      </w:r>
      <w:r w:rsidRPr="009E7F98">
        <w:rPr>
          <w:rFonts w:ascii="Arial" w:eastAsia="Calibri" w:hAnsi="Arial" w:cs="Arial"/>
          <w:kern w:val="2"/>
        </w:rPr>
        <w:tab/>
      </w:r>
      <w:r w:rsidRPr="009E7F98">
        <w:rPr>
          <w:rFonts w:ascii="Arial" w:eastAsia="Calibri" w:hAnsi="Arial" w:cs="Arial"/>
          <w:b/>
          <w:kern w:val="2"/>
          <w:u w:val="single"/>
        </w:rPr>
        <w:t>Need by Patient Panel:</w:t>
      </w:r>
    </w:p>
    <w:p w14:paraId="548A0D4A" w14:textId="21090AE3" w:rsidR="00E915CA" w:rsidRDefault="006C7671" w:rsidP="00097257">
      <w:pPr>
        <w:spacing w:after="0" w:line="240" w:lineRule="auto"/>
        <w:ind w:left="1440"/>
        <w:jc w:val="both"/>
        <w:rPr>
          <w:rFonts w:ascii="Arial" w:eastAsia="Times New Roman" w:hAnsi="Arial" w:cs="Arial"/>
          <w:b/>
          <w:kern w:val="2"/>
        </w:rPr>
      </w:pPr>
      <w:r w:rsidRPr="009E7F98">
        <w:rPr>
          <w:rFonts w:ascii="Arial" w:eastAsia="Times New Roman" w:hAnsi="Arial" w:cs="Arial"/>
          <w:b/>
          <w:kern w:val="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72F36301" w14:textId="77777777" w:rsidR="00097257" w:rsidRPr="00097257" w:rsidRDefault="00097257" w:rsidP="000E1E8A">
      <w:pPr>
        <w:spacing w:after="0" w:line="240" w:lineRule="auto"/>
        <w:ind w:left="1440"/>
        <w:jc w:val="both"/>
        <w:rPr>
          <w:rFonts w:ascii="Arial" w:eastAsia="Times New Roman" w:hAnsi="Arial" w:cs="Arial"/>
          <w:b/>
          <w:kern w:val="2"/>
        </w:rPr>
      </w:pPr>
    </w:p>
    <w:p w14:paraId="162A055F" w14:textId="77777777" w:rsidR="008625A0" w:rsidRDefault="008625A0" w:rsidP="008625A0">
      <w:pPr>
        <w:spacing w:after="0" w:line="240" w:lineRule="auto"/>
        <w:jc w:val="both"/>
        <w:rPr>
          <w:rFonts w:ascii="Arial" w:eastAsia="Times New Roman" w:hAnsi="Arial" w:cs="Arial"/>
          <w:b/>
          <w:kern w:val="2"/>
        </w:rPr>
      </w:pPr>
      <w:bookmarkStart w:id="4" w:name="_Hlk94011725"/>
    </w:p>
    <w:p w14:paraId="651CD91D" w14:textId="356482AD" w:rsidR="008625A0" w:rsidRDefault="008625A0" w:rsidP="008625A0">
      <w:pPr>
        <w:spacing w:after="0" w:line="240" w:lineRule="auto"/>
        <w:jc w:val="both"/>
        <w:rPr>
          <w:rFonts w:ascii="Arial" w:eastAsia="Times New Roman" w:hAnsi="Arial" w:cs="Arial"/>
          <w:bCs/>
          <w:kern w:val="2"/>
          <w:sz w:val="20"/>
          <w:szCs w:val="20"/>
        </w:rPr>
      </w:pPr>
      <w:r w:rsidRPr="009C4CCF">
        <w:rPr>
          <w:rFonts w:ascii="Arial" w:eastAsia="Times New Roman" w:hAnsi="Arial" w:cs="Arial"/>
          <w:bCs/>
          <w:kern w:val="2"/>
          <w:sz w:val="20"/>
          <w:szCs w:val="20"/>
        </w:rPr>
        <w:t xml:space="preserve">The Applicant proposes to construct a new facility on the campus of GSMC that will provide both inpatient and outpatient behavioral health services. The facility will </w:t>
      </w:r>
      <w:r w:rsidR="001F2201">
        <w:rPr>
          <w:rFonts w:ascii="Arial" w:eastAsia="Times New Roman" w:hAnsi="Arial" w:cs="Arial"/>
          <w:bCs/>
          <w:kern w:val="2"/>
          <w:sz w:val="20"/>
          <w:szCs w:val="20"/>
        </w:rPr>
        <w:t xml:space="preserve">also </w:t>
      </w:r>
      <w:r w:rsidRPr="009C4CCF">
        <w:rPr>
          <w:rFonts w:ascii="Arial" w:eastAsia="Times New Roman" w:hAnsi="Arial" w:cs="Arial"/>
          <w:bCs/>
          <w:kern w:val="2"/>
          <w:sz w:val="20"/>
          <w:szCs w:val="20"/>
        </w:rPr>
        <w:t>provide outpatient psychiatric services including electroconvulsive therapy, among other services. Importantly, the Proposed Project will provide needed capacity for inpatient psychiatric services in the Commonwealth as discussed below.</w:t>
      </w:r>
    </w:p>
    <w:p w14:paraId="724B093B" w14:textId="43AE2241" w:rsidR="005A0C6C" w:rsidRDefault="005A0C6C" w:rsidP="008625A0">
      <w:pPr>
        <w:spacing w:after="0" w:line="240" w:lineRule="auto"/>
        <w:jc w:val="both"/>
        <w:rPr>
          <w:rFonts w:ascii="Arial" w:eastAsia="Times New Roman" w:hAnsi="Arial" w:cs="Arial"/>
          <w:bCs/>
          <w:kern w:val="2"/>
          <w:sz w:val="20"/>
          <w:szCs w:val="20"/>
        </w:rPr>
      </w:pPr>
    </w:p>
    <w:p w14:paraId="5FF12565" w14:textId="77777777" w:rsidR="005A0C6C" w:rsidRPr="003D5956" w:rsidRDefault="005A0C6C" w:rsidP="005A0C6C">
      <w:pPr>
        <w:spacing w:after="200" w:line="240" w:lineRule="auto"/>
        <w:jc w:val="both"/>
        <w:rPr>
          <w:rFonts w:ascii="Arial" w:hAnsi="Arial" w:cs="Arial"/>
          <w:sz w:val="20"/>
          <w:szCs w:val="20"/>
        </w:rPr>
      </w:pPr>
      <w:r>
        <w:rPr>
          <w:rFonts w:ascii="Arial" w:hAnsi="Arial" w:cs="Arial"/>
          <w:sz w:val="20"/>
          <w:szCs w:val="20"/>
        </w:rPr>
        <w:t xml:space="preserve">The Proposed Project includes the replacement of </w:t>
      </w:r>
      <w:r w:rsidRPr="003D5956">
        <w:rPr>
          <w:rFonts w:ascii="Arial" w:hAnsi="Arial" w:cs="Arial"/>
          <w:sz w:val="20"/>
          <w:szCs w:val="20"/>
        </w:rPr>
        <w:t>61 inpatient psychiatric beds that were licensed at Norwood Hospital prior to its closure. On June 28, 2020, an unprecedented, catastrophic flooding and storm caused damage to Norwood Hospital, forcing it to evacuate patients and close services at the main campus. Prior to the closure, Norwood Hospital provided emergency care, and inpatient and outpatient services at its main campus, including 61 psychiatric inpatient care beds (39 adult and 22 geriatric).</w:t>
      </w:r>
      <w:r>
        <w:rPr>
          <w:rFonts w:ascii="Arial" w:hAnsi="Arial" w:cs="Arial"/>
          <w:sz w:val="20"/>
          <w:szCs w:val="20"/>
        </w:rPr>
        <w:t xml:space="preserve"> Subsequently, the Department approved an emergency </w:t>
      </w:r>
      <w:proofErr w:type="spellStart"/>
      <w:r>
        <w:rPr>
          <w:rFonts w:ascii="Arial" w:hAnsi="Arial" w:cs="Arial"/>
          <w:sz w:val="20"/>
          <w:szCs w:val="20"/>
        </w:rPr>
        <w:t>DoN</w:t>
      </w:r>
      <w:proofErr w:type="spellEnd"/>
      <w:r>
        <w:rPr>
          <w:rFonts w:ascii="Arial" w:hAnsi="Arial" w:cs="Arial"/>
          <w:sz w:val="20"/>
          <w:szCs w:val="20"/>
        </w:rPr>
        <w:t xml:space="preserve"> to </w:t>
      </w:r>
      <w:r w:rsidRPr="003D5956">
        <w:rPr>
          <w:rFonts w:ascii="Arial" w:hAnsi="Arial" w:cs="Arial"/>
          <w:sz w:val="20"/>
          <w:szCs w:val="20"/>
        </w:rPr>
        <w:t xml:space="preserve">rebuild Norwood Hospital in the same location. In the </w:t>
      </w:r>
      <w:proofErr w:type="spellStart"/>
      <w:r w:rsidRPr="003D5956">
        <w:rPr>
          <w:rFonts w:ascii="Arial" w:hAnsi="Arial" w:cs="Arial"/>
          <w:sz w:val="20"/>
          <w:szCs w:val="20"/>
        </w:rPr>
        <w:t>DoN</w:t>
      </w:r>
      <w:proofErr w:type="spellEnd"/>
      <w:r w:rsidRPr="003D5956">
        <w:rPr>
          <w:rFonts w:ascii="Arial" w:hAnsi="Arial" w:cs="Arial"/>
          <w:sz w:val="20"/>
          <w:szCs w:val="20"/>
        </w:rPr>
        <w:t xml:space="preserve"> Program’s memorandum, it noted a critical need to replace the inpatient psychiatric beds and imposed a condition to replace the 61 inpatient psychiatric beds at another Steward hospital facility or campus in Massachusetts to ensure the Patient Panel need for inpatient psychiatr</w:t>
      </w:r>
      <w:r>
        <w:rPr>
          <w:rFonts w:ascii="Arial" w:hAnsi="Arial" w:cs="Arial"/>
          <w:sz w:val="20"/>
          <w:szCs w:val="20"/>
        </w:rPr>
        <w:t>ic beds</w:t>
      </w:r>
      <w:r w:rsidRPr="003D5956">
        <w:rPr>
          <w:rFonts w:ascii="Arial" w:hAnsi="Arial" w:cs="Arial"/>
          <w:sz w:val="20"/>
          <w:szCs w:val="20"/>
        </w:rPr>
        <w:t xml:space="preserve"> continues to be met. Steward</w:t>
      </w:r>
      <w:r>
        <w:rPr>
          <w:rFonts w:ascii="Arial" w:hAnsi="Arial" w:cs="Arial"/>
          <w:sz w:val="20"/>
          <w:szCs w:val="20"/>
        </w:rPr>
        <w:t xml:space="preserve"> evaluated its options for re-opening the 61 psychiatric beds and determined that</w:t>
      </w:r>
      <w:r w:rsidRPr="003D5956">
        <w:rPr>
          <w:rFonts w:ascii="Arial" w:hAnsi="Arial" w:cs="Arial"/>
          <w:sz w:val="20"/>
          <w:szCs w:val="20"/>
        </w:rPr>
        <w:t xml:space="preserve"> GSMC has available, sufficient land on its campus to </w:t>
      </w:r>
      <w:r>
        <w:rPr>
          <w:rFonts w:ascii="Arial" w:hAnsi="Arial" w:cs="Arial"/>
          <w:sz w:val="20"/>
          <w:szCs w:val="20"/>
        </w:rPr>
        <w:t>accommodate</w:t>
      </w:r>
      <w:r w:rsidRPr="003D5956">
        <w:rPr>
          <w:rFonts w:ascii="Arial" w:hAnsi="Arial" w:cs="Arial"/>
          <w:sz w:val="20"/>
          <w:szCs w:val="20"/>
        </w:rPr>
        <w:t xml:space="preserve"> an inpatient psychiatric facility. </w:t>
      </w:r>
    </w:p>
    <w:p w14:paraId="606F6D74" w14:textId="6BF5E7F5" w:rsidR="008625A0" w:rsidRPr="005A0C6C" w:rsidRDefault="00BB2A0F" w:rsidP="005A0C6C">
      <w:pPr>
        <w:spacing w:after="0" w:line="240" w:lineRule="auto"/>
        <w:jc w:val="both"/>
        <w:rPr>
          <w:rFonts w:ascii="Arial" w:hAnsi="Arial" w:cs="Arial"/>
          <w:sz w:val="20"/>
          <w:szCs w:val="20"/>
        </w:rPr>
      </w:pPr>
      <w:r>
        <w:rPr>
          <w:rFonts w:ascii="Arial" w:hAnsi="Arial" w:cs="Arial"/>
          <w:sz w:val="20"/>
          <w:szCs w:val="20"/>
        </w:rPr>
        <w:t xml:space="preserve">In addition to fulfilling the need to replace Norwood Hospital’s closed beds, the Proposed Project will meet the increasing needs of the Applicant’s patient panel for access to inpatient psychiatric beds. </w:t>
      </w:r>
      <w:r w:rsidR="008625A0" w:rsidRPr="003D5956">
        <w:rPr>
          <w:rFonts w:ascii="Arial" w:hAnsi="Arial" w:cs="Arial"/>
          <w:sz w:val="20"/>
          <w:szCs w:val="20"/>
        </w:rPr>
        <w:t xml:space="preserve">As discussed further in Factor F1.b.i, research demonstrates that since 2020, </w:t>
      </w:r>
      <w:r w:rsidR="008625A0">
        <w:rPr>
          <w:rFonts w:ascii="Arial" w:hAnsi="Arial" w:cs="Arial"/>
          <w:sz w:val="20"/>
          <w:szCs w:val="20"/>
        </w:rPr>
        <w:t xml:space="preserve">the incidence of </w:t>
      </w:r>
      <w:r w:rsidR="008625A0" w:rsidRPr="003D5956">
        <w:rPr>
          <w:rFonts w:ascii="Arial" w:hAnsi="Arial" w:cs="Arial"/>
          <w:sz w:val="20"/>
          <w:szCs w:val="20"/>
        </w:rPr>
        <w:t>mental health conditions ha</w:t>
      </w:r>
      <w:r w:rsidR="008625A0">
        <w:rPr>
          <w:rFonts w:ascii="Arial" w:hAnsi="Arial" w:cs="Arial"/>
          <w:sz w:val="20"/>
          <w:szCs w:val="20"/>
        </w:rPr>
        <w:t>s</w:t>
      </w:r>
      <w:r w:rsidR="008625A0" w:rsidRPr="003D5956">
        <w:rPr>
          <w:rFonts w:ascii="Arial" w:hAnsi="Arial" w:cs="Arial"/>
          <w:sz w:val="20"/>
          <w:szCs w:val="20"/>
        </w:rPr>
        <w:t xml:space="preserve"> increased</w:t>
      </w:r>
      <w:r w:rsidR="008625A0">
        <w:rPr>
          <w:rFonts w:ascii="Arial" w:hAnsi="Arial" w:cs="Arial"/>
          <w:sz w:val="20"/>
          <w:szCs w:val="20"/>
        </w:rPr>
        <w:t xml:space="preserve"> substantially</w:t>
      </w:r>
      <w:r w:rsidR="008625A0" w:rsidRPr="003D5956">
        <w:rPr>
          <w:rFonts w:ascii="Arial" w:hAnsi="Arial" w:cs="Arial"/>
          <w:sz w:val="20"/>
          <w:szCs w:val="20"/>
        </w:rPr>
        <w:t xml:space="preserve"> nationwide and in Massachusetts, and the number of individuals seeking treatment for mental health </w:t>
      </w:r>
      <w:r w:rsidR="008625A0">
        <w:rPr>
          <w:rFonts w:ascii="Arial" w:hAnsi="Arial" w:cs="Arial"/>
          <w:sz w:val="20"/>
          <w:szCs w:val="20"/>
        </w:rPr>
        <w:t>conditions ha</w:t>
      </w:r>
      <w:r w:rsidR="008A224A">
        <w:rPr>
          <w:rFonts w:ascii="Arial" w:hAnsi="Arial" w:cs="Arial"/>
          <w:sz w:val="20"/>
          <w:szCs w:val="20"/>
        </w:rPr>
        <w:t>s</w:t>
      </w:r>
      <w:r w:rsidR="008625A0" w:rsidRPr="003D5956">
        <w:rPr>
          <w:rFonts w:ascii="Arial" w:hAnsi="Arial" w:cs="Arial"/>
          <w:sz w:val="20"/>
          <w:szCs w:val="20"/>
        </w:rPr>
        <w:t xml:space="preserve"> also increased. </w:t>
      </w:r>
      <w:r w:rsidR="008625A0" w:rsidRPr="004B75F5">
        <w:rPr>
          <w:rFonts w:ascii="Arial" w:hAnsi="Arial" w:cs="Arial"/>
          <w:sz w:val="20"/>
          <w:szCs w:val="20"/>
        </w:rPr>
        <w:t>Many individuals with mental illness do not receive treatment and report unmet mental health needs. Unmet need refers to a person who has a perceived or recommended need for mental health treatment or counseling however they do not receive care.</w:t>
      </w:r>
      <w:r w:rsidR="008625A0" w:rsidRPr="004B75F5">
        <w:rPr>
          <w:rStyle w:val="FootnoteReference"/>
          <w:rFonts w:ascii="Arial" w:hAnsi="Arial" w:cs="Arial"/>
          <w:sz w:val="20"/>
          <w:szCs w:val="20"/>
        </w:rPr>
        <w:footnoteReference w:id="24"/>
      </w:r>
      <w:r w:rsidR="008625A0" w:rsidRPr="004B75F5">
        <w:rPr>
          <w:rFonts w:ascii="Arial" w:hAnsi="Arial" w:cs="Arial"/>
          <w:sz w:val="20"/>
          <w:szCs w:val="20"/>
        </w:rPr>
        <w:t xml:space="preserve"> </w:t>
      </w:r>
      <w:r w:rsidR="008625A0">
        <w:rPr>
          <w:rFonts w:ascii="Arial" w:hAnsi="Arial" w:cs="Arial"/>
          <w:sz w:val="20"/>
          <w:szCs w:val="20"/>
        </w:rPr>
        <w:t>F</w:t>
      </w:r>
      <w:r w:rsidR="008625A0" w:rsidRPr="004B75F5">
        <w:rPr>
          <w:rFonts w:ascii="Arial" w:hAnsi="Arial" w:cs="Arial"/>
          <w:sz w:val="20"/>
          <w:szCs w:val="20"/>
        </w:rPr>
        <w:t xml:space="preserve">rom 2018-2019, 6.3% (343,000) of </w:t>
      </w:r>
      <w:r w:rsidR="008625A0">
        <w:rPr>
          <w:rFonts w:ascii="Arial" w:hAnsi="Arial" w:cs="Arial"/>
          <w:sz w:val="20"/>
          <w:szCs w:val="20"/>
        </w:rPr>
        <w:t xml:space="preserve">Massachusetts </w:t>
      </w:r>
      <w:r w:rsidR="008625A0" w:rsidRPr="004B75F5">
        <w:rPr>
          <w:rFonts w:ascii="Arial" w:hAnsi="Arial" w:cs="Arial"/>
          <w:sz w:val="20"/>
          <w:szCs w:val="20"/>
        </w:rPr>
        <w:t xml:space="preserve">adults reported an unmet need for mental health treatment. </w:t>
      </w:r>
      <w:r w:rsidR="008625A0">
        <w:rPr>
          <w:rFonts w:ascii="Arial" w:hAnsi="Arial" w:cs="Arial"/>
          <w:sz w:val="20"/>
          <w:szCs w:val="20"/>
        </w:rPr>
        <w:t>During this same period</w:t>
      </w:r>
      <w:r w:rsidR="008625A0" w:rsidRPr="004B75F5">
        <w:rPr>
          <w:rFonts w:ascii="Arial" w:hAnsi="Arial" w:cs="Arial"/>
          <w:sz w:val="20"/>
          <w:szCs w:val="20"/>
        </w:rPr>
        <w:t xml:space="preserve">, adults in Massachusetts did not receive </w:t>
      </w:r>
      <w:r w:rsidR="008625A0">
        <w:rPr>
          <w:rFonts w:ascii="Arial" w:hAnsi="Arial" w:cs="Arial"/>
          <w:sz w:val="20"/>
          <w:szCs w:val="20"/>
        </w:rPr>
        <w:t>treatment</w:t>
      </w:r>
      <w:r w:rsidR="008625A0" w:rsidRPr="004B75F5">
        <w:rPr>
          <w:rFonts w:ascii="Arial" w:hAnsi="Arial" w:cs="Arial"/>
          <w:sz w:val="20"/>
          <w:szCs w:val="20"/>
        </w:rPr>
        <w:t xml:space="preserve">: 55.1% (352,000) of adults with mild mental illness; 35.6% (89,000) of adults with moderate mental illness, and 29.6% (85,000) with serious mental illness. Many individuals who do seek treatment face barriers to </w:t>
      </w:r>
      <w:r w:rsidR="008625A0">
        <w:rPr>
          <w:rFonts w:ascii="Arial" w:hAnsi="Arial" w:cs="Arial"/>
          <w:sz w:val="20"/>
          <w:szCs w:val="20"/>
        </w:rPr>
        <w:t>accessing care such</w:t>
      </w:r>
      <w:r w:rsidR="008625A0" w:rsidRPr="004B75F5">
        <w:rPr>
          <w:rFonts w:ascii="Arial" w:hAnsi="Arial" w:cs="Arial"/>
          <w:sz w:val="20"/>
          <w:szCs w:val="20"/>
        </w:rPr>
        <w:t xml:space="preserve"> </w:t>
      </w:r>
      <w:r w:rsidR="008625A0">
        <w:rPr>
          <w:rFonts w:ascii="Arial" w:hAnsi="Arial" w:cs="Arial"/>
          <w:sz w:val="20"/>
          <w:szCs w:val="20"/>
        </w:rPr>
        <w:t xml:space="preserve">lack of inpatient psychiatric bed capacity and </w:t>
      </w:r>
      <w:r w:rsidR="008625A0" w:rsidRPr="004B75F5">
        <w:rPr>
          <w:rFonts w:ascii="Arial" w:hAnsi="Arial" w:cs="Arial"/>
          <w:sz w:val="20"/>
          <w:szCs w:val="20"/>
        </w:rPr>
        <w:t>long wait times for appointments. Unmet need</w:t>
      </w:r>
      <w:r w:rsidR="001F2201">
        <w:rPr>
          <w:rFonts w:ascii="Arial" w:hAnsi="Arial" w:cs="Arial"/>
          <w:sz w:val="20"/>
          <w:szCs w:val="20"/>
        </w:rPr>
        <w:t>s</w:t>
      </w:r>
      <w:r w:rsidR="008625A0" w:rsidRPr="004B75F5">
        <w:rPr>
          <w:rFonts w:ascii="Arial" w:hAnsi="Arial" w:cs="Arial"/>
          <w:sz w:val="20"/>
          <w:szCs w:val="20"/>
        </w:rPr>
        <w:t xml:space="preserve"> for mental health</w:t>
      </w:r>
      <w:r w:rsidR="008625A0">
        <w:rPr>
          <w:rFonts w:ascii="Arial" w:hAnsi="Arial" w:cs="Arial"/>
          <w:sz w:val="20"/>
          <w:szCs w:val="20"/>
        </w:rPr>
        <w:t xml:space="preserve"> services</w:t>
      </w:r>
      <w:r w:rsidR="008625A0" w:rsidRPr="004B75F5">
        <w:rPr>
          <w:rFonts w:ascii="Arial" w:hAnsi="Arial" w:cs="Arial"/>
          <w:sz w:val="20"/>
          <w:szCs w:val="20"/>
        </w:rPr>
        <w:t xml:space="preserve"> </w:t>
      </w:r>
      <w:proofErr w:type="gramStart"/>
      <w:r w:rsidR="008625A0" w:rsidRPr="004B75F5">
        <w:rPr>
          <w:rFonts w:ascii="Arial" w:hAnsi="Arial" w:cs="Arial"/>
          <w:sz w:val="20"/>
          <w:szCs w:val="20"/>
        </w:rPr>
        <w:t>is</w:t>
      </w:r>
      <w:proofErr w:type="gramEnd"/>
      <w:r w:rsidR="008625A0" w:rsidRPr="004B75F5">
        <w:rPr>
          <w:rFonts w:ascii="Arial" w:hAnsi="Arial" w:cs="Arial"/>
          <w:sz w:val="20"/>
          <w:szCs w:val="20"/>
        </w:rPr>
        <w:t xml:space="preserve"> expected to</w:t>
      </w:r>
      <w:r w:rsidR="005A0C6C">
        <w:rPr>
          <w:rFonts w:ascii="Arial" w:hAnsi="Arial" w:cs="Arial"/>
          <w:sz w:val="20"/>
          <w:szCs w:val="20"/>
        </w:rPr>
        <w:t xml:space="preserve"> continue due to the impact of the CO</w:t>
      </w:r>
      <w:r w:rsidR="008625A0" w:rsidRPr="004B75F5">
        <w:rPr>
          <w:rFonts w:ascii="Arial" w:hAnsi="Arial" w:cs="Arial"/>
          <w:sz w:val="20"/>
          <w:szCs w:val="20"/>
        </w:rPr>
        <w:t>VID-19 pandemic</w:t>
      </w:r>
      <w:r w:rsidR="005A0C6C">
        <w:rPr>
          <w:rFonts w:ascii="Arial" w:hAnsi="Arial" w:cs="Arial"/>
          <w:sz w:val="20"/>
          <w:szCs w:val="20"/>
        </w:rPr>
        <w:t xml:space="preserve"> on access to care</w:t>
      </w:r>
      <w:r w:rsidR="008625A0" w:rsidRPr="004B75F5">
        <w:rPr>
          <w:rFonts w:ascii="Arial" w:hAnsi="Arial" w:cs="Arial"/>
          <w:sz w:val="20"/>
          <w:szCs w:val="20"/>
        </w:rPr>
        <w:t xml:space="preserve"> and the resulting exacerbation of mental health conditions.</w:t>
      </w:r>
      <w:r w:rsidR="008625A0" w:rsidRPr="004B75F5">
        <w:rPr>
          <w:rStyle w:val="FootnoteReference"/>
          <w:rFonts w:ascii="Arial" w:hAnsi="Arial" w:cs="Arial"/>
          <w:sz w:val="20"/>
          <w:szCs w:val="20"/>
        </w:rPr>
        <w:footnoteReference w:id="25"/>
      </w:r>
      <w:r w:rsidR="008625A0" w:rsidRPr="004B75F5">
        <w:rPr>
          <w:rFonts w:ascii="Arial" w:hAnsi="Arial" w:cs="Arial"/>
          <w:sz w:val="20"/>
          <w:szCs w:val="20"/>
        </w:rPr>
        <w:t xml:space="preserve"> </w:t>
      </w:r>
    </w:p>
    <w:p w14:paraId="2DC6E0F8" w14:textId="77777777" w:rsidR="008625A0" w:rsidRPr="004B75F5" w:rsidRDefault="008625A0" w:rsidP="008625A0">
      <w:pPr>
        <w:spacing w:after="0" w:line="240" w:lineRule="auto"/>
        <w:jc w:val="both"/>
        <w:rPr>
          <w:rFonts w:ascii="Arial" w:hAnsi="Arial" w:cs="Arial"/>
          <w:sz w:val="20"/>
          <w:szCs w:val="20"/>
        </w:rPr>
      </w:pPr>
    </w:p>
    <w:p w14:paraId="4C764374" w14:textId="77DF95BA" w:rsidR="008625A0" w:rsidRPr="006D7100" w:rsidRDefault="008625A0" w:rsidP="008625A0">
      <w:pPr>
        <w:spacing w:after="0" w:line="240" w:lineRule="auto"/>
        <w:jc w:val="both"/>
        <w:rPr>
          <w:rFonts w:ascii="Arial" w:hAnsi="Arial" w:cs="Arial"/>
          <w:sz w:val="20"/>
          <w:szCs w:val="20"/>
          <w:highlight w:val="yellow"/>
        </w:rPr>
      </w:pPr>
      <w:r>
        <w:rPr>
          <w:rFonts w:ascii="Arial" w:hAnsi="Arial" w:cs="Arial"/>
          <w:sz w:val="20"/>
          <w:szCs w:val="20"/>
        </w:rPr>
        <w:lastRenderedPageBreak/>
        <w:t>This lack of access to care is evident based on ED boarding statistics. Boarding of patients awaiting admission to a psychiatric bed is often due inadequate capacity. A patient requiring admission to a psychiatric bed is defined as a boarder when the patient spends 12 or more hours in the ED from</w:t>
      </w:r>
      <w:r w:rsidR="001F2201">
        <w:rPr>
          <w:rFonts w:ascii="Arial" w:hAnsi="Arial" w:cs="Arial"/>
          <w:sz w:val="20"/>
          <w:szCs w:val="20"/>
        </w:rPr>
        <w:t xml:space="preserve"> their</w:t>
      </w:r>
      <w:r>
        <w:rPr>
          <w:rFonts w:ascii="Arial" w:hAnsi="Arial" w:cs="Arial"/>
          <w:sz w:val="20"/>
          <w:szCs w:val="20"/>
        </w:rPr>
        <w:t xml:space="preserve"> time of arrival to their time of departure.</w:t>
      </w:r>
      <w:r w:rsidRPr="003D5956">
        <w:rPr>
          <w:rFonts w:ascii="Arial" w:hAnsi="Arial" w:cs="Arial"/>
          <w:sz w:val="20"/>
          <w:szCs w:val="20"/>
        </w:rPr>
        <w:t xml:space="preserve"> </w:t>
      </w:r>
      <w:r>
        <w:rPr>
          <w:rFonts w:ascii="Arial" w:hAnsi="Arial" w:cs="Arial"/>
          <w:sz w:val="20"/>
          <w:szCs w:val="20"/>
        </w:rPr>
        <w:t>P</w:t>
      </w:r>
      <w:r w:rsidRPr="004B75F5">
        <w:rPr>
          <w:rFonts w:ascii="Arial" w:hAnsi="Arial" w:cs="Arial"/>
          <w:sz w:val="20"/>
          <w:szCs w:val="20"/>
        </w:rPr>
        <w:t xml:space="preserve">atients who present </w:t>
      </w:r>
      <w:r>
        <w:rPr>
          <w:rFonts w:ascii="Arial" w:hAnsi="Arial" w:cs="Arial"/>
          <w:sz w:val="20"/>
          <w:szCs w:val="20"/>
        </w:rPr>
        <w:t xml:space="preserve">to </w:t>
      </w:r>
      <w:r w:rsidRPr="004B75F5">
        <w:rPr>
          <w:rFonts w:ascii="Arial" w:hAnsi="Arial" w:cs="Arial"/>
          <w:sz w:val="20"/>
          <w:szCs w:val="20"/>
        </w:rPr>
        <w:t xml:space="preserve">the ED </w:t>
      </w:r>
      <w:r>
        <w:rPr>
          <w:rFonts w:ascii="Arial" w:hAnsi="Arial" w:cs="Arial"/>
          <w:sz w:val="20"/>
          <w:szCs w:val="20"/>
        </w:rPr>
        <w:t>in need of inpatient psychiatric care</w:t>
      </w:r>
      <w:r w:rsidRPr="004B75F5">
        <w:rPr>
          <w:rFonts w:ascii="Arial" w:hAnsi="Arial" w:cs="Arial"/>
          <w:sz w:val="20"/>
          <w:szCs w:val="20"/>
        </w:rPr>
        <w:t xml:space="preserve"> wait nearly four times longer for an inpatient bed and more than five times longer for transfer to another facility relative to medical and surgical patients</w:t>
      </w:r>
      <w:r>
        <w:rPr>
          <w:rFonts w:ascii="Arial" w:hAnsi="Arial" w:cs="Arial"/>
          <w:sz w:val="20"/>
          <w:szCs w:val="20"/>
        </w:rPr>
        <w:t xml:space="preserve">. </w:t>
      </w:r>
      <w:r w:rsidR="005A0C6C">
        <w:rPr>
          <w:rFonts w:ascii="Arial" w:hAnsi="Arial" w:cs="Arial"/>
          <w:sz w:val="20"/>
          <w:szCs w:val="20"/>
        </w:rPr>
        <w:t>Moreover, p</w:t>
      </w:r>
      <w:r>
        <w:rPr>
          <w:rFonts w:ascii="Arial" w:hAnsi="Arial" w:cs="Arial"/>
          <w:sz w:val="20"/>
          <w:szCs w:val="20"/>
        </w:rPr>
        <w:t xml:space="preserve">sychiatric </w:t>
      </w:r>
      <w:r w:rsidR="005A0C6C">
        <w:rPr>
          <w:rFonts w:ascii="Arial" w:hAnsi="Arial" w:cs="Arial"/>
          <w:sz w:val="20"/>
          <w:szCs w:val="20"/>
        </w:rPr>
        <w:t xml:space="preserve">patient </w:t>
      </w:r>
      <w:r>
        <w:rPr>
          <w:rFonts w:ascii="Arial" w:hAnsi="Arial" w:cs="Arial"/>
          <w:sz w:val="20"/>
          <w:szCs w:val="20"/>
        </w:rPr>
        <w:t>boarders</w:t>
      </w:r>
      <w:r w:rsidRPr="004B75F5">
        <w:rPr>
          <w:rFonts w:ascii="Arial" w:hAnsi="Arial" w:cs="Arial"/>
          <w:sz w:val="20"/>
          <w:szCs w:val="20"/>
        </w:rPr>
        <w:t xml:space="preserve"> </w:t>
      </w:r>
      <w:r>
        <w:rPr>
          <w:rFonts w:ascii="Arial" w:hAnsi="Arial" w:cs="Arial"/>
          <w:sz w:val="20"/>
          <w:szCs w:val="20"/>
        </w:rPr>
        <w:t>represent</w:t>
      </w:r>
      <w:r w:rsidRPr="004B75F5">
        <w:rPr>
          <w:rFonts w:ascii="Arial" w:hAnsi="Arial" w:cs="Arial"/>
          <w:sz w:val="20"/>
          <w:szCs w:val="20"/>
        </w:rPr>
        <w:t xml:space="preserve"> </w:t>
      </w:r>
      <w:proofErr w:type="gramStart"/>
      <w:r w:rsidRPr="004B75F5">
        <w:rPr>
          <w:rFonts w:ascii="Arial" w:hAnsi="Arial" w:cs="Arial"/>
          <w:sz w:val="20"/>
          <w:szCs w:val="20"/>
        </w:rPr>
        <w:t>the majority of</w:t>
      </w:r>
      <w:proofErr w:type="gramEnd"/>
      <w:r w:rsidRPr="004B75F5">
        <w:rPr>
          <w:rFonts w:ascii="Arial" w:hAnsi="Arial" w:cs="Arial"/>
          <w:sz w:val="20"/>
          <w:szCs w:val="20"/>
        </w:rPr>
        <w:t xml:space="preserve"> all </w:t>
      </w:r>
      <w:r>
        <w:rPr>
          <w:rFonts w:ascii="Arial" w:hAnsi="Arial" w:cs="Arial"/>
          <w:sz w:val="20"/>
          <w:szCs w:val="20"/>
        </w:rPr>
        <w:t>boarders.</w:t>
      </w:r>
      <w:r w:rsidRPr="004B75F5">
        <w:rPr>
          <w:rFonts w:ascii="Arial" w:hAnsi="Arial" w:cs="Arial"/>
          <w:sz w:val="20"/>
          <w:szCs w:val="20"/>
        </w:rPr>
        <w:t xml:space="preserve"> </w:t>
      </w:r>
      <w:r>
        <w:rPr>
          <w:rFonts w:ascii="Arial" w:hAnsi="Arial" w:cs="Arial"/>
          <w:sz w:val="20"/>
          <w:szCs w:val="20"/>
        </w:rPr>
        <w:t xml:space="preserve">High boarding rates and hours have historically been an issue in Massachusetts; however, the continuing effects of the </w:t>
      </w:r>
      <w:r w:rsidRPr="003D5956">
        <w:rPr>
          <w:rFonts w:ascii="Arial" w:hAnsi="Arial" w:cs="Arial"/>
          <w:sz w:val="20"/>
          <w:szCs w:val="20"/>
        </w:rPr>
        <w:t>COVID-19 pandemic have</w:t>
      </w:r>
      <w:r>
        <w:rPr>
          <w:rFonts w:ascii="Arial" w:hAnsi="Arial" w:cs="Arial"/>
          <w:sz w:val="20"/>
          <w:szCs w:val="20"/>
        </w:rPr>
        <w:t xml:space="preserve"> led to increased numbers of patients boarding for longer periods of time. Long boarding times result in delays in access to appropriate treatment and can worsen a patient’s condition. In addition, EDs cannot accommodate a</w:t>
      </w:r>
      <w:r w:rsidR="005A0C6C">
        <w:rPr>
          <w:rFonts w:ascii="Arial" w:hAnsi="Arial" w:cs="Arial"/>
          <w:sz w:val="20"/>
          <w:szCs w:val="20"/>
        </w:rPr>
        <w:t>dditional</w:t>
      </w:r>
      <w:r>
        <w:rPr>
          <w:rFonts w:ascii="Arial" w:hAnsi="Arial" w:cs="Arial"/>
          <w:sz w:val="20"/>
          <w:szCs w:val="20"/>
        </w:rPr>
        <w:t xml:space="preserve"> patients seeking emergent care due to the high number of boarders</w:t>
      </w:r>
      <w:r w:rsidR="005A0C6C">
        <w:rPr>
          <w:rFonts w:ascii="Arial" w:hAnsi="Arial" w:cs="Arial"/>
          <w:sz w:val="20"/>
          <w:szCs w:val="20"/>
        </w:rPr>
        <w:t xml:space="preserve"> occupying ED bays</w:t>
      </w:r>
      <w:r>
        <w:rPr>
          <w:rFonts w:ascii="Arial" w:hAnsi="Arial" w:cs="Arial"/>
          <w:sz w:val="20"/>
          <w:szCs w:val="20"/>
        </w:rPr>
        <w:t xml:space="preserve">, leading to delays in care for all patients seeking ED services and straining staff.  </w:t>
      </w:r>
    </w:p>
    <w:p w14:paraId="70069CF1" w14:textId="77777777" w:rsidR="008625A0" w:rsidRPr="003D5956" w:rsidRDefault="008625A0" w:rsidP="008625A0">
      <w:pPr>
        <w:spacing w:after="0" w:line="240" w:lineRule="auto"/>
        <w:jc w:val="both"/>
        <w:rPr>
          <w:rFonts w:ascii="Arial" w:hAnsi="Arial" w:cs="Arial"/>
          <w:sz w:val="20"/>
          <w:szCs w:val="20"/>
        </w:rPr>
      </w:pPr>
    </w:p>
    <w:p w14:paraId="005B467C" w14:textId="374BC069" w:rsidR="008625A0" w:rsidRPr="003D5956" w:rsidRDefault="008625A0" w:rsidP="008625A0">
      <w:pPr>
        <w:pStyle w:val="BodyText"/>
        <w:widowControl/>
        <w:spacing w:before="0"/>
        <w:jc w:val="both"/>
        <w:rPr>
          <w:rFonts w:ascii="Arial" w:hAnsi="Arial" w:cs="Arial"/>
          <w:sz w:val="20"/>
          <w:szCs w:val="20"/>
        </w:rPr>
      </w:pPr>
      <w:r>
        <w:rPr>
          <w:rFonts w:ascii="Arial" w:hAnsi="Arial" w:cs="Arial"/>
          <w:color w:val="000000"/>
          <w:sz w:val="20"/>
          <w:szCs w:val="20"/>
        </w:rPr>
        <w:t>A</w:t>
      </w:r>
      <w:r w:rsidRPr="003D5956">
        <w:rPr>
          <w:rFonts w:ascii="Arial" w:hAnsi="Arial" w:cs="Arial"/>
          <w:color w:val="000000"/>
          <w:sz w:val="20"/>
          <w:szCs w:val="20"/>
        </w:rPr>
        <w:t xml:space="preserve">ccording to a joint survey completed by </w:t>
      </w:r>
      <w:r>
        <w:rPr>
          <w:rFonts w:ascii="Arial" w:hAnsi="Arial" w:cs="Arial"/>
          <w:sz w:val="20"/>
          <w:szCs w:val="20"/>
        </w:rPr>
        <w:t xml:space="preserve">the </w:t>
      </w:r>
      <w:r w:rsidRPr="003D5956">
        <w:rPr>
          <w:rFonts w:ascii="Arial" w:hAnsi="Arial" w:cs="Arial"/>
          <w:sz w:val="20"/>
          <w:szCs w:val="20"/>
        </w:rPr>
        <w:t xml:space="preserve">Massachusetts Health and Hospital Association (“MHA”) </w:t>
      </w:r>
      <w:r w:rsidRPr="003D5956">
        <w:rPr>
          <w:rFonts w:ascii="Arial" w:hAnsi="Arial" w:cs="Arial"/>
          <w:color w:val="000000"/>
          <w:sz w:val="20"/>
          <w:szCs w:val="20"/>
        </w:rPr>
        <w:t>and Massachusetts Association of Behavioral Health Systems (“MABHS”), there are routinely between 500-700 patients boarding in acute care hospitals each day as they await inpatient behavioral health placement.</w:t>
      </w:r>
      <w:r>
        <w:rPr>
          <w:rFonts w:ascii="Arial" w:hAnsi="Arial" w:cs="Arial"/>
          <w:color w:val="000000"/>
          <w:sz w:val="20"/>
          <w:szCs w:val="20"/>
        </w:rPr>
        <w:t xml:space="preserve"> </w:t>
      </w:r>
      <w:r>
        <w:rPr>
          <w:rFonts w:ascii="Arial" w:hAnsi="Arial" w:cs="Arial"/>
          <w:bCs/>
          <w:kern w:val="2"/>
          <w:sz w:val="20"/>
          <w:szCs w:val="20"/>
        </w:rPr>
        <w:t xml:space="preserve">The number of </w:t>
      </w:r>
      <w:r w:rsidRPr="003D5956">
        <w:rPr>
          <w:rFonts w:ascii="Arial" w:hAnsi="Arial" w:cs="Arial"/>
          <w:bCs/>
          <w:kern w:val="2"/>
          <w:sz w:val="20"/>
          <w:szCs w:val="20"/>
        </w:rPr>
        <w:t>patients aged 65 and over</w:t>
      </w:r>
      <w:r>
        <w:rPr>
          <w:rFonts w:ascii="Arial" w:hAnsi="Arial" w:cs="Arial"/>
          <w:bCs/>
          <w:kern w:val="2"/>
          <w:sz w:val="20"/>
          <w:szCs w:val="20"/>
        </w:rPr>
        <w:t xml:space="preserve"> boarding in hospital EDs</w:t>
      </w:r>
      <w:r w:rsidRPr="003D5956">
        <w:rPr>
          <w:rFonts w:ascii="Arial" w:hAnsi="Arial" w:cs="Arial"/>
          <w:bCs/>
          <w:kern w:val="2"/>
          <w:sz w:val="20"/>
          <w:szCs w:val="20"/>
        </w:rPr>
        <w:t xml:space="preserve"> ranged from approximately 5-100 patients per day.</w:t>
      </w:r>
      <w:r w:rsidRPr="003D5956">
        <w:rPr>
          <w:rStyle w:val="FootnoteReference"/>
          <w:rFonts w:ascii="Arial" w:hAnsi="Arial" w:cs="Arial"/>
          <w:bCs/>
          <w:kern w:val="2"/>
          <w:sz w:val="20"/>
          <w:szCs w:val="20"/>
        </w:rPr>
        <w:footnoteReference w:id="26"/>
      </w:r>
      <w:r>
        <w:rPr>
          <w:rFonts w:ascii="Arial" w:hAnsi="Arial" w:cs="Arial"/>
          <w:bCs/>
          <w:kern w:val="2"/>
          <w:sz w:val="20"/>
          <w:szCs w:val="20"/>
        </w:rPr>
        <w:t xml:space="preserve"> </w:t>
      </w:r>
      <w:r>
        <w:rPr>
          <w:rFonts w:ascii="Arial" w:hAnsi="Arial" w:cs="Arial"/>
          <w:color w:val="000000"/>
          <w:sz w:val="20"/>
          <w:szCs w:val="20"/>
        </w:rPr>
        <w:t>On average</w:t>
      </w:r>
      <w:r w:rsidR="000F6938">
        <w:rPr>
          <w:rFonts w:ascii="Arial" w:hAnsi="Arial" w:cs="Arial"/>
          <w:color w:val="000000"/>
          <w:sz w:val="20"/>
          <w:szCs w:val="20"/>
        </w:rPr>
        <w:t xml:space="preserve">, </w:t>
      </w:r>
      <w:r w:rsidRPr="003D5956">
        <w:rPr>
          <w:rFonts w:ascii="Arial" w:hAnsi="Arial" w:cs="Arial"/>
          <w:color w:val="000000"/>
          <w:sz w:val="20"/>
          <w:szCs w:val="20"/>
        </w:rPr>
        <w:t>Steward</w:t>
      </w:r>
      <w:r>
        <w:rPr>
          <w:rFonts w:ascii="Arial" w:hAnsi="Arial" w:cs="Arial"/>
          <w:color w:val="000000"/>
          <w:sz w:val="20"/>
          <w:szCs w:val="20"/>
        </w:rPr>
        <w:t xml:space="preserve"> hospitals have </w:t>
      </w:r>
      <w:r w:rsidRPr="003D5956">
        <w:rPr>
          <w:rFonts w:ascii="Arial" w:hAnsi="Arial" w:cs="Arial"/>
          <w:color w:val="000000"/>
          <w:sz w:val="20"/>
          <w:szCs w:val="20"/>
        </w:rPr>
        <w:t xml:space="preserve">70-90 patients boarding across 8 emergency departments. Steward also has an average of 1,800 crisis evaluations per month in its </w:t>
      </w:r>
      <w:proofErr w:type="spellStart"/>
      <w:r w:rsidRPr="003D5956">
        <w:rPr>
          <w:rFonts w:ascii="Arial" w:hAnsi="Arial" w:cs="Arial"/>
          <w:color w:val="000000"/>
          <w:sz w:val="20"/>
          <w:szCs w:val="20"/>
        </w:rPr>
        <w:t>EDs.</w:t>
      </w:r>
      <w:proofErr w:type="spellEnd"/>
      <w:r w:rsidRPr="003D5956">
        <w:rPr>
          <w:rFonts w:ascii="Arial" w:hAnsi="Arial" w:cs="Arial"/>
          <w:color w:val="000000"/>
          <w:sz w:val="20"/>
          <w:szCs w:val="20"/>
        </w:rPr>
        <w:t xml:space="preserve"> </w:t>
      </w:r>
      <w:r>
        <w:rPr>
          <w:rFonts w:ascii="Arial" w:hAnsi="Arial" w:cs="Arial"/>
          <w:color w:val="000000"/>
          <w:sz w:val="20"/>
          <w:szCs w:val="20"/>
        </w:rPr>
        <w:t>GSMC has an average of</w:t>
      </w:r>
      <w:r w:rsidR="005A0C6C">
        <w:rPr>
          <w:rFonts w:ascii="Arial" w:hAnsi="Arial" w:cs="Arial"/>
          <w:color w:val="000000"/>
          <w:sz w:val="20"/>
          <w:szCs w:val="20"/>
        </w:rPr>
        <w:t xml:space="preserve"> </w:t>
      </w:r>
      <w:r>
        <w:rPr>
          <w:rFonts w:ascii="Arial" w:hAnsi="Arial" w:cs="Arial"/>
          <w:color w:val="000000"/>
          <w:sz w:val="20"/>
          <w:szCs w:val="20"/>
        </w:rPr>
        <w:t xml:space="preserve">15 boarders awaiting admission to a psychiatric bed occupying its 43 ED bays. </w:t>
      </w:r>
      <w:r>
        <w:rPr>
          <w:rFonts w:ascii="Arial" w:hAnsi="Arial" w:cs="Arial"/>
          <w:sz w:val="20"/>
          <w:szCs w:val="20"/>
        </w:rPr>
        <w:t xml:space="preserve">From January 1, </w:t>
      </w:r>
      <w:proofErr w:type="gramStart"/>
      <w:r>
        <w:rPr>
          <w:rFonts w:ascii="Arial" w:hAnsi="Arial" w:cs="Arial"/>
          <w:sz w:val="20"/>
          <w:szCs w:val="20"/>
        </w:rPr>
        <w:t>2022</w:t>
      </w:r>
      <w:proofErr w:type="gramEnd"/>
      <w:r>
        <w:rPr>
          <w:rFonts w:ascii="Arial" w:hAnsi="Arial" w:cs="Arial"/>
          <w:sz w:val="20"/>
          <w:szCs w:val="20"/>
        </w:rPr>
        <w:t xml:space="preserve"> through </w:t>
      </w:r>
      <w:r w:rsidRPr="003D5956">
        <w:rPr>
          <w:rFonts w:ascii="Arial" w:hAnsi="Arial" w:cs="Arial"/>
          <w:sz w:val="20"/>
          <w:szCs w:val="20"/>
        </w:rPr>
        <w:t xml:space="preserve">November 1, 2022, </w:t>
      </w:r>
      <w:r>
        <w:rPr>
          <w:rFonts w:ascii="Arial" w:hAnsi="Arial" w:cs="Arial"/>
          <w:sz w:val="20"/>
          <w:szCs w:val="20"/>
        </w:rPr>
        <w:t xml:space="preserve">the </w:t>
      </w:r>
      <w:r w:rsidRPr="003D5956">
        <w:rPr>
          <w:rFonts w:ascii="Arial" w:hAnsi="Arial" w:cs="Arial"/>
          <w:sz w:val="20"/>
          <w:szCs w:val="20"/>
        </w:rPr>
        <w:t>GSMC ED evaluated 2,103 unique patients</w:t>
      </w:r>
      <w:r>
        <w:rPr>
          <w:rFonts w:ascii="Arial" w:hAnsi="Arial" w:cs="Arial"/>
          <w:sz w:val="20"/>
          <w:szCs w:val="20"/>
        </w:rPr>
        <w:t xml:space="preserve"> and</w:t>
      </w:r>
      <w:r w:rsidRPr="003D5956">
        <w:rPr>
          <w:rFonts w:ascii="Arial" w:hAnsi="Arial" w:cs="Arial"/>
          <w:sz w:val="20"/>
          <w:szCs w:val="20"/>
        </w:rPr>
        <w:t xml:space="preserve"> </w:t>
      </w:r>
      <w:r>
        <w:rPr>
          <w:rFonts w:ascii="Arial" w:hAnsi="Arial" w:cs="Arial"/>
          <w:sz w:val="20"/>
          <w:szCs w:val="20"/>
        </w:rPr>
        <w:t>t</w:t>
      </w:r>
      <w:r w:rsidRPr="003D5956">
        <w:rPr>
          <w:rFonts w:ascii="Arial" w:hAnsi="Arial" w:cs="Arial"/>
          <w:sz w:val="20"/>
          <w:szCs w:val="20"/>
        </w:rPr>
        <w:t xml:space="preserve">he average boarding time was 34 hours (1 day and 10 hours) with a total of 71,782 </w:t>
      </w:r>
      <w:r>
        <w:rPr>
          <w:rFonts w:ascii="Arial" w:hAnsi="Arial" w:cs="Arial"/>
          <w:sz w:val="20"/>
          <w:szCs w:val="20"/>
        </w:rPr>
        <w:t xml:space="preserve">boarder </w:t>
      </w:r>
      <w:r w:rsidRPr="003D5956">
        <w:rPr>
          <w:rFonts w:ascii="Arial" w:hAnsi="Arial" w:cs="Arial"/>
          <w:sz w:val="20"/>
          <w:szCs w:val="20"/>
        </w:rPr>
        <w:t xml:space="preserve">hours. Although </w:t>
      </w:r>
      <w:r>
        <w:rPr>
          <w:rFonts w:ascii="Arial" w:hAnsi="Arial" w:cs="Arial"/>
          <w:sz w:val="20"/>
          <w:szCs w:val="20"/>
        </w:rPr>
        <w:t>new psychiatric beds</w:t>
      </w:r>
      <w:r w:rsidRPr="003D5956">
        <w:rPr>
          <w:rFonts w:ascii="Arial" w:hAnsi="Arial" w:cs="Arial"/>
          <w:sz w:val="20"/>
          <w:szCs w:val="20"/>
        </w:rPr>
        <w:t xml:space="preserve"> have come online</w:t>
      </w:r>
      <w:r>
        <w:rPr>
          <w:rFonts w:ascii="Arial" w:hAnsi="Arial" w:cs="Arial"/>
          <w:sz w:val="20"/>
          <w:szCs w:val="20"/>
        </w:rPr>
        <w:t xml:space="preserve"> in recent years</w:t>
      </w:r>
      <w:r w:rsidRPr="003D5956">
        <w:rPr>
          <w:rFonts w:ascii="Arial" w:hAnsi="Arial" w:cs="Arial"/>
          <w:sz w:val="20"/>
          <w:szCs w:val="20"/>
        </w:rPr>
        <w:t xml:space="preserve">, the need for behavioral health services has dramatically increased further </w:t>
      </w:r>
      <w:r>
        <w:rPr>
          <w:rFonts w:ascii="Arial" w:hAnsi="Arial" w:cs="Arial"/>
          <w:sz w:val="20"/>
          <w:szCs w:val="20"/>
        </w:rPr>
        <w:t>worsening</w:t>
      </w:r>
      <w:r w:rsidRPr="003D5956">
        <w:rPr>
          <w:rFonts w:ascii="Arial" w:hAnsi="Arial" w:cs="Arial"/>
          <w:sz w:val="20"/>
          <w:szCs w:val="20"/>
        </w:rPr>
        <w:t xml:space="preserve"> ED boarding in the state. </w:t>
      </w:r>
    </w:p>
    <w:p w14:paraId="4182266C" w14:textId="77777777" w:rsidR="00BB2A0F" w:rsidRDefault="00BB2A0F" w:rsidP="00BB2A0F">
      <w:pPr>
        <w:spacing w:after="0" w:line="240" w:lineRule="auto"/>
        <w:jc w:val="both"/>
        <w:rPr>
          <w:rFonts w:ascii="Arial" w:hAnsi="Arial" w:cs="Arial"/>
          <w:sz w:val="20"/>
          <w:szCs w:val="20"/>
        </w:rPr>
      </w:pPr>
    </w:p>
    <w:p w14:paraId="019E2671" w14:textId="03D9197E" w:rsidR="008625A0" w:rsidRDefault="00BB2A0F" w:rsidP="008625A0">
      <w:pPr>
        <w:spacing w:after="0" w:line="240" w:lineRule="auto"/>
        <w:jc w:val="both"/>
        <w:rPr>
          <w:rFonts w:ascii="Arial" w:hAnsi="Arial" w:cs="Arial"/>
          <w:sz w:val="20"/>
          <w:szCs w:val="20"/>
        </w:rPr>
      </w:pPr>
      <w:r>
        <w:rPr>
          <w:rFonts w:ascii="Arial" w:hAnsi="Arial" w:cs="Arial"/>
          <w:sz w:val="20"/>
          <w:szCs w:val="20"/>
        </w:rPr>
        <w:t xml:space="preserve">Demand for inpatient psychiatric services will increase as the population increases. </w:t>
      </w:r>
      <w:r w:rsidRPr="003D5956">
        <w:rPr>
          <w:rFonts w:ascii="Arial" w:hAnsi="Arial" w:cs="Arial"/>
          <w:sz w:val="20"/>
          <w:szCs w:val="20"/>
        </w:rPr>
        <w:t>According to county-level population estimates released by the U.S. Census Bureau</w:t>
      </w:r>
      <w:r w:rsidR="00124B13">
        <w:rPr>
          <w:rFonts w:ascii="Arial" w:hAnsi="Arial" w:cs="Arial"/>
          <w:sz w:val="20"/>
          <w:szCs w:val="20"/>
        </w:rPr>
        <w:t>,</w:t>
      </w:r>
      <w:r>
        <w:rPr>
          <w:rFonts w:ascii="Arial" w:hAnsi="Arial" w:cs="Arial"/>
          <w:sz w:val="20"/>
          <w:szCs w:val="20"/>
        </w:rPr>
        <w:t xml:space="preserve"> </w:t>
      </w:r>
      <w:r w:rsidRPr="003D5956">
        <w:rPr>
          <w:rFonts w:ascii="Arial" w:hAnsi="Arial" w:cs="Arial"/>
          <w:sz w:val="20"/>
          <w:szCs w:val="20"/>
        </w:rPr>
        <w:t xml:space="preserve">Plymouth County, where GSMC </w:t>
      </w:r>
      <w:r>
        <w:rPr>
          <w:rFonts w:ascii="Arial" w:hAnsi="Arial" w:cs="Arial"/>
          <w:sz w:val="20"/>
          <w:szCs w:val="20"/>
        </w:rPr>
        <w:t>is located</w:t>
      </w:r>
      <w:r w:rsidRPr="003D5956">
        <w:rPr>
          <w:rFonts w:ascii="Arial" w:hAnsi="Arial" w:cs="Arial"/>
          <w:sz w:val="20"/>
          <w:szCs w:val="20"/>
        </w:rPr>
        <w:t xml:space="preserve">, was one of three counties </w:t>
      </w:r>
      <w:r>
        <w:rPr>
          <w:rFonts w:ascii="Arial" w:hAnsi="Arial" w:cs="Arial"/>
          <w:sz w:val="20"/>
          <w:szCs w:val="20"/>
        </w:rPr>
        <w:t xml:space="preserve">in Massachusetts </w:t>
      </w:r>
      <w:r w:rsidRPr="003D5956">
        <w:rPr>
          <w:rFonts w:ascii="Arial" w:hAnsi="Arial" w:cs="Arial"/>
          <w:sz w:val="20"/>
          <w:szCs w:val="20"/>
        </w:rPr>
        <w:t xml:space="preserve">to experience the greatest </w:t>
      </w:r>
      <w:r>
        <w:rPr>
          <w:rFonts w:ascii="Arial" w:hAnsi="Arial" w:cs="Arial"/>
          <w:sz w:val="20"/>
          <w:szCs w:val="20"/>
        </w:rPr>
        <w:t xml:space="preserve">population </w:t>
      </w:r>
      <w:r w:rsidRPr="003D5956">
        <w:rPr>
          <w:rFonts w:ascii="Arial" w:hAnsi="Arial" w:cs="Arial"/>
          <w:sz w:val="20"/>
          <w:szCs w:val="20"/>
        </w:rPr>
        <w:t xml:space="preserve">increase in Massachusetts (net increase of 2,024 </w:t>
      </w:r>
      <w:r>
        <w:rPr>
          <w:rFonts w:ascii="Arial" w:hAnsi="Arial" w:cs="Arial"/>
          <w:sz w:val="20"/>
          <w:szCs w:val="20"/>
        </w:rPr>
        <w:t xml:space="preserve"> residents </w:t>
      </w:r>
      <w:r w:rsidRPr="003D5956">
        <w:rPr>
          <w:rFonts w:ascii="Arial" w:hAnsi="Arial" w:cs="Arial"/>
          <w:sz w:val="20"/>
          <w:szCs w:val="20"/>
        </w:rPr>
        <w:t>from July 1</w:t>
      </w:r>
      <w:r>
        <w:rPr>
          <w:rFonts w:ascii="Arial" w:hAnsi="Arial" w:cs="Arial"/>
          <w:sz w:val="20"/>
          <w:szCs w:val="20"/>
        </w:rPr>
        <w:t>,</w:t>
      </w:r>
      <w:r w:rsidRPr="003D5956">
        <w:rPr>
          <w:rFonts w:ascii="Arial" w:hAnsi="Arial" w:cs="Arial"/>
          <w:sz w:val="20"/>
          <w:szCs w:val="20"/>
        </w:rPr>
        <w:t xml:space="preserve"> 2020 to July 1, 2021), with a 0.4% </w:t>
      </w:r>
      <w:r>
        <w:rPr>
          <w:rFonts w:ascii="Arial" w:hAnsi="Arial" w:cs="Arial"/>
          <w:sz w:val="20"/>
          <w:szCs w:val="20"/>
        </w:rPr>
        <w:t>increase</w:t>
      </w:r>
      <w:r w:rsidRPr="003D5956">
        <w:rPr>
          <w:rFonts w:ascii="Arial" w:hAnsi="Arial" w:cs="Arial"/>
          <w:sz w:val="20"/>
          <w:szCs w:val="20"/>
        </w:rPr>
        <w:t xml:space="preserve"> in population from 2020 to 2021.</w:t>
      </w:r>
      <w:r w:rsidRPr="003D5956">
        <w:rPr>
          <w:rStyle w:val="FootnoteReference"/>
          <w:rFonts w:ascii="Arial" w:hAnsi="Arial" w:cs="Arial"/>
          <w:sz w:val="20"/>
          <w:szCs w:val="20"/>
        </w:rPr>
        <w:footnoteReference w:id="27"/>
      </w:r>
      <w:r w:rsidRPr="003D5956">
        <w:rPr>
          <w:rFonts w:ascii="Arial" w:hAnsi="Arial" w:cs="Arial"/>
          <w:sz w:val="20"/>
          <w:szCs w:val="20"/>
        </w:rPr>
        <w:t xml:space="preserve"> </w:t>
      </w:r>
      <w:r>
        <w:rPr>
          <w:rFonts w:ascii="Arial" w:hAnsi="Arial" w:cs="Arial"/>
          <w:sz w:val="20"/>
          <w:szCs w:val="20"/>
        </w:rPr>
        <w:t>U</w:t>
      </w:r>
      <w:r w:rsidRPr="003D5956">
        <w:rPr>
          <w:rFonts w:ascii="Arial" w:hAnsi="Arial" w:cs="Arial"/>
          <w:sz w:val="20"/>
          <w:szCs w:val="20"/>
        </w:rPr>
        <w:t xml:space="preserve">Mass Donahue Institute (“UMDI”) </w:t>
      </w:r>
      <w:r>
        <w:rPr>
          <w:rFonts w:ascii="Arial" w:hAnsi="Arial" w:cs="Arial"/>
          <w:sz w:val="20"/>
          <w:szCs w:val="20"/>
        </w:rPr>
        <w:t>projects that Southe</w:t>
      </w:r>
      <w:r w:rsidRPr="003D5956">
        <w:rPr>
          <w:rFonts w:ascii="Arial" w:hAnsi="Arial" w:cs="Arial"/>
          <w:sz w:val="20"/>
          <w:szCs w:val="20"/>
        </w:rPr>
        <w:t>astern Massachusetts</w:t>
      </w:r>
      <w:r>
        <w:rPr>
          <w:rFonts w:ascii="Arial" w:hAnsi="Arial" w:cs="Arial"/>
          <w:sz w:val="20"/>
          <w:szCs w:val="20"/>
        </w:rPr>
        <w:t xml:space="preserve"> </w:t>
      </w:r>
      <w:r w:rsidRPr="003D5956">
        <w:rPr>
          <w:rFonts w:ascii="Arial" w:hAnsi="Arial" w:cs="Arial"/>
          <w:sz w:val="20"/>
          <w:szCs w:val="20"/>
        </w:rPr>
        <w:t xml:space="preserve">will experience </w:t>
      </w:r>
      <w:r>
        <w:rPr>
          <w:rFonts w:ascii="Arial" w:hAnsi="Arial" w:cs="Arial"/>
          <w:sz w:val="20"/>
          <w:szCs w:val="20"/>
        </w:rPr>
        <w:t>population increases</w:t>
      </w:r>
      <w:r w:rsidRPr="003D5956">
        <w:rPr>
          <w:rFonts w:ascii="Arial" w:hAnsi="Arial" w:cs="Arial"/>
          <w:sz w:val="20"/>
          <w:szCs w:val="20"/>
        </w:rPr>
        <w:t xml:space="preserve"> in coming years.</w:t>
      </w:r>
      <w:r w:rsidRPr="003D5956">
        <w:rPr>
          <w:rStyle w:val="FootnoteReference"/>
          <w:rFonts w:ascii="Arial" w:hAnsi="Arial" w:cs="Arial"/>
          <w:sz w:val="20"/>
          <w:szCs w:val="20"/>
        </w:rPr>
        <w:footnoteReference w:id="28"/>
      </w:r>
      <w:r w:rsidRPr="003D5956">
        <w:rPr>
          <w:rFonts w:ascii="Arial" w:hAnsi="Arial" w:cs="Arial"/>
          <w:sz w:val="20"/>
          <w:szCs w:val="20"/>
        </w:rPr>
        <w:t xml:space="preserve"> With high rates of reported  mental illness and</w:t>
      </w:r>
      <w:r>
        <w:rPr>
          <w:rFonts w:ascii="Arial" w:hAnsi="Arial" w:cs="Arial"/>
          <w:sz w:val="20"/>
          <w:szCs w:val="20"/>
        </w:rPr>
        <w:t xml:space="preserve"> the</w:t>
      </w:r>
      <w:r w:rsidRPr="003D5956">
        <w:rPr>
          <w:rFonts w:ascii="Arial" w:hAnsi="Arial" w:cs="Arial"/>
          <w:sz w:val="20"/>
          <w:szCs w:val="20"/>
        </w:rPr>
        <w:t xml:space="preserve"> increase in Massachusetts residents seeking mental health treatment, it is expected the need for mental health services will continue to grow as the population grows. </w:t>
      </w:r>
      <w:r w:rsidR="008625A0">
        <w:rPr>
          <w:rFonts w:ascii="Arial" w:hAnsi="Arial" w:cs="Arial"/>
          <w:sz w:val="20"/>
          <w:szCs w:val="20"/>
        </w:rPr>
        <w:t xml:space="preserve">Further, GSMC has historically experienced high demand for its 16 inpatient </w:t>
      </w:r>
      <w:proofErr w:type="spellStart"/>
      <w:r w:rsidR="008625A0">
        <w:rPr>
          <w:rFonts w:ascii="Arial" w:hAnsi="Arial" w:cs="Arial"/>
          <w:sz w:val="20"/>
          <w:szCs w:val="20"/>
        </w:rPr>
        <w:t>geri</w:t>
      </w:r>
      <w:proofErr w:type="spellEnd"/>
      <w:r w:rsidR="008625A0">
        <w:rPr>
          <w:rFonts w:ascii="Arial" w:hAnsi="Arial" w:cs="Arial"/>
          <w:sz w:val="20"/>
          <w:szCs w:val="20"/>
        </w:rPr>
        <w:t xml:space="preserve">-psychiatric beds. In FY20 </w:t>
      </w:r>
      <w:r>
        <w:rPr>
          <w:rFonts w:ascii="Arial" w:hAnsi="Arial" w:cs="Arial"/>
          <w:sz w:val="20"/>
          <w:szCs w:val="20"/>
        </w:rPr>
        <w:t>the</w:t>
      </w:r>
      <w:r w:rsidR="008625A0">
        <w:rPr>
          <w:rFonts w:ascii="Arial" w:hAnsi="Arial" w:cs="Arial"/>
          <w:sz w:val="20"/>
          <w:szCs w:val="20"/>
        </w:rPr>
        <w:t xml:space="preserve"> average length of stay was 25.45 days; in FY21 it was 25.3 days and FY22 it was 26.56.</w:t>
      </w:r>
      <w:r w:rsidR="008625A0">
        <w:rPr>
          <w:rStyle w:val="FootnoteReference"/>
          <w:rFonts w:ascii="Arial" w:hAnsi="Arial" w:cs="Arial"/>
          <w:sz w:val="20"/>
          <w:szCs w:val="20"/>
        </w:rPr>
        <w:footnoteReference w:id="29"/>
      </w:r>
      <w:r w:rsidR="008625A0">
        <w:rPr>
          <w:rFonts w:ascii="Arial" w:hAnsi="Arial" w:cs="Arial"/>
          <w:sz w:val="20"/>
          <w:szCs w:val="20"/>
        </w:rPr>
        <w:t xml:space="preserve"> </w:t>
      </w:r>
      <w:r>
        <w:rPr>
          <w:rFonts w:ascii="Arial" w:hAnsi="Arial" w:cs="Arial"/>
          <w:sz w:val="20"/>
          <w:szCs w:val="20"/>
        </w:rPr>
        <w:t>Based on existing and projected demand, the Applicant projects that the occupancy rates at the new facility will steadily increase</w:t>
      </w:r>
      <w:r w:rsidR="008625A0">
        <w:rPr>
          <w:rFonts w:ascii="Arial" w:hAnsi="Arial" w:cs="Arial"/>
          <w:sz w:val="20"/>
          <w:szCs w:val="20"/>
        </w:rPr>
        <w:t xml:space="preserve"> as follows: Year 1: 80%; Year 2: 82%; Year 3</w:t>
      </w:r>
      <w:r w:rsidR="000F6938">
        <w:rPr>
          <w:rFonts w:ascii="Arial" w:hAnsi="Arial" w:cs="Arial"/>
          <w:sz w:val="20"/>
          <w:szCs w:val="20"/>
        </w:rPr>
        <w:t>:</w:t>
      </w:r>
      <w:r w:rsidR="008625A0">
        <w:rPr>
          <w:rFonts w:ascii="Arial" w:hAnsi="Arial" w:cs="Arial"/>
          <w:sz w:val="20"/>
          <w:szCs w:val="20"/>
        </w:rPr>
        <w:t xml:space="preserve"> 85%; Year 4: 87% and Year 5: 90%. </w:t>
      </w:r>
      <w:r>
        <w:rPr>
          <w:rFonts w:ascii="Arial" w:hAnsi="Arial" w:cs="Arial"/>
          <w:sz w:val="20"/>
          <w:szCs w:val="20"/>
        </w:rPr>
        <w:t xml:space="preserve">Accordingly, </w:t>
      </w:r>
      <w:r w:rsidR="008625A0">
        <w:rPr>
          <w:rFonts w:ascii="Arial" w:hAnsi="Arial" w:cs="Arial"/>
          <w:sz w:val="20"/>
          <w:szCs w:val="20"/>
        </w:rPr>
        <w:t>Massachusetts, and more specifically southeastern Massachusetts require more inpatient psychiatric bed capacity</w:t>
      </w:r>
      <w:r>
        <w:rPr>
          <w:rFonts w:ascii="Arial" w:hAnsi="Arial" w:cs="Arial"/>
          <w:sz w:val="20"/>
          <w:szCs w:val="20"/>
        </w:rPr>
        <w:t xml:space="preserve"> to meet demand</w:t>
      </w:r>
      <w:r w:rsidR="008625A0">
        <w:rPr>
          <w:rFonts w:ascii="Arial" w:hAnsi="Arial" w:cs="Arial"/>
          <w:sz w:val="20"/>
          <w:szCs w:val="20"/>
        </w:rPr>
        <w:t>. The loss of 61 inpatient psychiatric beds at Norwood Hospital</w:t>
      </w:r>
      <w:r>
        <w:rPr>
          <w:rFonts w:ascii="Arial" w:hAnsi="Arial" w:cs="Arial"/>
          <w:sz w:val="20"/>
          <w:szCs w:val="20"/>
        </w:rPr>
        <w:t xml:space="preserve"> coupled with historic demand, population growth projection</w:t>
      </w:r>
      <w:r w:rsidR="000F6938">
        <w:rPr>
          <w:rFonts w:ascii="Arial" w:hAnsi="Arial" w:cs="Arial"/>
          <w:sz w:val="20"/>
          <w:szCs w:val="20"/>
        </w:rPr>
        <w:t>,</w:t>
      </w:r>
      <w:r>
        <w:rPr>
          <w:rFonts w:ascii="Arial" w:hAnsi="Arial" w:cs="Arial"/>
          <w:sz w:val="20"/>
          <w:szCs w:val="20"/>
        </w:rPr>
        <w:t xml:space="preserve"> </w:t>
      </w:r>
      <w:r w:rsidR="008625A0">
        <w:rPr>
          <w:rFonts w:ascii="Arial" w:hAnsi="Arial" w:cs="Arial"/>
          <w:sz w:val="20"/>
          <w:szCs w:val="20"/>
        </w:rPr>
        <w:t>and the state’s</w:t>
      </w:r>
      <w:r w:rsidR="009C4CCF">
        <w:rPr>
          <w:rFonts w:ascii="Arial" w:hAnsi="Arial" w:cs="Arial"/>
          <w:sz w:val="20"/>
          <w:szCs w:val="20"/>
        </w:rPr>
        <w:t xml:space="preserve"> high</w:t>
      </w:r>
      <w:r w:rsidR="008625A0">
        <w:rPr>
          <w:rFonts w:ascii="Arial" w:hAnsi="Arial" w:cs="Arial"/>
          <w:sz w:val="20"/>
          <w:szCs w:val="20"/>
        </w:rPr>
        <w:t xml:space="preserve"> psychiatric boarding </w:t>
      </w:r>
      <w:r w:rsidR="009C4CCF">
        <w:rPr>
          <w:rFonts w:ascii="Arial" w:hAnsi="Arial" w:cs="Arial"/>
          <w:sz w:val="20"/>
          <w:szCs w:val="20"/>
        </w:rPr>
        <w:t xml:space="preserve">rates </w:t>
      </w:r>
      <w:r w:rsidR="008625A0">
        <w:rPr>
          <w:rFonts w:ascii="Arial" w:hAnsi="Arial" w:cs="Arial"/>
          <w:sz w:val="20"/>
          <w:szCs w:val="20"/>
        </w:rPr>
        <w:t xml:space="preserve">demonstrate the need for the Proposed Project to construct a facility at GSMC with 77 inpatient psychiatric beds. </w:t>
      </w:r>
    </w:p>
    <w:p w14:paraId="2B356BF5" w14:textId="77777777" w:rsidR="008625A0" w:rsidRPr="007710AF" w:rsidRDefault="008625A0" w:rsidP="008625A0">
      <w:pPr>
        <w:spacing w:after="0" w:line="240" w:lineRule="auto"/>
        <w:jc w:val="both"/>
        <w:rPr>
          <w:rFonts w:ascii="Arial" w:hAnsi="Arial" w:cs="Arial"/>
          <w:sz w:val="20"/>
          <w:szCs w:val="20"/>
        </w:rPr>
      </w:pPr>
    </w:p>
    <w:p w14:paraId="3B7B649B" w14:textId="3AB3AD8C" w:rsidR="008625A0" w:rsidRDefault="008625A0" w:rsidP="008625A0">
      <w:pPr>
        <w:spacing w:after="0" w:line="240" w:lineRule="auto"/>
        <w:jc w:val="both"/>
        <w:rPr>
          <w:rFonts w:ascii="Arial" w:hAnsi="Arial" w:cs="Arial"/>
          <w:sz w:val="20"/>
          <w:szCs w:val="20"/>
        </w:rPr>
      </w:pPr>
    </w:p>
    <w:p w14:paraId="1A15A53C" w14:textId="4B70AC50" w:rsidR="000F6938" w:rsidRDefault="000F6938" w:rsidP="008625A0">
      <w:pPr>
        <w:spacing w:after="0" w:line="240" w:lineRule="auto"/>
        <w:jc w:val="both"/>
        <w:rPr>
          <w:rFonts w:ascii="Arial" w:hAnsi="Arial" w:cs="Arial"/>
          <w:sz w:val="20"/>
          <w:szCs w:val="20"/>
        </w:rPr>
      </w:pPr>
    </w:p>
    <w:p w14:paraId="3C8F57C6" w14:textId="77777777" w:rsidR="000F6938" w:rsidRPr="003D5956" w:rsidRDefault="000F6938" w:rsidP="008625A0">
      <w:pPr>
        <w:spacing w:after="0" w:line="240" w:lineRule="auto"/>
        <w:jc w:val="both"/>
        <w:rPr>
          <w:rFonts w:ascii="Arial" w:hAnsi="Arial" w:cs="Arial"/>
          <w:sz w:val="20"/>
          <w:szCs w:val="20"/>
        </w:rPr>
      </w:pPr>
    </w:p>
    <w:bookmarkEnd w:id="4"/>
    <w:p w14:paraId="6DE2BD30" w14:textId="04C0F61D" w:rsidR="002953C7" w:rsidRPr="00DF0E81" w:rsidRDefault="002953C7" w:rsidP="00CB02FE">
      <w:pPr>
        <w:spacing w:after="0" w:line="240" w:lineRule="auto"/>
        <w:jc w:val="both"/>
        <w:rPr>
          <w:rFonts w:ascii="Arial" w:eastAsia="Arial" w:hAnsi="Arial" w:cs="Arial"/>
          <w:kern w:val="2"/>
        </w:rPr>
      </w:pPr>
      <w:r w:rsidRPr="00DF0E81">
        <w:rPr>
          <w:rFonts w:ascii="Arial" w:hAnsi="Arial" w:cs="Arial"/>
          <w:b/>
          <w:kern w:val="2"/>
        </w:rPr>
        <w:lastRenderedPageBreak/>
        <w:t>F1.a.iii</w:t>
      </w:r>
      <w:r w:rsidRPr="00DF0E81">
        <w:rPr>
          <w:rFonts w:ascii="Arial" w:hAnsi="Arial" w:cs="Arial"/>
          <w:b/>
          <w:kern w:val="2"/>
        </w:rPr>
        <w:tab/>
      </w:r>
      <w:r w:rsidRPr="00DF0E81">
        <w:rPr>
          <w:rFonts w:ascii="Arial" w:hAnsi="Arial" w:cs="Arial"/>
          <w:kern w:val="2"/>
        </w:rPr>
        <w:tab/>
      </w:r>
      <w:r w:rsidRPr="00DF0E81">
        <w:rPr>
          <w:rFonts w:ascii="Arial" w:hAnsi="Arial" w:cs="Arial"/>
          <w:b/>
          <w:kern w:val="2"/>
          <w:u w:val="single"/>
        </w:rPr>
        <w:t>Competition:</w:t>
      </w:r>
    </w:p>
    <w:p w14:paraId="2E80D579" w14:textId="77777777" w:rsidR="002953C7" w:rsidRPr="00DF0E81" w:rsidRDefault="002953C7" w:rsidP="002953C7">
      <w:pPr>
        <w:pStyle w:val="BodyText"/>
        <w:widowControl/>
        <w:spacing w:before="0"/>
        <w:ind w:left="1440"/>
        <w:jc w:val="both"/>
        <w:rPr>
          <w:rFonts w:ascii="Arial" w:hAnsi="Arial" w:cs="Arial"/>
          <w:b/>
          <w:kern w:val="2"/>
          <w:sz w:val="22"/>
          <w:szCs w:val="22"/>
        </w:rPr>
      </w:pPr>
      <w:bookmarkStart w:id="5" w:name="_Hlk484602333"/>
      <w:r w:rsidRPr="00DF0E81">
        <w:rPr>
          <w:rFonts w:ascii="Arial" w:hAnsi="Arial" w:cs="Arial"/>
          <w:b/>
          <w:kern w:val="2"/>
          <w:sz w:val="22"/>
          <w:szCs w:val="22"/>
        </w:rPr>
        <w:t xml:space="preserve">Provide evidence that the Proposed Project will compete </w:t>
      </w:r>
      <w:proofErr w:type="gramStart"/>
      <w:r w:rsidRPr="00DF0E81">
        <w:rPr>
          <w:rFonts w:ascii="Arial" w:hAnsi="Arial" w:cs="Arial"/>
          <w:b/>
          <w:kern w:val="2"/>
          <w:sz w:val="22"/>
          <w:szCs w:val="22"/>
        </w:rPr>
        <w:t>on the basis of</w:t>
      </w:r>
      <w:proofErr w:type="gramEnd"/>
      <w:r w:rsidRPr="00DF0E81">
        <w:rPr>
          <w:rFonts w:ascii="Arial" w:hAnsi="Arial" w:cs="Arial"/>
          <w:b/>
          <w:kern w:val="2"/>
          <w:sz w:val="22"/>
          <w:szCs w:val="22"/>
        </w:rPr>
        <w:t xml:space="preserve"> price, total medical expenses, provider costs, and other recognized measures of health care spending. </w:t>
      </w:r>
      <w:bookmarkEnd w:id="5"/>
      <w:r w:rsidRPr="00DF0E81">
        <w:rPr>
          <w:rFonts w:ascii="Arial" w:hAnsi="Arial" w:cs="Arial"/>
          <w:b/>
          <w:kern w:val="2"/>
          <w:sz w:val="22"/>
          <w:szCs w:val="22"/>
        </w:rPr>
        <w:t>When responding to this question, please consider Factor 4, Financial Feasibility and Reasonableness of Costs.</w:t>
      </w:r>
    </w:p>
    <w:p w14:paraId="1F8A4053" w14:textId="77777777" w:rsidR="002953C7" w:rsidRPr="00702EAF" w:rsidRDefault="002953C7" w:rsidP="002953C7">
      <w:pPr>
        <w:spacing w:after="0" w:line="240" w:lineRule="auto"/>
        <w:jc w:val="both"/>
        <w:rPr>
          <w:rFonts w:ascii="Arial" w:hAnsi="Arial" w:cs="Arial"/>
          <w:highlight w:val="yellow"/>
          <w:u w:val="single"/>
        </w:rPr>
      </w:pPr>
    </w:p>
    <w:p w14:paraId="2E4D605A" w14:textId="6F759AD7" w:rsidR="009C4CCF" w:rsidRDefault="009C4CCF" w:rsidP="005739DC">
      <w:pPr>
        <w:widowControl w:val="0"/>
        <w:spacing w:after="0" w:line="240" w:lineRule="auto"/>
        <w:jc w:val="both"/>
        <w:rPr>
          <w:rFonts w:ascii="Arial" w:eastAsia="Calibri" w:hAnsi="Arial" w:cs="Arial"/>
          <w:sz w:val="20"/>
          <w:szCs w:val="20"/>
        </w:rPr>
      </w:pPr>
      <w:r w:rsidRPr="003D5956">
        <w:rPr>
          <w:rFonts w:ascii="Arial" w:eastAsia="Calibri" w:hAnsi="Arial" w:cs="Arial"/>
          <w:sz w:val="20"/>
          <w:szCs w:val="20"/>
        </w:rPr>
        <w:t>The replacement of psychiatric beds will not have an adverse impact on competition in the Massachusetts health care market based on price, total medical expenses (“TME”), provider costs or other recognized measures of health care spending. The Propose</w:t>
      </w:r>
      <w:r>
        <w:rPr>
          <w:rFonts w:ascii="Arial" w:eastAsia="Calibri" w:hAnsi="Arial" w:cs="Arial"/>
          <w:sz w:val="20"/>
          <w:szCs w:val="20"/>
        </w:rPr>
        <w:t>d</w:t>
      </w:r>
      <w:r w:rsidRPr="003D5956">
        <w:rPr>
          <w:rFonts w:ascii="Arial" w:eastAsia="Calibri" w:hAnsi="Arial" w:cs="Arial"/>
          <w:sz w:val="20"/>
          <w:szCs w:val="20"/>
        </w:rPr>
        <w:t xml:space="preserve"> Project seeks to meet the high demand for </w:t>
      </w:r>
      <w:r w:rsidR="00BB2A0F">
        <w:rPr>
          <w:rFonts w:ascii="Arial" w:eastAsia="Calibri" w:hAnsi="Arial" w:cs="Arial"/>
          <w:sz w:val="20"/>
          <w:szCs w:val="20"/>
        </w:rPr>
        <w:t xml:space="preserve">timely access to </w:t>
      </w:r>
      <w:r w:rsidRPr="003D5956">
        <w:rPr>
          <w:rFonts w:ascii="Arial" w:eastAsia="Calibri" w:hAnsi="Arial" w:cs="Arial"/>
          <w:sz w:val="20"/>
          <w:szCs w:val="20"/>
        </w:rPr>
        <w:t>inpatient psychiatric services in Southeastern Massachusetts</w:t>
      </w:r>
      <w:r w:rsidR="005739DC">
        <w:rPr>
          <w:rFonts w:ascii="Arial" w:eastAsia="Calibri" w:hAnsi="Arial" w:cs="Arial"/>
          <w:sz w:val="20"/>
          <w:szCs w:val="20"/>
        </w:rPr>
        <w:t xml:space="preserve">. </w:t>
      </w:r>
      <w:r w:rsidRPr="003D5956">
        <w:rPr>
          <w:rFonts w:ascii="Arial" w:eastAsia="Calibri" w:hAnsi="Arial" w:cs="Arial"/>
          <w:sz w:val="20"/>
          <w:szCs w:val="20"/>
        </w:rPr>
        <w:t xml:space="preserve"> </w:t>
      </w:r>
      <w:r>
        <w:rPr>
          <w:rFonts w:ascii="Arial" w:eastAsia="Calibri" w:hAnsi="Arial" w:cs="Arial"/>
          <w:sz w:val="20"/>
          <w:szCs w:val="20"/>
        </w:rPr>
        <w:t>The</w:t>
      </w:r>
      <w:r w:rsidRPr="003D5956">
        <w:rPr>
          <w:rFonts w:ascii="Arial" w:eastAsia="Calibri" w:hAnsi="Arial" w:cs="Arial"/>
          <w:sz w:val="20"/>
          <w:szCs w:val="20"/>
        </w:rPr>
        <w:t xml:space="preserve"> </w:t>
      </w:r>
      <w:r>
        <w:rPr>
          <w:rFonts w:ascii="Arial" w:eastAsia="Calibri" w:hAnsi="Arial" w:cs="Arial"/>
          <w:sz w:val="20"/>
          <w:szCs w:val="20"/>
        </w:rPr>
        <w:t>Proposed Project</w:t>
      </w:r>
      <w:r w:rsidRPr="003D5956">
        <w:rPr>
          <w:rFonts w:ascii="Arial" w:eastAsia="Calibri" w:hAnsi="Arial" w:cs="Arial"/>
          <w:sz w:val="20"/>
          <w:szCs w:val="20"/>
        </w:rPr>
        <w:t xml:space="preserve"> will lead to shorter boarding times and</w:t>
      </w:r>
      <w:r w:rsidR="005739DC">
        <w:rPr>
          <w:rFonts w:ascii="Arial" w:eastAsia="Calibri" w:hAnsi="Arial" w:cs="Arial"/>
          <w:sz w:val="20"/>
          <w:szCs w:val="20"/>
        </w:rPr>
        <w:t xml:space="preserve"> improved access to inpatient psychiatric treatment. It will </w:t>
      </w:r>
      <w:r w:rsidR="000F6938">
        <w:rPr>
          <w:rFonts w:ascii="Arial" w:eastAsia="Calibri" w:hAnsi="Arial" w:cs="Arial"/>
          <w:sz w:val="20"/>
          <w:szCs w:val="20"/>
        </w:rPr>
        <w:t xml:space="preserve">also </w:t>
      </w:r>
      <w:r w:rsidR="005739DC">
        <w:rPr>
          <w:rFonts w:ascii="Arial" w:eastAsia="Calibri" w:hAnsi="Arial" w:cs="Arial"/>
          <w:sz w:val="20"/>
          <w:szCs w:val="20"/>
        </w:rPr>
        <w:t>result in more efficient operation of the GSMC ED.</w:t>
      </w:r>
      <w:r>
        <w:rPr>
          <w:rFonts w:ascii="Arial" w:eastAsia="Calibri" w:hAnsi="Arial" w:cs="Arial"/>
          <w:sz w:val="20"/>
          <w:szCs w:val="20"/>
        </w:rPr>
        <w:t xml:space="preserve"> Timely access to inpatient </w:t>
      </w:r>
      <w:r w:rsidR="005739DC">
        <w:rPr>
          <w:rFonts w:ascii="Arial" w:eastAsia="Calibri" w:hAnsi="Arial" w:cs="Arial"/>
          <w:sz w:val="20"/>
          <w:szCs w:val="20"/>
        </w:rPr>
        <w:t xml:space="preserve">psychiatric </w:t>
      </w:r>
      <w:r>
        <w:rPr>
          <w:rFonts w:ascii="Arial" w:eastAsia="Calibri" w:hAnsi="Arial" w:cs="Arial"/>
          <w:sz w:val="20"/>
          <w:szCs w:val="20"/>
        </w:rPr>
        <w:t>services</w:t>
      </w:r>
      <w:r w:rsidR="005739DC">
        <w:rPr>
          <w:rFonts w:ascii="Arial" w:eastAsia="Calibri" w:hAnsi="Arial" w:cs="Arial"/>
          <w:sz w:val="20"/>
          <w:szCs w:val="20"/>
        </w:rPr>
        <w:t xml:space="preserve"> in the most appropriate setting</w:t>
      </w:r>
      <w:r>
        <w:rPr>
          <w:rFonts w:ascii="Arial" w:eastAsia="Calibri" w:hAnsi="Arial" w:cs="Arial"/>
          <w:sz w:val="20"/>
          <w:szCs w:val="20"/>
        </w:rPr>
        <w:t xml:space="preserve"> may result in lower costs of care.</w:t>
      </w:r>
      <w:r w:rsidRPr="003D5956">
        <w:rPr>
          <w:rFonts w:ascii="Arial" w:eastAsia="Calibri" w:hAnsi="Arial" w:cs="Arial"/>
          <w:sz w:val="20"/>
          <w:szCs w:val="20"/>
        </w:rPr>
        <w:t xml:space="preserve"> </w:t>
      </w:r>
      <w:r>
        <w:rPr>
          <w:rFonts w:ascii="Arial" w:eastAsia="Calibri" w:hAnsi="Arial" w:cs="Arial"/>
          <w:sz w:val="20"/>
          <w:szCs w:val="20"/>
        </w:rPr>
        <w:t xml:space="preserve">Moreover, patients presenting to the ED in need of other care will also experience </w:t>
      </w:r>
      <w:r w:rsidR="005739DC">
        <w:rPr>
          <w:rFonts w:ascii="Arial" w:eastAsia="Calibri" w:hAnsi="Arial" w:cs="Arial"/>
          <w:sz w:val="20"/>
          <w:szCs w:val="20"/>
        </w:rPr>
        <w:t>improved</w:t>
      </w:r>
      <w:r>
        <w:rPr>
          <w:rFonts w:ascii="Arial" w:eastAsia="Calibri" w:hAnsi="Arial" w:cs="Arial"/>
          <w:sz w:val="20"/>
          <w:szCs w:val="20"/>
        </w:rPr>
        <w:t xml:space="preserve"> access to care</w:t>
      </w:r>
      <w:r w:rsidR="005739DC">
        <w:rPr>
          <w:rFonts w:ascii="Arial" w:eastAsia="Calibri" w:hAnsi="Arial" w:cs="Arial"/>
          <w:sz w:val="20"/>
          <w:szCs w:val="20"/>
        </w:rPr>
        <w:t>, thereby improving outcomes and reducing costs driven by delays in diagnosis and treatment</w:t>
      </w:r>
      <w:r>
        <w:rPr>
          <w:rFonts w:ascii="Arial" w:eastAsia="Calibri" w:hAnsi="Arial" w:cs="Arial"/>
          <w:sz w:val="20"/>
          <w:szCs w:val="20"/>
        </w:rPr>
        <w:t xml:space="preserve">. </w:t>
      </w:r>
      <w:r w:rsidRPr="003D5956">
        <w:rPr>
          <w:rFonts w:ascii="Arial" w:eastAsia="Calibri" w:hAnsi="Arial" w:cs="Arial"/>
          <w:sz w:val="20"/>
          <w:szCs w:val="20"/>
        </w:rPr>
        <w:t xml:space="preserve">Accordingly, </w:t>
      </w:r>
      <w:r>
        <w:rPr>
          <w:rFonts w:ascii="Arial" w:eastAsia="Calibri" w:hAnsi="Arial" w:cs="Arial"/>
          <w:sz w:val="20"/>
          <w:szCs w:val="20"/>
        </w:rPr>
        <w:t>the Proposed Project will meet</w:t>
      </w:r>
      <w:r w:rsidR="005739DC">
        <w:rPr>
          <w:rFonts w:ascii="Arial" w:eastAsia="Calibri" w:hAnsi="Arial" w:cs="Arial"/>
          <w:sz w:val="20"/>
          <w:szCs w:val="20"/>
        </w:rPr>
        <w:t xml:space="preserve"> the needs of the patient panel</w:t>
      </w:r>
      <w:r>
        <w:rPr>
          <w:rFonts w:ascii="Arial" w:eastAsia="Calibri" w:hAnsi="Arial" w:cs="Arial"/>
          <w:sz w:val="20"/>
          <w:szCs w:val="20"/>
        </w:rPr>
        <w:t xml:space="preserve"> </w:t>
      </w:r>
      <w:r w:rsidR="005739DC">
        <w:rPr>
          <w:rFonts w:ascii="Arial" w:eastAsia="Calibri" w:hAnsi="Arial" w:cs="Arial"/>
          <w:sz w:val="20"/>
          <w:szCs w:val="20"/>
        </w:rPr>
        <w:t>while reducing costs associated with delays in treatment and the provision of care in sub-optimal settings</w:t>
      </w:r>
      <w:r>
        <w:rPr>
          <w:rFonts w:ascii="Arial" w:eastAsia="Calibri" w:hAnsi="Arial" w:cs="Arial"/>
          <w:sz w:val="20"/>
          <w:szCs w:val="20"/>
        </w:rPr>
        <w:t>.</w:t>
      </w:r>
    </w:p>
    <w:p w14:paraId="3C2DA836" w14:textId="74B8A57A" w:rsidR="000E1E8A" w:rsidRDefault="000E1E8A" w:rsidP="009C4CCF">
      <w:pPr>
        <w:spacing w:after="0" w:line="240" w:lineRule="auto"/>
        <w:jc w:val="both"/>
        <w:rPr>
          <w:rFonts w:ascii="Arial" w:eastAsia="Calibri" w:hAnsi="Arial" w:cs="Arial"/>
          <w:sz w:val="20"/>
          <w:szCs w:val="20"/>
        </w:rPr>
      </w:pPr>
    </w:p>
    <w:p w14:paraId="6AB11DDF" w14:textId="77777777" w:rsidR="000E1E8A" w:rsidRDefault="000E1E8A" w:rsidP="009C4CCF">
      <w:pPr>
        <w:spacing w:after="0" w:line="240" w:lineRule="auto"/>
        <w:jc w:val="both"/>
        <w:rPr>
          <w:rFonts w:ascii="Arial" w:eastAsia="Calibri" w:hAnsi="Arial" w:cs="Arial"/>
          <w:sz w:val="20"/>
          <w:szCs w:val="20"/>
        </w:rPr>
      </w:pPr>
    </w:p>
    <w:p w14:paraId="2A8BB0AA" w14:textId="64305C2F" w:rsidR="009C4CCF" w:rsidRPr="00702EAF" w:rsidRDefault="009C4CCF" w:rsidP="009C4CCF">
      <w:pPr>
        <w:spacing w:after="0" w:line="240" w:lineRule="auto"/>
        <w:jc w:val="both"/>
        <w:rPr>
          <w:rFonts w:ascii="Arial" w:eastAsia="Arial" w:hAnsi="Arial" w:cs="Arial"/>
          <w:kern w:val="2"/>
          <w:u w:val="single"/>
        </w:rPr>
      </w:pPr>
      <w:r>
        <w:rPr>
          <w:rFonts w:ascii="Arial" w:eastAsia="Calibri" w:hAnsi="Arial" w:cs="Arial"/>
          <w:sz w:val="20"/>
          <w:szCs w:val="20"/>
        </w:rPr>
        <w:t xml:space="preserve"> </w:t>
      </w:r>
      <w:r w:rsidRPr="00702EAF">
        <w:rPr>
          <w:rFonts w:ascii="Arial" w:hAnsi="Arial" w:cs="Arial"/>
          <w:b/>
          <w:kern w:val="2"/>
        </w:rPr>
        <w:t>F1.</w:t>
      </w:r>
      <w:proofErr w:type="gramStart"/>
      <w:r w:rsidRPr="00702EAF">
        <w:rPr>
          <w:rFonts w:ascii="Arial" w:hAnsi="Arial" w:cs="Arial"/>
          <w:b/>
          <w:kern w:val="2"/>
        </w:rPr>
        <w:t>b.i</w:t>
      </w:r>
      <w:proofErr w:type="gramEnd"/>
      <w:r w:rsidRPr="00702EAF">
        <w:rPr>
          <w:rFonts w:ascii="Arial" w:hAnsi="Arial" w:cs="Arial"/>
          <w:b/>
          <w:kern w:val="2"/>
        </w:rPr>
        <w:tab/>
      </w:r>
      <w:r w:rsidRPr="00702EAF">
        <w:rPr>
          <w:rFonts w:ascii="Arial" w:hAnsi="Arial" w:cs="Arial"/>
          <w:kern w:val="2"/>
        </w:rPr>
        <w:tab/>
      </w:r>
      <w:r w:rsidRPr="00702EAF">
        <w:rPr>
          <w:rFonts w:ascii="Arial" w:hAnsi="Arial" w:cs="Arial"/>
          <w:b/>
          <w:kern w:val="2"/>
          <w:u w:val="single"/>
        </w:rPr>
        <w:t>Public Health Value /Evidence-Based:</w:t>
      </w:r>
    </w:p>
    <w:p w14:paraId="4C0544CC" w14:textId="77777777" w:rsidR="009C4CCF" w:rsidRDefault="009C4CCF" w:rsidP="009C4CCF">
      <w:pPr>
        <w:pStyle w:val="BodyText"/>
        <w:widowControl/>
        <w:spacing w:before="0"/>
        <w:ind w:left="1440" w:firstLine="14"/>
        <w:jc w:val="both"/>
        <w:rPr>
          <w:rFonts w:ascii="Arial" w:hAnsi="Arial" w:cs="Arial"/>
          <w:b/>
          <w:kern w:val="2"/>
          <w:sz w:val="22"/>
          <w:szCs w:val="22"/>
        </w:rPr>
      </w:pPr>
      <w:r w:rsidRPr="00702EAF">
        <w:rPr>
          <w:rFonts w:ascii="Arial" w:hAnsi="Arial" w:cs="Arial"/>
          <w:b/>
          <w:kern w:val="2"/>
          <w:sz w:val="22"/>
          <w:szCs w:val="22"/>
        </w:rPr>
        <w:t>Provide information on the evidence-base for the Proposed Project. That is, how does the Proposed Project address the Need that Applicant has identified.</w:t>
      </w:r>
    </w:p>
    <w:p w14:paraId="012D1430" w14:textId="77777777" w:rsidR="009C4CCF" w:rsidRDefault="009C4CCF" w:rsidP="009C4CCF">
      <w:pPr>
        <w:pStyle w:val="BodyText"/>
        <w:widowControl/>
        <w:spacing w:before="0"/>
        <w:ind w:left="1440" w:firstLine="14"/>
        <w:jc w:val="both"/>
        <w:rPr>
          <w:rFonts w:ascii="Arial" w:hAnsi="Arial" w:cs="Arial"/>
          <w:b/>
          <w:kern w:val="2"/>
          <w:sz w:val="22"/>
          <w:szCs w:val="22"/>
        </w:rPr>
      </w:pPr>
    </w:p>
    <w:p w14:paraId="03213DEF" w14:textId="5613A659" w:rsidR="009C4CCF" w:rsidRPr="009C4CCF" w:rsidRDefault="009C4CCF" w:rsidP="009C4CCF">
      <w:pPr>
        <w:pStyle w:val="BodyText"/>
        <w:widowControl/>
        <w:spacing w:before="0"/>
        <w:jc w:val="both"/>
        <w:rPr>
          <w:rFonts w:ascii="Arial" w:hAnsi="Arial" w:cs="Arial"/>
          <w:bCs/>
          <w:kern w:val="2"/>
          <w:sz w:val="20"/>
          <w:szCs w:val="20"/>
        </w:rPr>
      </w:pPr>
      <w:r w:rsidRPr="003D5956">
        <w:rPr>
          <w:rFonts w:ascii="Arial" w:hAnsi="Arial" w:cs="Arial"/>
          <w:bCs/>
          <w:kern w:val="2"/>
          <w:sz w:val="20"/>
          <w:szCs w:val="20"/>
        </w:rPr>
        <w:t>The</w:t>
      </w:r>
      <w:r w:rsidR="000F6938">
        <w:rPr>
          <w:rFonts w:ascii="Arial" w:hAnsi="Arial" w:cs="Arial"/>
          <w:bCs/>
          <w:kern w:val="2"/>
          <w:sz w:val="20"/>
          <w:szCs w:val="20"/>
        </w:rPr>
        <w:t xml:space="preserve"> Proposed</w:t>
      </w:r>
      <w:r w:rsidRPr="003D5956">
        <w:rPr>
          <w:rFonts w:ascii="Arial" w:hAnsi="Arial" w:cs="Arial"/>
          <w:bCs/>
          <w:kern w:val="2"/>
          <w:sz w:val="20"/>
          <w:szCs w:val="20"/>
        </w:rPr>
        <w:t xml:space="preserve"> </w:t>
      </w:r>
      <w:r>
        <w:rPr>
          <w:rFonts w:ascii="Arial" w:hAnsi="Arial" w:cs="Arial"/>
          <w:bCs/>
          <w:kern w:val="2"/>
          <w:sz w:val="20"/>
          <w:szCs w:val="20"/>
        </w:rPr>
        <w:t>Project is</w:t>
      </w:r>
      <w:r w:rsidRPr="003D5956">
        <w:rPr>
          <w:rFonts w:ascii="Arial" w:hAnsi="Arial" w:cs="Arial"/>
          <w:bCs/>
          <w:kern w:val="2"/>
          <w:sz w:val="20"/>
          <w:szCs w:val="20"/>
        </w:rPr>
        <w:t xml:space="preserve"> supported by evidence-based literature. </w:t>
      </w:r>
      <w:r w:rsidRPr="003D5956">
        <w:rPr>
          <w:rFonts w:ascii="Arial" w:hAnsi="Arial" w:cs="Arial"/>
          <w:sz w:val="20"/>
          <w:szCs w:val="20"/>
        </w:rPr>
        <w:t xml:space="preserve">In the United States, nearly one in five </w:t>
      </w:r>
      <w:proofErr w:type="gramStart"/>
      <w:r w:rsidRPr="003D5956">
        <w:rPr>
          <w:rFonts w:ascii="Arial" w:hAnsi="Arial" w:cs="Arial"/>
          <w:sz w:val="20"/>
          <w:szCs w:val="20"/>
        </w:rPr>
        <w:t>adults</w:t>
      </w:r>
      <w:proofErr w:type="gramEnd"/>
      <w:r w:rsidRPr="003D5956">
        <w:rPr>
          <w:rFonts w:ascii="Arial" w:hAnsi="Arial" w:cs="Arial"/>
          <w:sz w:val="20"/>
          <w:szCs w:val="20"/>
        </w:rPr>
        <w:t xml:space="preserve"> lives with a mental illness.</w:t>
      </w:r>
      <w:r w:rsidRPr="003D5956">
        <w:rPr>
          <w:rStyle w:val="FootnoteReference"/>
          <w:rFonts w:ascii="Arial" w:hAnsi="Arial" w:cs="Arial"/>
          <w:sz w:val="20"/>
          <w:szCs w:val="20"/>
        </w:rPr>
        <w:footnoteReference w:id="30"/>
      </w:r>
      <w:r w:rsidRPr="003D5956">
        <w:rPr>
          <w:rFonts w:ascii="Arial" w:hAnsi="Arial" w:cs="Arial"/>
          <w:sz w:val="20"/>
          <w:szCs w:val="20"/>
        </w:rPr>
        <w:t xml:space="preserve"> According to a 2020 National Survey on Drug Use and Health (NSDUH) by the Substance Abuse and Mental Health Services Administration (SAMHSA), there was an estimated 52.9 million adults (aged 18 or older) with any mental illness (“AMI”)</w:t>
      </w:r>
      <w:r w:rsidRPr="003D5956">
        <w:rPr>
          <w:rStyle w:val="FootnoteReference"/>
          <w:rFonts w:ascii="Arial" w:hAnsi="Arial" w:cs="Arial"/>
          <w:sz w:val="20"/>
          <w:szCs w:val="20"/>
        </w:rPr>
        <w:footnoteReference w:id="31"/>
      </w:r>
      <w:r w:rsidRPr="003D5956">
        <w:rPr>
          <w:rFonts w:ascii="Arial" w:hAnsi="Arial" w:cs="Arial"/>
          <w:sz w:val="20"/>
          <w:szCs w:val="20"/>
        </w:rPr>
        <w:t>, which represented 21.0% of all U.S. adults. Among the 52.9 million adults with AMI in 2020, 24.3 million (46.2%) received mental health services in the past year. The NSDUH defines “mental health services” as having received inpatient treatment/counseling or outpatient treatment/counseling or having used prescription medication.</w:t>
      </w:r>
      <w:r w:rsidRPr="003D5956">
        <w:rPr>
          <w:rStyle w:val="FootnoteReference"/>
          <w:rFonts w:ascii="Arial" w:hAnsi="Arial" w:cs="Arial"/>
          <w:sz w:val="20"/>
          <w:szCs w:val="20"/>
        </w:rPr>
        <w:footnoteReference w:id="32"/>
      </w:r>
      <w:r w:rsidRPr="003D5956">
        <w:rPr>
          <w:rFonts w:ascii="Arial" w:hAnsi="Arial" w:cs="Arial"/>
          <w:sz w:val="20"/>
          <w:szCs w:val="20"/>
        </w:rPr>
        <w:t xml:space="preserve"> The percentage of adults aged 50 and older with AMI who received mental health services was 48.0% - highest among all adult age groups</w:t>
      </w:r>
      <w:r>
        <w:rPr>
          <w:rFonts w:ascii="Arial" w:hAnsi="Arial" w:cs="Arial"/>
          <w:sz w:val="20"/>
          <w:szCs w:val="20"/>
        </w:rPr>
        <w:t>, with</w:t>
      </w:r>
      <w:r w:rsidRPr="003D5956">
        <w:rPr>
          <w:rFonts w:ascii="Arial" w:hAnsi="Arial" w:cs="Arial"/>
          <w:sz w:val="20"/>
          <w:szCs w:val="20"/>
        </w:rPr>
        <w:t xml:space="preserve"> 42.1% </w:t>
      </w:r>
      <w:r>
        <w:rPr>
          <w:rFonts w:ascii="Arial" w:hAnsi="Arial" w:cs="Arial"/>
          <w:sz w:val="20"/>
          <w:szCs w:val="20"/>
        </w:rPr>
        <w:t>of</w:t>
      </w:r>
      <w:r w:rsidRPr="003D5956">
        <w:rPr>
          <w:rFonts w:ascii="Arial" w:hAnsi="Arial" w:cs="Arial"/>
          <w:sz w:val="20"/>
          <w:szCs w:val="20"/>
        </w:rPr>
        <w:t xml:space="preserve"> adults aged 18-25 and 46.6% </w:t>
      </w:r>
      <w:r>
        <w:rPr>
          <w:rFonts w:ascii="Arial" w:hAnsi="Arial" w:cs="Arial"/>
          <w:sz w:val="20"/>
          <w:szCs w:val="20"/>
        </w:rPr>
        <w:t>of</w:t>
      </w:r>
      <w:r w:rsidRPr="003D5956">
        <w:rPr>
          <w:rFonts w:ascii="Arial" w:hAnsi="Arial" w:cs="Arial"/>
          <w:sz w:val="20"/>
          <w:szCs w:val="20"/>
        </w:rPr>
        <w:t xml:space="preserve"> adults aged 26-49</w:t>
      </w:r>
      <w:r>
        <w:rPr>
          <w:rFonts w:ascii="Arial" w:hAnsi="Arial" w:cs="Arial"/>
          <w:sz w:val="20"/>
          <w:szCs w:val="20"/>
        </w:rPr>
        <w:t xml:space="preserve"> receiving care</w:t>
      </w:r>
      <w:r w:rsidRPr="003D5956">
        <w:rPr>
          <w:rFonts w:ascii="Arial" w:hAnsi="Arial" w:cs="Arial"/>
          <w:sz w:val="20"/>
          <w:szCs w:val="20"/>
        </w:rPr>
        <w:t>.</w:t>
      </w:r>
      <w:r w:rsidRPr="003D5956">
        <w:rPr>
          <w:rStyle w:val="FootnoteReference"/>
          <w:rFonts w:ascii="Arial" w:hAnsi="Arial" w:cs="Arial"/>
          <w:sz w:val="20"/>
          <w:szCs w:val="20"/>
        </w:rPr>
        <w:footnoteReference w:id="33"/>
      </w:r>
    </w:p>
    <w:p w14:paraId="2D51ADE7" w14:textId="77777777" w:rsidR="009C4CCF" w:rsidRPr="003D5956" w:rsidRDefault="009C4CCF" w:rsidP="009C4CCF">
      <w:pPr>
        <w:pStyle w:val="ListParagraph"/>
        <w:spacing w:after="0" w:line="240" w:lineRule="auto"/>
        <w:ind w:left="1800"/>
        <w:jc w:val="both"/>
        <w:rPr>
          <w:rFonts w:ascii="Arial" w:hAnsi="Arial" w:cs="Arial"/>
          <w:sz w:val="20"/>
          <w:szCs w:val="20"/>
        </w:rPr>
      </w:pPr>
    </w:p>
    <w:p w14:paraId="3189339D" w14:textId="4F1C9687" w:rsidR="009C4CCF" w:rsidRPr="004B4C5F" w:rsidRDefault="009C4CCF" w:rsidP="009C4CCF">
      <w:pPr>
        <w:pStyle w:val="BodyText"/>
        <w:widowControl/>
        <w:spacing w:before="0"/>
        <w:jc w:val="both"/>
        <w:rPr>
          <w:rFonts w:ascii="Arial" w:hAnsi="Arial" w:cs="Arial"/>
          <w:bCs/>
          <w:kern w:val="2"/>
          <w:sz w:val="20"/>
          <w:szCs w:val="20"/>
        </w:rPr>
      </w:pPr>
      <w:r w:rsidRPr="003D5956">
        <w:rPr>
          <w:rFonts w:ascii="Arial" w:hAnsi="Arial" w:cs="Arial"/>
          <w:sz w:val="20"/>
          <w:szCs w:val="20"/>
        </w:rPr>
        <w:t xml:space="preserve">The COVID-19 pandemic exacerbated behavioral health conditions. </w:t>
      </w:r>
      <w:r w:rsidRPr="003D5956">
        <w:rPr>
          <w:rFonts w:ascii="Arial" w:hAnsi="Arial" w:cs="Arial"/>
          <w:bCs/>
          <w:kern w:val="2"/>
          <w:sz w:val="20"/>
          <w:szCs w:val="20"/>
        </w:rPr>
        <w:t xml:space="preserve">According to the Centers for Disease </w:t>
      </w:r>
      <w:r w:rsidRPr="00A8473E">
        <w:rPr>
          <w:rFonts w:ascii="Arial" w:hAnsi="Arial" w:cs="Arial"/>
          <w:bCs/>
          <w:kern w:val="2"/>
          <w:sz w:val="20"/>
          <w:szCs w:val="20"/>
        </w:rPr>
        <w:t>Control and Prevention’s National Center for Health Statistics, the percentage of adults who received any mental health treatment (defined as taking medication, received counseling or therapy or both) increased from 19.2% to 21.6% between 2020 and 2021.</w:t>
      </w:r>
      <w:r w:rsidRPr="00A8473E">
        <w:rPr>
          <w:rStyle w:val="FootnoteReference"/>
          <w:rFonts w:ascii="Arial" w:hAnsi="Arial" w:cs="Arial"/>
          <w:bCs/>
          <w:kern w:val="2"/>
          <w:sz w:val="20"/>
          <w:szCs w:val="20"/>
        </w:rPr>
        <w:footnoteReference w:id="34"/>
      </w:r>
      <w:r w:rsidRPr="00A8473E">
        <w:rPr>
          <w:rFonts w:ascii="Arial" w:hAnsi="Arial" w:cs="Arial"/>
          <w:bCs/>
          <w:kern w:val="2"/>
          <w:sz w:val="20"/>
          <w:szCs w:val="20"/>
        </w:rPr>
        <w:t xml:space="preserve"> Rates of depression and anxiety </w:t>
      </w:r>
      <w:r>
        <w:rPr>
          <w:rFonts w:ascii="Arial" w:hAnsi="Arial" w:cs="Arial"/>
          <w:bCs/>
          <w:kern w:val="2"/>
          <w:sz w:val="20"/>
          <w:szCs w:val="20"/>
        </w:rPr>
        <w:t>increased</w:t>
      </w:r>
      <w:r w:rsidRPr="00A8473E">
        <w:rPr>
          <w:rFonts w:ascii="Arial" w:hAnsi="Arial" w:cs="Arial"/>
          <w:bCs/>
          <w:kern w:val="2"/>
          <w:sz w:val="20"/>
          <w:szCs w:val="20"/>
        </w:rPr>
        <w:t xml:space="preserve"> by more than 25% in the first year of the COVID-19 pandemic, adding to the nearly one billion people already living with a mental illness worldwide.</w:t>
      </w:r>
      <w:r w:rsidRPr="00A8473E">
        <w:rPr>
          <w:rStyle w:val="FootnoteReference"/>
          <w:rFonts w:ascii="Arial" w:hAnsi="Arial" w:cs="Arial"/>
          <w:bCs/>
          <w:kern w:val="2"/>
          <w:sz w:val="20"/>
          <w:szCs w:val="20"/>
        </w:rPr>
        <w:footnoteReference w:id="35"/>
      </w:r>
      <w:r w:rsidRPr="00A8473E">
        <w:rPr>
          <w:rFonts w:ascii="Arial" w:hAnsi="Arial" w:cs="Arial"/>
          <w:bCs/>
          <w:kern w:val="2"/>
          <w:sz w:val="20"/>
          <w:szCs w:val="20"/>
        </w:rPr>
        <w:t xml:space="preserve"> At the same time, </w:t>
      </w:r>
      <w:r>
        <w:rPr>
          <w:rFonts w:ascii="Arial" w:hAnsi="Arial" w:cs="Arial"/>
          <w:bCs/>
          <w:kern w:val="2"/>
          <w:sz w:val="20"/>
          <w:szCs w:val="20"/>
        </w:rPr>
        <w:t xml:space="preserve">access to </w:t>
      </w:r>
      <w:r w:rsidRPr="00A8473E">
        <w:rPr>
          <w:rFonts w:ascii="Arial" w:hAnsi="Arial" w:cs="Arial"/>
          <w:bCs/>
          <w:kern w:val="2"/>
          <w:sz w:val="20"/>
          <w:szCs w:val="20"/>
        </w:rPr>
        <w:t>mental health services ha</w:t>
      </w:r>
      <w:r>
        <w:rPr>
          <w:rFonts w:ascii="Arial" w:hAnsi="Arial" w:cs="Arial"/>
          <w:bCs/>
          <w:kern w:val="2"/>
          <w:sz w:val="20"/>
          <w:szCs w:val="20"/>
        </w:rPr>
        <w:t>s</w:t>
      </w:r>
      <w:r w:rsidRPr="00A8473E">
        <w:rPr>
          <w:rFonts w:ascii="Arial" w:hAnsi="Arial" w:cs="Arial"/>
          <w:bCs/>
          <w:kern w:val="2"/>
          <w:sz w:val="20"/>
          <w:szCs w:val="20"/>
        </w:rPr>
        <w:t xml:space="preserve"> been severely disrupted and has caused a wide treatment gap.</w:t>
      </w:r>
      <w:r w:rsidRPr="00A8473E">
        <w:rPr>
          <w:rStyle w:val="FootnoteReference"/>
          <w:rFonts w:ascii="Arial" w:hAnsi="Arial" w:cs="Arial"/>
          <w:bCs/>
          <w:kern w:val="2"/>
          <w:sz w:val="20"/>
          <w:szCs w:val="20"/>
        </w:rPr>
        <w:footnoteReference w:id="36"/>
      </w:r>
      <w:r w:rsidRPr="00A8473E">
        <w:rPr>
          <w:rFonts w:ascii="Arial" w:hAnsi="Arial" w:cs="Arial"/>
          <w:bCs/>
          <w:kern w:val="2"/>
          <w:sz w:val="20"/>
          <w:szCs w:val="20"/>
        </w:rPr>
        <w:t xml:space="preserve"> In Massachusetts, one study reported that from January 2020 to March of 2021, more than 1 in 3 Massachusetts residents over the age of 19 reported needing </w:t>
      </w:r>
      <w:r w:rsidRPr="00A8473E">
        <w:rPr>
          <w:rFonts w:ascii="Arial" w:hAnsi="Arial" w:cs="Arial"/>
          <w:bCs/>
          <w:kern w:val="2"/>
          <w:sz w:val="20"/>
          <w:szCs w:val="20"/>
        </w:rPr>
        <w:lastRenderedPageBreak/>
        <w:t>behavioral health care for themselves or a close relative.</w:t>
      </w:r>
      <w:r w:rsidRPr="00A8473E">
        <w:rPr>
          <w:rStyle w:val="FootnoteReference"/>
          <w:rFonts w:ascii="Arial" w:hAnsi="Arial" w:cs="Arial"/>
          <w:bCs/>
          <w:kern w:val="2"/>
          <w:sz w:val="20"/>
          <w:szCs w:val="20"/>
        </w:rPr>
        <w:footnoteReference w:id="37"/>
      </w:r>
      <w:r w:rsidRPr="00A8473E">
        <w:rPr>
          <w:rFonts w:ascii="Arial" w:hAnsi="Arial" w:cs="Arial"/>
          <w:bCs/>
          <w:kern w:val="2"/>
          <w:sz w:val="20"/>
          <w:szCs w:val="20"/>
        </w:rPr>
        <w:t xml:space="preserve"> </w:t>
      </w:r>
      <w:r>
        <w:rPr>
          <w:rFonts w:ascii="Arial" w:hAnsi="Arial" w:cs="Arial"/>
          <w:sz w:val="20"/>
          <w:szCs w:val="20"/>
        </w:rPr>
        <w:t>A</w:t>
      </w:r>
      <w:r w:rsidRPr="00A8473E">
        <w:rPr>
          <w:rFonts w:ascii="Arial" w:hAnsi="Arial" w:cs="Arial"/>
          <w:sz w:val="20"/>
          <w:szCs w:val="20"/>
        </w:rPr>
        <w:t xml:space="preserve"> </w:t>
      </w:r>
      <w:r>
        <w:rPr>
          <w:rFonts w:ascii="Arial" w:hAnsi="Arial" w:cs="Arial"/>
          <w:sz w:val="20"/>
          <w:szCs w:val="20"/>
        </w:rPr>
        <w:t xml:space="preserve">2021 </w:t>
      </w:r>
      <w:r w:rsidRPr="00A8473E">
        <w:rPr>
          <w:rFonts w:ascii="Arial" w:hAnsi="Arial" w:cs="Arial"/>
          <w:bCs/>
          <w:kern w:val="2"/>
          <w:sz w:val="20"/>
          <w:szCs w:val="20"/>
        </w:rPr>
        <w:t>Kaiser Family Foundation (KFF)</w:t>
      </w:r>
      <w:r w:rsidRPr="00A8473E">
        <w:rPr>
          <w:rFonts w:ascii="Arial" w:hAnsi="Arial" w:cs="Arial"/>
          <w:sz w:val="20"/>
          <w:szCs w:val="20"/>
        </w:rPr>
        <w:t xml:space="preserve"> analysis of U.S. Census Bureau, Household Pulse Survey</w:t>
      </w:r>
      <w:r>
        <w:rPr>
          <w:rFonts w:ascii="Arial" w:hAnsi="Arial" w:cs="Arial"/>
          <w:sz w:val="20"/>
          <w:szCs w:val="20"/>
        </w:rPr>
        <w:t xml:space="preserve"> found that </w:t>
      </w:r>
      <w:r w:rsidRPr="00A8473E">
        <w:rPr>
          <w:rFonts w:ascii="Arial" w:hAnsi="Arial" w:cs="Arial"/>
          <w:sz w:val="20"/>
          <w:szCs w:val="20"/>
        </w:rPr>
        <w:t>among adults who reported experiencing symptoms of anxiety and or depressive disorder, 28.7% reported needing but did not receive any therapy or counseling in the past four weeks, as compared to the national average of 26.9% (a difference of 1.8%).</w:t>
      </w:r>
      <w:r w:rsidRPr="00A8473E">
        <w:rPr>
          <w:rStyle w:val="FootnoteReference"/>
          <w:rFonts w:ascii="Arial" w:hAnsi="Arial" w:cs="Arial"/>
          <w:sz w:val="20"/>
          <w:szCs w:val="20"/>
        </w:rPr>
        <w:footnoteReference w:id="38"/>
      </w:r>
      <w:r w:rsidRPr="00A8473E">
        <w:rPr>
          <w:rFonts w:ascii="Arial" w:hAnsi="Arial" w:cs="Arial"/>
          <w:sz w:val="20"/>
          <w:szCs w:val="20"/>
        </w:rPr>
        <w:t xml:space="preserve"> </w:t>
      </w:r>
      <w:r w:rsidRPr="00A8473E">
        <w:rPr>
          <w:rFonts w:ascii="Arial" w:hAnsi="Arial" w:cs="Arial"/>
          <w:bCs/>
          <w:kern w:val="2"/>
          <w:sz w:val="20"/>
          <w:szCs w:val="20"/>
        </w:rPr>
        <w:t xml:space="preserve"> </w:t>
      </w:r>
    </w:p>
    <w:p w14:paraId="778DDD75" w14:textId="77777777" w:rsidR="009C4CCF" w:rsidRPr="003D5956" w:rsidRDefault="009C4CCF" w:rsidP="009C4CCF">
      <w:pPr>
        <w:pStyle w:val="BodyText"/>
        <w:widowControl/>
        <w:spacing w:before="0"/>
        <w:ind w:left="1814"/>
        <w:jc w:val="both"/>
        <w:rPr>
          <w:rFonts w:ascii="Arial" w:hAnsi="Arial" w:cs="Arial"/>
          <w:bCs/>
          <w:kern w:val="2"/>
          <w:sz w:val="20"/>
          <w:szCs w:val="20"/>
        </w:rPr>
      </w:pPr>
    </w:p>
    <w:p w14:paraId="5C4D16A9" w14:textId="37875C89" w:rsidR="009C4CCF" w:rsidRPr="003D5956" w:rsidRDefault="009C4CCF" w:rsidP="009C4CCF">
      <w:pPr>
        <w:pStyle w:val="BodyText"/>
        <w:widowControl/>
        <w:spacing w:before="0"/>
        <w:jc w:val="both"/>
        <w:rPr>
          <w:rFonts w:ascii="Arial" w:hAnsi="Arial" w:cs="Arial"/>
          <w:bCs/>
          <w:kern w:val="2"/>
          <w:sz w:val="20"/>
          <w:szCs w:val="20"/>
        </w:rPr>
      </w:pPr>
      <w:r>
        <w:rPr>
          <w:rFonts w:ascii="Arial" w:hAnsi="Arial" w:cs="Arial"/>
          <w:bCs/>
          <w:kern w:val="2"/>
          <w:sz w:val="20"/>
          <w:szCs w:val="20"/>
        </w:rPr>
        <w:t xml:space="preserve">The increased incidence of mental illness and the </w:t>
      </w:r>
      <w:r w:rsidR="000E1E8A">
        <w:rPr>
          <w:rFonts w:ascii="Arial" w:hAnsi="Arial" w:cs="Arial"/>
          <w:bCs/>
          <w:kern w:val="2"/>
          <w:sz w:val="20"/>
          <w:szCs w:val="20"/>
        </w:rPr>
        <w:t xml:space="preserve">need for additional capacity has resulted in increased ED boarding rates. </w:t>
      </w:r>
      <w:r>
        <w:rPr>
          <w:rFonts w:ascii="Arial" w:hAnsi="Arial" w:cs="Arial"/>
          <w:bCs/>
          <w:kern w:val="2"/>
          <w:sz w:val="20"/>
          <w:szCs w:val="20"/>
        </w:rPr>
        <w:t>D</w:t>
      </w:r>
      <w:r w:rsidRPr="003D5956">
        <w:rPr>
          <w:rFonts w:ascii="Arial" w:hAnsi="Arial" w:cs="Arial"/>
          <w:bCs/>
          <w:kern w:val="2"/>
          <w:sz w:val="20"/>
          <w:szCs w:val="20"/>
        </w:rPr>
        <w:t>escribed as a patient safety issue and worldwide public health problem</w:t>
      </w:r>
      <w:r>
        <w:rPr>
          <w:rFonts w:ascii="Arial" w:hAnsi="Arial" w:cs="Arial"/>
          <w:bCs/>
          <w:kern w:val="2"/>
          <w:sz w:val="20"/>
          <w:szCs w:val="20"/>
        </w:rPr>
        <w:t>, ED Boarding has been a longstanding issue in the Commonwealth and disproportionally affects patients requiring inpatient psychiatric treatment.</w:t>
      </w:r>
      <w:r w:rsidRPr="003D5956">
        <w:rPr>
          <w:rStyle w:val="FootnoteReference"/>
          <w:rFonts w:ascii="Arial" w:hAnsi="Arial" w:cs="Arial"/>
          <w:bCs/>
          <w:kern w:val="2"/>
          <w:sz w:val="20"/>
          <w:szCs w:val="20"/>
        </w:rPr>
        <w:footnoteReference w:id="39"/>
      </w:r>
      <w:r w:rsidR="00595C4A">
        <w:rPr>
          <w:rFonts w:ascii="Arial" w:hAnsi="Arial" w:cs="Arial"/>
          <w:bCs/>
          <w:kern w:val="2"/>
          <w:sz w:val="20"/>
          <w:szCs w:val="20"/>
        </w:rPr>
        <w:t xml:space="preserve"> </w:t>
      </w:r>
      <w:r>
        <w:rPr>
          <w:rFonts w:ascii="Arial" w:hAnsi="Arial" w:cs="Arial"/>
          <w:bCs/>
          <w:kern w:val="2"/>
          <w:sz w:val="20"/>
          <w:szCs w:val="20"/>
        </w:rPr>
        <w:t>Between 2011 and 2015, the number of Massachusetts patients presenting to the ED with a</w:t>
      </w:r>
      <w:r w:rsidR="00EA0256">
        <w:rPr>
          <w:rFonts w:ascii="Arial" w:hAnsi="Arial" w:cs="Arial"/>
          <w:bCs/>
          <w:kern w:val="2"/>
          <w:sz w:val="20"/>
          <w:szCs w:val="20"/>
        </w:rPr>
        <w:t xml:space="preserve"> </w:t>
      </w:r>
      <w:r>
        <w:rPr>
          <w:rFonts w:ascii="Arial" w:hAnsi="Arial" w:cs="Arial"/>
          <w:bCs/>
          <w:kern w:val="2"/>
          <w:sz w:val="20"/>
          <w:szCs w:val="20"/>
        </w:rPr>
        <w:t>mental health need increased 13% (22.9 visits per 1,000 residents in 2011 to 26.0 in 2015).</w:t>
      </w:r>
      <w:r>
        <w:rPr>
          <w:rStyle w:val="FootnoteReference"/>
          <w:rFonts w:ascii="Arial" w:hAnsi="Arial" w:cs="Arial"/>
          <w:bCs/>
          <w:kern w:val="2"/>
          <w:sz w:val="20"/>
          <w:szCs w:val="20"/>
        </w:rPr>
        <w:footnoteReference w:id="40"/>
      </w:r>
      <w:r>
        <w:rPr>
          <w:rFonts w:ascii="Arial" w:hAnsi="Arial" w:cs="Arial"/>
          <w:bCs/>
          <w:kern w:val="2"/>
          <w:sz w:val="20"/>
          <w:szCs w:val="20"/>
        </w:rPr>
        <w:t xml:space="preserve"> The Health Policy Commission (“HPC”) analyzed ED Boarding in the Commonwealth that included 2015 data and time trends in boarding from 2011 to 2015.</w:t>
      </w:r>
      <w:r>
        <w:rPr>
          <w:rStyle w:val="FootnoteReference"/>
          <w:rFonts w:ascii="Arial" w:hAnsi="Arial" w:cs="Arial"/>
          <w:bCs/>
          <w:kern w:val="2"/>
          <w:sz w:val="20"/>
          <w:szCs w:val="20"/>
        </w:rPr>
        <w:footnoteReference w:id="41"/>
      </w:r>
      <w:r>
        <w:rPr>
          <w:rFonts w:ascii="Arial" w:hAnsi="Arial" w:cs="Arial"/>
          <w:bCs/>
          <w:kern w:val="2"/>
          <w:sz w:val="20"/>
          <w:szCs w:val="20"/>
        </w:rPr>
        <w:t xml:space="preserve"> This research made the following, but not exclusive, findings: patients with a behavioral health diagnosis had significantly longer lengths of stays (“LOS”) in the ED than non-behavioral health patients (median LOS for patients with a primary </w:t>
      </w:r>
      <w:r w:rsidR="00595C4A">
        <w:rPr>
          <w:rFonts w:ascii="Arial" w:hAnsi="Arial" w:cs="Arial"/>
          <w:bCs/>
          <w:kern w:val="2"/>
          <w:sz w:val="20"/>
          <w:szCs w:val="20"/>
        </w:rPr>
        <w:t>behavioral health</w:t>
      </w:r>
      <w:r>
        <w:rPr>
          <w:rFonts w:ascii="Arial" w:hAnsi="Arial" w:cs="Arial"/>
          <w:bCs/>
          <w:kern w:val="2"/>
          <w:sz w:val="20"/>
          <w:szCs w:val="20"/>
        </w:rPr>
        <w:t xml:space="preserve"> diagnosis was twice as long as for a patient without a behavioral health diagnosis – 5.4 hours versus 2.6 hours, respectively); patients with a behavioral health diagnosis comprised a disproportionate share of ED visits that boarded: while patients with a behavioral health diagnosis accounted for 14% of ED visits in 2015, they accounted for 71% of all ED visits that boarded; the number of patients boarding with a primary behavioral health diagnosis has increased over time; and patients with living in the Metro South and South Shore regions were the most likely to board (24% and 22%, respectively).</w:t>
      </w:r>
      <w:r>
        <w:rPr>
          <w:rStyle w:val="FootnoteReference"/>
          <w:rFonts w:ascii="Arial" w:hAnsi="Arial" w:cs="Arial"/>
          <w:bCs/>
          <w:kern w:val="2"/>
          <w:sz w:val="20"/>
          <w:szCs w:val="20"/>
        </w:rPr>
        <w:footnoteReference w:id="42"/>
      </w:r>
      <w:r>
        <w:rPr>
          <w:rFonts w:ascii="Arial" w:hAnsi="Arial" w:cs="Arial"/>
          <w:bCs/>
          <w:kern w:val="2"/>
          <w:sz w:val="20"/>
          <w:szCs w:val="20"/>
        </w:rPr>
        <w:t xml:space="preserve"> According to MHA’s last weekly boarding report (August 29, 2021), Region 5 (cities where GSMC’s Patient Panel primarily resides and where GSMC is located), </w:t>
      </w:r>
      <w:r w:rsidR="00595C4A">
        <w:rPr>
          <w:rFonts w:ascii="Arial" w:hAnsi="Arial" w:cs="Arial"/>
          <w:bCs/>
          <w:kern w:val="2"/>
          <w:sz w:val="20"/>
          <w:szCs w:val="20"/>
        </w:rPr>
        <w:t>had the</w:t>
      </w:r>
      <w:r>
        <w:rPr>
          <w:rFonts w:ascii="Arial" w:hAnsi="Arial" w:cs="Arial"/>
          <w:bCs/>
          <w:kern w:val="2"/>
          <w:sz w:val="20"/>
          <w:szCs w:val="20"/>
        </w:rPr>
        <w:t xml:space="preserve"> largest number of boarders</w:t>
      </w:r>
      <w:r w:rsidR="00595C4A">
        <w:rPr>
          <w:rFonts w:ascii="Arial" w:hAnsi="Arial" w:cs="Arial"/>
          <w:bCs/>
          <w:kern w:val="2"/>
          <w:sz w:val="20"/>
          <w:szCs w:val="20"/>
        </w:rPr>
        <w:t xml:space="preserve"> as compared to other Regions</w:t>
      </w:r>
      <w:r>
        <w:rPr>
          <w:rFonts w:ascii="Arial" w:hAnsi="Arial" w:cs="Arial"/>
          <w:bCs/>
          <w:kern w:val="2"/>
          <w:sz w:val="20"/>
          <w:szCs w:val="20"/>
        </w:rPr>
        <w:t xml:space="preserve"> in Massachusetts</w:t>
      </w:r>
      <w:r w:rsidR="00595C4A">
        <w:rPr>
          <w:rFonts w:ascii="Arial" w:hAnsi="Arial" w:cs="Arial"/>
          <w:bCs/>
          <w:kern w:val="2"/>
          <w:sz w:val="20"/>
          <w:szCs w:val="20"/>
        </w:rPr>
        <w:t>, with a total of 139 boarders.</w:t>
      </w:r>
      <w:r>
        <w:rPr>
          <w:rStyle w:val="FootnoteReference"/>
          <w:rFonts w:ascii="Arial" w:hAnsi="Arial" w:cs="Arial"/>
          <w:bCs/>
          <w:kern w:val="2"/>
          <w:sz w:val="20"/>
          <w:szCs w:val="20"/>
        </w:rPr>
        <w:footnoteReference w:id="43"/>
      </w:r>
      <w:r>
        <w:rPr>
          <w:rFonts w:ascii="Arial" w:hAnsi="Arial" w:cs="Arial"/>
          <w:bCs/>
          <w:kern w:val="2"/>
          <w:sz w:val="20"/>
          <w:szCs w:val="20"/>
        </w:rPr>
        <w:t xml:space="preserve"> Further, o</w:t>
      </w:r>
      <w:r w:rsidRPr="003D5956">
        <w:rPr>
          <w:rFonts w:ascii="Arial" w:hAnsi="Arial" w:cs="Arial"/>
          <w:bCs/>
          <w:kern w:val="2"/>
          <w:sz w:val="20"/>
          <w:szCs w:val="20"/>
        </w:rPr>
        <w:t xml:space="preserve">ften, </w:t>
      </w:r>
      <w:r>
        <w:rPr>
          <w:rFonts w:ascii="Arial" w:hAnsi="Arial" w:cs="Arial"/>
          <w:bCs/>
          <w:kern w:val="2"/>
          <w:sz w:val="20"/>
          <w:szCs w:val="20"/>
        </w:rPr>
        <w:t>p</w:t>
      </w:r>
      <w:r w:rsidRPr="003D5956">
        <w:rPr>
          <w:rFonts w:ascii="Arial" w:hAnsi="Arial" w:cs="Arial"/>
          <w:bCs/>
          <w:kern w:val="2"/>
          <w:sz w:val="20"/>
          <w:szCs w:val="20"/>
        </w:rPr>
        <w:t>sychiatric patients seek care in the ED because they have nowhere else to go.</w:t>
      </w:r>
      <w:r w:rsidRPr="003D5956">
        <w:rPr>
          <w:rStyle w:val="FootnoteReference"/>
          <w:rFonts w:ascii="Arial" w:hAnsi="Arial" w:cs="Arial"/>
          <w:bCs/>
          <w:kern w:val="2"/>
          <w:sz w:val="20"/>
          <w:szCs w:val="20"/>
        </w:rPr>
        <w:footnoteReference w:id="44"/>
      </w:r>
      <w:r w:rsidRPr="003D5956">
        <w:rPr>
          <w:rFonts w:ascii="Arial" w:hAnsi="Arial" w:cs="Arial"/>
          <w:bCs/>
          <w:kern w:val="2"/>
          <w:sz w:val="20"/>
          <w:szCs w:val="20"/>
        </w:rPr>
        <w:t xml:space="preserve"> Mental health boarding </w:t>
      </w:r>
      <w:r>
        <w:rPr>
          <w:rFonts w:ascii="Arial" w:hAnsi="Arial" w:cs="Arial"/>
          <w:bCs/>
          <w:kern w:val="2"/>
          <w:sz w:val="20"/>
          <w:szCs w:val="20"/>
        </w:rPr>
        <w:t>increases ED</w:t>
      </w:r>
      <w:r w:rsidRPr="003D5956">
        <w:rPr>
          <w:rFonts w:ascii="Arial" w:hAnsi="Arial" w:cs="Arial"/>
          <w:bCs/>
          <w:kern w:val="2"/>
          <w:sz w:val="20"/>
          <w:szCs w:val="20"/>
        </w:rPr>
        <w:t xml:space="preserve"> wait times </w:t>
      </w:r>
      <w:r>
        <w:rPr>
          <w:rFonts w:ascii="Arial" w:hAnsi="Arial" w:cs="Arial"/>
          <w:bCs/>
          <w:kern w:val="2"/>
          <w:sz w:val="20"/>
          <w:szCs w:val="20"/>
        </w:rPr>
        <w:t>for all patients,</w:t>
      </w:r>
      <w:r w:rsidRPr="003D5956">
        <w:rPr>
          <w:rFonts w:ascii="Arial" w:hAnsi="Arial" w:cs="Arial"/>
          <w:bCs/>
          <w:kern w:val="2"/>
          <w:sz w:val="20"/>
          <w:szCs w:val="20"/>
        </w:rPr>
        <w:t xml:space="preserve"> which can have a significant domino effect</w:t>
      </w:r>
      <w:r>
        <w:rPr>
          <w:rFonts w:ascii="Arial" w:hAnsi="Arial" w:cs="Arial"/>
          <w:bCs/>
          <w:kern w:val="2"/>
          <w:sz w:val="20"/>
          <w:szCs w:val="20"/>
        </w:rPr>
        <w:t xml:space="preserve"> on hospital operations and patient outcomes</w:t>
      </w:r>
      <w:r w:rsidRPr="003D5956">
        <w:rPr>
          <w:rFonts w:ascii="Arial" w:hAnsi="Arial" w:cs="Arial"/>
          <w:bCs/>
          <w:kern w:val="2"/>
          <w:sz w:val="20"/>
          <w:szCs w:val="20"/>
        </w:rPr>
        <w:t>.</w:t>
      </w:r>
      <w:r w:rsidRPr="003D5956">
        <w:rPr>
          <w:rStyle w:val="FootnoteReference"/>
          <w:rFonts w:ascii="Arial" w:hAnsi="Arial" w:cs="Arial"/>
          <w:bCs/>
          <w:kern w:val="2"/>
          <w:sz w:val="20"/>
          <w:szCs w:val="20"/>
        </w:rPr>
        <w:footnoteReference w:id="45"/>
      </w:r>
      <w:r w:rsidRPr="003D5956">
        <w:rPr>
          <w:rFonts w:ascii="Arial" w:hAnsi="Arial" w:cs="Arial"/>
          <w:bCs/>
          <w:kern w:val="2"/>
          <w:sz w:val="20"/>
          <w:szCs w:val="20"/>
        </w:rPr>
        <w:t xml:space="preserve">  </w:t>
      </w:r>
    </w:p>
    <w:p w14:paraId="146B3653" w14:textId="77777777" w:rsidR="009C4CCF" w:rsidRDefault="009C4CCF" w:rsidP="009C4CCF">
      <w:pPr>
        <w:pStyle w:val="BodyText"/>
        <w:widowControl/>
        <w:spacing w:before="0"/>
        <w:ind w:left="0"/>
        <w:jc w:val="both"/>
        <w:rPr>
          <w:rFonts w:ascii="Arial" w:hAnsi="Arial" w:cs="Arial"/>
          <w:bCs/>
          <w:kern w:val="2"/>
          <w:sz w:val="20"/>
          <w:szCs w:val="20"/>
        </w:rPr>
      </w:pPr>
    </w:p>
    <w:p w14:paraId="700FDB53" w14:textId="69A6D009" w:rsidR="009C4CCF" w:rsidRPr="00EC1B00" w:rsidRDefault="009C4CCF" w:rsidP="009C4CCF">
      <w:pPr>
        <w:pStyle w:val="BodyText"/>
        <w:widowControl/>
        <w:spacing w:before="0"/>
        <w:jc w:val="both"/>
        <w:rPr>
          <w:rFonts w:ascii="Arial" w:hAnsi="Arial" w:cs="Arial"/>
          <w:bCs/>
          <w:kern w:val="2"/>
          <w:sz w:val="20"/>
          <w:szCs w:val="20"/>
        </w:rPr>
      </w:pPr>
      <w:r>
        <w:rPr>
          <w:rFonts w:ascii="Arial" w:hAnsi="Arial" w:cs="Arial"/>
          <w:bCs/>
          <w:kern w:val="2"/>
          <w:sz w:val="20"/>
          <w:szCs w:val="20"/>
        </w:rPr>
        <w:t xml:space="preserve">An adequate supply of inpatient mental health beds is an important way to combat ED and psychiatric boarding. </w:t>
      </w:r>
      <w:r w:rsidRPr="003D5956">
        <w:rPr>
          <w:rFonts w:ascii="Arial" w:hAnsi="Arial" w:cs="Arial"/>
          <w:bCs/>
          <w:kern w:val="2"/>
          <w:sz w:val="20"/>
          <w:szCs w:val="20"/>
        </w:rPr>
        <w:t>Crowding can be caused by population growth, volume of patients waiting to be seen (referred to as input), delays in assessing and treating patients already in the ED (referred to as throughput), or any impediment to patients leaving the ED once they have been treated (referred to as output).</w:t>
      </w:r>
      <w:r w:rsidRPr="003D5956">
        <w:rPr>
          <w:rStyle w:val="FootnoteReference"/>
          <w:rFonts w:ascii="Arial" w:hAnsi="Arial" w:cs="Arial"/>
          <w:bCs/>
          <w:kern w:val="2"/>
          <w:sz w:val="20"/>
          <w:szCs w:val="20"/>
        </w:rPr>
        <w:footnoteReference w:id="46"/>
      </w:r>
      <w:r w:rsidRPr="003D5956">
        <w:rPr>
          <w:rFonts w:ascii="Arial" w:hAnsi="Arial" w:cs="Arial"/>
          <w:bCs/>
          <w:kern w:val="2"/>
          <w:sz w:val="20"/>
          <w:szCs w:val="20"/>
        </w:rPr>
        <w:t xml:space="preserve"> Input factors include volume, acuity and type of patient.</w:t>
      </w:r>
      <w:r w:rsidRPr="003D5956">
        <w:rPr>
          <w:rStyle w:val="FootnoteReference"/>
          <w:rFonts w:ascii="Arial" w:hAnsi="Arial" w:cs="Arial"/>
          <w:bCs/>
          <w:kern w:val="2"/>
          <w:sz w:val="20"/>
          <w:szCs w:val="20"/>
        </w:rPr>
        <w:footnoteReference w:id="47"/>
      </w:r>
      <w:r w:rsidRPr="003D5956">
        <w:rPr>
          <w:rFonts w:ascii="Arial" w:hAnsi="Arial" w:cs="Arial"/>
          <w:bCs/>
          <w:kern w:val="2"/>
          <w:sz w:val="20"/>
          <w:szCs w:val="20"/>
        </w:rPr>
        <w:t xml:space="preserve"> Older patients typically require </w:t>
      </w:r>
      <w:r w:rsidR="00595C4A">
        <w:rPr>
          <w:rFonts w:ascii="Arial" w:hAnsi="Arial" w:cs="Arial"/>
          <w:bCs/>
          <w:kern w:val="2"/>
          <w:sz w:val="20"/>
          <w:szCs w:val="20"/>
        </w:rPr>
        <w:t xml:space="preserve">a </w:t>
      </w:r>
      <w:r w:rsidRPr="003D5956">
        <w:rPr>
          <w:rFonts w:ascii="Arial" w:hAnsi="Arial" w:cs="Arial"/>
          <w:bCs/>
          <w:kern w:val="2"/>
          <w:sz w:val="20"/>
          <w:szCs w:val="20"/>
        </w:rPr>
        <w:t>disproportionate</w:t>
      </w:r>
      <w:r>
        <w:rPr>
          <w:rFonts w:ascii="Arial" w:hAnsi="Arial" w:cs="Arial"/>
          <w:bCs/>
          <w:kern w:val="2"/>
          <w:sz w:val="20"/>
          <w:szCs w:val="20"/>
        </w:rPr>
        <w:t xml:space="preserve"> amount of</w:t>
      </w:r>
      <w:r w:rsidRPr="003D5956">
        <w:rPr>
          <w:rFonts w:ascii="Arial" w:hAnsi="Arial" w:cs="Arial"/>
          <w:bCs/>
          <w:kern w:val="2"/>
          <w:sz w:val="20"/>
          <w:szCs w:val="20"/>
        </w:rPr>
        <w:t xml:space="preserve"> care as do patients with mental illness.</w:t>
      </w:r>
      <w:r w:rsidRPr="003D5956">
        <w:rPr>
          <w:rStyle w:val="FootnoteReference"/>
          <w:rFonts w:ascii="Arial" w:hAnsi="Arial" w:cs="Arial"/>
          <w:bCs/>
          <w:kern w:val="2"/>
          <w:sz w:val="20"/>
          <w:szCs w:val="20"/>
        </w:rPr>
        <w:footnoteReference w:id="48"/>
      </w:r>
      <w:r w:rsidRPr="003D5956">
        <w:rPr>
          <w:rFonts w:ascii="Arial" w:hAnsi="Arial" w:cs="Arial"/>
          <w:bCs/>
          <w:kern w:val="2"/>
          <w:sz w:val="20"/>
          <w:szCs w:val="20"/>
        </w:rPr>
        <w:t xml:space="preserve"> Increasing physical capacity (inpatient beds) is one solution to </w:t>
      </w:r>
      <w:r w:rsidRPr="003D5956">
        <w:rPr>
          <w:rFonts w:ascii="Arial" w:hAnsi="Arial" w:cs="Arial"/>
          <w:bCs/>
          <w:kern w:val="2"/>
          <w:sz w:val="20"/>
          <w:szCs w:val="20"/>
        </w:rPr>
        <w:lastRenderedPageBreak/>
        <w:t>addressing psychiatric boarding.</w:t>
      </w:r>
      <w:r w:rsidRPr="003D5956">
        <w:rPr>
          <w:rStyle w:val="FootnoteReference"/>
          <w:rFonts w:ascii="Arial" w:hAnsi="Arial" w:cs="Arial"/>
          <w:bCs/>
          <w:kern w:val="2"/>
          <w:sz w:val="20"/>
          <w:szCs w:val="20"/>
        </w:rPr>
        <w:footnoteReference w:id="49"/>
      </w:r>
      <w:r w:rsidRPr="003D5956">
        <w:rPr>
          <w:rFonts w:ascii="Arial" w:hAnsi="Arial" w:cs="Arial"/>
          <w:bCs/>
          <w:kern w:val="2"/>
          <w:sz w:val="20"/>
          <w:szCs w:val="20"/>
        </w:rPr>
        <w:t xml:space="preserve"> </w:t>
      </w:r>
      <w:r w:rsidRPr="008A5586">
        <w:rPr>
          <w:rFonts w:ascii="Arial" w:hAnsi="Arial" w:cs="Arial"/>
          <w:bCs/>
          <w:kern w:val="2"/>
          <w:sz w:val="20"/>
          <w:szCs w:val="20"/>
        </w:rPr>
        <w:t>Access block refers to the situation where patients in the</w:t>
      </w:r>
      <w:r>
        <w:rPr>
          <w:rFonts w:ascii="Arial" w:hAnsi="Arial" w:cs="Arial"/>
          <w:bCs/>
          <w:kern w:val="2"/>
          <w:sz w:val="20"/>
          <w:szCs w:val="20"/>
        </w:rPr>
        <w:t xml:space="preserve"> </w:t>
      </w:r>
      <w:r w:rsidRPr="008A5586">
        <w:rPr>
          <w:rFonts w:ascii="Arial" w:hAnsi="Arial" w:cs="Arial"/>
          <w:bCs/>
          <w:kern w:val="2"/>
          <w:sz w:val="20"/>
          <w:szCs w:val="20"/>
        </w:rPr>
        <w:t>ED requiring inpatient care are unable to gain access to appropriate hospital beds within a reasonable time frame, resulting in ED overcrowding.</w:t>
      </w:r>
      <w:r>
        <w:rPr>
          <w:rStyle w:val="FootnoteReference"/>
          <w:rFonts w:ascii="Arial" w:hAnsi="Arial" w:cs="Arial"/>
          <w:bCs/>
          <w:kern w:val="2"/>
          <w:sz w:val="20"/>
          <w:szCs w:val="20"/>
        </w:rPr>
        <w:footnoteReference w:id="50"/>
      </w:r>
      <w:r w:rsidRPr="008A5586">
        <w:rPr>
          <w:rFonts w:ascii="Arial" w:hAnsi="Arial" w:cs="Arial"/>
          <w:bCs/>
          <w:kern w:val="2"/>
          <w:sz w:val="20"/>
          <w:szCs w:val="20"/>
        </w:rPr>
        <w:t xml:space="preserve"> Studies have documented that the </w:t>
      </w:r>
      <w:r>
        <w:rPr>
          <w:rFonts w:ascii="Arial" w:hAnsi="Arial" w:cs="Arial"/>
          <w:bCs/>
          <w:kern w:val="2"/>
          <w:sz w:val="20"/>
          <w:szCs w:val="20"/>
        </w:rPr>
        <w:t xml:space="preserve"> </w:t>
      </w:r>
      <w:r w:rsidRPr="008A5586">
        <w:rPr>
          <w:rFonts w:ascii="Arial" w:hAnsi="Arial" w:cs="Arial"/>
          <w:bCs/>
          <w:kern w:val="2"/>
          <w:sz w:val="20"/>
          <w:szCs w:val="20"/>
        </w:rPr>
        <w:t>presence of inpatients in the ED is the primary reason for ED overcrowding.</w:t>
      </w:r>
      <w:r>
        <w:rPr>
          <w:rStyle w:val="FootnoteReference"/>
          <w:rFonts w:ascii="Arial" w:hAnsi="Arial" w:cs="Arial"/>
          <w:bCs/>
          <w:kern w:val="2"/>
          <w:sz w:val="20"/>
          <w:szCs w:val="20"/>
        </w:rPr>
        <w:footnoteReference w:id="51"/>
      </w:r>
      <w:r w:rsidRPr="008A5586">
        <w:rPr>
          <w:rFonts w:ascii="Arial" w:hAnsi="Arial" w:cs="Arial"/>
          <w:bCs/>
          <w:kern w:val="2"/>
          <w:sz w:val="20"/>
          <w:szCs w:val="20"/>
        </w:rPr>
        <w:t xml:space="preserve"> Thus, increasing the availability of inpatient </w:t>
      </w:r>
      <w:r w:rsidR="00595C4A">
        <w:rPr>
          <w:rFonts w:ascii="Arial" w:hAnsi="Arial" w:cs="Arial"/>
          <w:bCs/>
          <w:kern w:val="2"/>
          <w:sz w:val="20"/>
          <w:szCs w:val="20"/>
        </w:rPr>
        <w:t>behavioral health</w:t>
      </w:r>
      <w:r w:rsidRPr="008A5586">
        <w:rPr>
          <w:rFonts w:ascii="Arial" w:hAnsi="Arial" w:cs="Arial"/>
          <w:bCs/>
          <w:kern w:val="2"/>
          <w:sz w:val="20"/>
          <w:szCs w:val="20"/>
        </w:rPr>
        <w:t xml:space="preserve"> acute care beds</w:t>
      </w:r>
      <w:r>
        <w:rPr>
          <w:rFonts w:ascii="Arial" w:hAnsi="Arial" w:cs="Arial"/>
          <w:bCs/>
          <w:kern w:val="2"/>
          <w:sz w:val="20"/>
          <w:szCs w:val="20"/>
        </w:rPr>
        <w:t xml:space="preserve"> is recommended for</w:t>
      </w:r>
      <w:r w:rsidRPr="008A5586">
        <w:rPr>
          <w:rFonts w:ascii="Arial" w:hAnsi="Arial" w:cs="Arial"/>
          <w:bCs/>
          <w:kern w:val="2"/>
          <w:sz w:val="20"/>
          <w:szCs w:val="20"/>
        </w:rPr>
        <w:t xml:space="preserve"> improving patient flow and overall ED performance</w:t>
      </w:r>
      <w:r w:rsidR="00A954BD">
        <w:rPr>
          <w:rFonts w:ascii="Arial" w:hAnsi="Arial" w:cs="Arial"/>
          <w:bCs/>
          <w:kern w:val="2"/>
          <w:sz w:val="20"/>
          <w:szCs w:val="20"/>
        </w:rPr>
        <w:t>.</w:t>
      </w:r>
      <w:r>
        <w:rPr>
          <w:rStyle w:val="FootnoteReference"/>
          <w:rFonts w:ascii="Arial" w:hAnsi="Arial" w:cs="Arial"/>
          <w:bCs/>
          <w:kern w:val="2"/>
          <w:sz w:val="20"/>
          <w:szCs w:val="20"/>
        </w:rPr>
        <w:footnoteReference w:id="52"/>
      </w:r>
      <w:r w:rsidRPr="008A5586">
        <w:rPr>
          <w:rFonts w:ascii="Arial" w:hAnsi="Arial" w:cs="Arial"/>
          <w:bCs/>
          <w:kern w:val="2"/>
          <w:sz w:val="20"/>
          <w:szCs w:val="20"/>
        </w:rPr>
        <w:t xml:space="preserve"> </w:t>
      </w:r>
    </w:p>
    <w:p w14:paraId="2B5E02CE" w14:textId="77777777" w:rsidR="009C4CCF" w:rsidRPr="003D5956" w:rsidRDefault="009C4CCF" w:rsidP="009C4CCF">
      <w:pPr>
        <w:spacing w:after="0" w:line="240" w:lineRule="auto"/>
        <w:jc w:val="both"/>
        <w:rPr>
          <w:rFonts w:ascii="Arial" w:hAnsi="Arial" w:cs="Arial"/>
          <w:sz w:val="20"/>
          <w:szCs w:val="20"/>
        </w:rPr>
      </w:pPr>
    </w:p>
    <w:p w14:paraId="509E51DB" w14:textId="77777777" w:rsidR="009C4CCF" w:rsidRDefault="009C4CCF" w:rsidP="009C4CCF">
      <w:pPr>
        <w:spacing w:after="0" w:line="240" w:lineRule="auto"/>
        <w:jc w:val="both"/>
        <w:rPr>
          <w:rFonts w:ascii="Arial" w:hAnsi="Arial" w:cs="Arial"/>
          <w:sz w:val="20"/>
          <w:szCs w:val="20"/>
        </w:rPr>
      </w:pPr>
    </w:p>
    <w:p w14:paraId="64B7212A" w14:textId="77777777" w:rsidR="009C4CCF" w:rsidRPr="00AE6186" w:rsidRDefault="009C4CCF" w:rsidP="009C4CCF">
      <w:pPr>
        <w:spacing w:after="0" w:line="240" w:lineRule="auto"/>
        <w:jc w:val="both"/>
        <w:rPr>
          <w:rFonts w:ascii="Arial" w:eastAsia="Arial" w:hAnsi="Arial" w:cs="Arial"/>
          <w:kern w:val="2"/>
          <w:u w:val="single"/>
        </w:rPr>
      </w:pPr>
      <w:proofErr w:type="gramStart"/>
      <w:r w:rsidRPr="00AE6186">
        <w:rPr>
          <w:rFonts w:ascii="Arial" w:hAnsi="Arial" w:cs="Arial"/>
          <w:b/>
          <w:kern w:val="2"/>
        </w:rPr>
        <w:t>F.1.b.ii</w:t>
      </w:r>
      <w:proofErr w:type="gramEnd"/>
      <w:r w:rsidRPr="00AE6186">
        <w:rPr>
          <w:rFonts w:ascii="Arial" w:hAnsi="Arial" w:cs="Arial"/>
          <w:b/>
          <w:kern w:val="2"/>
        </w:rPr>
        <w:tab/>
      </w:r>
      <w:r w:rsidRPr="00AE6186">
        <w:rPr>
          <w:rFonts w:ascii="Arial" w:hAnsi="Arial" w:cs="Arial"/>
          <w:kern w:val="2"/>
        </w:rPr>
        <w:tab/>
      </w:r>
      <w:r w:rsidRPr="00AE6186">
        <w:rPr>
          <w:rFonts w:ascii="Arial" w:hAnsi="Arial" w:cs="Arial"/>
          <w:b/>
          <w:kern w:val="2"/>
          <w:u w:val="single"/>
        </w:rPr>
        <w:t>Public Health Value /Outcome-Oriented:</w:t>
      </w:r>
    </w:p>
    <w:p w14:paraId="60802398" w14:textId="77777777" w:rsidR="009C4CCF" w:rsidRPr="00AE6186" w:rsidRDefault="009C4CCF" w:rsidP="009C4CCF">
      <w:pPr>
        <w:pStyle w:val="BodyText"/>
        <w:widowControl/>
        <w:spacing w:before="0"/>
        <w:ind w:left="1440"/>
        <w:jc w:val="both"/>
        <w:rPr>
          <w:rFonts w:ascii="Arial" w:hAnsi="Arial" w:cs="Arial"/>
          <w:b/>
          <w:kern w:val="2"/>
          <w:sz w:val="22"/>
          <w:szCs w:val="22"/>
        </w:rPr>
      </w:pPr>
      <w:r w:rsidRPr="00AE6186">
        <w:rPr>
          <w:rFonts w:ascii="Arial" w:hAnsi="Arial" w:cs="Arial"/>
          <w:b/>
          <w:kern w:val="2"/>
          <w:sz w:val="22"/>
          <w:szCs w:val="2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2EE2682B" w14:textId="77777777" w:rsidR="009C4CCF" w:rsidRPr="004E58A4" w:rsidRDefault="009C4CCF" w:rsidP="009C4CCF">
      <w:pPr>
        <w:pStyle w:val="BodyText"/>
        <w:widowControl/>
        <w:spacing w:before="0"/>
        <w:jc w:val="both"/>
        <w:rPr>
          <w:rFonts w:ascii="Arial" w:hAnsi="Arial" w:cs="Arial"/>
          <w:bCs/>
          <w:kern w:val="2"/>
          <w:sz w:val="22"/>
          <w:szCs w:val="22"/>
          <w:u w:val="single"/>
        </w:rPr>
      </w:pPr>
    </w:p>
    <w:p w14:paraId="3EC30D51" w14:textId="77777777" w:rsidR="009C4CCF" w:rsidRPr="0050011A" w:rsidRDefault="009C4CCF" w:rsidP="009C4CCF">
      <w:pPr>
        <w:pStyle w:val="BodyText"/>
        <w:widowControl/>
        <w:spacing w:before="0"/>
        <w:ind w:left="380"/>
        <w:jc w:val="both"/>
        <w:rPr>
          <w:rFonts w:ascii="Arial" w:hAnsi="Arial" w:cs="Arial"/>
          <w:b/>
          <w:kern w:val="2"/>
          <w:sz w:val="20"/>
          <w:szCs w:val="20"/>
        </w:rPr>
      </w:pPr>
    </w:p>
    <w:p w14:paraId="37361627" w14:textId="04489D0D" w:rsidR="009C4CCF" w:rsidRPr="009C4CCF" w:rsidRDefault="009C4CCF" w:rsidP="009C4CCF">
      <w:pPr>
        <w:pStyle w:val="BodyText"/>
        <w:widowControl/>
        <w:spacing w:before="0"/>
        <w:jc w:val="both"/>
        <w:rPr>
          <w:rFonts w:ascii="Arial" w:hAnsi="Arial" w:cs="Arial"/>
          <w:sz w:val="20"/>
          <w:szCs w:val="20"/>
        </w:rPr>
      </w:pPr>
      <w:r w:rsidRPr="008D2DDF">
        <w:rPr>
          <w:rFonts w:ascii="Arial" w:hAnsi="Arial" w:cs="Arial"/>
          <w:bCs/>
          <w:kern w:val="2"/>
          <w:sz w:val="20"/>
          <w:szCs w:val="20"/>
        </w:rPr>
        <w:t xml:space="preserve">The Proposed Project will </w:t>
      </w:r>
      <w:r>
        <w:rPr>
          <w:rFonts w:ascii="Arial" w:hAnsi="Arial" w:cs="Arial"/>
          <w:bCs/>
          <w:kern w:val="2"/>
          <w:sz w:val="20"/>
          <w:szCs w:val="20"/>
        </w:rPr>
        <w:t xml:space="preserve">provide </w:t>
      </w:r>
      <w:r w:rsidRPr="008D2DDF">
        <w:rPr>
          <w:rFonts w:ascii="Arial" w:hAnsi="Arial" w:cs="Arial"/>
          <w:bCs/>
          <w:kern w:val="2"/>
          <w:sz w:val="20"/>
          <w:szCs w:val="20"/>
        </w:rPr>
        <w:t>public health</w:t>
      </w:r>
      <w:r w:rsidRPr="008D2DDF">
        <w:rPr>
          <w:rFonts w:ascii="Arial" w:hAnsi="Arial" w:cs="Arial"/>
          <w:sz w:val="20"/>
          <w:szCs w:val="20"/>
        </w:rPr>
        <w:t xml:space="preserve"> value </w:t>
      </w:r>
      <w:r>
        <w:rPr>
          <w:rFonts w:ascii="Arial" w:hAnsi="Arial" w:cs="Arial"/>
          <w:sz w:val="20"/>
          <w:szCs w:val="20"/>
        </w:rPr>
        <w:t>by improving</w:t>
      </w:r>
      <w:r w:rsidRPr="008D2DDF">
        <w:rPr>
          <w:rFonts w:ascii="Arial" w:hAnsi="Arial" w:cs="Arial"/>
          <w:sz w:val="20"/>
          <w:szCs w:val="20"/>
        </w:rPr>
        <w:t xml:space="preserve"> access to</w:t>
      </w:r>
      <w:r>
        <w:rPr>
          <w:rFonts w:ascii="Arial" w:hAnsi="Arial" w:cs="Arial"/>
          <w:sz w:val="20"/>
          <w:szCs w:val="20"/>
        </w:rPr>
        <w:t xml:space="preserve"> inpatient</w:t>
      </w:r>
      <w:r w:rsidRPr="008D2DDF">
        <w:rPr>
          <w:rFonts w:ascii="Arial" w:hAnsi="Arial" w:cs="Arial"/>
          <w:sz w:val="20"/>
          <w:szCs w:val="20"/>
        </w:rPr>
        <w:t xml:space="preserve"> psychiatric</w:t>
      </w:r>
      <w:r>
        <w:rPr>
          <w:rFonts w:ascii="Arial" w:hAnsi="Arial" w:cs="Arial"/>
          <w:sz w:val="20"/>
          <w:szCs w:val="20"/>
        </w:rPr>
        <w:t xml:space="preserve"> services, </w:t>
      </w:r>
      <w:r w:rsidRPr="008D2DDF">
        <w:rPr>
          <w:rFonts w:ascii="Arial" w:hAnsi="Arial" w:cs="Arial"/>
          <w:sz w:val="20"/>
          <w:szCs w:val="20"/>
        </w:rPr>
        <w:t xml:space="preserve">thereby improving </w:t>
      </w:r>
      <w:r>
        <w:rPr>
          <w:rFonts w:ascii="Arial" w:hAnsi="Arial" w:cs="Arial"/>
          <w:sz w:val="20"/>
          <w:szCs w:val="20"/>
        </w:rPr>
        <w:t xml:space="preserve">patient satisfaction, </w:t>
      </w:r>
      <w:r w:rsidR="00FF5EEC">
        <w:rPr>
          <w:rFonts w:ascii="Arial" w:hAnsi="Arial" w:cs="Arial"/>
          <w:sz w:val="20"/>
          <w:szCs w:val="20"/>
        </w:rPr>
        <w:t>access,</w:t>
      </w:r>
      <w:r>
        <w:rPr>
          <w:rFonts w:ascii="Arial" w:hAnsi="Arial" w:cs="Arial"/>
          <w:sz w:val="20"/>
          <w:szCs w:val="20"/>
        </w:rPr>
        <w:t xml:space="preserve"> and </w:t>
      </w:r>
      <w:r w:rsidRPr="008D2DDF">
        <w:rPr>
          <w:rFonts w:ascii="Arial" w:hAnsi="Arial" w:cs="Arial"/>
          <w:sz w:val="20"/>
          <w:szCs w:val="20"/>
        </w:rPr>
        <w:t xml:space="preserve">health outcomes. </w:t>
      </w:r>
      <w:r w:rsidRPr="00AE6186">
        <w:rPr>
          <w:rFonts w:ascii="Arial" w:eastAsiaTheme="minorHAnsi" w:hAnsi="Arial" w:cs="Arial"/>
          <w:sz w:val="20"/>
          <w:szCs w:val="20"/>
        </w:rPr>
        <w:t xml:space="preserve">To assess the impact of the Proposed Project, the Applicant developed the following quality metrics, including projections. </w:t>
      </w:r>
      <w:r>
        <w:rPr>
          <w:rFonts w:ascii="Arial" w:eastAsiaTheme="minorHAnsi" w:hAnsi="Arial" w:cs="Arial"/>
          <w:sz w:val="20"/>
          <w:szCs w:val="20"/>
        </w:rPr>
        <w:t xml:space="preserve">The baseline and projections for each measure will be established following the first full year of the </w:t>
      </w:r>
      <w:r w:rsidR="00FF5EEC">
        <w:rPr>
          <w:rFonts w:ascii="Arial" w:eastAsiaTheme="minorHAnsi" w:hAnsi="Arial" w:cs="Arial"/>
          <w:sz w:val="20"/>
          <w:szCs w:val="20"/>
        </w:rPr>
        <w:t xml:space="preserve">Proposed </w:t>
      </w:r>
      <w:r>
        <w:rPr>
          <w:rFonts w:ascii="Arial" w:eastAsiaTheme="minorHAnsi" w:hAnsi="Arial" w:cs="Arial"/>
          <w:sz w:val="20"/>
          <w:szCs w:val="20"/>
        </w:rPr>
        <w:t xml:space="preserve">Project’s implementation and reported annually. </w:t>
      </w:r>
      <w:r w:rsidRPr="00AE6186">
        <w:rPr>
          <w:rFonts w:ascii="Arial" w:eastAsiaTheme="minorHAnsi" w:hAnsi="Arial" w:cs="Arial"/>
          <w:sz w:val="20"/>
          <w:szCs w:val="20"/>
        </w:rPr>
        <w:t>All measures will be reported on an annual basis following the first year of the Proposed Project’s implementation. The measures are discussed below:</w:t>
      </w:r>
    </w:p>
    <w:p w14:paraId="30FCB04F" w14:textId="77777777" w:rsidR="009C4CCF" w:rsidRPr="00C85D5F" w:rsidRDefault="009C4CCF" w:rsidP="009C4CCF">
      <w:pPr>
        <w:pStyle w:val="BodyText"/>
        <w:widowControl/>
        <w:spacing w:before="0"/>
        <w:jc w:val="both"/>
        <w:rPr>
          <w:rFonts w:ascii="Arial" w:eastAsiaTheme="minorHAnsi" w:hAnsi="Arial" w:cs="Arial"/>
          <w:sz w:val="20"/>
          <w:szCs w:val="20"/>
        </w:rPr>
      </w:pPr>
    </w:p>
    <w:p w14:paraId="69048DE1" w14:textId="77777777" w:rsidR="009C4CCF" w:rsidRPr="006D7100" w:rsidRDefault="009C4CCF" w:rsidP="009C4CCF">
      <w:pPr>
        <w:pStyle w:val="BodyText"/>
        <w:widowControl/>
        <w:numPr>
          <w:ilvl w:val="0"/>
          <w:numId w:val="39"/>
        </w:numPr>
        <w:spacing w:before="0"/>
        <w:jc w:val="both"/>
        <w:rPr>
          <w:rFonts w:ascii="Arial" w:hAnsi="Arial" w:cs="Arial"/>
          <w:b/>
          <w:bCs/>
          <w:sz w:val="20"/>
          <w:szCs w:val="20"/>
        </w:rPr>
      </w:pPr>
      <w:r w:rsidRPr="00411324">
        <w:rPr>
          <w:rFonts w:ascii="Arial" w:hAnsi="Arial" w:cs="Arial"/>
          <w:b/>
          <w:bCs/>
          <w:sz w:val="20"/>
          <w:szCs w:val="20"/>
        </w:rPr>
        <w:t xml:space="preserve">Patient Satisfaction Measure: </w:t>
      </w:r>
      <w:r w:rsidRPr="00411324">
        <w:rPr>
          <w:rFonts w:ascii="Arial" w:hAnsi="Arial" w:cs="Arial"/>
          <w:sz w:val="20"/>
          <w:szCs w:val="20"/>
        </w:rPr>
        <w:t>The Applicant</w:t>
      </w:r>
      <w:r w:rsidRPr="009E2884">
        <w:rPr>
          <w:rFonts w:ascii="Arial" w:hAnsi="Arial" w:cs="Arial"/>
          <w:sz w:val="20"/>
          <w:szCs w:val="20"/>
        </w:rPr>
        <w:t xml:space="preserve"> </w:t>
      </w:r>
      <w:r w:rsidRPr="00CA27C3">
        <w:rPr>
          <w:rFonts w:ascii="Arial" w:hAnsi="Arial" w:cs="Arial"/>
          <w:sz w:val="20"/>
          <w:szCs w:val="20"/>
        </w:rPr>
        <w:t xml:space="preserve">will </w:t>
      </w:r>
      <w:r w:rsidRPr="00381137">
        <w:rPr>
          <w:rFonts w:ascii="Arial" w:hAnsi="Arial" w:cs="Arial"/>
          <w:sz w:val="20"/>
          <w:szCs w:val="20"/>
        </w:rPr>
        <w:t xml:space="preserve">utilize the </w:t>
      </w:r>
      <w:r w:rsidRPr="006D7100">
        <w:rPr>
          <w:rFonts w:ascii="Arial" w:hAnsi="Arial" w:cs="Arial"/>
          <w:sz w:val="20"/>
          <w:szCs w:val="20"/>
        </w:rPr>
        <w:t xml:space="preserve">Press Ganey Performance monitoring to identify in-patient satisfaction scores. </w:t>
      </w:r>
    </w:p>
    <w:p w14:paraId="6EC3E001" w14:textId="77777777" w:rsidR="009C4CCF" w:rsidRPr="006D7100" w:rsidRDefault="009C4CCF" w:rsidP="009C4CCF">
      <w:pPr>
        <w:pStyle w:val="BodyText"/>
        <w:widowControl/>
        <w:spacing w:before="0"/>
        <w:ind w:left="720"/>
        <w:jc w:val="both"/>
        <w:rPr>
          <w:rFonts w:ascii="Arial" w:hAnsi="Arial" w:cs="Arial"/>
          <w:b/>
          <w:bCs/>
          <w:sz w:val="20"/>
          <w:szCs w:val="20"/>
        </w:rPr>
      </w:pPr>
    </w:p>
    <w:p w14:paraId="08146B9A" w14:textId="56E7AEB9" w:rsidR="009C4CCF" w:rsidRPr="00FF5EEC" w:rsidRDefault="009C4CCF" w:rsidP="00FF5EEC">
      <w:pPr>
        <w:pStyle w:val="BodyText"/>
        <w:widowControl/>
        <w:numPr>
          <w:ilvl w:val="0"/>
          <w:numId w:val="39"/>
        </w:numPr>
        <w:spacing w:before="0"/>
        <w:jc w:val="both"/>
        <w:rPr>
          <w:rFonts w:ascii="Arial" w:hAnsi="Arial" w:cs="Arial"/>
          <w:b/>
          <w:bCs/>
          <w:sz w:val="20"/>
          <w:szCs w:val="20"/>
        </w:rPr>
      </w:pPr>
      <w:r w:rsidRPr="009C4CCF">
        <w:rPr>
          <w:rFonts w:ascii="Arial" w:hAnsi="Arial" w:cs="Arial"/>
          <w:b/>
          <w:bCs/>
          <w:sz w:val="20"/>
          <w:szCs w:val="20"/>
        </w:rPr>
        <w:t>Access Measure – Length of Stay for patients in the ED</w:t>
      </w:r>
      <w:r w:rsidRPr="009C4CCF">
        <w:rPr>
          <w:rFonts w:ascii="Arial" w:hAnsi="Arial" w:cs="Arial"/>
          <w:sz w:val="20"/>
          <w:szCs w:val="20"/>
        </w:rPr>
        <w:t>: The Applicant will measure the average ED boarder hours by dividing the total annual boarder hours for behavioral health patients by the total number of behavioral health patients admitted to an inpatient psychiatric bed at GSMC.  GSMC anticipate</w:t>
      </w:r>
      <w:r w:rsidR="00FF5EEC">
        <w:rPr>
          <w:rFonts w:ascii="Arial" w:hAnsi="Arial" w:cs="Arial"/>
          <w:sz w:val="20"/>
          <w:szCs w:val="20"/>
        </w:rPr>
        <w:t>s</w:t>
      </w:r>
      <w:r w:rsidRPr="009C4CCF">
        <w:rPr>
          <w:rFonts w:ascii="Arial" w:hAnsi="Arial" w:cs="Arial"/>
          <w:sz w:val="20"/>
          <w:szCs w:val="20"/>
        </w:rPr>
        <w:t xml:space="preserve"> that ED boarding hours will decline with the addition of the proposed beds. </w:t>
      </w:r>
    </w:p>
    <w:p w14:paraId="3C2B12F6" w14:textId="77777777" w:rsidR="00FF5EEC" w:rsidRPr="00FF5EEC" w:rsidRDefault="00FF5EEC" w:rsidP="00FF5EEC">
      <w:pPr>
        <w:pStyle w:val="BodyText"/>
        <w:widowControl/>
        <w:spacing w:before="0"/>
        <w:ind w:left="0"/>
        <w:jc w:val="both"/>
        <w:rPr>
          <w:rFonts w:ascii="Arial" w:hAnsi="Arial" w:cs="Arial"/>
          <w:b/>
          <w:bCs/>
          <w:sz w:val="20"/>
          <w:szCs w:val="20"/>
        </w:rPr>
      </w:pPr>
    </w:p>
    <w:p w14:paraId="46805927" w14:textId="2A04D4B1" w:rsidR="009C4CCF" w:rsidRPr="009C4CCF" w:rsidRDefault="009C4CCF" w:rsidP="009C4CCF">
      <w:pPr>
        <w:pStyle w:val="BodyText"/>
        <w:widowControl/>
        <w:numPr>
          <w:ilvl w:val="0"/>
          <w:numId w:val="39"/>
        </w:numPr>
        <w:spacing w:before="0"/>
        <w:jc w:val="both"/>
        <w:rPr>
          <w:rFonts w:ascii="Arial" w:hAnsi="Arial" w:cs="Arial"/>
          <w:b/>
          <w:bCs/>
          <w:sz w:val="20"/>
          <w:szCs w:val="20"/>
        </w:rPr>
      </w:pPr>
      <w:r w:rsidRPr="009C4CCF">
        <w:rPr>
          <w:rFonts w:ascii="Arial" w:hAnsi="Arial" w:cs="Arial"/>
          <w:b/>
          <w:bCs/>
          <w:sz w:val="20"/>
          <w:szCs w:val="20"/>
        </w:rPr>
        <w:t xml:space="preserve">Outcome Measure – 30-Day Readmission Rate for GSMC psychiatric inpatients. </w:t>
      </w:r>
      <w:r w:rsidRPr="009C4CCF">
        <w:rPr>
          <w:rFonts w:ascii="Arial" w:hAnsi="Arial" w:cs="Arial"/>
          <w:sz w:val="20"/>
          <w:szCs w:val="20"/>
        </w:rPr>
        <w:t xml:space="preserve"> Hospital-Based In-Patient Psychiatric Services (“HBIPS”) national core measures is a major national core measurement initiative that aims to improve and monitor the quality and safety of the psychiatric patient. There are</w:t>
      </w:r>
      <w:r w:rsidRPr="009C4CCF">
        <w:rPr>
          <w:rFonts w:ascii="Arial" w:hAnsi="Arial" w:cs="Arial"/>
          <w:b/>
          <w:bCs/>
          <w:sz w:val="20"/>
          <w:szCs w:val="20"/>
        </w:rPr>
        <w:t xml:space="preserve"> </w:t>
      </w:r>
      <w:r w:rsidRPr="009C4CCF">
        <w:rPr>
          <w:rFonts w:ascii="Arial" w:hAnsi="Arial" w:cs="Arial"/>
          <w:sz w:val="20"/>
          <w:szCs w:val="20"/>
        </w:rPr>
        <w:t>9</w:t>
      </w:r>
      <w:r w:rsidRPr="009C4CCF">
        <w:rPr>
          <w:rFonts w:ascii="Arial" w:hAnsi="Arial" w:cs="Arial"/>
          <w:color w:val="FF0000"/>
          <w:sz w:val="20"/>
          <w:szCs w:val="20"/>
        </w:rPr>
        <w:t xml:space="preserve"> </w:t>
      </w:r>
      <w:r w:rsidRPr="009C4CCF">
        <w:rPr>
          <w:rFonts w:ascii="Arial" w:hAnsi="Arial" w:cs="Arial"/>
          <w:sz w:val="20"/>
          <w:szCs w:val="20"/>
        </w:rPr>
        <w:t xml:space="preserve">performance measures that are monitored and reviewed quarterly to ensure patient safety goals are being met. The Applicant will report the </w:t>
      </w:r>
      <w:r w:rsidRPr="009C4CCF">
        <w:rPr>
          <w:rFonts w:ascii="Arial" w:hAnsi="Arial" w:cs="Arial"/>
          <w:i/>
          <w:iCs/>
          <w:sz w:val="20"/>
          <w:szCs w:val="20"/>
        </w:rPr>
        <w:t>30 Day All Cause Unplanned Readmission Following Hospitalization</w:t>
      </w:r>
      <w:r w:rsidRPr="009C4CCF">
        <w:rPr>
          <w:rFonts w:ascii="Arial" w:hAnsi="Arial" w:cs="Arial"/>
          <w:sz w:val="20"/>
          <w:szCs w:val="20"/>
        </w:rPr>
        <w:t xml:space="preserve">. Given the scope of the Proposed Project, quality scores and re-admission rates will improve over time. </w:t>
      </w:r>
    </w:p>
    <w:p w14:paraId="585BE721" w14:textId="77777777" w:rsidR="009C4CCF" w:rsidRDefault="009C4CCF" w:rsidP="009C4CCF">
      <w:pPr>
        <w:spacing w:after="0" w:line="240" w:lineRule="auto"/>
        <w:jc w:val="both"/>
        <w:rPr>
          <w:rFonts w:ascii="Arial" w:hAnsi="Arial" w:cs="Arial"/>
          <w:b/>
          <w:kern w:val="2"/>
          <w:sz w:val="20"/>
          <w:szCs w:val="20"/>
        </w:rPr>
      </w:pPr>
    </w:p>
    <w:p w14:paraId="44E90D14" w14:textId="17133EC6" w:rsidR="009C4CCF" w:rsidRPr="0067582D" w:rsidRDefault="009C4CCF" w:rsidP="009C4CCF">
      <w:pPr>
        <w:spacing w:after="0" w:line="240" w:lineRule="auto"/>
        <w:jc w:val="both"/>
        <w:rPr>
          <w:rFonts w:ascii="Arial" w:eastAsia="Arial" w:hAnsi="Arial" w:cs="Arial"/>
          <w:b/>
          <w:kern w:val="2"/>
          <w:sz w:val="20"/>
          <w:szCs w:val="20"/>
        </w:rPr>
      </w:pPr>
      <w:r w:rsidRPr="0067582D">
        <w:rPr>
          <w:rFonts w:ascii="Arial" w:hAnsi="Arial" w:cs="Arial"/>
          <w:b/>
          <w:kern w:val="2"/>
          <w:sz w:val="20"/>
          <w:szCs w:val="20"/>
        </w:rPr>
        <w:t>F1.b.iii</w:t>
      </w:r>
      <w:r w:rsidRPr="0067582D">
        <w:rPr>
          <w:rFonts w:ascii="Arial" w:hAnsi="Arial" w:cs="Arial"/>
          <w:b/>
          <w:kern w:val="2"/>
          <w:sz w:val="20"/>
          <w:szCs w:val="20"/>
        </w:rPr>
        <w:tab/>
      </w:r>
      <w:r w:rsidRPr="0067582D">
        <w:rPr>
          <w:rFonts w:ascii="Arial" w:hAnsi="Arial" w:cs="Arial"/>
          <w:kern w:val="2"/>
          <w:sz w:val="20"/>
          <w:szCs w:val="20"/>
        </w:rPr>
        <w:tab/>
      </w:r>
      <w:r w:rsidRPr="0067582D">
        <w:rPr>
          <w:rFonts w:ascii="Arial" w:hAnsi="Arial" w:cs="Arial"/>
          <w:b/>
          <w:kern w:val="2"/>
          <w:sz w:val="20"/>
          <w:szCs w:val="20"/>
          <w:u w:val="single"/>
        </w:rPr>
        <w:t>Public Health Value /Health Equity-Focused:</w:t>
      </w:r>
    </w:p>
    <w:p w14:paraId="3BA77EEC" w14:textId="77777777" w:rsidR="009C4CCF" w:rsidRDefault="009C4CCF" w:rsidP="009C4CCF">
      <w:pPr>
        <w:pStyle w:val="BodyText"/>
        <w:widowControl/>
        <w:spacing w:before="0"/>
        <w:ind w:left="1440"/>
        <w:jc w:val="both"/>
        <w:rPr>
          <w:rFonts w:ascii="Arial" w:hAnsi="Arial" w:cs="Arial"/>
          <w:b/>
          <w:kern w:val="2"/>
          <w:sz w:val="20"/>
          <w:szCs w:val="20"/>
        </w:rPr>
      </w:pPr>
      <w:r w:rsidRPr="0067582D">
        <w:rPr>
          <w:rFonts w:ascii="Arial" w:hAnsi="Arial" w:cs="Arial"/>
          <w:b/>
          <w:kern w:val="2"/>
          <w:sz w:val="20"/>
          <w:szCs w:val="20"/>
        </w:rPr>
        <w:t xml:space="preserve">For Proposed Projects addressing health inequities identified within the Applicant's description of the Proposed Project's </w:t>
      </w:r>
      <w:proofErr w:type="spellStart"/>
      <w:r w:rsidRPr="0067582D">
        <w:rPr>
          <w:rFonts w:ascii="Arial" w:hAnsi="Arial" w:cs="Arial"/>
          <w:b/>
          <w:kern w:val="2"/>
          <w:sz w:val="20"/>
          <w:szCs w:val="20"/>
        </w:rPr>
        <w:t>need</w:t>
      </w:r>
      <w:r w:rsidRPr="0067582D">
        <w:rPr>
          <w:rFonts w:ascii="Arial" w:hAnsi="Arial" w:cs="Arial"/>
          <w:b/>
          <w:kern w:val="2"/>
          <w:sz w:val="20"/>
          <w:szCs w:val="20"/>
        </w:rPr>
        <w:softHyphen/>
        <w:t>base</w:t>
      </w:r>
      <w:proofErr w:type="spellEnd"/>
      <w:r w:rsidRPr="0067582D">
        <w:rPr>
          <w:rFonts w:ascii="Arial" w:hAnsi="Arial" w:cs="Arial"/>
          <w:b/>
          <w:kern w:val="2"/>
          <w:sz w:val="20"/>
          <w:szCs w:val="20"/>
        </w:rPr>
        <w:t>, please justify how the Proposed Project will reduce the health inequity, including the operational components (</w:t>
      </w:r>
      <w:proofErr w:type="gramStart"/>
      <w:r w:rsidRPr="0067582D">
        <w:rPr>
          <w:rFonts w:ascii="Arial" w:hAnsi="Arial" w:cs="Arial"/>
          <w:b/>
          <w:kern w:val="2"/>
          <w:sz w:val="20"/>
          <w:szCs w:val="20"/>
        </w:rPr>
        <w:t>e.g.</w:t>
      </w:r>
      <w:proofErr w:type="gramEnd"/>
      <w:r w:rsidRPr="0067582D">
        <w:rPr>
          <w:rFonts w:ascii="Arial" w:hAnsi="Arial" w:cs="Arial"/>
          <w:b/>
          <w:kern w:val="2"/>
          <w:sz w:val="20"/>
          <w:szCs w:val="20"/>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3BD0897" w14:textId="77777777" w:rsidR="009C4CCF" w:rsidRDefault="009C4CCF" w:rsidP="009C4CCF">
      <w:pPr>
        <w:pStyle w:val="BodyText"/>
        <w:widowControl/>
        <w:spacing w:before="0"/>
        <w:ind w:left="1440"/>
        <w:jc w:val="both"/>
        <w:rPr>
          <w:rFonts w:ascii="Arial" w:hAnsi="Arial" w:cs="Arial"/>
          <w:b/>
          <w:kern w:val="2"/>
          <w:sz w:val="20"/>
          <w:szCs w:val="20"/>
        </w:rPr>
      </w:pPr>
    </w:p>
    <w:p w14:paraId="25FF4F11" w14:textId="1C03949B" w:rsidR="009C4CCF" w:rsidRDefault="009C4CCF" w:rsidP="009C4CCF">
      <w:pPr>
        <w:pStyle w:val="BodyText2"/>
        <w:spacing w:after="160" w:line="259" w:lineRule="auto"/>
        <w:rPr>
          <w:rFonts w:eastAsiaTheme="minorHAnsi"/>
          <w:kern w:val="0"/>
        </w:rPr>
      </w:pPr>
      <w:r>
        <w:lastRenderedPageBreak/>
        <w:t xml:space="preserve">To ensure health equity to all populations, including those deemed </w:t>
      </w:r>
      <w:r>
        <w:rPr>
          <w:rFonts w:eastAsiaTheme="minorHAnsi"/>
          <w:kern w:val="0"/>
        </w:rPr>
        <w:t xml:space="preserve">underserved, the Proposed Project will improve access to GSMC’s services for all patients including </w:t>
      </w:r>
      <w:proofErr w:type="gramStart"/>
      <w:r>
        <w:rPr>
          <w:rFonts w:eastAsiaTheme="minorHAnsi"/>
          <w:kern w:val="0"/>
        </w:rPr>
        <w:t>economically disadvantaged</w:t>
      </w:r>
      <w:proofErr w:type="gramEnd"/>
      <w:r>
        <w:rPr>
          <w:rFonts w:eastAsiaTheme="minorHAnsi"/>
          <w:kern w:val="0"/>
        </w:rPr>
        <w:t>,</w:t>
      </w:r>
      <w:r w:rsidRPr="00725EB8">
        <w:rPr>
          <w:rFonts w:eastAsiaTheme="minorHAnsi"/>
          <w:kern w:val="0"/>
        </w:rPr>
        <w:t xml:space="preserve"> medically indigent, and/or MassHealth-eligible individuals</w:t>
      </w:r>
      <w:r>
        <w:rPr>
          <w:rFonts w:eastAsiaTheme="minorHAnsi"/>
          <w:kern w:val="0"/>
        </w:rPr>
        <w:t xml:space="preserve">. The Applicant and GSMC </w:t>
      </w:r>
      <w:r w:rsidRPr="00725EB8">
        <w:rPr>
          <w:rFonts w:eastAsiaTheme="minorHAnsi"/>
          <w:kern w:val="0"/>
        </w:rPr>
        <w:t xml:space="preserve">do not discriminate based on the payer source or an individual’s ability to pay, and </w:t>
      </w:r>
      <w:r>
        <w:rPr>
          <w:rFonts w:eastAsiaTheme="minorHAnsi"/>
          <w:kern w:val="0"/>
        </w:rPr>
        <w:t>this practice will continue following implementation of the Proposed Project. As discussed throughout this narrative, the Proposed Project will increase access to high</w:t>
      </w:r>
      <w:r w:rsidR="00FF5EEC">
        <w:rPr>
          <w:rFonts w:eastAsiaTheme="minorHAnsi"/>
          <w:kern w:val="0"/>
        </w:rPr>
        <w:t>-</w:t>
      </w:r>
      <w:r>
        <w:rPr>
          <w:rFonts w:eastAsiaTheme="minorHAnsi"/>
          <w:kern w:val="0"/>
        </w:rPr>
        <w:t>quality and timely inpatient psychiatric care. These services are critical for underserved individuals and those facing barriers to care.</w:t>
      </w:r>
    </w:p>
    <w:p w14:paraId="4E88FA38" w14:textId="77777777" w:rsidR="009C4CCF" w:rsidRDefault="009C4CCF" w:rsidP="009C4CCF">
      <w:pPr>
        <w:pStyle w:val="BodyText2"/>
        <w:spacing w:after="160" w:line="259" w:lineRule="auto"/>
        <w:rPr>
          <w:rFonts w:eastAsiaTheme="minorHAnsi"/>
          <w:kern w:val="0"/>
        </w:rPr>
      </w:pPr>
      <w:r>
        <w:t>The provision of a</w:t>
      </w:r>
      <w:r w:rsidRPr="00B75A0D">
        <w:t>ppropriate medical care largely depends on the ability to communicate</w:t>
      </w:r>
      <w:r>
        <w:t>.</w:t>
      </w:r>
      <w:r w:rsidRPr="00611972">
        <w:rPr>
          <w:rFonts w:eastAsiaTheme="minorHAnsi"/>
          <w:kern w:val="0"/>
        </w:rPr>
        <w:t xml:space="preserve"> Steward</w:t>
      </w:r>
      <w:r>
        <w:rPr>
          <w:rFonts w:eastAsiaTheme="minorHAnsi"/>
          <w:kern w:val="0"/>
        </w:rPr>
        <w:t xml:space="preserve"> and GSMC are</w:t>
      </w:r>
      <w:r w:rsidRPr="00611972">
        <w:rPr>
          <w:rFonts w:eastAsiaTheme="minorHAnsi"/>
          <w:kern w:val="0"/>
        </w:rPr>
        <w:t xml:space="preserve"> dedicated to ensuring culturally and linguistically appropriate care</w:t>
      </w:r>
      <w:r>
        <w:rPr>
          <w:rFonts w:eastAsiaTheme="minorHAnsi"/>
          <w:kern w:val="0"/>
        </w:rPr>
        <w:t>. GSMC</w:t>
      </w:r>
      <w:r w:rsidRPr="00611972">
        <w:rPr>
          <w:rFonts w:eastAsiaTheme="minorHAnsi"/>
          <w:kern w:val="0"/>
        </w:rPr>
        <w:t xml:space="preserve"> offers interpreter services that include in-person, telephonic, video, and ASL</w:t>
      </w:r>
      <w:r>
        <w:rPr>
          <w:rFonts w:eastAsiaTheme="minorHAnsi"/>
          <w:kern w:val="0"/>
        </w:rPr>
        <w:t xml:space="preserve"> </w:t>
      </w:r>
      <w:r w:rsidRPr="00B75A0D">
        <w:t>available to patients</w:t>
      </w:r>
      <w:r>
        <w:t xml:space="preserve"> and families.</w:t>
      </w:r>
      <w:r w:rsidRPr="00611972">
        <w:rPr>
          <w:rFonts w:eastAsiaTheme="minorHAnsi"/>
          <w:kern w:val="0"/>
        </w:rPr>
        <w:t xml:space="preserve"> GSMC has a team of qualified medical interpreters to provide effective communication to Limited English Proficiency (“LEP”), deaf and hard of hearing (</w:t>
      </w:r>
      <w:r>
        <w:rPr>
          <w:rFonts w:eastAsiaTheme="minorHAnsi"/>
          <w:kern w:val="0"/>
        </w:rPr>
        <w:t>“</w:t>
      </w:r>
      <w:r w:rsidRPr="00611972">
        <w:rPr>
          <w:rFonts w:eastAsiaTheme="minorHAnsi"/>
          <w:kern w:val="0"/>
        </w:rPr>
        <w:t>DHH”) patients</w:t>
      </w:r>
      <w:r>
        <w:rPr>
          <w:rFonts w:eastAsiaTheme="minorHAnsi"/>
          <w:kern w:val="0"/>
        </w:rPr>
        <w:t xml:space="preserve"> and has</w:t>
      </w:r>
      <w:r w:rsidRPr="00611972">
        <w:rPr>
          <w:rFonts w:eastAsiaTheme="minorHAnsi"/>
          <w:kern w:val="0"/>
        </w:rPr>
        <w:t xml:space="preserve"> bilingual clinical staff</w:t>
      </w:r>
      <w:r>
        <w:rPr>
          <w:rFonts w:eastAsiaTheme="minorHAnsi"/>
          <w:kern w:val="0"/>
        </w:rPr>
        <w:t xml:space="preserve">. </w:t>
      </w:r>
      <w:r w:rsidRPr="00611972">
        <w:rPr>
          <w:rFonts w:eastAsiaTheme="minorHAnsi"/>
          <w:kern w:val="0"/>
        </w:rPr>
        <w:t xml:space="preserve">Staff interpreters are available days and evenings 7 days per week. If a staff interpreter is not immediately available, such as during high volume times, GSMC provides access to interpreters </w:t>
      </w:r>
      <w:r>
        <w:rPr>
          <w:rFonts w:eastAsiaTheme="minorHAnsi"/>
          <w:kern w:val="0"/>
        </w:rPr>
        <w:t>by</w:t>
      </w:r>
      <w:r w:rsidRPr="00611972">
        <w:rPr>
          <w:rFonts w:eastAsiaTheme="minorHAnsi"/>
          <w:kern w:val="0"/>
        </w:rPr>
        <w:t xml:space="preserve"> phone (</w:t>
      </w:r>
      <w:proofErr w:type="spellStart"/>
      <w:r w:rsidRPr="00611972">
        <w:rPr>
          <w:rFonts w:eastAsiaTheme="minorHAnsi"/>
          <w:kern w:val="0"/>
        </w:rPr>
        <w:t>CyraCom</w:t>
      </w:r>
      <w:proofErr w:type="spellEnd"/>
      <w:r w:rsidRPr="00611972">
        <w:rPr>
          <w:rFonts w:eastAsiaTheme="minorHAnsi"/>
          <w:kern w:val="0"/>
        </w:rPr>
        <w:t>) or video remote units (Stratus).</w:t>
      </w:r>
      <w:r>
        <w:rPr>
          <w:rFonts w:eastAsiaTheme="minorHAnsi"/>
          <w:kern w:val="0"/>
        </w:rPr>
        <w:t xml:space="preserve"> GSMC’s</w:t>
      </w:r>
      <w:r w:rsidRPr="00611972">
        <w:rPr>
          <w:rFonts w:eastAsiaTheme="minorHAnsi"/>
          <w:kern w:val="0"/>
        </w:rPr>
        <w:t xml:space="preserve"> interpreters </w:t>
      </w:r>
      <w:r>
        <w:rPr>
          <w:rFonts w:eastAsiaTheme="minorHAnsi"/>
          <w:kern w:val="0"/>
        </w:rPr>
        <w:t>are</w:t>
      </w:r>
      <w:r w:rsidRPr="00611972">
        <w:rPr>
          <w:rFonts w:eastAsiaTheme="minorHAnsi"/>
          <w:kern w:val="0"/>
        </w:rPr>
        <w:t xml:space="preserve"> assessed </w:t>
      </w:r>
      <w:r>
        <w:rPr>
          <w:rFonts w:eastAsiaTheme="minorHAnsi"/>
          <w:kern w:val="0"/>
        </w:rPr>
        <w:t xml:space="preserve">for </w:t>
      </w:r>
      <w:r w:rsidRPr="00611972">
        <w:rPr>
          <w:rFonts w:eastAsiaTheme="minorHAnsi"/>
          <w:kern w:val="0"/>
        </w:rPr>
        <w:t xml:space="preserve">their clinical fluency </w:t>
      </w:r>
      <w:r>
        <w:rPr>
          <w:rFonts w:eastAsiaTheme="minorHAnsi"/>
          <w:kern w:val="0"/>
        </w:rPr>
        <w:t>so they can</w:t>
      </w:r>
      <w:r w:rsidRPr="00611972">
        <w:rPr>
          <w:rFonts w:eastAsiaTheme="minorHAnsi"/>
          <w:kern w:val="0"/>
        </w:rPr>
        <w:t xml:space="preserve"> provide direct care to patients in another language</w:t>
      </w:r>
      <w:r>
        <w:rPr>
          <w:rFonts w:eastAsiaTheme="minorHAnsi"/>
          <w:kern w:val="0"/>
        </w:rPr>
        <w:t xml:space="preserve"> and are trained </w:t>
      </w:r>
      <w:r w:rsidRPr="00611972">
        <w:rPr>
          <w:rFonts w:eastAsiaTheme="minorHAnsi"/>
          <w:kern w:val="0"/>
        </w:rPr>
        <w:t>in terminology related to mental illness</w:t>
      </w:r>
      <w:r>
        <w:rPr>
          <w:rFonts w:eastAsiaTheme="minorHAnsi"/>
          <w:kern w:val="0"/>
        </w:rPr>
        <w:t xml:space="preserve"> to</w:t>
      </w:r>
      <w:r w:rsidRPr="00611972">
        <w:rPr>
          <w:rFonts w:eastAsiaTheme="minorHAnsi"/>
          <w:kern w:val="0"/>
        </w:rPr>
        <w:t xml:space="preserve"> ensure accurate and informed encounters</w:t>
      </w:r>
      <w:r>
        <w:rPr>
          <w:rFonts w:eastAsiaTheme="minorHAnsi"/>
          <w:kern w:val="0"/>
        </w:rPr>
        <w:t xml:space="preserve">. Interpreters on staff can speak the following languages, which </w:t>
      </w:r>
      <w:r w:rsidRPr="00611972">
        <w:rPr>
          <w:rFonts w:eastAsiaTheme="minorHAnsi"/>
          <w:kern w:val="0"/>
        </w:rPr>
        <w:t xml:space="preserve">represent the primary languages within </w:t>
      </w:r>
      <w:r>
        <w:rPr>
          <w:rFonts w:eastAsiaTheme="minorHAnsi"/>
          <w:kern w:val="0"/>
        </w:rPr>
        <w:t>GSMC’s</w:t>
      </w:r>
      <w:r w:rsidRPr="00611972">
        <w:rPr>
          <w:rFonts w:eastAsiaTheme="minorHAnsi"/>
          <w:kern w:val="0"/>
        </w:rPr>
        <w:t xml:space="preserve"> service area: Portuguese, Spanish, ASL, and Cape Verdean</w:t>
      </w:r>
      <w:r>
        <w:rPr>
          <w:rFonts w:eastAsiaTheme="minorHAnsi"/>
          <w:kern w:val="0"/>
        </w:rPr>
        <w:t xml:space="preserve">. </w:t>
      </w:r>
      <w:r w:rsidRPr="00611972">
        <w:rPr>
          <w:rFonts w:eastAsiaTheme="minorHAnsi"/>
          <w:kern w:val="0"/>
        </w:rPr>
        <w:t xml:space="preserve">GSMC </w:t>
      </w:r>
      <w:r>
        <w:rPr>
          <w:rFonts w:eastAsiaTheme="minorHAnsi"/>
          <w:kern w:val="0"/>
        </w:rPr>
        <w:t xml:space="preserve">also </w:t>
      </w:r>
      <w:r w:rsidRPr="00611972">
        <w:rPr>
          <w:rFonts w:eastAsiaTheme="minorHAnsi"/>
          <w:kern w:val="0"/>
        </w:rPr>
        <w:t xml:space="preserve">provides patient information that </w:t>
      </w:r>
      <w:r>
        <w:rPr>
          <w:rFonts w:eastAsiaTheme="minorHAnsi"/>
          <w:kern w:val="0"/>
        </w:rPr>
        <w:t>is</w:t>
      </w:r>
      <w:r w:rsidRPr="00611972">
        <w:rPr>
          <w:rFonts w:eastAsiaTheme="minorHAnsi"/>
          <w:kern w:val="0"/>
        </w:rPr>
        <w:t xml:space="preserve"> translated and available in multiple languages, ensuring equal access to important patient information. </w:t>
      </w:r>
    </w:p>
    <w:p w14:paraId="77F41546" w14:textId="77777777" w:rsidR="009C4CCF" w:rsidRPr="00EC4235" w:rsidRDefault="009C4CCF" w:rsidP="009C4CCF">
      <w:pPr>
        <w:pStyle w:val="BodyText2"/>
        <w:spacing w:after="160" w:line="259" w:lineRule="auto"/>
        <w:rPr>
          <w:rFonts w:eastAsiaTheme="minorHAnsi"/>
          <w:kern w:val="0"/>
        </w:rPr>
      </w:pPr>
      <w:r w:rsidRPr="00EC4235">
        <w:rPr>
          <w:rFonts w:eastAsiaTheme="minorHAnsi"/>
          <w:kern w:val="0"/>
        </w:rPr>
        <w:t xml:space="preserve">Hospital staff from all departments are informed of the existence and appropriate use of interpreter services through staff orientations, skills days, the Cultural Connection Newsletter, and staff meetings to ensure staff is aware of these services. With Steward’s newly integrated EMR and dispatch system, GSMC has improved efficiencies, decreased redundancy, improved accuracy of appointments and improved identification of LEP and DHH patients. </w:t>
      </w:r>
    </w:p>
    <w:p w14:paraId="69E123F3" w14:textId="77777777" w:rsidR="009C4CCF" w:rsidRPr="0067582D" w:rsidRDefault="009C4CCF" w:rsidP="009C4CCF">
      <w:pPr>
        <w:pStyle w:val="BodyText"/>
        <w:widowControl/>
        <w:spacing w:before="0"/>
        <w:ind w:left="1440"/>
        <w:jc w:val="both"/>
        <w:rPr>
          <w:rFonts w:ascii="Arial" w:hAnsi="Arial" w:cs="Arial"/>
          <w:b/>
          <w:kern w:val="2"/>
          <w:sz w:val="20"/>
          <w:szCs w:val="20"/>
        </w:rPr>
      </w:pPr>
    </w:p>
    <w:p w14:paraId="7D2D157D" w14:textId="77777777" w:rsidR="009C4CCF" w:rsidRDefault="009C4CCF" w:rsidP="009C4CCF">
      <w:pPr>
        <w:pStyle w:val="BodyText"/>
        <w:widowControl/>
        <w:spacing w:before="0"/>
        <w:ind w:left="1440" w:hanging="1440"/>
        <w:jc w:val="both"/>
        <w:rPr>
          <w:rFonts w:ascii="Arial" w:hAnsi="Arial" w:cs="Arial"/>
          <w:b/>
          <w:kern w:val="2"/>
          <w:sz w:val="20"/>
          <w:szCs w:val="20"/>
        </w:rPr>
      </w:pPr>
      <w:r w:rsidRPr="00E856BB">
        <w:rPr>
          <w:rFonts w:ascii="Arial" w:hAnsi="Arial" w:cs="Arial"/>
          <w:b/>
          <w:kern w:val="2"/>
          <w:sz w:val="20"/>
          <w:szCs w:val="20"/>
        </w:rPr>
        <w:t>F1.</w:t>
      </w:r>
      <w:proofErr w:type="gramStart"/>
      <w:r w:rsidRPr="00E856BB">
        <w:rPr>
          <w:rFonts w:ascii="Arial" w:hAnsi="Arial" w:cs="Arial"/>
          <w:b/>
          <w:kern w:val="2"/>
          <w:sz w:val="20"/>
          <w:szCs w:val="20"/>
        </w:rPr>
        <w:t>b.iv</w:t>
      </w:r>
      <w:proofErr w:type="gramEnd"/>
      <w:r w:rsidRPr="00E856BB">
        <w:rPr>
          <w:rFonts w:ascii="Arial" w:hAnsi="Arial" w:cs="Arial"/>
          <w:b/>
          <w:kern w:val="2"/>
          <w:sz w:val="20"/>
          <w:szCs w:val="20"/>
        </w:rPr>
        <w:tab/>
        <w:t>Provide additional information to demonstrate that the Proposed Project will result in improved health outcomes and quality of life of the Applicant's existing Patient Panel, while providing reasonable assurances of health equity.</w:t>
      </w:r>
    </w:p>
    <w:p w14:paraId="459E520C" w14:textId="77777777" w:rsidR="009C4CCF" w:rsidRDefault="009C4CCF" w:rsidP="009C4CCF">
      <w:pPr>
        <w:pStyle w:val="BodyText"/>
        <w:widowControl/>
        <w:spacing w:before="0"/>
        <w:ind w:left="1440" w:hanging="1440"/>
        <w:jc w:val="both"/>
        <w:rPr>
          <w:rFonts w:ascii="Arial" w:hAnsi="Arial" w:cs="Arial"/>
          <w:b/>
          <w:kern w:val="2"/>
          <w:sz w:val="20"/>
          <w:szCs w:val="20"/>
        </w:rPr>
      </w:pPr>
    </w:p>
    <w:p w14:paraId="65BE7717" w14:textId="77777777" w:rsidR="009C4CCF" w:rsidRPr="00E856BB" w:rsidRDefault="009C4CCF" w:rsidP="009C4CCF">
      <w:pPr>
        <w:pStyle w:val="BodyText"/>
        <w:widowControl/>
        <w:spacing w:before="0"/>
        <w:jc w:val="both"/>
        <w:rPr>
          <w:rFonts w:ascii="Arial" w:hAnsi="Arial" w:cs="Arial"/>
          <w:kern w:val="2"/>
          <w:sz w:val="20"/>
          <w:szCs w:val="20"/>
        </w:rPr>
      </w:pPr>
      <w:r>
        <w:rPr>
          <w:rFonts w:ascii="Arial" w:hAnsi="Arial" w:cs="Arial"/>
          <w:kern w:val="2"/>
          <w:sz w:val="20"/>
          <w:szCs w:val="20"/>
        </w:rPr>
        <w:t xml:space="preserve">The proposed project seeks to expand access to inpatient psychiatric services at GSMC through the </w:t>
      </w:r>
      <w:r w:rsidRPr="00F61619">
        <w:rPr>
          <w:rFonts w:ascii="Arial" w:hAnsi="Arial" w:cs="Arial"/>
          <w:sz w:val="20"/>
          <w:szCs w:val="20"/>
        </w:rPr>
        <w:t>construction of a seventy-seven (77) bed facility that will accommodate sixteen (16) beds relocated from the existing GSMC campus and sixty-one (61) new inpatient psychiatric beds</w:t>
      </w:r>
      <w:r>
        <w:rPr>
          <w:rFonts w:ascii="Arial" w:hAnsi="Arial" w:cs="Arial"/>
          <w:sz w:val="20"/>
          <w:szCs w:val="20"/>
        </w:rPr>
        <w:t xml:space="preserve"> (formerly operated by Norwood Hospital)</w:t>
      </w:r>
      <w:r>
        <w:t xml:space="preserve">. </w:t>
      </w:r>
      <w:r>
        <w:rPr>
          <w:rFonts w:ascii="Arial" w:hAnsi="Arial" w:cs="Arial"/>
          <w:kern w:val="2"/>
          <w:sz w:val="20"/>
          <w:szCs w:val="20"/>
        </w:rPr>
        <w:t xml:space="preserve">The </w:t>
      </w:r>
      <w:r w:rsidRPr="00E856BB">
        <w:rPr>
          <w:rFonts w:ascii="Arial" w:hAnsi="Arial" w:cs="Arial"/>
          <w:kern w:val="2"/>
          <w:sz w:val="20"/>
          <w:szCs w:val="20"/>
        </w:rPr>
        <w:t xml:space="preserve">Proposed Project will improve health outcomes and quality of life for </w:t>
      </w:r>
      <w:r>
        <w:rPr>
          <w:rFonts w:ascii="Arial" w:hAnsi="Arial" w:cs="Arial"/>
          <w:kern w:val="2"/>
          <w:sz w:val="20"/>
          <w:szCs w:val="20"/>
        </w:rPr>
        <w:t>GSMC’s</w:t>
      </w:r>
      <w:r w:rsidRPr="00E856BB">
        <w:rPr>
          <w:rFonts w:ascii="Arial" w:hAnsi="Arial" w:cs="Arial"/>
          <w:kern w:val="2"/>
          <w:sz w:val="20"/>
          <w:szCs w:val="20"/>
        </w:rPr>
        <w:t xml:space="preserve"> </w:t>
      </w:r>
      <w:r>
        <w:rPr>
          <w:rFonts w:ascii="Arial" w:hAnsi="Arial" w:cs="Arial"/>
          <w:kern w:val="2"/>
          <w:sz w:val="20"/>
          <w:szCs w:val="20"/>
        </w:rPr>
        <w:t>P</w:t>
      </w:r>
      <w:r w:rsidRPr="00E856BB">
        <w:rPr>
          <w:rFonts w:ascii="Arial" w:hAnsi="Arial" w:cs="Arial"/>
          <w:kern w:val="2"/>
          <w:sz w:val="20"/>
          <w:szCs w:val="20"/>
        </w:rPr>
        <w:t xml:space="preserve">atient </w:t>
      </w:r>
      <w:r>
        <w:rPr>
          <w:rFonts w:ascii="Arial" w:hAnsi="Arial" w:cs="Arial"/>
          <w:kern w:val="2"/>
          <w:sz w:val="20"/>
          <w:szCs w:val="20"/>
        </w:rPr>
        <w:t>P</w:t>
      </w:r>
      <w:r w:rsidRPr="00E856BB">
        <w:rPr>
          <w:rFonts w:ascii="Arial" w:hAnsi="Arial" w:cs="Arial"/>
          <w:kern w:val="2"/>
          <w:sz w:val="20"/>
          <w:szCs w:val="20"/>
        </w:rPr>
        <w:t xml:space="preserve">anel by </w:t>
      </w:r>
      <w:r>
        <w:rPr>
          <w:rFonts w:ascii="Arial" w:hAnsi="Arial" w:cs="Arial"/>
          <w:kern w:val="2"/>
          <w:sz w:val="20"/>
          <w:szCs w:val="20"/>
        </w:rPr>
        <w:t xml:space="preserve">providing timely access to inpatient psychiatric beds and reducing ED boarding. Timely access to inpatient psychiatric beds and decreased ED boarding will ultimately improve patient health outcomes and patient quality of life. GSMC remains committed </w:t>
      </w:r>
      <w:r w:rsidRPr="00E856BB">
        <w:rPr>
          <w:rFonts w:ascii="Arial" w:hAnsi="Arial" w:cs="Arial"/>
          <w:kern w:val="2"/>
          <w:sz w:val="20"/>
          <w:szCs w:val="20"/>
        </w:rPr>
        <w:t>to promot</w:t>
      </w:r>
      <w:r>
        <w:rPr>
          <w:rFonts w:ascii="Arial" w:hAnsi="Arial" w:cs="Arial"/>
          <w:kern w:val="2"/>
          <w:sz w:val="20"/>
          <w:szCs w:val="20"/>
        </w:rPr>
        <w:t>ing</w:t>
      </w:r>
      <w:r w:rsidRPr="00E856BB">
        <w:rPr>
          <w:rFonts w:ascii="Arial" w:hAnsi="Arial" w:cs="Arial"/>
          <w:kern w:val="2"/>
          <w:sz w:val="20"/>
          <w:szCs w:val="20"/>
        </w:rPr>
        <w:t xml:space="preserve"> health equity</w:t>
      </w:r>
      <w:r>
        <w:rPr>
          <w:rFonts w:ascii="Arial" w:hAnsi="Arial" w:cs="Arial"/>
          <w:kern w:val="2"/>
          <w:sz w:val="20"/>
          <w:szCs w:val="20"/>
        </w:rPr>
        <w:t xml:space="preserve">, </w:t>
      </w:r>
      <w:r w:rsidRPr="00E856BB">
        <w:rPr>
          <w:rFonts w:ascii="Arial" w:hAnsi="Arial" w:cs="Arial"/>
          <w:kern w:val="2"/>
          <w:sz w:val="20"/>
          <w:szCs w:val="20"/>
        </w:rPr>
        <w:t>ensur</w:t>
      </w:r>
      <w:r>
        <w:rPr>
          <w:rFonts w:ascii="Arial" w:hAnsi="Arial" w:cs="Arial"/>
          <w:kern w:val="2"/>
          <w:sz w:val="20"/>
          <w:szCs w:val="20"/>
        </w:rPr>
        <w:t>ing</w:t>
      </w:r>
      <w:r w:rsidRPr="00E856BB">
        <w:rPr>
          <w:rFonts w:ascii="Arial" w:hAnsi="Arial" w:cs="Arial"/>
          <w:kern w:val="2"/>
          <w:sz w:val="20"/>
          <w:szCs w:val="20"/>
        </w:rPr>
        <w:t xml:space="preserve"> patients </w:t>
      </w:r>
      <w:r>
        <w:rPr>
          <w:rFonts w:ascii="Arial" w:hAnsi="Arial" w:cs="Arial"/>
          <w:kern w:val="2"/>
          <w:sz w:val="20"/>
          <w:szCs w:val="20"/>
        </w:rPr>
        <w:t xml:space="preserve">can </w:t>
      </w:r>
      <w:r w:rsidRPr="00E856BB">
        <w:rPr>
          <w:rFonts w:ascii="Arial" w:hAnsi="Arial" w:cs="Arial"/>
          <w:kern w:val="2"/>
          <w:sz w:val="20"/>
          <w:szCs w:val="20"/>
        </w:rPr>
        <w:t xml:space="preserve">access </w:t>
      </w:r>
      <w:r>
        <w:rPr>
          <w:rFonts w:ascii="Arial" w:hAnsi="Arial" w:cs="Arial"/>
          <w:kern w:val="2"/>
          <w:sz w:val="20"/>
          <w:szCs w:val="20"/>
        </w:rPr>
        <w:t xml:space="preserve">the </w:t>
      </w:r>
      <w:r w:rsidRPr="00E856BB">
        <w:rPr>
          <w:rFonts w:ascii="Arial" w:hAnsi="Arial" w:cs="Arial"/>
          <w:kern w:val="2"/>
          <w:sz w:val="20"/>
          <w:szCs w:val="20"/>
        </w:rPr>
        <w:t>Hospital’s services</w:t>
      </w:r>
      <w:r>
        <w:rPr>
          <w:rFonts w:ascii="Arial" w:hAnsi="Arial" w:cs="Arial"/>
          <w:kern w:val="2"/>
          <w:sz w:val="20"/>
          <w:szCs w:val="20"/>
        </w:rPr>
        <w:t xml:space="preserve">, </w:t>
      </w:r>
      <w:r w:rsidRPr="00E856BB">
        <w:rPr>
          <w:rFonts w:ascii="Arial" w:hAnsi="Arial" w:cs="Arial"/>
          <w:kern w:val="2"/>
          <w:sz w:val="20"/>
          <w:szCs w:val="20"/>
        </w:rPr>
        <w:t xml:space="preserve">effectively communicate with their providers, and </w:t>
      </w:r>
      <w:r>
        <w:rPr>
          <w:rFonts w:ascii="Arial" w:hAnsi="Arial" w:cs="Arial"/>
          <w:kern w:val="2"/>
          <w:sz w:val="20"/>
          <w:szCs w:val="20"/>
        </w:rPr>
        <w:t>ensure patients are linked</w:t>
      </w:r>
      <w:r w:rsidRPr="00E856BB">
        <w:rPr>
          <w:rFonts w:ascii="Arial" w:hAnsi="Arial" w:cs="Arial"/>
          <w:kern w:val="2"/>
          <w:sz w:val="20"/>
          <w:szCs w:val="20"/>
        </w:rPr>
        <w:t xml:space="preserve"> to services outside of the Hospital. As a result, the Applicant anticipates that the Proposed Project will result in improved patient care and quality outcomes while promoting health equity.  </w:t>
      </w:r>
    </w:p>
    <w:p w14:paraId="56EB9A4D" w14:textId="77777777" w:rsidR="009C4CCF" w:rsidRPr="00E856BB" w:rsidRDefault="009C4CCF" w:rsidP="009C4CCF">
      <w:pPr>
        <w:pStyle w:val="BodyText"/>
        <w:widowControl/>
        <w:spacing w:before="0"/>
        <w:ind w:left="1440" w:hanging="1440"/>
        <w:jc w:val="both"/>
        <w:rPr>
          <w:rFonts w:ascii="Arial" w:hAnsi="Arial" w:cs="Arial"/>
          <w:b/>
          <w:kern w:val="2"/>
          <w:sz w:val="20"/>
          <w:szCs w:val="20"/>
        </w:rPr>
      </w:pPr>
    </w:p>
    <w:p w14:paraId="278B59DC" w14:textId="77777777" w:rsidR="009C4CCF" w:rsidRPr="00AE6186" w:rsidRDefault="009C4CCF" w:rsidP="009C4CCF">
      <w:pPr>
        <w:pStyle w:val="BodyText"/>
        <w:widowControl/>
        <w:spacing w:before="0"/>
        <w:jc w:val="both"/>
        <w:rPr>
          <w:rFonts w:ascii="Arial" w:hAnsi="Arial" w:cs="Arial"/>
          <w:b/>
          <w:kern w:val="2"/>
          <w:sz w:val="22"/>
          <w:szCs w:val="22"/>
        </w:rPr>
      </w:pPr>
    </w:p>
    <w:p w14:paraId="28031741" w14:textId="77777777" w:rsidR="009C4CCF" w:rsidRDefault="009C4CCF" w:rsidP="009C4CCF">
      <w:pPr>
        <w:pStyle w:val="BodyText"/>
        <w:widowControl/>
        <w:spacing w:before="0"/>
        <w:ind w:left="1440" w:right="136" w:hanging="1440"/>
        <w:jc w:val="both"/>
        <w:rPr>
          <w:rFonts w:ascii="Arial" w:hAnsi="Arial" w:cs="Arial"/>
          <w:b/>
          <w:kern w:val="2"/>
          <w:sz w:val="20"/>
          <w:szCs w:val="20"/>
        </w:rPr>
      </w:pPr>
      <w:r w:rsidRPr="00086C4F">
        <w:rPr>
          <w:rFonts w:ascii="Arial" w:hAnsi="Arial" w:cs="Arial"/>
          <w:b/>
          <w:kern w:val="2"/>
          <w:sz w:val="20"/>
          <w:szCs w:val="20"/>
        </w:rPr>
        <w:t>F1.c</w:t>
      </w:r>
      <w:r w:rsidRPr="00086C4F">
        <w:rPr>
          <w:rFonts w:ascii="Arial" w:hAnsi="Arial" w:cs="Arial"/>
          <w:b/>
          <w:kern w:val="2"/>
          <w:sz w:val="20"/>
          <w:szCs w:val="20"/>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199FD349" w14:textId="77777777" w:rsidR="009C4CCF" w:rsidRDefault="009C4CCF" w:rsidP="009C4CCF">
      <w:pPr>
        <w:pStyle w:val="BodyText"/>
        <w:widowControl/>
        <w:spacing w:before="0"/>
        <w:ind w:left="1440" w:right="136" w:hanging="1440"/>
        <w:jc w:val="both"/>
        <w:rPr>
          <w:rFonts w:ascii="Arial" w:hAnsi="Arial" w:cs="Arial"/>
          <w:b/>
          <w:kern w:val="2"/>
          <w:sz w:val="20"/>
          <w:szCs w:val="20"/>
        </w:rPr>
      </w:pPr>
    </w:p>
    <w:p w14:paraId="2379539D" w14:textId="77777777" w:rsidR="009C4CCF" w:rsidRPr="00FA3886" w:rsidRDefault="009C4CCF" w:rsidP="009C4CCF">
      <w:pPr>
        <w:pStyle w:val="BodyText"/>
        <w:widowControl/>
        <w:spacing w:before="0"/>
        <w:ind w:left="0" w:right="136"/>
        <w:jc w:val="both"/>
        <w:rPr>
          <w:rFonts w:ascii="Arial" w:hAnsi="Arial" w:cs="Arial"/>
          <w:b/>
          <w:kern w:val="2"/>
          <w:sz w:val="20"/>
          <w:szCs w:val="20"/>
        </w:rPr>
      </w:pPr>
    </w:p>
    <w:p w14:paraId="00897B71" w14:textId="3299F8D8" w:rsidR="009C4CCF" w:rsidRPr="0053606D" w:rsidRDefault="009C4CCF" w:rsidP="009C4CCF">
      <w:pPr>
        <w:pStyle w:val="BodyText2"/>
        <w:autoSpaceDE w:val="0"/>
        <w:autoSpaceDN w:val="0"/>
        <w:spacing w:after="160" w:line="259" w:lineRule="auto"/>
        <w:rPr>
          <w:rFonts w:eastAsiaTheme="minorHAnsi"/>
          <w:kern w:val="0"/>
        </w:rPr>
      </w:pPr>
      <w:r>
        <w:t xml:space="preserve">Providing patients with linkages to necessary post-hospitalization services can prevent readmission, ensure appropriate care management, </w:t>
      </w:r>
      <w:r w:rsidRPr="0048169F">
        <w:rPr>
          <w:rFonts w:eastAsiaTheme="minorHAnsi"/>
          <w:kern w:val="0"/>
        </w:rPr>
        <w:t xml:space="preserve">reduce gaps in services during transitions and allow for patients to achieve smooth transitions to care locally. </w:t>
      </w:r>
      <w:r w:rsidRPr="0053606D">
        <w:rPr>
          <w:rFonts w:eastAsiaTheme="minorHAnsi"/>
          <w:kern w:val="0"/>
        </w:rPr>
        <w:t xml:space="preserve">Prior to discharge, GSMC staff </w:t>
      </w:r>
      <w:proofErr w:type="gramStart"/>
      <w:r w:rsidRPr="0053606D">
        <w:rPr>
          <w:rFonts w:eastAsiaTheme="minorHAnsi"/>
          <w:kern w:val="0"/>
        </w:rPr>
        <w:t>provides</w:t>
      </w:r>
      <w:r>
        <w:rPr>
          <w:rFonts w:eastAsiaTheme="minorHAnsi"/>
          <w:kern w:val="0"/>
        </w:rPr>
        <w:t xml:space="preserve"> assistance to</w:t>
      </w:r>
      <w:proofErr w:type="gramEnd"/>
      <w:r>
        <w:rPr>
          <w:rFonts w:eastAsiaTheme="minorHAnsi"/>
          <w:kern w:val="0"/>
        </w:rPr>
        <w:t xml:space="preserve"> facilitate access</w:t>
      </w:r>
      <w:r w:rsidRPr="0053606D">
        <w:rPr>
          <w:rFonts w:eastAsiaTheme="minorHAnsi"/>
          <w:kern w:val="0"/>
        </w:rPr>
        <w:t xml:space="preserve"> to appropriate </w:t>
      </w:r>
      <w:r>
        <w:rPr>
          <w:rFonts w:eastAsiaTheme="minorHAnsi"/>
          <w:kern w:val="0"/>
        </w:rPr>
        <w:t xml:space="preserve">follow-up care. This may include referrals to outpatient services or providers. In addition, the </w:t>
      </w:r>
      <w:r>
        <w:rPr>
          <w:rFonts w:eastAsiaTheme="minorHAnsi"/>
          <w:kern w:val="0"/>
        </w:rPr>
        <w:lastRenderedPageBreak/>
        <w:t>proposed facility will offer</w:t>
      </w:r>
      <w:r w:rsidR="00FE711F">
        <w:rPr>
          <w:rFonts w:eastAsiaTheme="minorHAnsi"/>
          <w:kern w:val="0"/>
        </w:rPr>
        <w:t xml:space="preserve"> outpatient ECT, TMS, activity therapy and</w:t>
      </w:r>
      <w:r>
        <w:rPr>
          <w:rFonts w:eastAsiaTheme="minorHAnsi"/>
          <w:kern w:val="0"/>
        </w:rPr>
        <w:t xml:space="preserve"> partial hospitalization services providing access to a continuum of care for patients. </w:t>
      </w:r>
      <w:r w:rsidRPr="0053606D">
        <w:rPr>
          <w:rFonts w:eastAsiaTheme="minorHAnsi"/>
          <w:kern w:val="0"/>
        </w:rPr>
        <w:t xml:space="preserve"> </w:t>
      </w:r>
      <w:r>
        <w:rPr>
          <w:rFonts w:eastAsiaTheme="minorHAnsi"/>
          <w:kern w:val="0"/>
        </w:rPr>
        <w:t>Discharge plans are shared with the patient’s’ primary care provider, as well as a patient’s psychiatrist or other mental health provider</w:t>
      </w:r>
      <w:r w:rsidR="00FE711F">
        <w:rPr>
          <w:rFonts w:eastAsiaTheme="minorHAnsi"/>
          <w:kern w:val="0"/>
        </w:rPr>
        <w:t xml:space="preserve"> to ensure care coordination</w:t>
      </w:r>
      <w:r>
        <w:rPr>
          <w:rFonts w:eastAsiaTheme="minorHAnsi"/>
          <w:kern w:val="0"/>
        </w:rPr>
        <w:t xml:space="preserve">. </w:t>
      </w:r>
    </w:p>
    <w:p w14:paraId="0997F1E7" w14:textId="77777777" w:rsidR="009C4CCF" w:rsidRDefault="009C4CCF" w:rsidP="009C4CCF">
      <w:pPr>
        <w:pStyle w:val="BodyText"/>
        <w:widowControl/>
        <w:spacing w:before="0"/>
        <w:ind w:left="1440" w:right="136" w:hanging="1440"/>
        <w:jc w:val="both"/>
        <w:rPr>
          <w:rFonts w:ascii="Arial" w:hAnsi="Arial" w:cs="Arial"/>
          <w:bCs/>
          <w:kern w:val="2"/>
          <w:sz w:val="20"/>
          <w:szCs w:val="20"/>
          <w:highlight w:val="yellow"/>
        </w:rPr>
      </w:pPr>
    </w:p>
    <w:p w14:paraId="2527ECD2" w14:textId="77777777" w:rsidR="009C4CCF" w:rsidRPr="0012060D" w:rsidRDefault="009C4CCF" w:rsidP="009C4CCF">
      <w:pPr>
        <w:spacing w:after="0" w:line="240" w:lineRule="auto"/>
        <w:ind w:left="1440" w:hanging="1440"/>
        <w:jc w:val="both"/>
        <w:rPr>
          <w:rFonts w:ascii="Arial" w:hAnsi="Arial" w:cs="Arial"/>
          <w:b/>
          <w:kern w:val="2"/>
        </w:rPr>
      </w:pPr>
      <w:r w:rsidRPr="0012060D">
        <w:rPr>
          <w:rFonts w:ascii="Arial" w:hAnsi="Arial" w:cs="Arial"/>
          <w:b/>
          <w:kern w:val="2"/>
        </w:rPr>
        <w:t>F</w:t>
      </w:r>
      <w:proofErr w:type="gramStart"/>
      <w:r w:rsidRPr="0012060D">
        <w:rPr>
          <w:rFonts w:ascii="Arial" w:hAnsi="Arial" w:cs="Arial"/>
          <w:b/>
          <w:kern w:val="2"/>
        </w:rPr>
        <w:t>1.d</w:t>
      </w:r>
      <w:proofErr w:type="gramEnd"/>
      <w:r w:rsidRPr="0012060D">
        <w:rPr>
          <w:rFonts w:ascii="Arial" w:hAnsi="Arial" w:cs="Arial"/>
          <w:b/>
          <w:kern w:val="2"/>
        </w:rPr>
        <w:tab/>
        <w:t>Provide evidence of consultation, both prior to and after the Filing Date, with all Government Agencies with relevant licensure, certification, or other regulatory oversight of the Applicant or the Proposed Project.</w:t>
      </w:r>
    </w:p>
    <w:p w14:paraId="07B4F179" w14:textId="77777777" w:rsidR="009C4CCF" w:rsidRDefault="009C4CCF" w:rsidP="009C4CCF">
      <w:pPr>
        <w:spacing w:after="0" w:line="240" w:lineRule="auto"/>
        <w:jc w:val="both"/>
        <w:rPr>
          <w:rFonts w:ascii="Arial" w:hAnsi="Arial" w:cs="Arial"/>
          <w:spacing w:val="-1"/>
        </w:rPr>
      </w:pPr>
    </w:p>
    <w:p w14:paraId="43A05B21" w14:textId="77777777" w:rsidR="009C4CCF" w:rsidRPr="00F96F0F" w:rsidRDefault="009C4CCF" w:rsidP="009C4CCF">
      <w:pPr>
        <w:spacing w:after="0" w:line="240" w:lineRule="auto"/>
        <w:jc w:val="both"/>
        <w:rPr>
          <w:rFonts w:ascii="Arial" w:hAnsi="Arial" w:cs="Arial"/>
          <w:spacing w:val="-1"/>
          <w:sz w:val="20"/>
          <w:szCs w:val="20"/>
        </w:rPr>
      </w:pPr>
      <w:r w:rsidRPr="00F96F0F">
        <w:rPr>
          <w:rFonts w:ascii="Arial" w:hAnsi="Arial" w:cs="Arial"/>
          <w:spacing w:val="-1"/>
          <w:sz w:val="20"/>
          <w:szCs w:val="20"/>
        </w:rPr>
        <w:t>The Applicant consulted with</w:t>
      </w:r>
      <w:r>
        <w:rPr>
          <w:rFonts w:ascii="Arial" w:hAnsi="Arial" w:cs="Arial"/>
          <w:spacing w:val="-1"/>
          <w:sz w:val="20"/>
          <w:szCs w:val="20"/>
        </w:rPr>
        <w:t xml:space="preserve"> numerous</w:t>
      </w:r>
      <w:r w:rsidRPr="00F96F0F">
        <w:rPr>
          <w:rFonts w:ascii="Arial" w:hAnsi="Arial" w:cs="Arial"/>
          <w:spacing w:val="-1"/>
          <w:sz w:val="20"/>
          <w:szCs w:val="20"/>
        </w:rPr>
        <w:t xml:space="preserve"> individuals at </w:t>
      </w:r>
      <w:r>
        <w:rPr>
          <w:rFonts w:ascii="Arial" w:hAnsi="Arial" w:cs="Arial"/>
          <w:spacing w:val="-1"/>
          <w:sz w:val="20"/>
          <w:szCs w:val="20"/>
        </w:rPr>
        <w:t>multiple</w:t>
      </w:r>
      <w:r w:rsidRPr="00F96F0F">
        <w:rPr>
          <w:rFonts w:ascii="Arial" w:hAnsi="Arial" w:cs="Arial"/>
          <w:spacing w:val="-1"/>
          <w:sz w:val="20"/>
          <w:szCs w:val="20"/>
        </w:rPr>
        <w:t xml:space="preserve"> regulatory agencies regarding the Proposed Project. The following individuals </w:t>
      </w:r>
      <w:r>
        <w:rPr>
          <w:rFonts w:ascii="Arial" w:hAnsi="Arial" w:cs="Arial"/>
          <w:spacing w:val="-1"/>
          <w:sz w:val="20"/>
          <w:szCs w:val="20"/>
        </w:rPr>
        <w:t>were</w:t>
      </w:r>
      <w:r w:rsidRPr="00F96F0F">
        <w:rPr>
          <w:rFonts w:ascii="Arial" w:hAnsi="Arial" w:cs="Arial"/>
          <w:spacing w:val="-1"/>
          <w:sz w:val="20"/>
          <w:szCs w:val="20"/>
        </w:rPr>
        <w:t xml:space="preserve"> consulted with </w:t>
      </w:r>
      <w:r>
        <w:rPr>
          <w:rFonts w:ascii="Arial" w:hAnsi="Arial" w:cs="Arial"/>
          <w:spacing w:val="-1"/>
          <w:sz w:val="20"/>
          <w:szCs w:val="20"/>
        </w:rPr>
        <w:t>regards to the</w:t>
      </w:r>
      <w:r w:rsidRPr="00F96F0F">
        <w:rPr>
          <w:rFonts w:ascii="Arial" w:hAnsi="Arial" w:cs="Arial"/>
          <w:spacing w:val="-1"/>
          <w:sz w:val="20"/>
          <w:szCs w:val="20"/>
        </w:rPr>
        <w:t xml:space="preserve"> Proposed Project:</w:t>
      </w:r>
    </w:p>
    <w:p w14:paraId="79D4CA9A" w14:textId="77777777" w:rsidR="009C4CCF" w:rsidRPr="00F96F0F" w:rsidRDefault="009C4CCF" w:rsidP="009C4CCF">
      <w:pPr>
        <w:spacing w:after="0" w:line="240" w:lineRule="auto"/>
        <w:jc w:val="both"/>
        <w:rPr>
          <w:rFonts w:ascii="Arial" w:hAnsi="Arial" w:cs="Arial"/>
          <w:bCs/>
          <w:spacing w:val="-1"/>
          <w:sz w:val="20"/>
          <w:szCs w:val="20"/>
        </w:rPr>
      </w:pPr>
    </w:p>
    <w:p w14:paraId="736D74B9" w14:textId="77777777" w:rsidR="009C4CCF" w:rsidRPr="0053606D"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F96F0F">
        <w:rPr>
          <w:rFonts w:ascii="Arial" w:hAnsi="Arial" w:cs="Arial"/>
          <w:bCs/>
          <w:kern w:val="2"/>
          <w:sz w:val="20"/>
          <w:szCs w:val="20"/>
        </w:rPr>
        <w:t>Dennis Renaud, Director of Determination of Need Program</w:t>
      </w:r>
      <w:r>
        <w:rPr>
          <w:rFonts w:ascii="Arial" w:hAnsi="Arial" w:cs="Arial"/>
          <w:bCs/>
          <w:kern w:val="2"/>
          <w:sz w:val="20"/>
          <w:szCs w:val="20"/>
        </w:rPr>
        <w:t xml:space="preserve">, </w:t>
      </w:r>
      <w:r w:rsidRPr="00F96F0F">
        <w:rPr>
          <w:rFonts w:ascii="Arial" w:hAnsi="Arial" w:cs="Arial"/>
          <w:bCs/>
          <w:kern w:val="2"/>
          <w:sz w:val="20"/>
          <w:szCs w:val="20"/>
        </w:rPr>
        <w:t xml:space="preserve">Massachusetts Department of Public </w:t>
      </w:r>
      <w:proofErr w:type="gramStart"/>
      <w:r w:rsidRPr="00F96F0F">
        <w:rPr>
          <w:rFonts w:ascii="Arial" w:hAnsi="Arial" w:cs="Arial"/>
          <w:bCs/>
          <w:kern w:val="2"/>
          <w:sz w:val="20"/>
          <w:szCs w:val="20"/>
        </w:rPr>
        <w:t>Health</w:t>
      </w:r>
      <w:r>
        <w:rPr>
          <w:rFonts w:ascii="Arial" w:hAnsi="Arial" w:cs="Arial"/>
          <w:bCs/>
          <w:kern w:val="2"/>
          <w:sz w:val="20"/>
          <w:szCs w:val="20"/>
        </w:rPr>
        <w:t>;</w:t>
      </w:r>
      <w:proofErr w:type="gramEnd"/>
    </w:p>
    <w:p w14:paraId="4923C3EF" w14:textId="77777777" w:rsidR="009C4CCF" w:rsidRPr="00F96F0F"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F96F0F">
        <w:rPr>
          <w:rFonts w:ascii="Arial" w:hAnsi="Arial" w:cs="Arial"/>
          <w:bCs/>
          <w:kern w:val="2"/>
          <w:sz w:val="20"/>
          <w:szCs w:val="20"/>
        </w:rPr>
        <w:t>Rebecca Rodman, Esq., Senior Deputy General Counsel</w:t>
      </w:r>
      <w:r>
        <w:rPr>
          <w:rFonts w:ascii="Arial" w:hAnsi="Arial" w:cs="Arial"/>
          <w:bCs/>
          <w:kern w:val="2"/>
          <w:sz w:val="20"/>
          <w:szCs w:val="20"/>
        </w:rPr>
        <w:t xml:space="preserve">, </w:t>
      </w:r>
      <w:r w:rsidRPr="00F96F0F">
        <w:rPr>
          <w:rFonts w:ascii="Arial" w:hAnsi="Arial" w:cs="Arial"/>
          <w:bCs/>
          <w:kern w:val="2"/>
          <w:sz w:val="20"/>
          <w:szCs w:val="20"/>
        </w:rPr>
        <w:t xml:space="preserve">Massachusetts Department of Public </w:t>
      </w:r>
      <w:proofErr w:type="gramStart"/>
      <w:r w:rsidRPr="00F96F0F">
        <w:rPr>
          <w:rFonts w:ascii="Arial" w:hAnsi="Arial" w:cs="Arial"/>
          <w:bCs/>
          <w:kern w:val="2"/>
          <w:sz w:val="20"/>
          <w:szCs w:val="20"/>
        </w:rPr>
        <w:t>Health;</w:t>
      </w:r>
      <w:proofErr w:type="gramEnd"/>
      <w:r w:rsidRPr="00F96F0F">
        <w:rPr>
          <w:rFonts w:ascii="Arial" w:hAnsi="Arial" w:cs="Arial"/>
          <w:bCs/>
          <w:kern w:val="2"/>
          <w:sz w:val="20"/>
          <w:szCs w:val="20"/>
        </w:rPr>
        <w:t xml:space="preserve"> </w:t>
      </w:r>
    </w:p>
    <w:p w14:paraId="7C2082DC" w14:textId="77777777" w:rsidR="009C4CCF" w:rsidRPr="00F96F0F"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F96F0F">
        <w:rPr>
          <w:rFonts w:ascii="Arial" w:hAnsi="Arial" w:cs="Arial"/>
          <w:bCs/>
          <w:kern w:val="2"/>
          <w:sz w:val="20"/>
          <w:szCs w:val="20"/>
        </w:rPr>
        <w:t xml:space="preserve">Jennica Allen, </w:t>
      </w:r>
      <w:r w:rsidRPr="00F96F0F">
        <w:rPr>
          <w:rFonts w:ascii="Arial" w:eastAsia="Times New Roman" w:hAnsi="Arial" w:cs="Arial"/>
          <w:bCs/>
          <w:sz w:val="20"/>
          <w:szCs w:val="20"/>
        </w:rPr>
        <w:t>Manager of Community Engagement Practices</w:t>
      </w:r>
      <w:r>
        <w:rPr>
          <w:rFonts w:ascii="Arial" w:eastAsia="Times New Roman" w:hAnsi="Arial" w:cs="Arial"/>
          <w:bCs/>
          <w:sz w:val="20"/>
          <w:szCs w:val="20"/>
        </w:rPr>
        <w:t xml:space="preserve">, </w:t>
      </w:r>
      <w:r w:rsidRPr="00F96F0F">
        <w:rPr>
          <w:rFonts w:ascii="Arial" w:hAnsi="Arial" w:cs="Arial"/>
          <w:bCs/>
          <w:kern w:val="2"/>
          <w:sz w:val="20"/>
          <w:szCs w:val="20"/>
        </w:rPr>
        <w:t xml:space="preserve">Massachusetts Department of Public </w:t>
      </w:r>
      <w:proofErr w:type="gramStart"/>
      <w:r w:rsidRPr="00F96F0F">
        <w:rPr>
          <w:rFonts w:ascii="Arial" w:hAnsi="Arial" w:cs="Arial"/>
          <w:bCs/>
          <w:kern w:val="2"/>
          <w:sz w:val="20"/>
          <w:szCs w:val="20"/>
        </w:rPr>
        <w:t>Health</w:t>
      </w:r>
      <w:r>
        <w:rPr>
          <w:rFonts w:ascii="Arial" w:hAnsi="Arial" w:cs="Arial"/>
          <w:bCs/>
          <w:kern w:val="2"/>
          <w:sz w:val="20"/>
          <w:szCs w:val="20"/>
        </w:rPr>
        <w:t>;</w:t>
      </w:r>
      <w:proofErr w:type="gramEnd"/>
    </w:p>
    <w:p w14:paraId="0649265D" w14:textId="77777777" w:rsidR="009C4CCF" w:rsidRPr="00F96F0F"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F96F0F">
        <w:rPr>
          <w:rFonts w:ascii="Arial" w:hAnsi="Arial" w:cs="Arial"/>
          <w:bCs/>
          <w:kern w:val="2"/>
          <w:sz w:val="20"/>
          <w:szCs w:val="20"/>
        </w:rPr>
        <w:t xml:space="preserve">Lauren Peters, JD, Undersecretary for Health Policy at the Executive Office of Health and Human </w:t>
      </w:r>
      <w:proofErr w:type="gramStart"/>
      <w:r w:rsidRPr="00F96F0F">
        <w:rPr>
          <w:rFonts w:ascii="Arial" w:hAnsi="Arial" w:cs="Arial"/>
          <w:bCs/>
          <w:kern w:val="2"/>
          <w:sz w:val="20"/>
          <w:szCs w:val="20"/>
        </w:rPr>
        <w:t>Services</w:t>
      </w:r>
      <w:r>
        <w:rPr>
          <w:rFonts w:ascii="Arial" w:hAnsi="Arial" w:cs="Arial"/>
          <w:bCs/>
          <w:kern w:val="2"/>
          <w:sz w:val="20"/>
          <w:szCs w:val="20"/>
        </w:rPr>
        <w:t>;</w:t>
      </w:r>
      <w:proofErr w:type="gramEnd"/>
      <w:r w:rsidRPr="00F96F0F">
        <w:rPr>
          <w:rFonts w:ascii="Arial" w:hAnsi="Arial" w:cs="Arial"/>
          <w:bCs/>
          <w:kern w:val="2"/>
          <w:sz w:val="20"/>
          <w:szCs w:val="20"/>
        </w:rPr>
        <w:t xml:space="preserve"> </w:t>
      </w:r>
    </w:p>
    <w:p w14:paraId="3F517BC0" w14:textId="77777777" w:rsidR="009C4CCF" w:rsidRPr="00F96F0F"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F96F0F">
        <w:rPr>
          <w:rFonts w:ascii="Arial" w:hAnsi="Arial" w:cs="Arial"/>
          <w:bCs/>
          <w:kern w:val="2"/>
          <w:sz w:val="20"/>
          <w:szCs w:val="20"/>
        </w:rPr>
        <w:t xml:space="preserve">Janet Ross, </w:t>
      </w:r>
      <w:r w:rsidRPr="00F96F0F">
        <w:rPr>
          <w:rFonts w:ascii="Arial" w:eastAsia="Times New Roman" w:hAnsi="Arial" w:cs="Arial"/>
          <w:bCs/>
          <w:sz w:val="20"/>
          <w:szCs w:val="20"/>
        </w:rPr>
        <w:t>MS, RN, Assistant Commissioner for Clinical &amp; Professional Services/ Director of Licensing</w:t>
      </w:r>
      <w:r>
        <w:rPr>
          <w:rFonts w:ascii="Arial" w:eastAsia="Times New Roman" w:hAnsi="Arial" w:cs="Arial"/>
          <w:bCs/>
          <w:sz w:val="20"/>
          <w:szCs w:val="20"/>
        </w:rPr>
        <w:t xml:space="preserve">, </w:t>
      </w:r>
      <w:r w:rsidRPr="00F96F0F">
        <w:rPr>
          <w:rFonts w:ascii="Arial" w:hAnsi="Arial" w:cs="Arial"/>
          <w:bCs/>
          <w:kern w:val="2"/>
          <w:sz w:val="20"/>
          <w:szCs w:val="20"/>
        </w:rPr>
        <w:t xml:space="preserve">Massachusetts Department of Mental </w:t>
      </w:r>
      <w:proofErr w:type="gramStart"/>
      <w:r w:rsidRPr="00F96F0F">
        <w:rPr>
          <w:rFonts w:ascii="Arial" w:hAnsi="Arial" w:cs="Arial"/>
          <w:bCs/>
          <w:kern w:val="2"/>
          <w:sz w:val="20"/>
          <w:szCs w:val="20"/>
        </w:rPr>
        <w:t>Health</w:t>
      </w:r>
      <w:r>
        <w:rPr>
          <w:rFonts w:ascii="Arial" w:hAnsi="Arial" w:cs="Arial"/>
          <w:bCs/>
          <w:kern w:val="2"/>
          <w:sz w:val="20"/>
          <w:szCs w:val="20"/>
        </w:rPr>
        <w:t>;</w:t>
      </w:r>
      <w:proofErr w:type="gramEnd"/>
    </w:p>
    <w:p w14:paraId="340556E8" w14:textId="77777777" w:rsidR="009C4CCF" w:rsidRPr="00F96F0F" w:rsidRDefault="009C4CCF" w:rsidP="009C4CCF">
      <w:pPr>
        <w:pStyle w:val="ListParagraph"/>
        <w:numPr>
          <w:ilvl w:val="0"/>
          <w:numId w:val="34"/>
        </w:numPr>
        <w:spacing w:after="0" w:line="240" w:lineRule="auto"/>
        <w:contextualSpacing w:val="0"/>
        <w:jc w:val="both"/>
        <w:rPr>
          <w:rFonts w:ascii="Arial" w:hAnsi="Arial" w:cs="Arial"/>
          <w:b/>
          <w:kern w:val="2"/>
          <w:sz w:val="20"/>
          <w:szCs w:val="20"/>
        </w:rPr>
      </w:pPr>
      <w:r w:rsidRPr="0012060D">
        <w:rPr>
          <w:rFonts w:ascii="Arial" w:hAnsi="Arial" w:cs="Arial"/>
          <w:kern w:val="2"/>
          <w:sz w:val="20"/>
          <w:szCs w:val="20"/>
        </w:rPr>
        <w:t>The Centers for Medicare &amp; Medicaid Services</w:t>
      </w:r>
      <w:r>
        <w:rPr>
          <w:rFonts w:ascii="Arial" w:hAnsi="Arial" w:cs="Arial"/>
          <w:kern w:val="2"/>
          <w:sz w:val="20"/>
          <w:szCs w:val="20"/>
        </w:rPr>
        <w:t>; and</w:t>
      </w:r>
    </w:p>
    <w:p w14:paraId="4BE3DA2C" w14:textId="77777777" w:rsidR="009C4CCF" w:rsidRPr="00F96F0F" w:rsidRDefault="009C4CCF" w:rsidP="009C4CCF">
      <w:pPr>
        <w:pStyle w:val="ListParagraph"/>
        <w:numPr>
          <w:ilvl w:val="0"/>
          <w:numId w:val="34"/>
        </w:numPr>
        <w:spacing w:after="0" w:line="240" w:lineRule="auto"/>
        <w:contextualSpacing w:val="0"/>
        <w:jc w:val="both"/>
        <w:rPr>
          <w:rFonts w:ascii="Arial" w:hAnsi="Arial" w:cs="Arial"/>
          <w:bCs/>
          <w:kern w:val="2"/>
          <w:sz w:val="20"/>
          <w:szCs w:val="20"/>
        </w:rPr>
      </w:pPr>
      <w:r w:rsidRPr="00F96F0F">
        <w:rPr>
          <w:rFonts w:ascii="Arial" w:hAnsi="Arial" w:cs="Arial"/>
          <w:bCs/>
          <w:kern w:val="2"/>
          <w:sz w:val="20"/>
          <w:szCs w:val="20"/>
        </w:rPr>
        <w:t>MassHealth</w:t>
      </w:r>
    </w:p>
    <w:p w14:paraId="7F35A64B" w14:textId="77777777" w:rsidR="009C4CCF" w:rsidRPr="00702EAF" w:rsidRDefault="009C4CCF" w:rsidP="009C4CCF">
      <w:pPr>
        <w:pStyle w:val="ListParagraph"/>
        <w:spacing w:after="0" w:line="240" w:lineRule="auto"/>
        <w:ind w:left="1440"/>
        <w:contextualSpacing w:val="0"/>
        <w:jc w:val="both"/>
        <w:rPr>
          <w:rFonts w:ascii="Arial" w:hAnsi="Arial" w:cs="Arial"/>
          <w:b/>
          <w:kern w:val="2"/>
          <w:sz w:val="20"/>
          <w:szCs w:val="20"/>
          <w:highlight w:val="yellow"/>
        </w:rPr>
      </w:pPr>
    </w:p>
    <w:p w14:paraId="4839830E" w14:textId="77777777" w:rsidR="009C4CCF" w:rsidRPr="00857A0A" w:rsidRDefault="009C4CCF" w:rsidP="009C4CCF">
      <w:pPr>
        <w:spacing w:after="0" w:line="240" w:lineRule="auto"/>
        <w:ind w:left="1440" w:hanging="1440"/>
        <w:jc w:val="both"/>
        <w:rPr>
          <w:rFonts w:ascii="Arial" w:hAnsi="Arial" w:cs="Arial"/>
          <w:b/>
          <w:kern w:val="2"/>
        </w:rPr>
      </w:pPr>
      <w:r w:rsidRPr="00857A0A">
        <w:rPr>
          <w:rFonts w:ascii="Arial" w:hAnsi="Arial" w:cs="Arial"/>
          <w:b/>
          <w:kern w:val="2"/>
        </w:rPr>
        <w:t>F1.</w:t>
      </w:r>
      <w:proofErr w:type="gramStart"/>
      <w:r w:rsidRPr="00857A0A">
        <w:rPr>
          <w:rFonts w:ascii="Arial" w:hAnsi="Arial" w:cs="Arial"/>
          <w:b/>
          <w:kern w:val="2"/>
        </w:rPr>
        <w:t>e.i</w:t>
      </w:r>
      <w:proofErr w:type="gramEnd"/>
      <w:r w:rsidRPr="00857A0A">
        <w:rPr>
          <w:rFonts w:ascii="Arial" w:hAnsi="Arial" w:cs="Arial"/>
          <w:kern w:val="2"/>
        </w:rPr>
        <w:tab/>
      </w:r>
      <w:r w:rsidRPr="00857A0A">
        <w:rPr>
          <w:rFonts w:ascii="Arial" w:hAnsi="Arial" w:cs="Arial"/>
          <w:b/>
          <w:kern w:val="2"/>
          <w:u w:val="single"/>
        </w:rPr>
        <w:t>Process for Determining Need/Evidence of Community Engagement:</w:t>
      </w:r>
      <w:r w:rsidRPr="00857A0A">
        <w:rPr>
          <w:rFonts w:ascii="Arial" w:hAnsi="Arial" w:cs="Arial"/>
          <w:b/>
          <w:kern w:val="2"/>
        </w:rPr>
        <w:t xml:space="preserve"> </w:t>
      </w:r>
    </w:p>
    <w:p w14:paraId="61659B02" w14:textId="77777777" w:rsidR="009C4CCF" w:rsidRPr="00857A0A" w:rsidRDefault="009C4CCF" w:rsidP="009C4CCF">
      <w:pPr>
        <w:spacing w:after="0" w:line="240" w:lineRule="auto"/>
        <w:ind w:left="1440"/>
        <w:jc w:val="both"/>
        <w:rPr>
          <w:rFonts w:ascii="Arial" w:hAnsi="Arial" w:cs="Arial"/>
          <w:b/>
          <w:kern w:val="2"/>
        </w:rPr>
      </w:pPr>
      <w:r w:rsidRPr="00857A0A">
        <w:rPr>
          <w:rFonts w:ascii="Arial" w:hAnsi="Arial" w:cs="Arial"/>
          <w:b/>
          <w:kern w:val="2"/>
        </w:rPr>
        <w:t xml:space="preserve">For assistance in responding to this portion of the Application, Applicant is encouraged to review </w:t>
      </w:r>
      <w:r w:rsidRPr="00857A0A">
        <w:rPr>
          <w:rFonts w:ascii="Arial" w:hAnsi="Arial" w:cs="Arial"/>
          <w:b/>
          <w:i/>
          <w:kern w:val="2"/>
        </w:rPr>
        <w:t xml:space="preserve">Community Engagement Standards for Community Health Planning Guideline. </w:t>
      </w:r>
      <w:r w:rsidRPr="00857A0A">
        <w:rPr>
          <w:rFonts w:ascii="Arial" w:hAnsi="Arial" w:cs="Arial"/>
          <w:b/>
          <w:kern w:val="2"/>
        </w:rPr>
        <w:t>With respect to the existing Patient Panel, please describe the process through which Applicant determined the need for the Proposed Project.</w:t>
      </w:r>
    </w:p>
    <w:p w14:paraId="11F87D49" w14:textId="77777777" w:rsidR="009C4CCF" w:rsidRDefault="009C4CCF" w:rsidP="009C4CCF">
      <w:pPr>
        <w:spacing w:after="0" w:line="240" w:lineRule="auto"/>
        <w:ind w:left="1440" w:hanging="1440"/>
        <w:jc w:val="both"/>
        <w:rPr>
          <w:rFonts w:ascii="Arial" w:eastAsia="Arial" w:hAnsi="Arial" w:cs="Arial"/>
          <w:kern w:val="2"/>
        </w:rPr>
      </w:pPr>
    </w:p>
    <w:p w14:paraId="04EB2008" w14:textId="77777777" w:rsidR="009C4CCF" w:rsidRPr="00493F18" w:rsidRDefault="009C4CCF" w:rsidP="009C4CCF">
      <w:pPr>
        <w:spacing w:after="0" w:line="240" w:lineRule="auto"/>
        <w:jc w:val="both"/>
        <w:rPr>
          <w:rFonts w:ascii="Arial" w:eastAsia="Arial" w:hAnsi="Arial" w:cs="Arial"/>
          <w:sz w:val="20"/>
          <w:szCs w:val="20"/>
        </w:rPr>
      </w:pPr>
      <w:r w:rsidRPr="00493F18">
        <w:rPr>
          <w:rFonts w:ascii="Arial" w:hAnsi="Arial" w:cs="Arial"/>
          <w:sz w:val="20"/>
          <w:szCs w:val="20"/>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 In planning for the Proposed Project, GSMC held two meetings where it sought feedback from the community at large, including community groups such as Community Behavioral Health Centers</w:t>
      </w:r>
      <w:r>
        <w:rPr>
          <w:rFonts w:ascii="Arial" w:hAnsi="Arial" w:cs="Arial"/>
          <w:sz w:val="20"/>
          <w:szCs w:val="20"/>
        </w:rPr>
        <w:t xml:space="preserve"> </w:t>
      </w:r>
      <w:r w:rsidRPr="00493F18">
        <w:rPr>
          <w:rFonts w:ascii="Arial" w:hAnsi="Arial" w:cs="Arial"/>
          <w:sz w:val="20"/>
          <w:szCs w:val="20"/>
        </w:rPr>
        <w:t xml:space="preserve">(CBHC), the school committee, the town council, and the Hospital’s Patient Family Advisory Council (“PFAC”) which is comprised of patients and their family members, </w:t>
      </w:r>
      <w:proofErr w:type="gramStart"/>
      <w:r w:rsidRPr="00493F18">
        <w:rPr>
          <w:rFonts w:ascii="Arial" w:hAnsi="Arial" w:cs="Arial"/>
          <w:sz w:val="20"/>
          <w:szCs w:val="20"/>
        </w:rPr>
        <w:t>local residents</w:t>
      </w:r>
      <w:proofErr w:type="gramEnd"/>
      <w:r w:rsidRPr="00493F18">
        <w:rPr>
          <w:rFonts w:ascii="Arial" w:hAnsi="Arial" w:cs="Arial"/>
          <w:sz w:val="20"/>
          <w:szCs w:val="20"/>
        </w:rPr>
        <w:t xml:space="preserve">, and members of local resident groups. </w:t>
      </w:r>
      <w:r>
        <w:rPr>
          <w:rFonts w:ascii="Arial" w:hAnsi="Arial" w:cs="Arial"/>
          <w:sz w:val="20"/>
          <w:szCs w:val="20"/>
        </w:rPr>
        <w:t xml:space="preserve">GSMC also had initial discussions with </w:t>
      </w:r>
      <w:r w:rsidRPr="00070BE5">
        <w:rPr>
          <w:rFonts w:ascii="Arial" w:hAnsi="Arial" w:cs="Arial"/>
          <w:sz w:val="20"/>
          <w:szCs w:val="20"/>
        </w:rPr>
        <w:t>the City of Brockton Mayor</w:t>
      </w:r>
      <w:r>
        <w:rPr>
          <w:rFonts w:ascii="Arial" w:hAnsi="Arial" w:cs="Arial"/>
          <w:sz w:val="20"/>
          <w:szCs w:val="20"/>
        </w:rPr>
        <w:t xml:space="preserve"> </w:t>
      </w:r>
      <w:r w:rsidRPr="00070BE5">
        <w:rPr>
          <w:rFonts w:ascii="Arial" w:hAnsi="Arial" w:cs="Arial"/>
          <w:sz w:val="20"/>
          <w:szCs w:val="20"/>
        </w:rPr>
        <w:t>Robert F. Sullivan (and his planning team), Senator Michael D. Brady, and Representative Gerard Cassidy.</w:t>
      </w:r>
      <w:r>
        <w:rPr>
          <w:rFonts w:ascii="Arial" w:hAnsi="Arial" w:cs="Arial"/>
          <w:sz w:val="20"/>
          <w:szCs w:val="20"/>
        </w:rPr>
        <w:t xml:space="preserve"> </w:t>
      </w:r>
      <w:r w:rsidRPr="00493F18">
        <w:rPr>
          <w:rFonts w:ascii="Arial" w:eastAsia="Arial" w:hAnsi="Arial" w:cs="Arial"/>
          <w:kern w:val="2"/>
          <w:sz w:val="20"/>
          <w:szCs w:val="20"/>
        </w:rPr>
        <w:t xml:space="preserve">The presentations reviewed the background and purpose of the Proposed Project, what it would mean for patients and the community, and provided a general overview of the Proposed Project’s process. </w:t>
      </w:r>
      <w:r w:rsidRPr="00493F18">
        <w:rPr>
          <w:rFonts w:ascii="Arial" w:hAnsi="Arial" w:cs="Arial"/>
          <w:sz w:val="20"/>
          <w:szCs w:val="20"/>
        </w:rPr>
        <w:t>The Proposed Project will also be presented at the January 2023 session of the Brockton City Council</w:t>
      </w:r>
      <w:r>
        <w:rPr>
          <w:rFonts w:ascii="Arial" w:hAnsi="Arial" w:cs="Arial"/>
          <w:sz w:val="20"/>
          <w:szCs w:val="20"/>
        </w:rPr>
        <w:t>, as well as at a community open forum.</w:t>
      </w:r>
    </w:p>
    <w:p w14:paraId="4B388376" w14:textId="77777777" w:rsidR="009C4CCF" w:rsidRPr="00857A0A" w:rsidRDefault="009C4CCF" w:rsidP="009C4CCF">
      <w:pPr>
        <w:spacing w:after="0" w:line="240" w:lineRule="auto"/>
        <w:ind w:left="1440" w:hanging="1440"/>
        <w:jc w:val="both"/>
        <w:rPr>
          <w:rFonts w:ascii="Arial" w:eastAsia="Arial" w:hAnsi="Arial" w:cs="Arial"/>
          <w:kern w:val="2"/>
        </w:rPr>
      </w:pPr>
    </w:p>
    <w:p w14:paraId="52181451" w14:textId="0D233392" w:rsidR="009C4CCF" w:rsidRDefault="009C4CCF" w:rsidP="009C4CCF">
      <w:pPr>
        <w:spacing w:after="0" w:line="240" w:lineRule="auto"/>
        <w:jc w:val="both"/>
        <w:rPr>
          <w:rFonts w:ascii="Arial" w:eastAsia="Arial" w:hAnsi="Arial" w:cs="Arial"/>
          <w:kern w:val="2"/>
          <w:highlight w:val="yellow"/>
        </w:rPr>
      </w:pPr>
    </w:p>
    <w:p w14:paraId="1A7E0DA8" w14:textId="70DEA08C" w:rsidR="00CB02FE" w:rsidRDefault="00CB02FE" w:rsidP="009C4CCF">
      <w:pPr>
        <w:spacing w:after="0" w:line="240" w:lineRule="auto"/>
        <w:jc w:val="both"/>
        <w:rPr>
          <w:rFonts w:ascii="Arial" w:eastAsia="Arial" w:hAnsi="Arial" w:cs="Arial"/>
          <w:kern w:val="2"/>
          <w:highlight w:val="yellow"/>
        </w:rPr>
      </w:pPr>
    </w:p>
    <w:p w14:paraId="27C215BE" w14:textId="5BC8EFAA" w:rsidR="00CB02FE" w:rsidRDefault="00CB02FE" w:rsidP="009C4CCF">
      <w:pPr>
        <w:spacing w:after="0" w:line="240" w:lineRule="auto"/>
        <w:jc w:val="both"/>
        <w:rPr>
          <w:rFonts w:ascii="Arial" w:eastAsia="Arial" w:hAnsi="Arial" w:cs="Arial"/>
          <w:kern w:val="2"/>
          <w:highlight w:val="yellow"/>
        </w:rPr>
      </w:pPr>
    </w:p>
    <w:p w14:paraId="469F3E33" w14:textId="66220484" w:rsidR="00CB02FE" w:rsidRDefault="00CB02FE" w:rsidP="009C4CCF">
      <w:pPr>
        <w:spacing w:after="0" w:line="240" w:lineRule="auto"/>
        <w:jc w:val="both"/>
        <w:rPr>
          <w:rFonts w:ascii="Arial" w:eastAsia="Arial" w:hAnsi="Arial" w:cs="Arial"/>
          <w:kern w:val="2"/>
          <w:highlight w:val="yellow"/>
        </w:rPr>
      </w:pPr>
    </w:p>
    <w:p w14:paraId="42141B90" w14:textId="18723476" w:rsidR="00CB02FE" w:rsidRDefault="00CB02FE" w:rsidP="009C4CCF">
      <w:pPr>
        <w:spacing w:after="0" w:line="240" w:lineRule="auto"/>
        <w:jc w:val="both"/>
        <w:rPr>
          <w:rFonts w:ascii="Arial" w:eastAsia="Arial" w:hAnsi="Arial" w:cs="Arial"/>
          <w:kern w:val="2"/>
          <w:highlight w:val="yellow"/>
        </w:rPr>
      </w:pPr>
    </w:p>
    <w:p w14:paraId="705361D7" w14:textId="49DD602D" w:rsidR="00CB02FE" w:rsidRDefault="00CB02FE" w:rsidP="009C4CCF">
      <w:pPr>
        <w:spacing w:after="0" w:line="240" w:lineRule="auto"/>
        <w:jc w:val="both"/>
        <w:rPr>
          <w:rFonts w:ascii="Arial" w:eastAsia="Arial" w:hAnsi="Arial" w:cs="Arial"/>
          <w:kern w:val="2"/>
          <w:highlight w:val="yellow"/>
        </w:rPr>
      </w:pPr>
    </w:p>
    <w:p w14:paraId="4CBF8DEA" w14:textId="77777777" w:rsidR="00CB02FE" w:rsidRPr="00702EAF" w:rsidRDefault="00CB02FE" w:rsidP="009C4CCF">
      <w:pPr>
        <w:spacing w:after="0" w:line="240" w:lineRule="auto"/>
        <w:jc w:val="both"/>
        <w:rPr>
          <w:rFonts w:ascii="Arial" w:eastAsia="Arial" w:hAnsi="Arial" w:cs="Arial"/>
          <w:kern w:val="2"/>
          <w:highlight w:val="yellow"/>
        </w:rPr>
      </w:pPr>
    </w:p>
    <w:p w14:paraId="00D04816" w14:textId="77777777" w:rsidR="009C4CCF" w:rsidRPr="00B731CB" w:rsidRDefault="009C4CCF" w:rsidP="009C4CCF">
      <w:pPr>
        <w:spacing w:after="0" w:line="240" w:lineRule="auto"/>
        <w:ind w:left="1440" w:hanging="1440"/>
        <w:jc w:val="both"/>
        <w:rPr>
          <w:rFonts w:ascii="Arial" w:hAnsi="Arial" w:cs="Arial"/>
          <w:b/>
          <w:kern w:val="2"/>
        </w:rPr>
      </w:pPr>
      <w:r w:rsidRPr="00B731CB">
        <w:rPr>
          <w:rFonts w:ascii="Arial" w:hAnsi="Arial" w:cs="Arial"/>
          <w:b/>
          <w:kern w:val="2"/>
        </w:rPr>
        <w:lastRenderedPageBreak/>
        <w:t>F1.</w:t>
      </w:r>
      <w:proofErr w:type="gramStart"/>
      <w:r w:rsidRPr="00B731CB">
        <w:rPr>
          <w:rFonts w:ascii="Arial" w:hAnsi="Arial" w:cs="Arial"/>
          <w:b/>
          <w:kern w:val="2"/>
        </w:rPr>
        <w:t>e.ii</w:t>
      </w:r>
      <w:proofErr w:type="gramEnd"/>
      <w:r w:rsidRPr="00B731CB">
        <w:rPr>
          <w:rFonts w:ascii="Arial" w:hAnsi="Arial" w:cs="Arial"/>
          <w:b/>
          <w:kern w:val="2"/>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B731CB">
        <w:rPr>
          <w:rFonts w:ascii="Arial" w:hAnsi="Arial" w:cs="Arial"/>
          <w:b/>
          <w:kern w:val="2"/>
        </w:rPr>
        <w:t>DoN</w:t>
      </w:r>
      <w:proofErr w:type="spellEnd"/>
      <w:r w:rsidRPr="00B731CB">
        <w:rPr>
          <w:rFonts w:ascii="Arial" w:hAnsi="Arial" w:cs="Arial"/>
          <w:b/>
          <w:kern w:val="2"/>
        </w:rPr>
        <w:t xml:space="preserve"> Project in response to "Patient Panel" need; and Linking the Proposed Project to "Public Health Value".</w:t>
      </w:r>
    </w:p>
    <w:p w14:paraId="516A339B" w14:textId="77777777" w:rsidR="009C4CCF" w:rsidRDefault="009C4CCF" w:rsidP="009C4CCF">
      <w:pPr>
        <w:rPr>
          <w:rFonts w:eastAsia="Times New Roman"/>
          <w:highlight w:val="yellow"/>
        </w:rPr>
      </w:pPr>
    </w:p>
    <w:p w14:paraId="724AA350" w14:textId="77777777" w:rsidR="009C4CCF" w:rsidRPr="00367C46" w:rsidRDefault="009C4CCF" w:rsidP="009C4CCF">
      <w:pPr>
        <w:spacing w:after="0" w:line="240" w:lineRule="auto"/>
        <w:jc w:val="both"/>
        <w:rPr>
          <w:rFonts w:ascii="Arial" w:hAnsi="Arial" w:cs="Arial"/>
          <w:sz w:val="20"/>
          <w:szCs w:val="20"/>
        </w:rPr>
      </w:pPr>
      <w:r w:rsidRPr="00367C46">
        <w:rPr>
          <w:rFonts w:ascii="Arial" w:hAnsi="Arial" w:cs="Arial"/>
          <w:sz w:val="20"/>
          <w:szCs w:val="20"/>
        </w:rPr>
        <w:t>To ensure sound community engagement throughout the development of the Proposed Project, the Applicant took the following actions:</w:t>
      </w:r>
    </w:p>
    <w:p w14:paraId="34682FD8" w14:textId="77777777" w:rsidR="009C4CCF" w:rsidRPr="00367C46" w:rsidRDefault="009C4CCF" w:rsidP="009C4CCF">
      <w:pPr>
        <w:spacing w:after="0" w:line="240" w:lineRule="auto"/>
        <w:jc w:val="both"/>
        <w:rPr>
          <w:rFonts w:ascii="Arial" w:eastAsia="Arial" w:hAnsi="Arial" w:cs="Arial"/>
          <w:kern w:val="2"/>
          <w:sz w:val="20"/>
          <w:szCs w:val="20"/>
        </w:rPr>
      </w:pPr>
    </w:p>
    <w:p w14:paraId="1C004E02" w14:textId="77777777" w:rsidR="009C4CCF" w:rsidRPr="00367C46" w:rsidRDefault="009C4CCF" w:rsidP="009C4CCF">
      <w:pPr>
        <w:pStyle w:val="ListParagraph"/>
        <w:numPr>
          <w:ilvl w:val="0"/>
          <w:numId w:val="36"/>
        </w:numPr>
        <w:spacing w:after="0" w:line="240" w:lineRule="auto"/>
        <w:jc w:val="both"/>
        <w:rPr>
          <w:rFonts w:ascii="Arial" w:eastAsia="Arial" w:hAnsi="Arial" w:cs="Arial"/>
          <w:kern w:val="2"/>
          <w:sz w:val="20"/>
          <w:szCs w:val="20"/>
        </w:rPr>
      </w:pPr>
      <w:r w:rsidRPr="00367C46">
        <w:rPr>
          <w:rFonts w:ascii="Arial" w:eastAsia="Arial" w:hAnsi="Arial" w:cs="Arial"/>
          <w:kern w:val="2"/>
          <w:sz w:val="20"/>
          <w:szCs w:val="20"/>
        </w:rPr>
        <w:t xml:space="preserve">Presentation to PFAC on December 14, </w:t>
      </w:r>
      <w:proofErr w:type="gramStart"/>
      <w:r w:rsidRPr="00367C46">
        <w:rPr>
          <w:rFonts w:ascii="Arial" w:eastAsia="Arial" w:hAnsi="Arial" w:cs="Arial"/>
          <w:kern w:val="2"/>
          <w:sz w:val="20"/>
          <w:szCs w:val="20"/>
        </w:rPr>
        <w:t>2022;</w:t>
      </w:r>
      <w:proofErr w:type="gramEnd"/>
    </w:p>
    <w:p w14:paraId="52BD62B7" w14:textId="487D85F8" w:rsidR="009C4CCF" w:rsidRPr="004A6F24" w:rsidRDefault="009C4CCF" w:rsidP="009C4CCF">
      <w:pPr>
        <w:pStyle w:val="ListParagraph"/>
        <w:numPr>
          <w:ilvl w:val="0"/>
          <w:numId w:val="36"/>
        </w:numPr>
        <w:spacing w:after="0" w:line="240" w:lineRule="auto"/>
        <w:jc w:val="both"/>
        <w:rPr>
          <w:rFonts w:ascii="Arial" w:eastAsia="Arial" w:hAnsi="Arial" w:cs="Arial"/>
          <w:sz w:val="20"/>
          <w:szCs w:val="20"/>
        </w:rPr>
      </w:pPr>
      <w:r w:rsidRPr="00367C46">
        <w:rPr>
          <w:rFonts w:ascii="Arial" w:hAnsi="Arial" w:cs="Arial"/>
          <w:sz w:val="20"/>
          <w:szCs w:val="20"/>
        </w:rPr>
        <w:t>Presentation at the January 2023 session of the Brockton City Council.</w:t>
      </w:r>
    </w:p>
    <w:p w14:paraId="12894713" w14:textId="6AC81DF6" w:rsidR="004A6F24" w:rsidRPr="00367C46" w:rsidRDefault="004A6F24" w:rsidP="009C4CCF">
      <w:pPr>
        <w:pStyle w:val="ListParagraph"/>
        <w:numPr>
          <w:ilvl w:val="0"/>
          <w:numId w:val="36"/>
        </w:numPr>
        <w:spacing w:after="0" w:line="240" w:lineRule="auto"/>
        <w:jc w:val="both"/>
        <w:rPr>
          <w:rFonts w:ascii="Arial" w:eastAsia="Arial" w:hAnsi="Arial" w:cs="Arial"/>
          <w:sz w:val="20"/>
          <w:szCs w:val="20"/>
        </w:rPr>
      </w:pPr>
      <w:r>
        <w:rPr>
          <w:rFonts w:ascii="Arial" w:hAnsi="Arial" w:cs="Arial"/>
          <w:sz w:val="20"/>
          <w:szCs w:val="20"/>
        </w:rPr>
        <w:t>Presentation at a Community open Forum on January 5, 2023.</w:t>
      </w:r>
      <w:r w:rsidR="006239DF">
        <w:rPr>
          <w:rStyle w:val="FootnoteReference"/>
          <w:rFonts w:ascii="Arial" w:hAnsi="Arial" w:cs="Arial"/>
          <w:sz w:val="20"/>
          <w:szCs w:val="20"/>
        </w:rPr>
        <w:footnoteReference w:id="53"/>
      </w:r>
    </w:p>
    <w:p w14:paraId="4680E4F7" w14:textId="77777777" w:rsidR="009C4CCF" w:rsidRPr="00367C46" w:rsidRDefault="009C4CCF" w:rsidP="009C4CCF">
      <w:pPr>
        <w:spacing w:after="0" w:line="240" w:lineRule="auto"/>
        <w:jc w:val="both"/>
        <w:rPr>
          <w:rFonts w:ascii="Arial" w:eastAsia="Arial" w:hAnsi="Arial" w:cs="Arial"/>
          <w:kern w:val="2"/>
          <w:sz w:val="20"/>
          <w:szCs w:val="20"/>
          <w:highlight w:val="yellow"/>
        </w:rPr>
      </w:pPr>
    </w:p>
    <w:p w14:paraId="59DCB371" w14:textId="4CFAB1A3" w:rsidR="009C4CCF" w:rsidRPr="00367C46" w:rsidRDefault="009C4CCF" w:rsidP="009C4CCF">
      <w:pPr>
        <w:rPr>
          <w:rFonts w:ascii="Arial" w:eastAsia="Times New Roman" w:hAnsi="Arial" w:cs="Arial"/>
          <w:sz w:val="20"/>
          <w:szCs w:val="20"/>
        </w:rPr>
      </w:pPr>
      <w:r w:rsidRPr="00367C46">
        <w:rPr>
          <w:rFonts w:ascii="Arial" w:eastAsia="Times New Roman" w:hAnsi="Arial" w:cs="Arial"/>
          <w:sz w:val="20"/>
          <w:szCs w:val="20"/>
        </w:rPr>
        <w:t xml:space="preserve">For detailed information on these activities, see Appendix </w:t>
      </w:r>
      <w:r w:rsidR="004A6F24">
        <w:rPr>
          <w:rFonts w:ascii="Arial" w:eastAsia="Times New Roman" w:hAnsi="Arial" w:cs="Arial"/>
          <w:sz w:val="20"/>
          <w:szCs w:val="20"/>
        </w:rPr>
        <w:t>3</w:t>
      </w:r>
      <w:r w:rsidRPr="00367C46">
        <w:rPr>
          <w:rFonts w:ascii="Arial" w:eastAsia="Times New Roman" w:hAnsi="Arial" w:cs="Arial"/>
          <w:sz w:val="20"/>
          <w:szCs w:val="20"/>
        </w:rPr>
        <w:t>.</w:t>
      </w:r>
    </w:p>
    <w:p w14:paraId="02DCDC7B" w14:textId="77777777" w:rsidR="009C4CCF" w:rsidRPr="0033434E" w:rsidRDefault="009C4CCF" w:rsidP="009C4CCF">
      <w:pPr>
        <w:spacing w:after="0" w:line="240" w:lineRule="auto"/>
        <w:jc w:val="both"/>
        <w:rPr>
          <w:rFonts w:ascii="Arial" w:hAnsi="Arial" w:cs="Arial"/>
          <w:b/>
          <w:kern w:val="2"/>
        </w:rPr>
      </w:pPr>
      <w:r w:rsidRPr="0033434E">
        <w:rPr>
          <w:rFonts w:ascii="Arial" w:hAnsi="Arial" w:cs="Arial"/>
          <w:b/>
          <w:kern w:val="2"/>
        </w:rPr>
        <w:t xml:space="preserve">Factor 2: Health Priorities </w:t>
      </w:r>
      <w:r w:rsidRPr="0033434E">
        <w:rPr>
          <w:rFonts w:ascii="Arial" w:hAnsi="Arial" w:cs="Arial"/>
          <w:b/>
          <w:kern w:val="2"/>
        </w:rPr>
        <w:tab/>
      </w:r>
      <w:r w:rsidRPr="0033434E">
        <w:rPr>
          <w:rFonts w:ascii="Arial" w:hAnsi="Arial" w:cs="Arial"/>
          <w:b/>
          <w:kern w:val="2"/>
        </w:rPr>
        <w:tab/>
      </w:r>
      <w:r w:rsidRPr="0033434E">
        <w:rPr>
          <w:rFonts w:ascii="Arial" w:hAnsi="Arial" w:cs="Arial"/>
          <w:b/>
          <w:kern w:val="2"/>
        </w:rPr>
        <w:tab/>
      </w:r>
    </w:p>
    <w:p w14:paraId="6E0319C5" w14:textId="77777777" w:rsidR="009C4CCF" w:rsidRPr="0033434E" w:rsidRDefault="009C4CCF" w:rsidP="009C4CCF">
      <w:pPr>
        <w:spacing w:after="0" w:line="240" w:lineRule="auto"/>
        <w:ind w:left="1440" w:hanging="1440"/>
        <w:jc w:val="both"/>
        <w:rPr>
          <w:rFonts w:ascii="Arial" w:hAnsi="Arial" w:cs="Arial"/>
          <w:b/>
          <w:kern w:val="2"/>
        </w:rPr>
      </w:pPr>
    </w:p>
    <w:p w14:paraId="08009887" w14:textId="77777777" w:rsidR="009C4CCF" w:rsidRPr="00DF539F" w:rsidRDefault="009C4CCF" w:rsidP="009C4CCF">
      <w:pPr>
        <w:autoSpaceDE w:val="0"/>
        <w:autoSpaceDN w:val="0"/>
        <w:adjustRightInd w:val="0"/>
        <w:spacing w:after="0" w:line="240" w:lineRule="auto"/>
        <w:jc w:val="both"/>
        <w:rPr>
          <w:rFonts w:ascii="Arial" w:hAnsi="Arial" w:cs="Arial"/>
          <w:b/>
          <w:sz w:val="20"/>
          <w:szCs w:val="20"/>
        </w:rPr>
      </w:pPr>
      <w:r w:rsidRPr="0033434E">
        <w:rPr>
          <w:rFonts w:ascii="Arial" w:hAnsi="Arial" w:cs="Arial"/>
          <w:b/>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E82420" w14:textId="77777777" w:rsidR="009C4CCF" w:rsidRPr="00DF539F" w:rsidRDefault="009C4CCF" w:rsidP="009C4CCF">
      <w:pPr>
        <w:autoSpaceDE w:val="0"/>
        <w:autoSpaceDN w:val="0"/>
        <w:adjustRightInd w:val="0"/>
        <w:spacing w:after="0" w:line="240" w:lineRule="auto"/>
        <w:jc w:val="both"/>
        <w:rPr>
          <w:rFonts w:ascii="Arial" w:hAnsi="Arial" w:cs="Arial"/>
          <w:b/>
          <w:sz w:val="20"/>
          <w:szCs w:val="20"/>
        </w:rPr>
      </w:pPr>
    </w:p>
    <w:p w14:paraId="79BE9220"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rPr>
      </w:pPr>
      <w:r w:rsidRPr="0033434E">
        <w:rPr>
          <w:rFonts w:ascii="Arial" w:hAnsi="Arial" w:cs="Arial"/>
          <w:b/>
        </w:rPr>
        <w:t>F2.a.</w:t>
      </w:r>
      <w:r w:rsidRPr="0033434E">
        <w:rPr>
          <w:rFonts w:ascii="Arial" w:hAnsi="Arial" w:cs="Arial"/>
          <w:b/>
        </w:rPr>
        <w:tab/>
      </w:r>
      <w:r w:rsidRPr="0033434E">
        <w:rPr>
          <w:rFonts w:ascii="Arial" w:hAnsi="Arial" w:cs="Arial"/>
          <w:b/>
          <w:u w:val="single"/>
        </w:rPr>
        <w:t>Cost Containment:</w:t>
      </w:r>
      <w:r w:rsidRPr="0033434E">
        <w:rPr>
          <w:rFonts w:ascii="Arial" w:hAnsi="Arial" w:cs="Arial"/>
          <w:b/>
        </w:rPr>
        <w:t xml:space="preserve"> </w:t>
      </w:r>
    </w:p>
    <w:p w14:paraId="1EF8BFCD"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rPr>
        <w:tab/>
      </w:r>
      <w:r w:rsidRPr="0033434E">
        <w:rPr>
          <w:rFonts w:ascii="Arial" w:hAnsi="Arial" w:cs="Arial"/>
          <w:b/>
          <w:kern w:val="2"/>
        </w:rPr>
        <w:t>Using objective data, please describe, for each new or expanded service, how the Proposed Project will meaningfully contribute to the Commonwealth's goals for cost containment.</w:t>
      </w:r>
    </w:p>
    <w:p w14:paraId="47E2DDC9" w14:textId="77777777" w:rsidR="009C4CCF" w:rsidRPr="00DF539F" w:rsidRDefault="009C4CCF" w:rsidP="009C4CCF">
      <w:pPr>
        <w:spacing w:after="0" w:line="240" w:lineRule="auto"/>
        <w:jc w:val="both"/>
        <w:rPr>
          <w:rFonts w:ascii="Arial" w:hAnsi="Arial" w:cs="Arial"/>
          <w:sz w:val="20"/>
          <w:szCs w:val="20"/>
        </w:rPr>
      </w:pPr>
    </w:p>
    <w:p w14:paraId="65633857" w14:textId="77777777" w:rsidR="009C4CCF" w:rsidRDefault="009C4CCF" w:rsidP="009C4CCF">
      <w:pPr>
        <w:spacing w:after="0" w:line="240" w:lineRule="auto"/>
        <w:jc w:val="both"/>
        <w:rPr>
          <w:rFonts w:ascii="Arial" w:hAnsi="Arial" w:cs="Arial"/>
          <w:sz w:val="20"/>
          <w:szCs w:val="20"/>
        </w:rPr>
      </w:pPr>
    </w:p>
    <w:p w14:paraId="7298267E" w14:textId="2824F6C3" w:rsidR="009C4CCF" w:rsidRDefault="009C4CCF" w:rsidP="009C4CCF">
      <w:pPr>
        <w:spacing w:after="0" w:line="240" w:lineRule="auto"/>
        <w:jc w:val="both"/>
        <w:rPr>
          <w:rFonts w:ascii="Arial" w:hAnsi="Arial" w:cs="Arial"/>
          <w:sz w:val="20"/>
          <w:szCs w:val="20"/>
        </w:rPr>
      </w:pPr>
      <w:r>
        <w:rPr>
          <w:rFonts w:ascii="Arial" w:hAnsi="Arial" w:cs="Arial"/>
          <w:sz w:val="20"/>
          <w:szCs w:val="20"/>
        </w:rPr>
        <w:t xml:space="preserve">The Proposed Project will meaningfully contribute to the Commonwealth’s goals for cost containment by providing patients with timely access to inpatient psychiatric treatment. </w:t>
      </w:r>
      <w:r w:rsidR="00FE711F">
        <w:rPr>
          <w:rFonts w:ascii="Arial" w:hAnsi="Arial" w:cs="Arial"/>
          <w:sz w:val="20"/>
          <w:szCs w:val="20"/>
        </w:rPr>
        <w:t>Patients who receive appropriate, timely psychiatric care, especially patients suffering from depression, anxiety and schizophrenia are less likely to seek treatment through the ED upon discharge or need additional inpatient care.</w:t>
      </w:r>
      <w:r w:rsidR="00FE711F">
        <w:rPr>
          <w:rStyle w:val="FootnoteReference"/>
          <w:rFonts w:ascii="Arial" w:hAnsi="Arial" w:cs="Arial"/>
          <w:sz w:val="20"/>
          <w:szCs w:val="20"/>
        </w:rPr>
        <w:footnoteReference w:id="54"/>
      </w:r>
      <w:r w:rsidR="00FE711F">
        <w:rPr>
          <w:rFonts w:ascii="Arial" w:hAnsi="Arial" w:cs="Arial"/>
          <w:sz w:val="20"/>
          <w:szCs w:val="20"/>
        </w:rPr>
        <w:t xml:space="preserve"> The reduction in ED boarding and corresponding provision of care in the most appropriate setting will allow the Hospital to treat patients before their conditions worsen and become more costly to care for over time. </w:t>
      </w:r>
      <w:r>
        <w:rPr>
          <w:rFonts w:ascii="Arial" w:hAnsi="Arial" w:cs="Arial"/>
          <w:sz w:val="20"/>
          <w:szCs w:val="20"/>
        </w:rPr>
        <w:t>Moreover, GSMC will provide a continuum of care including outpatient psychiatric services that may be accessed post-discharge. In addition, patients are provided with assistance in linking to staff to appropriate community resources to address the individual’s social determinant</w:t>
      </w:r>
      <w:r w:rsidR="006239DF">
        <w:rPr>
          <w:rFonts w:ascii="Arial" w:hAnsi="Arial" w:cs="Arial"/>
          <w:sz w:val="20"/>
          <w:szCs w:val="20"/>
        </w:rPr>
        <w:t>s</w:t>
      </w:r>
      <w:r>
        <w:rPr>
          <w:rFonts w:ascii="Arial" w:hAnsi="Arial" w:cs="Arial"/>
          <w:sz w:val="20"/>
          <w:szCs w:val="20"/>
        </w:rPr>
        <w:t xml:space="preserve"> of health (“</w:t>
      </w:r>
      <w:proofErr w:type="spellStart"/>
      <w:r>
        <w:rPr>
          <w:rFonts w:ascii="Arial" w:hAnsi="Arial" w:cs="Arial"/>
          <w:sz w:val="20"/>
          <w:szCs w:val="20"/>
        </w:rPr>
        <w:t>SDoH</w:t>
      </w:r>
      <w:proofErr w:type="spellEnd"/>
      <w:r>
        <w:rPr>
          <w:rFonts w:ascii="Arial" w:hAnsi="Arial" w:cs="Arial"/>
          <w:sz w:val="20"/>
          <w:szCs w:val="20"/>
        </w:rPr>
        <w:t>”) needs.</w:t>
      </w:r>
      <w:r w:rsidR="00FE711F">
        <w:rPr>
          <w:rFonts w:ascii="Arial" w:hAnsi="Arial" w:cs="Arial"/>
          <w:sz w:val="20"/>
          <w:szCs w:val="20"/>
        </w:rPr>
        <w:t xml:space="preserve"> Access to a continuum of care to address a patient’s psychiatric needs and other issues that impact health can reduce costs by meeting the needs of patients before more costly ED and inpatient care is required.</w:t>
      </w:r>
      <w:r>
        <w:rPr>
          <w:rFonts w:ascii="Arial" w:hAnsi="Arial" w:cs="Arial"/>
          <w:sz w:val="20"/>
          <w:szCs w:val="20"/>
        </w:rPr>
        <w:t xml:space="preserve"> Lowering the total cost of care will contribute to the Commonwealth’s cost containment goals. </w:t>
      </w:r>
    </w:p>
    <w:p w14:paraId="52099B25" w14:textId="6BB4359A" w:rsidR="009C4CCF" w:rsidRDefault="009C4CCF" w:rsidP="009C4CCF">
      <w:pPr>
        <w:spacing w:after="0" w:line="240" w:lineRule="auto"/>
        <w:jc w:val="both"/>
        <w:rPr>
          <w:rFonts w:ascii="Arial" w:hAnsi="Arial" w:cs="Arial"/>
          <w:sz w:val="20"/>
          <w:szCs w:val="20"/>
        </w:rPr>
      </w:pPr>
    </w:p>
    <w:p w14:paraId="7B794EDA" w14:textId="77D2EF69" w:rsidR="00CB02FE" w:rsidRDefault="00CB02FE" w:rsidP="009C4CCF">
      <w:pPr>
        <w:spacing w:after="0" w:line="240" w:lineRule="auto"/>
        <w:jc w:val="both"/>
        <w:rPr>
          <w:rFonts w:ascii="Arial" w:hAnsi="Arial" w:cs="Arial"/>
          <w:sz w:val="20"/>
          <w:szCs w:val="20"/>
        </w:rPr>
      </w:pPr>
    </w:p>
    <w:p w14:paraId="723796D6" w14:textId="59A28E25" w:rsidR="00CB02FE" w:rsidRDefault="00CB02FE" w:rsidP="009C4CCF">
      <w:pPr>
        <w:spacing w:after="0" w:line="240" w:lineRule="auto"/>
        <w:jc w:val="both"/>
        <w:rPr>
          <w:rFonts w:ascii="Arial" w:hAnsi="Arial" w:cs="Arial"/>
          <w:sz w:val="20"/>
          <w:szCs w:val="20"/>
        </w:rPr>
      </w:pPr>
    </w:p>
    <w:p w14:paraId="4C340BC4" w14:textId="03B42E61" w:rsidR="00CB02FE" w:rsidRDefault="00CB02FE" w:rsidP="009C4CCF">
      <w:pPr>
        <w:spacing w:after="0" w:line="240" w:lineRule="auto"/>
        <w:jc w:val="both"/>
        <w:rPr>
          <w:rFonts w:ascii="Arial" w:hAnsi="Arial" w:cs="Arial"/>
          <w:sz w:val="20"/>
          <w:szCs w:val="20"/>
        </w:rPr>
      </w:pPr>
    </w:p>
    <w:p w14:paraId="3264005A" w14:textId="416E509E" w:rsidR="00CB02FE" w:rsidRDefault="00CB02FE" w:rsidP="009C4CCF">
      <w:pPr>
        <w:spacing w:after="0" w:line="240" w:lineRule="auto"/>
        <w:jc w:val="both"/>
        <w:rPr>
          <w:rFonts w:ascii="Arial" w:hAnsi="Arial" w:cs="Arial"/>
          <w:sz w:val="20"/>
          <w:szCs w:val="20"/>
        </w:rPr>
      </w:pPr>
    </w:p>
    <w:p w14:paraId="401781A9" w14:textId="77777777" w:rsidR="00CB02FE" w:rsidRPr="00DF539F" w:rsidRDefault="00CB02FE" w:rsidP="009C4CCF">
      <w:pPr>
        <w:spacing w:after="0" w:line="240" w:lineRule="auto"/>
        <w:jc w:val="both"/>
        <w:rPr>
          <w:rFonts w:ascii="Arial" w:hAnsi="Arial" w:cs="Arial"/>
          <w:sz w:val="20"/>
          <w:szCs w:val="20"/>
        </w:rPr>
      </w:pPr>
    </w:p>
    <w:p w14:paraId="5591BF85"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lastRenderedPageBreak/>
        <w:t>F2.b.</w:t>
      </w:r>
      <w:r w:rsidRPr="0033434E">
        <w:rPr>
          <w:rFonts w:ascii="Arial" w:hAnsi="Arial" w:cs="Arial"/>
          <w:b/>
          <w:kern w:val="2"/>
        </w:rPr>
        <w:tab/>
      </w:r>
      <w:r w:rsidRPr="0033434E">
        <w:rPr>
          <w:rFonts w:ascii="Arial" w:hAnsi="Arial" w:cs="Arial"/>
          <w:b/>
          <w:kern w:val="2"/>
          <w:u w:val="single"/>
        </w:rPr>
        <w:t>Public Health Outcomes:</w:t>
      </w:r>
      <w:r w:rsidRPr="0033434E">
        <w:rPr>
          <w:rFonts w:ascii="Arial" w:hAnsi="Arial" w:cs="Arial"/>
          <w:b/>
          <w:kern w:val="2"/>
        </w:rPr>
        <w:t xml:space="preserve"> </w:t>
      </w:r>
    </w:p>
    <w:p w14:paraId="536D2C6E"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tab/>
        <w:t>Describe, as relevant, for each new or expanded service, how the Proposed Project will improve public health outcomes.</w:t>
      </w:r>
    </w:p>
    <w:p w14:paraId="1E4E4D02" w14:textId="77777777" w:rsidR="009C4CCF" w:rsidRPr="00702EAF" w:rsidRDefault="009C4CCF"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3CECFF6C" w14:textId="45AF0662" w:rsidR="009C4CCF" w:rsidRPr="00DA401C" w:rsidRDefault="009C4CCF"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rPr>
      </w:pPr>
      <w:r w:rsidRPr="00DA401C">
        <w:rPr>
          <w:rFonts w:ascii="Arial" w:hAnsi="Arial" w:cs="Arial"/>
          <w:sz w:val="20"/>
          <w:szCs w:val="20"/>
        </w:rPr>
        <w:t xml:space="preserve"> As discussed in F.1.a.ii., the Applicant anticipates the prevalence of mental health illnesses will continue to increase. To ensure access to inpatient and outpatient psychiatric services for the portion of the patient panel who tend to have higher rates of mental illness (adults and older adults), it is necessary to have adequate capacity. </w:t>
      </w:r>
      <w:r w:rsidRPr="00DA401C">
        <w:rPr>
          <w:rFonts w:ascii="Arial" w:eastAsia="Times New Roman" w:hAnsi="Arial" w:cs="Arial"/>
          <w:sz w:val="20"/>
          <w:szCs w:val="20"/>
        </w:rPr>
        <w:t>The proposed 77 bed facility will improve public health outcomes by providing timely access to inpatient psychiatric care. Timely access to care will decrease delays that may lead to worsening of a patient’s condition while boarding in the ED</w:t>
      </w:r>
      <w:r w:rsidR="006239DF">
        <w:rPr>
          <w:rFonts w:ascii="Arial" w:eastAsia="Times New Roman" w:hAnsi="Arial" w:cs="Arial"/>
          <w:sz w:val="20"/>
          <w:szCs w:val="20"/>
        </w:rPr>
        <w:t xml:space="preserve"> and</w:t>
      </w:r>
      <w:r w:rsidRPr="00DA401C">
        <w:rPr>
          <w:rFonts w:ascii="Arial" w:eastAsia="Times New Roman" w:hAnsi="Arial" w:cs="Arial"/>
          <w:sz w:val="20"/>
          <w:szCs w:val="20"/>
        </w:rPr>
        <w:t xml:space="preserve"> can result in improved patient experience and outcomes, as well as reduced rates of readmission. The </w:t>
      </w:r>
      <w:r w:rsidR="006239DF">
        <w:rPr>
          <w:rFonts w:ascii="Arial" w:eastAsia="Times New Roman" w:hAnsi="Arial" w:cs="Arial"/>
          <w:sz w:val="20"/>
          <w:szCs w:val="20"/>
        </w:rPr>
        <w:t xml:space="preserve">Proposed </w:t>
      </w:r>
      <w:r w:rsidRPr="00DA401C">
        <w:rPr>
          <w:rFonts w:ascii="Arial" w:eastAsia="Times New Roman" w:hAnsi="Arial" w:cs="Arial"/>
          <w:sz w:val="20"/>
          <w:szCs w:val="20"/>
        </w:rPr>
        <w:t xml:space="preserve">Project will also provide a continuum of care by </w:t>
      </w:r>
      <w:r w:rsidRPr="00DA401C">
        <w:rPr>
          <w:rFonts w:ascii="Arial" w:hAnsi="Arial" w:cs="Arial"/>
          <w:sz w:val="20"/>
          <w:szCs w:val="20"/>
        </w:rPr>
        <w:t>expanding</w:t>
      </w:r>
      <w:r w:rsidRPr="00DA401C">
        <w:rPr>
          <w:rFonts w:ascii="Arial" w:eastAsia="Times New Roman" w:hAnsi="Arial" w:cs="Arial"/>
          <w:sz w:val="20"/>
          <w:szCs w:val="20"/>
        </w:rPr>
        <w:t xml:space="preserve"> outpatient psychiatric services. Finally, </w:t>
      </w:r>
      <w:r w:rsidRPr="00DA401C">
        <w:rPr>
          <w:rFonts w:ascii="Arial" w:hAnsi="Arial" w:cs="Arial"/>
          <w:sz w:val="20"/>
          <w:szCs w:val="20"/>
        </w:rPr>
        <w:t>with</w:t>
      </w:r>
      <w:r w:rsidRPr="00DA401C">
        <w:rPr>
          <w:rFonts w:ascii="Arial" w:eastAsia="Times New Roman" w:hAnsi="Arial" w:cs="Arial"/>
          <w:sz w:val="20"/>
          <w:szCs w:val="20"/>
        </w:rPr>
        <w:t xml:space="preserve"> </w:t>
      </w:r>
      <w:r w:rsidRPr="00DA401C">
        <w:rPr>
          <w:rFonts w:ascii="Arial" w:hAnsi="Arial" w:cs="Arial"/>
          <w:sz w:val="20"/>
          <w:szCs w:val="20"/>
        </w:rPr>
        <w:t>lower</w:t>
      </w:r>
      <w:r w:rsidRPr="00DA401C">
        <w:rPr>
          <w:rFonts w:ascii="Arial" w:eastAsia="Times New Roman" w:hAnsi="Arial" w:cs="Arial"/>
          <w:sz w:val="20"/>
          <w:szCs w:val="20"/>
        </w:rPr>
        <w:t xml:space="preserve"> ED boarding, </w:t>
      </w:r>
      <w:r w:rsidRPr="00DA401C">
        <w:rPr>
          <w:rFonts w:ascii="Arial" w:hAnsi="Arial" w:cs="Arial"/>
          <w:sz w:val="20"/>
          <w:szCs w:val="20"/>
        </w:rPr>
        <w:t xml:space="preserve">all </w:t>
      </w:r>
      <w:r w:rsidRPr="00DA401C">
        <w:rPr>
          <w:rFonts w:ascii="Arial" w:eastAsia="Times New Roman" w:hAnsi="Arial" w:cs="Arial"/>
          <w:sz w:val="20"/>
          <w:szCs w:val="20"/>
        </w:rPr>
        <w:t xml:space="preserve">patients presenting to the ED will have timely access to care, improving patient outcomes. </w:t>
      </w:r>
    </w:p>
    <w:p w14:paraId="27B1653F" w14:textId="77777777" w:rsidR="009C4CCF" w:rsidRPr="00702EAF" w:rsidRDefault="009C4CCF" w:rsidP="009C4CCF">
      <w:pPr>
        <w:tabs>
          <w:tab w:val="left" w:pos="1440"/>
          <w:tab w:val="left" w:pos="5736"/>
        </w:tabs>
        <w:autoSpaceDE w:val="0"/>
        <w:autoSpaceDN w:val="0"/>
        <w:adjustRightInd w:val="0"/>
        <w:spacing w:after="0" w:line="240" w:lineRule="auto"/>
        <w:jc w:val="both"/>
        <w:rPr>
          <w:rFonts w:ascii="Arial" w:eastAsia="Times New Roman" w:hAnsi="Arial" w:cs="Arial"/>
          <w:sz w:val="20"/>
          <w:szCs w:val="20"/>
          <w:highlight w:val="yellow"/>
        </w:rPr>
      </w:pPr>
    </w:p>
    <w:p w14:paraId="6B0FA6D3"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t>F2.c.</w:t>
      </w:r>
      <w:r w:rsidRPr="0033434E">
        <w:rPr>
          <w:rFonts w:ascii="Arial" w:hAnsi="Arial" w:cs="Arial"/>
          <w:b/>
          <w:kern w:val="2"/>
        </w:rPr>
        <w:tab/>
      </w:r>
      <w:r w:rsidRPr="0033434E">
        <w:rPr>
          <w:rFonts w:ascii="Arial" w:hAnsi="Arial" w:cs="Arial"/>
          <w:b/>
          <w:kern w:val="2"/>
          <w:u w:val="single"/>
        </w:rPr>
        <w:t>Delivery System Transformation:</w:t>
      </w:r>
      <w:r w:rsidRPr="0033434E">
        <w:rPr>
          <w:rFonts w:ascii="Arial" w:hAnsi="Arial" w:cs="Arial"/>
          <w:b/>
          <w:kern w:val="2"/>
        </w:rPr>
        <w:t xml:space="preserve"> </w:t>
      </w:r>
    </w:p>
    <w:p w14:paraId="527FEFA0" w14:textId="77777777" w:rsidR="009C4CCF" w:rsidRPr="0033434E"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33434E">
        <w:rPr>
          <w:rFonts w:ascii="Arial" w:hAnsi="Arial" w:cs="Arial"/>
          <w:b/>
          <w:kern w:val="2"/>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1118BA73" w14:textId="77777777" w:rsidR="009C4CCF" w:rsidRPr="00A27724"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7CB581C6" w14:textId="5A062F07" w:rsidR="009C4CCF" w:rsidRPr="00256427" w:rsidRDefault="009C4CCF" w:rsidP="009C4CCF">
      <w:pPr>
        <w:pStyle w:val="BodyText2"/>
        <w:autoSpaceDE w:val="0"/>
        <w:autoSpaceDN w:val="0"/>
        <w:spacing w:after="160" w:line="259" w:lineRule="auto"/>
        <w:rPr>
          <w:rFonts w:eastAsiaTheme="minorHAnsi"/>
          <w:kern w:val="0"/>
        </w:rPr>
      </w:pPr>
      <w:r w:rsidRPr="00367C46">
        <w:rPr>
          <w:rFonts w:eastAsiaTheme="minorHAnsi"/>
          <w:kern w:val="0"/>
        </w:rPr>
        <w:t xml:space="preserve">As described throughout this </w:t>
      </w:r>
      <w:r>
        <w:rPr>
          <w:rFonts w:eastAsiaTheme="minorHAnsi"/>
          <w:kern w:val="0"/>
        </w:rPr>
        <w:t>Application</w:t>
      </w:r>
      <w:r w:rsidRPr="00367C46">
        <w:rPr>
          <w:rFonts w:eastAsiaTheme="minorHAnsi"/>
          <w:kern w:val="0"/>
        </w:rPr>
        <w:t>, the Proposed Project will improve access to inpatient psychiatric services</w:t>
      </w:r>
      <w:r>
        <w:rPr>
          <w:rFonts w:eastAsiaTheme="minorHAnsi"/>
          <w:kern w:val="0"/>
        </w:rPr>
        <w:t xml:space="preserve"> through expanded capacity. </w:t>
      </w:r>
      <w:r w:rsidRPr="00367C46">
        <w:rPr>
          <w:rFonts w:eastAsiaTheme="minorHAnsi"/>
          <w:kern w:val="0"/>
        </w:rPr>
        <w:t xml:space="preserve">GSMC offers interdisciplinary services to its patients through its inpatient psychiatric service, ensuring appropriate medical and support services throughout their admission. </w:t>
      </w:r>
      <w:r w:rsidRPr="00256427">
        <w:rPr>
          <w:rFonts w:eastAsiaTheme="minorHAnsi"/>
          <w:kern w:val="0"/>
        </w:rPr>
        <w:t>Upon admission and prior to discharge</w:t>
      </w:r>
      <w:r>
        <w:rPr>
          <w:rFonts w:eastAsiaTheme="minorHAnsi"/>
          <w:kern w:val="0"/>
        </w:rPr>
        <w:t>,</w:t>
      </w:r>
      <w:r w:rsidRPr="00256427">
        <w:rPr>
          <w:rFonts w:eastAsiaTheme="minorHAnsi"/>
          <w:kern w:val="0"/>
        </w:rPr>
        <w:t xml:space="preserve"> </w:t>
      </w:r>
      <w:r>
        <w:rPr>
          <w:rFonts w:eastAsiaTheme="minorHAnsi"/>
          <w:kern w:val="0"/>
        </w:rPr>
        <w:t xml:space="preserve">a care plan is developed for </w:t>
      </w:r>
      <w:r w:rsidRPr="00256427">
        <w:rPr>
          <w:rFonts w:eastAsiaTheme="minorHAnsi"/>
          <w:kern w:val="0"/>
        </w:rPr>
        <w:t xml:space="preserve">all patients to address their needs, including psycho-social supports that will increase likelihood of a successful recovery </w:t>
      </w:r>
      <w:r w:rsidR="006239DF">
        <w:rPr>
          <w:rFonts w:eastAsiaTheme="minorHAnsi"/>
          <w:kern w:val="0"/>
        </w:rPr>
        <w:t>and continue care</w:t>
      </w:r>
      <w:r w:rsidRPr="00256427">
        <w:rPr>
          <w:rFonts w:eastAsiaTheme="minorHAnsi"/>
          <w:kern w:val="0"/>
        </w:rPr>
        <w:t xml:space="preserve"> in an outpatient setting.</w:t>
      </w:r>
    </w:p>
    <w:p w14:paraId="5A408B61" w14:textId="2318E21A" w:rsidR="009C4CCF" w:rsidRPr="00256427" w:rsidRDefault="009C4CCF" w:rsidP="009C4CCF">
      <w:pPr>
        <w:pStyle w:val="BodyText2"/>
        <w:autoSpaceDE w:val="0"/>
        <w:autoSpaceDN w:val="0"/>
        <w:spacing w:after="160" w:line="259" w:lineRule="auto"/>
        <w:rPr>
          <w:rFonts w:eastAsiaTheme="minorHAnsi"/>
          <w:kern w:val="0"/>
        </w:rPr>
      </w:pPr>
      <w:r w:rsidRPr="00367C46">
        <w:rPr>
          <w:rFonts w:eastAsiaTheme="minorHAnsi"/>
          <w:kern w:val="0"/>
        </w:rPr>
        <w:t xml:space="preserve">GSMC </w:t>
      </w:r>
      <w:r>
        <w:rPr>
          <w:rFonts w:eastAsiaTheme="minorHAnsi"/>
          <w:kern w:val="0"/>
        </w:rPr>
        <w:t>also conducts</w:t>
      </w:r>
      <w:r w:rsidRPr="00367C46">
        <w:rPr>
          <w:rFonts w:eastAsiaTheme="minorHAnsi"/>
          <w:kern w:val="0"/>
        </w:rPr>
        <w:t xml:space="preserve"> </w:t>
      </w:r>
      <w:proofErr w:type="spellStart"/>
      <w:r w:rsidRPr="00367C46">
        <w:rPr>
          <w:rFonts w:eastAsiaTheme="minorHAnsi"/>
          <w:kern w:val="0"/>
        </w:rPr>
        <w:t>SDoH</w:t>
      </w:r>
      <w:proofErr w:type="spellEnd"/>
      <w:r w:rsidRPr="00367C46">
        <w:rPr>
          <w:rFonts w:eastAsiaTheme="minorHAnsi"/>
          <w:kern w:val="0"/>
        </w:rPr>
        <w:t xml:space="preserve"> </w:t>
      </w:r>
      <w:r>
        <w:rPr>
          <w:rFonts w:eastAsiaTheme="minorHAnsi"/>
          <w:kern w:val="0"/>
        </w:rPr>
        <w:t>screening</w:t>
      </w:r>
      <w:r w:rsidRPr="00367C46">
        <w:rPr>
          <w:rFonts w:eastAsiaTheme="minorHAnsi"/>
          <w:kern w:val="0"/>
        </w:rPr>
        <w:t xml:space="preserve"> and </w:t>
      </w:r>
      <w:r>
        <w:rPr>
          <w:rFonts w:eastAsiaTheme="minorHAnsi"/>
          <w:kern w:val="0"/>
        </w:rPr>
        <w:t xml:space="preserve">links patients to community resources. </w:t>
      </w:r>
      <w:r w:rsidRPr="0053606D">
        <w:rPr>
          <w:rFonts w:eastAsiaTheme="minorHAnsi"/>
          <w:kern w:val="0"/>
        </w:rPr>
        <w:t xml:space="preserve">Prior to discharge, GSMC staff </w:t>
      </w:r>
      <w:proofErr w:type="gramStart"/>
      <w:r w:rsidRPr="0053606D">
        <w:rPr>
          <w:rFonts w:eastAsiaTheme="minorHAnsi"/>
          <w:kern w:val="0"/>
        </w:rPr>
        <w:t xml:space="preserve">provides </w:t>
      </w:r>
      <w:r>
        <w:rPr>
          <w:rFonts w:eastAsiaTheme="minorHAnsi"/>
          <w:kern w:val="0"/>
        </w:rPr>
        <w:t>assistance</w:t>
      </w:r>
      <w:proofErr w:type="gramEnd"/>
      <w:r>
        <w:rPr>
          <w:rFonts w:eastAsiaTheme="minorHAnsi"/>
          <w:kern w:val="0"/>
        </w:rPr>
        <w:t xml:space="preserve"> and written materials to patients to facilitate linkages to </w:t>
      </w:r>
      <w:r w:rsidRPr="0053606D">
        <w:rPr>
          <w:rFonts w:eastAsiaTheme="minorHAnsi"/>
          <w:kern w:val="0"/>
        </w:rPr>
        <w:t xml:space="preserve">community resources to address the individual’s medical, social, psychological, cultural, and ethnic needs. </w:t>
      </w:r>
      <w:r>
        <w:rPr>
          <w:rFonts w:eastAsiaTheme="minorHAnsi"/>
          <w:kern w:val="0"/>
        </w:rPr>
        <w:t>In</w:t>
      </w:r>
      <w:r w:rsidRPr="0053606D">
        <w:rPr>
          <w:rFonts w:eastAsiaTheme="minorHAnsi"/>
          <w:kern w:val="0"/>
        </w:rPr>
        <w:t xml:space="preserve">dividualized psychosocial assessments </w:t>
      </w:r>
      <w:r>
        <w:rPr>
          <w:rFonts w:eastAsiaTheme="minorHAnsi"/>
          <w:kern w:val="0"/>
        </w:rPr>
        <w:t xml:space="preserve">are </w:t>
      </w:r>
      <w:r w:rsidR="006239DF">
        <w:rPr>
          <w:rFonts w:eastAsiaTheme="minorHAnsi"/>
          <w:kern w:val="0"/>
        </w:rPr>
        <w:t xml:space="preserve">also </w:t>
      </w:r>
      <w:r>
        <w:rPr>
          <w:rFonts w:eastAsiaTheme="minorHAnsi"/>
          <w:kern w:val="0"/>
        </w:rPr>
        <w:t xml:space="preserve">conducted </w:t>
      </w:r>
      <w:r w:rsidR="006239DF">
        <w:rPr>
          <w:rFonts w:eastAsiaTheme="minorHAnsi"/>
          <w:kern w:val="0"/>
        </w:rPr>
        <w:t xml:space="preserve">on </w:t>
      </w:r>
      <w:r w:rsidRPr="0053606D">
        <w:rPr>
          <w:rFonts w:eastAsiaTheme="minorHAnsi"/>
          <w:kern w:val="0"/>
        </w:rPr>
        <w:t xml:space="preserve">patients </w:t>
      </w:r>
      <w:r w:rsidR="006239DF">
        <w:rPr>
          <w:rFonts w:eastAsiaTheme="minorHAnsi"/>
          <w:kern w:val="0"/>
        </w:rPr>
        <w:t>to</w:t>
      </w:r>
      <w:r w:rsidRPr="0053606D">
        <w:rPr>
          <w:rFonts w:eastAsiaTheme="minorHAnsi"/>
          <w:kern w:val="0"/>
        </w:rPr>
        <w:t xml:space="preserve"> assist in identifying community needs prior to discharge. To further ensure the quality and continuity of care after discharge, GSMC follows up with patients within 30 days</w:t>
      </w:r>
      <w:r>
        <w:rPr>
          <w:rFonts w:eastAsiaTheme="minorHAnsi"/>
          <w:kern w:val="0"/>
        </w:rPr>
        <w:t xml:space="preserve"> to assess whether the patient requires additional assistance to address </w:t>
      </w:r>
      <w:proofErr w:type="spellStart"/>
      <w:r>
        <w:rPr>
          <w:rFonts w:eastAsiaTheme="minorHAnsi"/>
          <w:kern w:val="0"/>
        </w:rPr>
        <w:t>SDoH</w:t>
      </w:r>
      <w:proofErr w:type="spellEnd"/>
      <w:r>
        <w:rPr>
          <w:rFonts w:eastAsiaTheme="minorHAnsi"/>
          <w:kern w:val="0"/>
        </w:rPr>
        <w:t xml:space="preserve"> needs. The Hospital also </w:t>
      </w:r>
      <w:r w:rsidRPr="00367C46">
        <w:rPr>
          <w:rFonts w:eastAsiaTheme="minorHAnsi"/>
          <w:kern w:val="0"/>
        </w:rPr>
        <w:t xml:space="preserve">offers numerous programs to address financial, spiritual, transportation, clothing, housing, and </w:t>
      </w:r>
      <w:r>
        <w:rPr>
          <w:rFonts w:eastAsiaTheme="minorHAnsi"/>
          <w:kern w:val="0"/>
        </w:rPr>
        <w:t>nutrition</w:t>
      </w:r>
      <w:r w:rsidRPr="00367C46">
        <w:rPr>
          <w:rFonts w:eastAsiaTheme="minorHAnsi"/>
          <w:kern w:val="0"/>
        </w:rPr>
        <w:t xml:space="preserve"> </w:t>
      </w:r>
      <w:r>
        <w:rPr>
          <w:rFonts w:eastAsiaTheme="minorHAnsi"/>
          <w:kern w:val="0"/>
        </w:rPr>
        <w:t>needs</w:t>
      </w:r>
      <w:r w:rsidRPr="00367C46">
        <w:rPr>
          <w:rFonts w:eastAsiaTheme="minorHAnsi"/>
          <w:kern w:val="0"/>
        </w:rPr>
        <w:t>.</w:t>
      </w:r>
    </w:p>
    <w:p w14:paraId="792FEB37" w14:textId="77777777" w:rsidR="009C4CCF" w:rsidRPr="00702EAF" w:rsidRDefault="009C4CCF" w:rsidP="009C4CCF">
      <w:pPr>
        <w:spacing w:after="0" w:line="240" w:lineRule="auto"/>
        <w:jc w:val="both"/>
        <w:rPr>
          <w:rFonts w:ascii="Arial" w:hAnsi="Arial" w:cs="Arial"/>
          <w:w w:val="105"/>
          <w:sz w:val="20"/>
          <w:szCs w:val="20"/>
          <w:highlight w:val="yellow"/>
        </w:rPr>
      </w:pPr>
    </w:p>
    <w:p w14:paraId="3E5F9B29"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b/>
          <w:kern w:val="2"/>
        </w:rPr>
      </w:pPr>
      <w:r w:rsidRPr="00CA3587">
        <w:rPr>
          <w:rFonts w:ascii="Arial" w:hAnsi="Arial" w:cs="Arial"/>
          <w:b/>
          <w:kern w:val="2"/>
        </w:rPr>
        <w:t>Factor 5: Relative Merit</w:t>
      </w:r>
    </w:p>
    <w:p w14:paraId="74D0493C"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p>
    <w:p w14:paraId="75967EBA"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rPr>
      </w:pPr>
      <w:r w:rsidRPr="00CA3587">
        <w:rPr>
          <w:rFonts w:ascii="Arial" w:hAnsi="Arial" w:cs="Arial"/>
          <w:b/>
          <w:kern w:val="2"/>
        </w:rPr>
        <w:t>F5.</w:t>
      </w:r>
      <w:proofErr w:type="gramStart"/>
      <w:r w:rsidRPr="00CA3587">
        <w:rPr>
          <w:rFonts w:ascii="Arial" w:hAnsi="Arial" w:cs="Arial"/>
          <w:b/>
          <w:kern w:val="2"/>
        </w:rPr>
        <w:t>a.i</w:t>
      </w:r>
      <w:proofErr w:type="gramEnd"/>
      <w:r w:rsidRPr="00CA3587">
        <w:rPr>
          <w:rFonts w:ascii="Arial" w:hAnsi="Arial" w:cs="Arial"/>
          <w:b/>
          <w:kern w:val="2"/>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CA3587">
        <w:rPr>
          <w:rFonts w:ascii="Arial" w:hAnsi="Arial" w:cs="Arial"/>
          <w:b/>
          <w:kern w:val="2"/>
        </w:rPr>
        <w:t>take into account</w:t>
      </w:r>
      <w:proofErr w:type="gramEnd"/>
      <w:r w:rsidRPr="00CA3587">
        <w:rPr>
          <w:rFonts w:ascii="Arial" w:hAnsi="Arial" w:cs="Arial"/>
          <w:b/>
          <w:kern w:val="2"/>
        </w:rPr>
        <w:t>, at a minimum, the quality, efficiency, and capital and operating costs of the Proposed Project relative to potential alternatives or substitutes, including alternative evidence-based strategies and public health interventions.</w:t>
      </w:r>
    </w:p>
    <w:p w14:paraId="29889032" w14:textId="77777777" w:rsidR="009C4CCF" w:rsidRPr="00CA3587" w:rsidRDefault="009C4CCF" w:rsidP="009C4CCF">
      <w:pPr>
        <w:pStyle w:val="ListParagraph"/>
        <w:tabs>
          <w:tab w:val="left" w:pos="1440"/>
        </w:tabs>
        <w:autoSpaceDE w:val="0"/>
        <w:autoSpaceDN w:val="0"/>
        <w:adjustRightInd w:val="0"/>
        <w:spacing w:after="0" w:line="240" w:lineRule="auto"/>
        <w:jc w:val="both"/>
        <w:rPr>
          <w:rFonts w:ascii="Arial" w:hAnsi="Arial" w:cs="Arial"/>
          <w:kern w:val="2"/>
          <w:u w:val="single"/>
        </w:rPr>
      </w:pPr>
    </w:p>
    <w:p w14:paraId="771093EB" w14:textId="1FFE02FD" w:rsidR="009C4CCF" w:rsidRDefault="009C4CCF" w:rsidP="009C4CCF">
      <w:pPr>
        <w:tabs>
          <w:tab w:val="left" w:pos="720"/>
        </w:tabs>
        <w:autoSpaceDE w:val="0"/>
        <w:autoSpaceDN w:val="0"/>
        <w:adjustRightInd w:val="0"/>
        <w:spacing w:after="0" w:line="240" w:lineRule="auto"/>
        <w:jc w:val="both"/>
        <w:rPr>
          <w:rFonts w:ascii="Arial" w:hAnsi="Arial" w:cs="Arial"/>
          <w:kern w:val="2"/>
          <w:sz w:val="20"/>
          <w:szCs w:val="20"/>
        </w:rPr>
      </w:pPr>
      <w:r w:rsidRPr="00CA3587">
        <w:rPr>
          <w:rFonts w:ascii="Arial" w:hAnsi="Arial" w:cs="Arial"/>
          <w:b/>
          <w:kern w:val="2"/>
          <w:sz w:val="20"/>
          <w:szCs w:val="20"/>
        </w:rPr>
        <w:t xml:space="preserve">This Proposal: </w:t>
      </w:r>
      <w:r w:rsidRPr="00CA3587">
        <w:rPr>
          <w:rFonts w:ascii="Arial" w:hAnsi="Arial" w:cs="Arial"/>
          <w:kern w:val="2"/>
          <w:sz w:val="20"/>
          <w:szCs w:val="20"/>
        </w:rPr>
        <w:t xml:space="preserve">The Proposed Project is </w:t>
      </w:r>
      <w:r>
        <w:rPr>
          <w:rFonts w:ascii="Arial" w:hAnsi="Arial" w:cs="Arial"/>
          <w:kern w:val="2"/>
          <w:sz w:val="20"/>
          <w:szCs w:val="20"/>
        </w:rPr>
        <w:t xml:space="preserve">to build a facility that will accommodate inpatient and outpatient psychiatric services. </w:t>
      </w:r>
    </w:p>
    <w:p w14:paraId="6EC56B50" w14:textId="77777777" w:rsidR="006239DF" w:rsidRPr="00CA3587" w:rsidRDefault="006239DF" w:rsidP="009C4CCF">
      <w:pPr>
        <w:tabs>
          <w:tab w:val="left" w:pos="720"/>
        </w:tabs>
        <w:autoSpaceDE w:val="0"/>
        <w:autoSpaceDN w:val="0"/>
        <w:adjustRightInd w:val="0"/>
        <w:spacing w:after="0" w:line="240" w:lineRule="auto"/>
        <w:jc w:val="both"/>
        <w:rPr>
          <w:rFonts w:ascii="Arial" w:hAnsi="Arial" w:cs="Arial"/>
          <w:kern w:val="2"/>
          <w:sz w:val="20"/>
          <w:szCs w:val="20"/>
        </w:rPr>
      </w:pPr>
    </w:p>
    <w:p w14:paraId="5207A2B2" w14:textId="77777777" w:rsidR="009C4CCF" w:rsidRPr="00CA3587" w:rsidRDefault="009C4CCF" w:rsidP="009C4CCF">
      <w:pPr>
        <w:tabs>
          <w:tab w:val="left" w:pos="720"/>
        </w:tabs>
        <w:autoSpaceDE w:val="0"/>
        <w:autoSpaceDN w:val="0"/>
        <w:adjustRightInd w:val="0"/>
        <w:spacing w:after="0" w:line="240" w:lineRule="auto"/>
        <w:ind w:left="720"/>
        <w:jc w:val="both"/>
        <w:rPr>
          <w:rFonts w:ascii="Arial" w:hAnsi="Arial" w:cs="Arial"/>
          <w:bCs/>
          <w:kern w:val="2"/>
          <w:sz w:val="20"/>
          <w:szCs w:val="20"/>
        </w:rPr>
      </w:pPr>
      <w:r w:rsidRPr="00CA3587">
        <w:rPr>
          <w:rFonts w:ascii="Arial" w:hAnsi="Arial" w:cs="Arial"/>
          <w:b/>
          <w:kern w:val="2"/>
          <w:sz w:val="20"/>
          <w:szCs w:val="20"/>
        </w:rPr>
        <w:t xml:space="preserve">Quality: </w:t>
      </w:r>
      <w:r>
        <w:rPr>
          <w:rFonts w:ascii="Arial" w:hAnsi="Arial" w:cs="Arial"/>
          <w:bCs/>
          <w:kern w:val="2"/>
          <w:sz w:val="20"/>
          <w:szCs w:val="20"/>
        </w:rPr>
        <w:t xml:space="preserve">Patients will have more timely access to appropriate care in the correct setting. </w:t>
      </w:r>
    </w:p>
    <w:p w14:paraId="09F9581D"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b/>
          <w:kern w:val="2"/>
          <w:sz w:val="20"/>
          <w:szCs w:val="20"/>
        </w:rPr>
      </w:pPr>
    </w:p>
    <w:p w14:paraId="3DB61505" w14:textId="77777777" w:rsidR="009C4CCF" w:rsidRPr="00CA3587" w:rsidRDefault="009C4CCF" w:rsidP="009C4CCF">
      <w:pPr>
        <w:tabs>
          <w:tab w:val="left" w:pos="720"/>
        </w:tabs>
        <w:autoSpaceDE w:val="0"/>
        <w:autoSpaceDN w:val="0"/>
        <w:adjustRightInd w:val="0"/>
        <w:spacing w:after="0" w:line="240" w:lineRule="auto"/>
        <w:ind w:left="720"/>
        <w:jc w:val="both"/>
        <w:rPr>
          <w:rFonts w:ascii="Arial" w:hAnsi="Arial" w:cs="Arial"/>
          <w:bCs/>
          <w:kern w:val="2"/>
          <w:sz w:val="20"/>
          <w:szCs w:val="20"/>
        </w:rPr>
      </w:pPr>
      <w:r w:rsidRPr="00CA3587">
        <w:rPr>
          <w:rFonts w:ascii="Arial" w:hAnsi="Arial" w:cs="Arial"/>
          <w:b/>
          <w:kern w:val="2"/>
          <w:sz w:val="20"/>
          <w:szCs w:val="20"/>
        </w:rPr>
        <w:t xml:space="preserve">Efficiency: </w:t>
      </w:r>
      <w:r>
        <w:rPr>
          <w:rFonts w:ascii="Arial" w:hAnsi="Arial" w:cs="Arial"/>
          <w:bCs/>
          <w:kern w:val="2"/>
          <w:sz w:val="20"/>
          <w:szCs w:val="20"/>
        </w:rPr>
        <w:t>Increased inpatient capacity will result in the efficient transition of patients from the ED to an inpatient bed. This will create efficiencies in the ED as more patients will have timely access to emergent care and reduce strain on ED staff and resources as they will be able to focus on providing ED services.</w:t>
      </w:r>
    </w:p>
    <w:p w14:paraId="0D513B68"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0060CF6A" w14:textId="37514786" w:rsidR="009C4CCF" w:rsidRPr="00CA3587" w:rsidRDefault="009C4CCF" w:rsidP="009C4CCF">
      <w:pPr>
        <w:autoSpaceDE w:val="0"/>
        <w:autoSpaceDN w:val="0"/>
        <w:adjustRightInd w:val="0"/>
        <w:spacing w:after="0" w:line="240" w:lineRule="auto"/>
        <w:ind w:left="720"/>
        <w:jc w:val="both"/>
        <w:rPr>
          <w:rFonts w:ascii="Arial" w:hAnsi="Arial" w:cs="Arial"/>
          <w:kern w:val="2"/>
          <w:sz w:val="20"/>
          <w:szCs w:val="20"/>
        </w:rPr>
      </w:pPr>
      <w:r w:rsidRPr="00CA3587">
        <w:rPr>
          <w:rFonts w:ascii="Arial" w:hAnsi="Arial" w:cs="Arial"/>
          <w:b/>
          <w:kern w:val="2"/>
          <w:sz w:val="20"/>
          <w:szCs w:val="20"/>
        </w:rPr>
        <w:t xml:space="preserve">Capital Expense: </w:t>
      </w:r>
      <w:r w:rsidRPr="00CA3587">
        <w:rPr>
          <w:rFonts w:ascii="Arial" w:hAnsi="Arial" w:cs="Arial"/>
          <w:kern w:val="2"/>
          <w:sz w:val="20"/>
          <w:szCs w:val="20"/>
        </w:rPr>
        <w:t xml:space="preserve">The total capital expenditure for </w:t>
      </w:r>
      <w:r>
        <w:rPr>
          <w:rFonts w:ascii="Arial" w:hAnsi="Arial" w:cs="Arial"/>
          <w:kern w:val="2"/>
          <w:sz w:val="20"/>
          <w:szCs w:val="20"/>
        </w:rPr>
        <w:t xml:space="preserve">construction of the </w:t>
      </w:r>
      <w:r w:rsidR="006239DF">
        <w:rPr>
          <w:rFonts w:ascii="Arial" w:hAnsi="Arial" w:cs="Arial"/>
          <w:kern w:val="2"/>
          <w:sz w:val="20"/>
          <w:szCs w:val="20"/>
        </w:rPr>
        <w:t>77-bed</w:t>
      </w:r>
      <w:r>
        <w:rPr>
          <w:rFonts w:ascii="Arial" w:hAnsi="Arial" w:cs="Arial"/>
          <w:kern w:val="2"/>
          <w:sz w:val="20"/>
          <w:szCs w:val="20"/>
        </w:rPr>
        <w:t xml:space="preserve"> facility </w:t>
      </w:r>
      <w:r w:rsidRPr="00CA3587">
        <w:rPr>
          <w:rFonts w:ascii="Arial" w:hAnsi="Arial" w:cs="Arial"/>
          <w:kern w:val="2"/>
          <w:sz w:val="20"/>
          <w:szCs w:val="20"/>
        </w:rPr>
        <w:t>is</w:t>
      </w:r>
      <w:r>
        <w:rPr>
          <w:rFonts w:ascii="Arial" w:hAnsi="Arial" w:cs="Arial"/>
          <w:kern w:val="2"/>
          <w:sz w:val="20"/>
          <w:szCs w:val="20"/>
        </w:rPr>
        <w:t xml:space="preserve"> $</w:t>
      </w:r>
      <w:r w:rsidRPr="000B2094">
        <w:rPr>
          <w:rFonts w:ascii="Arial" w:hAnsi="Arial" w:cs="Arial"/>
          <w:sz w:val="20"/>
          <w:szCs w:val="20"/>
        </w:rPr>
        <w:t>76,865,511</w:t>
      </w:r>
      <w:r>
        <w:t xml:space="preserve"> </w:t>
      </w:r>
      <w:r>
        <w:rPr>
          <w:rFonts w:ascii="Arial" w:hAnsi="Arial" w:cs="Arial"/>
          <w:kern w:val="2"/>
          <w:sz w:val="20"/>
          <w:szCs w:val="20"/>
        </w:rPr>
        <w:t>million dollars</w:t>
      </w:r>
      <w:r w:rsidRPr="00CA3587">
        <w:rPr>
          <w:rFonts w:ascii="Arial" w:hAnsi="Arial" w:cs="Arial"/>
          <w:kern w:val="2"/>
          <w:sz w:val="20"/>
          <w:szCs w:val="20"/>
        </w:rPr>
        <w:t xml:space="preserve">. </w:t>
      </w:r>
    </w:p>
    <w:p w14:paraId="1D01C5B0" w14:textId="77777777" w:rsidR="009C4CCF" w:rsidRPr="00CA3587" w:rsidRDefault="009C4CCF" w:rsidP="009C4CCF">
      <w:pPr>
        <w:tabs>
          <w:tab w:val="left" w:pos="1440"/>
        </w:tabs>
        <w:autoSpaceDE w:val="0"/>
        <w:autoSpaceDN w:val="0"/>
        <w:adjustRightInd w:val="0"/>
        <w:spacing w:after="0" w:line="240" w:lineRule="auto"/>
        <w:ind w:left="1440" w:hanging="1440"/>
        <w:jc w:val="both"/>
        <w:rPr>
          <w:rFonts w:ascii="Arial" w:hAnsi="Arial" w:cs="Arial"/>
          <w:kern w:val="2"/>
          <w:sz w:val="20"/>
          <w:szCs w:val="20"/>
        </w:rPr>
      </w:pPr>
    </w:p>
    <w:p w14:paraId="598741EE" w14:textId="77777777" w:rsidR="009C4CCF" w:rsidRPr="00CA3587" w:rsidRDefault="009C4CCF" w:rsidP="002B1094">
      <w:pPr>
        <w:tabs>
          <w:tab w:val="left" w:pos="1440"/>
        </w:tabs>
        <w:autoSpaceDE w:val="0"/>
        <w:autoSpaceDN w:val="0"/>
        <w:adjustRightInd w:val="0"/>
        <w:spacing w:after="0" w:line="240" w:lineRule="auto"/>
        <w:jc w:val="both"/>
        <w:rPr>
          <w:rFonts w:ascii="Arial" w:hAnsi="Arial" w:cs="Arial"/>
          <w:b/>
          <w:kern w:val="2"/>
          <w:sz w:val="20"/>
          <w:szCs w:val="20"/>
        </w:rPr>
      </w:pPr>
    </w:p>
    <w:p w14:paraId="34F926C5" w14:textId="77777777" w:rsidR="009C4CCF" w:rsidRPr="00CA3587" w:rsidRDefault="009C4CCF" w:rsidP="009C4CCF">
      <w:pPr>
        <w:tabs>
          <w:tab w:val="left" w:pos="720"/>
        </w:tabs>
        <w:autoSpaceDE w:val="0"/>
        <w:autoSpaceDN w:val="0"/>
        <w:adjustRightInd w:val="0"/>
        <w:spacing w:after="0" w:line="240" w:lineRule="auto"/>
        <w:jc w:val="both"/>
        <w:rPr>
          <w:rFonts w:ascii="Arial" w:hAnsi="Arial" w:cs="Arial"/>
          <w:kern w:val="2"/>
          <w:sz w:val="20"/>
          <w:szCs w:val="20"/>
        </w:rPr>
      </w:pPr>
      <w:r w:rsidRPr="00CA3587">
        <w:rPr>
          <w:rFonts w:ascii="Arial" w:hAnsi="Arial" w:cs="Arial"/>
          <w:b/>
          <w:kern w:val="2"/>
          <w:sz w:val="20"/>
          <w:szCs w:val="20"/>
        </w:rPr>
        <w:t xml:space="preserve">Alternative Proposal: </w:t>
      </w:r>
      <w:r>
        <w:rPr>
          <w:rFonts w:ascii="Arial" w:hAnsi="Arial" w:cs="Arial"/>
          <w:bCs/>
          <w:kern w:val="2"/>
          <w:sz w:val="20"/>
          <w:szCs w:val="20"/>
        </w:rPr>
        <w:t xml:space="preserve">Do not build a facility on the GSMC campus to accommodate the beds previously operated by Norwood Hospital. </w:t>
      </w:r>
    </w:p>
    <w:p w14:paraId="55512F34"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kern w:val="2"/>
          <w:sz w:val="20"/>
          <w:szCs w:val="20"/>
        </w:rPr>
      </w:pPr>
    </w:p>
    <w:p w14:paraId="268CBD5A" w14:textId="4BC796CD" w:rsidR="009C4CCF" w:rsidRPr="00CA3587" w:rsidRDefault="009C4CCF" w:rsidP="009C4CCF">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Quality: </w:t>
      </w:r>
      <w:r w:rsidRPr="00CA3587">
        <w:rPr>
          <w:rFonts w:ascii="Arial" w:hAnsi="Arial" w:cs="Arial"/>
          <w:kern w:val="2"/>
          <w:sz w:val="20"/>
          <w:szCs w:val="20"/>
        </w:rPr>
        <w:t xml:space="preserve">This alternative does not address the </w:t>
      </w:r>
      <w:r>
        <w:rPr>
          <w:rFonts w:ascii="Arial" w:hAnsi="Arial" w:cs="Arial"/>
          <w:kern w:val="2"/>
          <w:sz w:val="20"/>
          <w:szCs w:val="20"/>
        </w:rPr>
        <w:t xml:space="preserve">patient panel </w:t>
      </w:r>
      <w:r w:rsidRPr="00CA3587">
        <w:rPr>
          <w:rFonts w:ascii="Arial" w:hAnsi="Arial" w:cs="Arial"/>
          <w:kern w:val="2"/>
          <w:sz w:val="20"/>
          <w:szCs w:val="20"/>
        </w:rPr>
        <w:t xml:space="preserve">need </w:t>
      </w:r>
      <w:r>
        <w:rPr>
          <w:rFonts w:ascii="Arial" w:hAnsi="Arial" w:cs="Arial"/>
          <w:kern w:val="2"/>
          <w:sz w:val="20"/>
          <w:szCs w:val="20"/>
        </w:rPr>
        <w:t>for</w:t>
      </w:r>
      <w:r w:rsidRPr="00CA3587">
        <w:rPr>
          <w:rFonts w:ascii="Arial" w:hAnsi="Arial" w:cs="Arial"/>
          <w:kern w:val="2"/>
          <w:sz w:val="20"/>
          <w:szCs w:val="20"/>
        </w:rPr>
        <w:t xml:space="preserve"> access to </w:t>
      </w:r>
      <w:r>
        <w:rPr>
          <w:rFonts w:ascii="Arial" w:hAnsi="Arial" w:cs="Arial"/>
          <w:kern w:val="2"/>
          <w:sz w:val="20"/>
          <w:szCs w:val="20"/>
        </w:rPr>
        <w:t xml:space="preserve">inpatient psychiatric services, both currently and as demand increases in the future. Limited inpatient psychiatric beds </w:t>
      </w:r>
      <w:proofErr w:type="gramStart"/>
      <w:r w:rsidRPr="00CA3587">
        <w:rPr>
          <w:rFonts w:ascii="Arial" w:hAnsi="Arial" w:cs="Arial"/>
          <w:kern w:val="2"/>
          <w:sz w:val="20"/>
          <w:szCs w:val="20"/>
        </w:rPr>
        <w:t>result</w:t>
      </w:r>
      <w:r>
        <w:rPr>
          <w:rFonts w:ascii="Arial" w:hAnsi="Arial" w:cs="Arial"/>
          <w:kern w:val="2"/>
          <w:sz w:val="20"/>
          <w:szCs w:val="20"/>
        </w:rPr>
        <w:t>s</w:t>
      </w:r>
      <w:proofErr w:type="gramEnd"/>
      <w:r>
        <w:rPr>
          <w:rFonts w:ascii="Arial" w:hAnsi="Arial" w:cs="Arial"/>
          <w:kern w:val="2"/>
          <w:sz w:val="20"/>
          <w:szCs w:val="20"/>
        </w:rPr>
        <w:t xml:space="preserve"> </w:t>
      </w:r>
      <w:r w:rsidRPr="00CA3587">
        <w:rPr>
          <w:rFonts w:ascii="Arial" w:hAnsi="Arial" w:cs="Arial"/>
          <w:kern w:val="2"/>
          <w:sz w:val="20"/>
          <w:szCs w:val="20"/>
        </w:rPr>
        <w:t xml:space="preserve">in </w:t>
      </w:r>
      <w:r>
        <w:rPr>
          <w:rFonts w:ascii="Arial" w:hAnsi="Arial" w:cs="Arial"/>
          <w:kern w:val="2"/>
          <w:sz w:val="20"/>
          <w:szCs w:val="20"/>
        </w:rPr>
        <w:t xml:space="preserve">ED boarding and delays in the provision of inpatient psychiatric treatment </w:t>
      </w:r>
      <w:r w:rsidRPr="00CA3587">
        <w:rPr>
          <w:rFonts w:ascii="Arial" w:hAnsi="Arial" w:cs="Arial"/>
          <w:kern w:val="2"/>
          <w:sz w:val="20"/>
          <w:szCs w:val="20"/>
        </w:rPr>
        <w:t xml:space="preserve">which can adversely impact patient outcomes </w:t>
      </w:r>
      <w:r>
        <w:rPr>
          <w:rFonts w:ascii="Arial" w:hAnsi="Arial" w:cs="Arial"/>
          <w:kern w:val="2"/>
          <w:sz w:val="20"/>
          <w:szCs w:val="20"/>
        </w:rPr>
        <w:t xml:space="preserve">and </w:t>
      </w:r>
      <w:r w:rsidRPr="00CA3587">
        <w:rPr>
          <w:rFonts w:ascii="Arial" w:hAnsi="Arial" w:cs="Arial"/>
          <w:kern w:val="2"/>
          <w:sz w:val="20"/>
          <w:szCs w:val="20"/>
        </w:rPr>
        <w:t>quality of life</w:t>
      </w:r>
      <w:r>
        <w:rPr>
          <w:rFonts w:ascii="Arial" w:hAnsi="Arial" w:cs="Arial"/>
          <w:kern w:val="2"/>
          <w:sz w:val="20"/>
          <w:szCs w:val="20"/>
        </w:rPr>
        <w:t xml:space="preserve">. </w:t>
      </w:r>
    </w:p>
    <w:p w14:paraId="0048E8E9"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b/>
          <w:kern w:val="2"/>
          <w:sz w:val="20"/>
          <w:szCs w:val="20"/>
        </w:rPr>
      </w:pPr>
    </w:p>
    <w:p w14:paraId="081BE380" w14:textId="77777777" w:rsidR="009C4CCF" w:rsidRPr="00CA3587" w:rsidRDefault="009C4CCF" w:rsidP="009C4CCF">
      <w:pPr>
        <w:tabs>
          <w:tab w:val="left" w:pos="720"/>
        </w:tabs>
        <w:autoSpaceDE w:val="0"/>
        <w:autoSpaceDN w:val="0"/>
        <w:adjustRightInd w:val="0"/>
        <w:spacing w:after="0" w:line="240" w:lineRule="auto"/>
        <w:ind w:left="720" w:hanging="720"/>
        <w:jc w:val="both"/>
        <w:rPr>
          <w:rFonts w:ascii="Arial" w:eastAsia="Calibri" w:hAnsi="Arial" w:cs="Arial"/>
          <w:sz w:val="20"/>
          <w:szCs w:val="20"/>
        </w:rPr>
      </w:pPr>
      <w:r w:rsidRPr="00CA3587">
        <w:rPr>
          <w:rFonts w:ascii="Arial" w:hAnsi="Arial" w:cs="Arial"/>
          <w:b/>
          <w:kern w:val="2"/>
          <w:sz w:val="20"/>
          <w:szCs w:val="20"/>
        </w:rPr>
        <w:tab/>
        <w:t xml:space="preserve">Alternative Efficiency: </w:t>
      </w:r>
      <w:r>
        <w:rPr>
          <w:rFonts w:ascii="Arial" w:hAnsi="Arial" w:cs="Arial"/>
          <w:bCs/>
          <w:kern w:val="2"/>
          <w:sz w:val="20"/>
          <w:szCs w:val="20"/>
        </w:rPr>
        <w:t xml:space="preserve">If the 61 beds are not brought back online, the ED boarding crisis at GSMC and other Steward Hospitals will continue. This will adversely impact access for behavioral health and medical surgical patients and does not allow the ED to operate more efficiently. </w:t>
      </w:r>
    </w:p>
    <w:p w14:paraId="30F36976"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b/>
          <w:kern w:val="2"/>
          <w:sz w:val="20"/>
          <w:szCs w:val="20"/>
        </w:rPr>
      </w:pPr>
    </w:p>
    <w:p w14:paraId="0521B26C" w14:textId="77777777" w:rsidR="009C4CCF" w:rsidRPr="00CA3587" w:rsidRDefault="009C4CCF" w:rsidP="009C4CCF">
      <w:pPr>
        <w:tabs>
          <w:tab w:val="left" w:pos="720"/>
        </w:tabs>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Capital Expenses: </w:t>
      </w:r>
      <w:r w:rsidRPr="00CA3587">
        <w:rPr>
          <w:rFonts w:ascii="Arial" w:hAnsi="Arial" w:cs="Arial"/>
          <w:kern w:val="2"/>
          <w:sz w:val="20"/>
          <w:szCs w:val="20"/>
        </w:rPr>
        <w:t xml:space="preserve">There are no capital expenses under this alternative.  </w:t>
      </w:r>
    </w:p>
    <w:p w14:paraId="78C6864D" w14:textId="77777777" w:rsidR="009C4CCF" w:rsidRPr="00CA3587" w:rsidRDefault="009C4CCF" w:rsidP="009C4CCF">
      <w:pPr>
        <w:tabs>
          <w:tab w:val="left" w:pos="1440"/>
        </w:tabs>
        <w:autoSpaceDE w:val="0"/>
        <w:autoSpaceDN w:val="0"/>
        <w:adjustRightInd w:val="0"/>
        <w:spacing w:after="0" w:line="240" w:lineRule="auto"/>
        <w:jc w:val="both"/>
        <w:rPr>
          <w:rFonts w:ascii="Arial" w:hAnsi="Arial" w:cs="Arial"/>
          <w:b/>
          <w:kern w:val="2"/>
          <w:sz w:val="20"/>
          <w:szCs w:val="20"/>
        </w:rPr>
      </w:pPr>
    </w:p>
    <w:p w14:paraId="731B2ED8" w14:textId="77777777" w:rsidR="009C4CCF" w:rsidRPr="00A96CE7" w:rsidRDefault="009C4CCF" w:rsidP="009C4CCF">
      <w:pPr>
        <w:autoSpaceDE w:val="0"/>
        <w:autoSpaceDN w:val="0"/>
        <w:adjustRightInd w:val="0"/>
        <w:spacing w:after="0" w:line="240" w:lineRule="auto"/>
        <w:ind w:left="720" w:hanging="720"/>
        <w:jc w:val="both"/>
        <w:rPr>
          <w:rFonts w:ascii="Arial" w:hAnsi="Arial" w:cs="Arial"/>
          <w:kern w:val="2"/>
          <w:sz w:val="20"/>
          <w:szCs w:val="20"/>
        </w:rPr>
      </w:pPr>
      <w:r w:rsidRPr="00CA3587">
        <w:rPr>
          <w:rFonts w:ascii="Arial" w:hAnsi="Arial" w:cs="Arial"/>
          <w:b/>
          <w:kern w:val="2"/>
          <w:sz w:val="20"/>
          <w:szCs w:val="20"/>
        </w:rPr>
        <w:tab/>
        <w:t xml:space="preserve">Alternative Operating Costs: </w:t>
      </w:r>
      <w:r>
        <w:rPr>
          <w:rFonts w:ascii="Arial" w:hAnsi="Arial" w:cs="Arial"/>
          <w:kern w:val="2"/>
          <w:sz w:val="20"/>
          <w:szCs w:val="20"/>
        </w:rPr>
        <w:t xml:space="preserve">There are no additional operating costs under this option. </w:t>
      </w:r>
      <w:r w:rsidRPr="00A96CE7">
        <w:rPr>
          <w:rFonts w:ascii="Arial" w:hAnsi="Arial" w:cs="Arial"/>
          <w:kern w:val="2"/>
          <w:sz w:val="20"/>
          <w:szCs w:val="20"/>
        </w:rPr>
        <w:t xml:space="preserve"> </w:t>
      </w:r>
    </w:p>
    <w:p w14:paraId="74E1083B" w14:textId="77777777" w:rsidR="009C4CCF" w:rsidRPr="00987284" w:rsidRDefault="009C4CCF" w:rsidP="009C4CCF">
      <w:pPr>
        <w:rPr>
          <w:rFonts w:eastAsia="Times New Roman"/>
        </w:rPr>
      </w:pPr>
    </w:p>
    <w:p w14:paraId="7805B1B2" w14:textId="77777777" w:rsidR="009C4CCF" w:rsidRPr="00987284" w:rsidRDefault="009C4CCF" w:rsidP="009C4CCF">
      <w:pPr>
        <w:rPr>
          <w:rFonts w:eastAsia="Times New Roman"/>
        </w:rPr>
      </w:pPr>
    </w:p>
    <w:sectPr w:rsidR="009C4CCF" w:rsidRPr="00987284" w:rsidSect="00ED3739">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1EEC" w14:textId="77777777" w:rsidR="002125CD" w:rsidRDefault="002125CD" w:rsidP="00AB7535">
      <w:pPr>
        <w:spacing w:after="0" w:line="240" w:lineRule="auto"/>
      </w:pPr>
      <w:r>
        <w:separator/>
      </w:r>
    </w:p>
  </w:endnote>
  <w:endnote w:type="continuationSeparator" w:id="0">
    <w:p w14:paraId="08CB3DCF" w14:textId="77777777" w:rsidR="002125CD" w:rsidRDefault="002125CD" w:rsidP="00AB7535">
      <w:pPr>
        <w:spacing w:after="0" w:line="240" w:lineRule="auto"/>
      </w:pPr>
      <w:r>
        <w:continuationSeparator/>
      </w:r>
    </w:p>
  </w:endnote>
  <w:endnote w:type="continuationNotice" w:id="1">
    <w:p w14:paraId="7083DE08" w14:textId="77777777" w:rsidR="002125CD" w:rsidRDefault="00212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34290-Id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810E" w14:textId="292634D5" w:rsidR="00CB02FE" w:rsidRDefault="00F96E7F" w:rsidP="001B615D">
    <w:pPr>
      <w:pStyle w:val="DocID"/>
    </w:pPr>
    <w:fldSimple w:instr=" DOCPROPERTY DOCXDOCID DMS=NetDocuments Format=HB: &lt;&lt;ID&gt;&gt;.&lt;&lt;VER&gt;&gt; PRESERVELOCATION \* MERGEFORMAT ">
      <w:r w:rsidR="001B615D" w:rsidRPr="001B615D">
        <w:t>HB: 4872-0130-5433.1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FBC5" w14:textId="21C0DDFB" w:rsidR="00C11954" w:rsidRDefault="002125CD">
    <w:pPr>
      <w:pStyle w:val="Footer"/>
      <w:jc w:val="right"/>
    </w:pPr>
    <w:sdt>
      <w:sdtPr>
        <w:id w:val="-1105957003"/>
        <w:docPartObj>
          <w:docPartGallery w:val="Page Numbers (Bottom of Page)"/>
          <w:docPartUnique/>
        </w:docPartObj>
      </w:sdtPr>
      <w:sdtEndPr>
        <w:rPr>
          <w:noProof/>
        </w:rPr>
      </w:sdtEndPr>
      <w:sdtContent>
        <w:r w:rsidR="00C11954">
          <w:fldChar w:fldCharType="begin"/>
        </w:r>
        <w:r w:rsidR="00C11954">
          <w:instrText xml:space="preserve"> PAGE   \* MERGEFORMAT </w:instrText>
        </w:r>
        <w:r w:rsidR="00C11954">
          <w:fldChar w:fldCharType="separate"/>
        </w:r>
        <w:r w:rsidR="00C11954">
          <w:rPr>
            <w:noProof/>
          </w:rPr>
          <w:t>2</w:t>
        </w:r>
        <w:r w:rsidR="00C11954">
          <w:rPr>
            <w:noProof/>
          </w:rPr>
          <w:fldChar w:fldCharType="end"/>
        </w:r>
      </w:sdtContent>
    </w:sdt>
  </w:p>
  <w:p w14:paraId="1E4EAF9D" w14:textId="007BCA5F" w:rsidR="00C11954" w:rsidRDefault="00C11954" w:rsidP="00EC0CC7">
    <w:pPr>
      <w:pStyle w:val="DocID"/>
    </w:pPr>
  </w:p>
  <w:p w14:paraId="3BCE21C4" w14:textId="725E28D9" w:rsidR="00C11954" w:rsidRPr="00B05684" w:rsidRDefault="00F96E7F" w:rsidP="001B615D">
    <w:pPr>
      <w:pStyle w:val="DocID"/>
    </w:pPr>
    <w:fldSimple w:instr=" DOCPROPERTY DOCXDOCID DMS=NetDocuments Format=HB: &lt;&lt;ID&gt;&gt;.&lt;&lt;VER&gt;&gt; PRESERVELOCATION \* MERGEFORMAT ">
      <w:r w:rsidR="001B615D" w:rsidRPr="001B615D">
        <w:t>HB: 4872-0130-5433.1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4827" w14:textId="6E791DE6" w:rsidR="00CB02FE" w:rsidRDefault="00F96E7F" w:rsidP="001B615D">
    <w:pPr>
      <w:pStyle w:val="DocID"/>
    </w:pPr>
    <w:fldSimple w:instr=" DOCPROPERTY DOCXDOCID DMS=NetDocuments Format=HB: &lt;&lt;ID&gt;&gt;.&lt;&lt;VER&gt;&gt; PRESERVELOCATION \* MERGEFORMAT ">
      <w:r w:rsidR="001B615D" w:rsidRPr="001B615D">
        <w:t>HB: 4872-0130-5433.1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B93D" w14:textId="77777777" w:rsidR="002125CD" w:rsidRDefault="002125CD" w:rsidP="00AB7535">
      <w:pPr>
        <w:spacing w:after="0" w:line="240" w:lineRule="auto"/>
      </w:pPr>
      <w:r>
        <w:separator/>
      </w:r>
    </w:p>
  </w:footnote>
  <w:footnote w:type="continuationSeparator" w:id="0">
    <w:p w14:paraId="7EEC4D7A" w14:textId="77777777" w:rsidR="002125CD" w:rsidRDefault="002125CD" w:rsidP="00AB7535">
      <w:pPr>
        <w:spacing w:after="0" w:line="240" w:lineRule="auto"/>
      </w:pPr>
      <w:r>
        <w:continuationSeparator/>
      </w:r>
    </w:p>
  </w:footnote>
  <w:footnote w:type="continuationNotice" w:id="1">
    <w:p w14:paraId="278CFA81" w14:textId="77777777" w:rsidR="002125CD" w:rsidRDefault="002125CD">
      <w:pPr>
        <w:spacing w:after="0" w:line="240" w:lineRule="auto"/>
      </w:pPr>
    </w:p>
  </w:footnote>
  <w:footnote w:id="2">
    <w:p w14:paraId="2A13B792" w14:textId="21B9B412" w:rsidR="00D02781" w:rsidRPr="00187DC2" w:rsidRDefault="00D02781" w:rsidP="00A954BD">
      <w:pPr>
        <w:autoSpaceDE w:val="0"/>
        <w:autoSpaceDN w:val="0"/>
        <w:adjustRightInd w:val="0"/>
        <w:spacing w:after="0" w:line="240" w:lineRule="auto"/>
        <w:jc w:val="both"/>
        <w:rPr>
          <w:rFonts w:ascii="Arial" w:hAnsi="Arial" w:cs="Arial"/>
          <w:sz w:val="18"/>
          <w:szCs w:val="18"/>
        </w:rPr>
      </w:pPr>
      <w:r w:rsidRPr="00187DC2">
        <w:rPr>
          <w:rStyle w:val="FootnoteReference"/>
          <w:rFonts w:ascii="Arial" w:hAnsi="Arial" w:cs="Arial"/>
          <w:sz w:val="18"/>
          <w:szCs w:val="18"/>
        </w:rPr>
        <w:footnoteRef/>
      </w:r>
      <w:r w:rsidRPr="00187DC2">
        <w:rPr>
          <w:rFonts w:ascii="Arial" w:hAnsi="Arial" w:cs="Arial"/>
          <w:sz w:val="18"/>
          <w:szCs w:val="18"/>
        </w:rPr>
        <w:t xml:space="preserve"> Carney Hospital, Good Samaritan Medical Center, Holy Family Hospital, Morton Hospital,</w:t>
      </w:r>
    </w:p>
    <w:p w14:paraId="51761ECD" w14:textId="77777777" w:rsidR="00D02781" w:rsidRPr="00187DC2" w:rsidRDefault="00D02781" w:rsidP="00A954BD">
      <w:pPr>
        <w:autoSpaceDE w:val="0"/>
        <w:autoSpaceDN w:val="0"/>
        <w:adjustRightInd w:val="0"/>
        <w:spacing w:after="0" w:line="240" w:lineRule="auto"/>
        <w:jc w:val="both"/>
        <w:rPr>
          <w:rFonts w:ascii="Arial" w:hAnsi="Arial" w:cs="Arial"/>
          <w:sz w:val="18"/>
          <w:szCs w:val="18"/>
        </w:rPr>
      </w:pPr>
      <w:r w:rsidRPr="00187DC2">
        <w:rPr>
          <w:rFonts w:ascii="Arial" w:hAnsi="Arial" w:cs="Arial"/>
          <w:sz w:val="18"/>
          <w:szCs w:val="18"/>
        </w:rPr>
        <w:t>Nashoba Valley Medical Center, New England Sinai Hospital, Norwood Hospital, St. Anne’s Hospital, and St.</w:t>
      </w:r>
    </w:p>
    <w:p w14:paraId="46C16D6A" w14:textId="5D1B8341" w:rsidR="00D02781" w:rsidRPr="00187DC2" w:rsidRDefault="00D02781" w:rsidP="00A954BD">
      <w:pPr>
        <w:pStyle w:val="BalloonText"/>
        <w:autoSpaceDE w:val="0"/>
        <w:autoSpaceDN w:val="0"/>
        <w:adjustRightInd w:val="0"/>
        <w:jc w:val="both"/>
        <w:rPr>
          <w:rFonts w:ascii="Arial" w:hAnsi="Arial" w:cs="Arial"/>
        </w:rPr>
      </w:pPr>
      <w:r w:rsidRPr="00187DC2">
        <w:rPr>
          <w:rFonts w:ascii="Arial" w:hAnsi="Arial" w:cs="Arial"/>
        </w:rPr>
        <w:t>Elizabeth’s Medical Center.</w:t>
      </w:r>
    </w:p>
  </w:footnote>
  <w:footnote w:id="3">
    <w:p w14:paraId="6290FA03" w14:textId="3D9715D8" w:rsidR="00D02781" w:rsidRPr="00187DC2" w:rsidRDefault="00D02781" w:rsidP="00A954BD">
      <w:pPr>
        <w:pStyle w:val="FootnoteText"/>
        <w:jc w:val="both"/>
        <w:rPr>
          <w:rFonts w:ascii="Arial" w:hAnsi="Arial" w:cs="Arial"/>
          <w:sz w:val="18"/>
          <w:szCs w:val="18"/>
        </w:rPr>
      </w:pPr>
      <w:r w:rsidRPr="00187DC2">
        <w:rPr>
          <w:rStyle w:val="FootnoteReference"/>
          <w:rFonts w:ascii="Arial" w:hAnsi="Arial" w:cs="Arial"/>
          <w:sz w:val="18"/>
          <w:szCs w:val="18"/>
        </w:rPr>
        <w:footnoteRef/>
      </w:r>
      <w:r w:rsidRPr="00187DC2">
        <w:rPr>
          <w:rFonts w:ascii="Arial" w:hAnsi="Arial" w:cs="Arial"/>
          <w:sz w:val="18"/>
          <w:szCs w:val="18"/>
        </w:rPr>
        <w:t xml:space="preserve"> </w:t>
      </w:r>
      <w:r w:rsidR="00187DC2" w:rsidRPr="00187DC2">
        <w:rPr>
          <w:rFonts w:ascii="Arial" w:hAnsi="Arial" w:cs="Arial"/>
          <w:sz w:val="18"/>
          <w:szCs w:val="18"/>
        </w:rPr>
        <w:t xml:space="preserve">The Applicant and GSMC’s fiscal year (“FY”) </w:t>
      </w:r>
      <w:proofErr w:type="gramStart"/>
      <w:r w:rsidR="00187DC2" w:rsidRPr="00187DC2">
        <w:rPr>
          <w:rFonts w:ascii="Arial" w:hAnsi="Arial" w:cs="Arial"/>
          <w:sz w:val="18"/>
          <w:szCs w:val="18"/>
        </w:rPr>
        <w:t>is</w:t>
      </w:r>
      <w:proofErr w:type="gramEnd"/>
      <w:r w:rsidR="00187DC2" w:rsidRPr="00187DC2">
        <w:rPr>
          <w:rFonts w:ascii="Arial" w:hAnsi="Arial" w:cs="Arial"/>
          <w:sz w:val="18"/>
          <w:szCs w:val="18"/>
        </w:rPr>
        <w:t xml:space="preserve"> defined as the calendar year of January 1 – December 30 throughout the entirety of this narrative.</w:t>
      </w:r>
    </w:p>
  </w:footnote>
  <w:footnote w:id="4">
    <w:p w14:paraId="652138ED" w14:textId="403E16C6" w:rsidR="00536E18" w:rsidRPr="001734E2" w:rsidRDefault="00536E18" w:rsidP="00A954BD">
      <w:pPr>
        <w:pStyle w:val="FootnoteText"/>
        <w:jc w:val="both"/>
        <w:rPr>
          <w:rFonts w:ascii="Arial" w:hAnsi="Arial" w:cs="Arial"/>
          <w:sz w:val="16"/>
          <w:szCs w:val="16"/>
        </w:rPr>
      </w:pPr>
      <w:r w:rsidRPr="000E1E8A">
        <w:rPr>
          <w:rStyle w:val="FootnoteReference"/>
          <w:rFonts w:ascii="Arial" w:hAnsi="Arial"/>
          <w:sz w:val="18"/>
        </w:rPr>
        <w:footnoteRef/>
      </w:r>
      <w:r w:rsidRPr="000E1E8A">
        <w:rPr>
          <w:rFonts w:ascii="Arial" w:hAnsi="Arial"/>
          <w:sz w:val="18"/>
        </w:rPr>
        <w:t xml:space="preserve"> “Unknown” is defined as not recorded as male or female.</w:t>
      </w:r>
      <w:r>
        <w:rPr>
          <w:rFonts w:ascii="Arial" w:hAnsi="Arial" w:cs="Arial"/>
          <w:sz w:val="16"/>
          <w:szCs w:val="16"/>
        </w:rPr>
        <w:t xml:space="preserve"> </w:t>
      </w:r>
    </w:p>
  </w:footnote>
  <w:footnote w:id="5">
    <w:p w14:paraId="2A0F5F7C" w14:textId="2E34148D" w:rsidR="00536E18" w:rsidRPr="000E1E8A" w:rsidRDefault="00536E18" w:rsidP="00A954BD">
      <w:pPr>
        <w:pStyle w:val="FootnoteText"/>
        <w:jc w:val="both"/>
        <w:rPr>
          <w:rFonts w:ascii="Arial" w:hAnsi="Arial"/>
          <w:sz w:val="18"/>
        </w:rPr>
      </w:pPr>
      <w:r w:rsidRPr="000E1E8A">
        <w:rPr>
          <w:rStyle w:val="FootnoteReference"/>
          <w:rFonts w:ascii="Arial" w:hAnsi="Arial"/>
          <w:sz w:val="18"/>
        </w:rPr>
        <w:footnoteRef/>
      </w:r>
      <w:r w:rsidRPr="000E1E8A">
        <w:rPr>
          <w:rFonts w:ascii="Arial" w:hAnsi="Arial"/>
          <w:sz w:val="18"/>
        </w:rPr>
        <w:t xml:space="preserve"> “Declined” indicates the patient declined to provide.</w:t>
      </w:r>
    </w:p>
  </w:footnote>
  <w:footnote w:id="6">
    <w:p w14:paraId="17B31B35" w14:textId="3A963F6E" w:rsidR="00536E18" w:rsidRPr="000E1E8A" w:rsidRDefault="00536E18" w:rsidP="00A954BD">
      <w:pPr>
        <w:pStyle w:val="FootnoteText"/>
        <w:jc w:val="both"/>
        <w:rPr>
          <w:rFonts w:ascii="Arial" w:hAnsi="Arial"/>
          <w:sz w:val="18"/>
        </w:rPr>
      </w:pPr>
      <w:r w:rsidRPr="000E1E8A">
        <w:rPr>
          <w:rStyle w:val="FootnoteReference"/>
          <w:rFonts w:ascii="Arial" w:hAnsi="Arial"/>
          <w:sz w:val="18"/>
        </w:rPr>
        <w:footnoteRef/>
      </w:r>
      <w:r w:rsidRPr="000E1E8A">
        <w:rPr>
          <w:rFonts w:ascii="Arial" w:hAnsi="Arial"/>
          <w:sz w:val="18"/>
        </w:rPr>
        <w:t xml:space="preserve"> “Other” indicates not included in any of the categories mentioned in the table</w:t>
      </w:r>
      <w:r>
        <w:rPr>
          <w:rFonts w:ascii="Arial" w:hAnsi="Arial" w:cs="Arial"/>
          <w:sz w:val="18"/>
          <w:szCs w:val="18"/>
        </w:rPr>
        <w:t>.</w:t>
      </w:r>
      <w:r w:rsidRPr="000E1E8A">
        <w:rPr>
          <w:rFonts w:ascii="Arial" w:hAnsi="Arial"/>
          <w:sz w:val="18"/>
        </w:rPr>
        <w:t xml:space="preserve"> </w:t>
      </w:r>
    </w:p>
  </w:footnote>
  <w:footnote w:id="7">
    <w:p w14:paraId="7DD15887" w14:textId="6A124D57" w:rsidR="00536E18" w:rsidRPr="007145AD" w:rsidRDefault="00536E18" w:rsidP="00A954BD">
      <w:pPr>
        <w:pStyle w:val="FootnoteText"/>
        <w:jc w:val="both"/>
        <w:rPr>
          <w:sz w:val="18"/>
        </w:rPr>
      </w:pPr>
      <w:r w:rsidRPr="000E1E8A">
        <w:rPr>
          <w:rStyle w:val="FootnoteReference"/>
          <w:rFonts w:ascii="Arial" w:hAnsi="Arial"/>
          <w:sz w:val="18"/>
        </w:rPr>
        <w:footnoteRef/>
      </w:r>
      <w:r w:rsidRPr="000E1E8A">
        <w:rPr>
          <w:rFonts w:ascii="Arial" w:hAnsi="Arial"/>
          <w:sz w:val="18"/>
        </w:rPr>
        <w:t xml:space="preserve"> “Unable to Obtain” indicates staff was unable to obtain from the patient due to trauma </w:t>
      </w:r>
      <w:r w:rsidRPr="007145AD">
        <w:rPr>
          <w:rFonts w:ascii="Arial" w:hAnsi="Arial"/>
          <w:sz w:val="18"/>
        </w:rPr>
        <w:t xml:space="preserve">situations or patient </w:t>
      </w:r>
      <w:r>
        <w:rPr>
          <w:rFonts w:ascii="Arial" w:hAnsi="Arial" w:cs="Arial"/>
          <w:sz w:val="18"/>
          <w:szCs w:val="18"/>
        </w:rPr>
        <w:t>was</w:t>
      </w:r>
      <w:r w:rsidRPr="007145AD">
        <w:rPr>
          <w:rFonts w:ascii="Arial" w:hAnsi="Arial"/>
          <w:sz w:val="18"/>
        </w:rPr>
        <w:t xml:space="preserve"> unconscious.</w:t>
      </w:r>
    </w:p>
  </w:footnote>
  <w:footnote w:id="8">
    <w:p w14:paraId="1D23633D" w14:textId="18EF1E88" w:rsidR="007145AD" w:rsidRPr="006C6CFF" w:rsidRDefault="007145AD" w:rsidP="005A0AAD">
      <w:pPr>
        <w:pStyle w:val="FootnoteText"/>
        <w:jc w:val="both"/>
        <w:rPr>
          <w:rFonts w:ascii="Arial" w:hAnsi="Arial" w:cs="Arial"/>
          <w:sz w:val="16"/>
          <w:szCs w:val="16"/>
        </w:rPr>
      </w:pPr>
      <w:r w:rsidRPr="007145AD">
        <w:rPr>
          <w:rStyle w:val="FootnoteReference"/>
          <w:rFonts w:ascii="Arial" w:hAnsi="Arial"/>
          <w:sz w:val="18"/>
        </w:rPr>
        <w:footnoteRef/>
      </w:r>
      <w:r w:rsidRPr="007145AD">
        <w:rPr>
          <w:rFonts w:ascii="Arial" w:hAnsi="Arial"/>
          <w:sz w:val="18"/>
        </w:rPr>
        <w:t xml:space="preserve"> “All Other” includes but is not limited to: Medicaid-Other; Noninsurance payors; QHP-Connector Plans; and Self-pay/free care.</w:t>
      </w:r>
    </w:p>
  </w:footnote>
  <w:footnote w:id="9">
    <w:p w14:paraId="0CC09767" w14:textId="6E918CA7" w:rsidR="0025192B" w:rsidRPr="006955ED" w:rsidRDefault="0025192B" w:rsidP="006955ED">
      <w:pPr>
        <w:pStyle w:val="FootnoteText"/>
        <w:jc w:val="both"/>
        <w:rPr>
          <w:sz w:val="18"/>
          <w:szCs w:val="18"/>
        </w:rPr>
      </w:pPr>
      <w:r w:rsidRPr="006955ED">
        <w:rPr>
          <w:rStyle w:val="FootnoteReference"/>
          <w:sz w:val="18"/>
          <w:szCs w:val="18"/>
        </w:rPr>
        <w:footnoteRef/>
      </w:r>
      <w:r w:rsidRPr="006955ED">
        <w:rPr>
          <w:sz w:val="18"/>
          <w:szCs w:val="18"/>
        </w:rPr>
        <w:t xml:space="preserve"> </w:t>
      </w:r>
      <w:r w:rsidRPr="006955ED">
        <w:rPr>
          <w:rFonts w:ascii="Arial" w:hAnsi="Arial" w:cs="Arial"/>
          <w:sz w:val="18"/>
          <w:szCs w:val="18"/>
        </w:rPr>
        <w:t>UMass Donahue Institute</w:t>
      </w:r>
      <w:r w:rsidRPr="00DD0EBE">
        <w:rPr>
          <w:rFonts w:ascii="Arial" w:hAnsi="Arial" w:cs="Arial"/>
          <w:sz w:val="18"/>
          <w:szCs w:val="18"/>
        </w:rPr>
        <w:t xml:space="preserve">, </w:t>
      </w:r>
      <w:hyperlink r:id="rId1" w:history="1">
        <w:r w:rsidRPr="00DD0EBE">
          <w:rPr>
            <w:rStyle w:val="Hyperlink"/>
            <w:rFonts w:ascii="Arial" w:hAnsi="Arial" w:cs="Arial"/>
            <w:i/>
            <w:iCs/>
            <w:color w:val="auto"/>
            <w:sz w:val="18"/>
            <w:szCs w:val="18"/>
            <w:u w:val="none"/>
          </w:rPr>
          <w:t>Massachusetts Population Estimates by City and Town</w:t>
        </w:r>
      </w:hyperlink>
      <w:r w:rsidRPr="00DD0EBE">
        <w:rPr>
          <w:rFonts w:ascii="Arial" w:hAnsi="Arial" w:cs="Arial"/>
          <w:sz w:val="18"/>
          <w:szCs w:val="18"/>
        </w:rPr>
        <w:t xml:space="preserve"> (2021), </w:t>
      </w:r>
      <w:r w:rsidR="006955ED" w:rsidRPr="00DD0EBE">
        <w:rPr>
          <w:rFonts w:ascii="Arial" w:hAnsi="Arial" w:cs="Arial"/>
          <w:i/>
          <w:iCs/>
          <w:sz w:val="18"/>
          <w:szCs w:val="18"/>
        </w:rPr>
        <w:t>available at</w:t>
      </w:r>
      <w:r w:rsidR="006955ED" w:rsidRPr="00DD0EBE">
        <w:rPr>
          <w:rFonts w:ascii="Arial" w:hAnsi="Arial" w:cs="Arial"/>
          <w:sz w:val="18"/>
          <w:szCs w:val="18"/>
        </w:rPr>
        <w:t xml:space="preserve"> </w:t>
      </w:r>
      <w:hyperlink r:id="rId2" w:history="1">
        <w:r w:rsidR="00DD0EBE" w:rsidRPr="00DD0EBE">
          <w:rPr>
            <w:rStyle w:val="Hyperlink"/>
            <w:rFonts w:ascii="Arial" w:hAnsi="Arial" w:cs="Arial"/>
            <w:color w:val="auto"/>
            <w:sz w:val="18"/>
            <w:szCs w:val="18"/>
            <w:u w:val="none"/>
          </w:rPr>
          <w:t>https://donahue.umass.edu/data/pep/dashboards/2019_census_subcounty.html</w:t>
        </w:r>
      </w:hyperlink>
      <w:r w:rsidR="00DD0EBE" w:rsidRPr="00DD0EBE">
        <w:rPr>
          <w:rFonts w:ascii="Arial" w:hAnsi="Arial" w:cs="Arial"/>
          <w:sz w:val="18"/>
          <w:szCs w:val="18"/>
        </w:rPr>
        <w:t xml:space="preserve"> </w:t>
      </w:r>
      <w:r w:rsidRPr="00DD0EBE">
        <w:rPr>
          <w:rFonts w:ascii="Arial" w:hAnsi="Arial" w:cs="Arial"/>
          <w:i/>
          <w:iCs/>
          <w:sz w:val="18"/>
          <w:szCs w:val="18"/>
        </w:rPr>
        <w:t xml:space="preserve">. </w:t>
      </w:r>
      <w:r w:rsidRPr="00DD0EBE">
        <w:rPr>
          <w:rFonts w:ascii="Arial" w:hAnsi="Arial" w:cs="Arial"/>
          <w:sz w:val="18"/>
          <w:szCs w:val="18"/>
        </w:rPr>
        <w:t xml:space="preserve">Data </w:t>
      </w:r>
      <w:r w:rsidRPr="006955ED">
        <w:rPr>
          <w:rFonts w:ascii="Arial" w:hAnsi="Arial" w:cs="Arial"/>
          <w:sz w:val="18"/>
          <w:szCs w:val="18"/>
        </w:rPr>
        <w:t>source is U.S. Census Bureau, Population Division.</w:t>
      </w:r>
    </w:p>
  </w:footnote>
  <w:footnote w:id="10">
    <w:p w14:paraId="02FBFFC3" w14:textId="71CEE85F" w:rsidR="00090CED" w:rsidRPr="007145AD" w:rsidRDefault="00090CED" w:rsidP="006955ED">
      <w:pPr>
        <w:pStyle w:val="FootnoteText"/>
        <w:jc w:val="both"/>
        <w:rPr>
          <w:rFonts w:ascii="Arial" w:hAnsi="Arial"/>
          <w:sz w:val="18"/>
        </w:rPr>
      </w:pPr>
      <w:r w:rsidRPr="007145AD">
        <w:rPr>
          <w:rStyle w:val="FootnoteReference"/>
          <w:rFonts w:ascii="Arial" w:hAnsi="Arial"/>
          <w:sz w:val="18"/>
        </w:rPr>
        <w:footnoteRef/>
      </w:r>
      <w:r w:rsidRPr="007145AD">
        <w:rPr>
          <w:rFonts w:ascii="Arial" w:hAnsi="Arial"/>
          <w:sz w:val="18"/>
        </w:rPr>
        <w:t xml:space="preserve"> “Unknown” is defined as not recorded as male or female.</w:t>
      </w:r>
    </w:p>
  </w:footnote>
  <w:footnote w:id="11">
    <w:p w14:paraId="08202684" w14:textId="2E556A4C" w:rsidR="00090CED" w:rsidRPr="000E1E8A" w:rsidRDefault="00090CED" w:rsidP="007145AD">
      <w:pPr>
        <w:pStyle w:val="FootnoteText"/>
        <w:jc w:val="both"/>
        <w:rPr>
          <w:sz w:val="18"/>
        </w:rPr>
      </w:pPr>
      <w:r w:rsidRPr="007145AD">
        <w:rPr>
          <w:rStyle w:val="FootnoteReference"/>
          <w:sz w:val="18"/>
        </w:rPr>
        <w:footnoteRef/>
      </w:r>
      <w:r w:rsidRPr="007145AD">
        <w:rPr>
          <w:sz w:val="18"/>
        </w:rPr>
        <w:t xml:space="preserve"> </w:t>
      </w:r>
      <w:r w:rsidRPr="007145AD">
        <w:rPr>
          <w:rFonts w:ascii="Arial" w:hAnsi="Arial"/>
          <w:sz w:val="18"/>
        </w:rPr>
        <w:t>“Declined” indicates the patient declined to provide</w:t>
      </w:r>
      <w:r w:rsidRPr="000E1E8A">
        <w:rPr>
          <w:rFonts w:ascii="Arial" w:hAnsi="Arial"/>
          <w:sz w:val="18"/>
        </w:rPr>
        <w:t>.</w:t>
      </w:r>
    </w:p>
  </w:footnote>
  <w:footnote w:id="12">
    <w:p w14:paraId="358CAC55" w14:textId="3D5C31D0" w:rsidR="00090CED" w:rsidRPr="000E1E8A" w:rsidRDefault="00090CED" w:rsidP="006955ED">
      <w:pPr>
        <w:pStyle w:val="FootnoteText"/>
        <w:jc w:val="both"/>
        <w:rPr>
          <w:rFonts w:ascii="Arial" w:hAnsi="Arial"/>
          <w:sz w:val="18"/>
        </w:rPr>
      </w:pPr>
      <w:r w:rsidRPr="000E1E8A">
        <w:rPr>
          <w:rStyle w:val="FootnoteReference"/>
          <w:rFonts w:ascii="Arial" w:hAnsi="Arial"/>
          <w:sz w:val="18"/>
        </w:rPr>
        <w:footnoteRef/>
      </w:r>
      <w:r w:rsidRPr="000E1E8A">
        <w:rPr>
          <w:rFonts w:ascii="Arial" w:hAnsi="Arial"/>
          <w:sz w:val="18"/>
        </w:rPr>
        <w:t xml:space="preserve"> “Other” indicates not included in any of the categories mentioned in the table</w:t>
      </w:r>
      <w:r>
        <w:rPr>
          <w:rFonts w:ascii="Arial" w:hAnsi="Arial" w:cs="Arial"/>
          <w:sz w:val="18"/>
          <w:szCs w:val="18"/>
        </w:rPr>
        <w:t>.</w:t>
      </w:r>
      <w:r w:rsidRPr="000E1E8A">
        <w:rPr>
          <w:rFonts w:ascii="Arial" w:hAnsi="Arial"/>
          <w:sz w:val="18"/>
        </w:rPr>
        <w:t xml:space="preserve"> </w:t>
      </w:r>
    </w:p>
  </w:footnote>
  <w:footnote w:id="13">
    <w:p w14:paraId="0B4736D1" w14:textId="2E030218" w:rsidR="00090CED" w:rsidRPr="000E1E8A" w:rsidRDefault="00090CED" w:rsidP="006955ED">
      <w:pPr>
        <w:pStyle w:val="FootnoteText"/>
        <w:jc w:val="both"/>
        <w:rPr>
          <w:sz w:val="18"/>
        </w:rPr>
      </w:pPr>
      <w:r w:rsidRPr="000E1E8A">
        <w:rPr>
          <w:rStyle w:val="FootnoteReference"/>
          <w:rFonts w:ascii="Arial" w:hAnsi="Arial"/>
          <w:sz w:val="18"/>
        </w:rPr>
        <w:footnoteRef/>
      </w:r>
      <w:r w:rsidRPr="000E1E8A">
        <w:rPr>
          <w:rFonts w:ascii="Arial" w:hAnsi="Arial"/>
          <w:sz w:val="18"/>
        </w:rPr>
        <w:t xml:space="preserve"> “Unable to Obtain” indicates staff was unable to obtain from the patient due to trauma situations or patient </w:t>
      </w:r>
      <w:r>
        <w:rPr>
          <w:rFonts w:ascii="Arial" w:hAnsi="Arial" w:cs="Arial"/>
          <w:sz w:val="18"/>
          <w:szCs w:val="18"/>
        </w:rPr>
        <w:t>was</w:t>
      </w:r>
      <w:r w:rsidRPr="000E1E8A">
        <w:rPr>
          <w:rFonts w:ascii="Arial" w:hAnsi="Arial"/>
          <w:sz w:val="18"/>
        </w:rPr>
        <w:t xml:space="preserve"> unconscious.</w:t>
      </w:r>
    </w:p>
  </w:footnote>
  <w:footnote w:id="14">
    <w:p w14:paraId="24C641D5" w14:textId="53867F6A" w:rsidR="007145AD" w:rsidRPr="006C6CFF" w:rsidRDefault="007145AD" w:rsidP="006955ED">
      <w:pPr>
        <w:pStyle w:val="FootnoteText"/>
        <w:jc w:val="both"/>
        <w:rPr>
          <w:rFonts w:ascii="Arial" w:hAnsi="Arial" w:cs="Arial"/>
          <w:sz w:val="16"/>
          <w:szCs w:val="16"/>
        </w:rPr>
      </w:pPr>
      <w:r w:rsidRPr="000E1E8A">
        <w:rPr>
          <w:rStyle w:val="FootnoteReference"/>
          <w:rFonts w:ascii="Arial" w:hAnsi="Arial"/>
          <w:sz w:val="18"/>
        </w:rPr>
        <w:footnoteRef/>
      </w:r>
      <w:r w:rsidRPr="000E1E8A">
        <w:rPr>
          <w:rFonts w:ascii="Arial" w:hAnsi="Arial"/>
          <w:sz w:val="18"/>
        </w:rPr>
        <w:t xml:space="preserve"> “All </w:t>
      </w:r>
      <w:r w:rsidRPr="007145AD">
        <w:rPr>
          <w:rFonts w:ascii="Arial" w:hAnsi="Arial"/>
          <w:sz w:val="18"/>
        </w:rPr>
        <w:t>Other” includes but is not limited to: Medicaid-Other; Noninsurance payors; QHP-Connector Plans; and Self-pay/free care.</w:t>
      </w:r>
    </w:p>
  </w:footnote>
  <w:footnote w:id="15">
    <w:p w14:paraId="03481E2F" w14:textId="6FBAA9BE" w:rsidR="009418CB" w:rsidRPr="006955ED" w:rsidRDefault="009418CB" w:rsidP="006955ED">
      <w:pPr>
        <w:pStyle w:val="FootnoteText"/>
        <w:jc w:val="both"/>
        <w:rPr>
          <w:rFonts w:ascii="Arial" w:hAnsi="Arial" w:cs="Arial"/>
          <w:sz w:val="18"/>
          <w:szCs w:val="18"/>
        </w:rPr>
      </w:pPr>
      <w:r w:rsidRPr="006955ED">
        <w:rPr>
          <w:rStyle w:val="FootnoteReference"/>
          <w:rFonts w:ascii="Arial" w:hAnsi="Arial" w:cs="Arial"/>
          <w:sz w:val="18"/>
          <w:szCs w:val="18"/>
        </w:rPr>
        <w:footnoteRef/>
      </w:r>
      <w:r w:rsidRPr="006955ED">
        <w:rPr>
          <w:rFonts w:ascii="Arial" w:hAnsi="Arial" w:cs="Arial"/>
          <w:sz w:val="18"/>
          <w:szCs w:val="18"/>
        </w:rPr>
        <w:t xml:space="preserve"> Overall, unique patients decreased from FY19 (Q4) to FY22 (Q1-Q3) likely due to patient avoidance of hospitals during the COVID-19 Pandemic.</w:t>
      </w:r>
    </w:p>
  </w:footnote>
  <w:footnote w:id="16">
    <w:p w14:paraId="703C8F24" w14:textId="2329B725" w:rsidR="003645F4" w:rsidRPr="001C1231" w:rsidRDefault="003645F4">
      <w:pPr>
        <w:pStyle w:val="FootnoteText"/>
        <w:rPr>
          <w:rFonts w:ascii="Arial" w:hAnsi="Arial" w:cs="Arial"/>
          <w:sz w:val="18"/>
          <w:szCs w:val="18"/>
        </w:rPr>
      </w:pPr>
      <w:r w:rsidRPr="001C1231">
        <w:rPr>
          <w:rStyle w:val="FootnoteReference"/>
          <w:rFonts w:ascii="Arial" w:hAnsi="Arial" w:cs="Arial"/>
          <w:sz w:val="18"/>
          <w:szCs w:val="18"/>
        </w:rPr>
        <w:footnoteRef/>
      </w:r>
      <w:r w:rsidRPr="001C1231">
        <w:rPr>
          <w:rFonts w:ascii="Arial" w:hAnsi="Arial" w:cs="Arial"/>
          <w:sz w:val="18"/>
          <w:szCs w:val="18"/>
        </w:rPr>
        <w:t xml:space="preserve"> </w:t>
      </w:r>
      <w:r w:rsidRPr="001C1231">
        <w:rPr>
          <w:rFonts w:ascii="Arial" w:eastAsia="Times New Roman" w:hAnsi="Arial" w:cs="Arial"/>
          <w:sz w:val="18"/>
          <w:szCs w:val="18"/>
        </w:rPr>
        <w:t>To ensure patient privacy, we have used the notation “&lt;11” in any instance where the patient count for a demographic category included less than 11 individuals.</w:t>
      </w:r>
      <w:r>
        <w:rPr>
          <w:rFonts w:ascii="Arial" w:eastAsia="Times New Roman" w:hAnsi="Arial" w:cs="Arial"/>
          <w:sz w:val="18"/>
          <w:szCs w:val="18"/>
        </w:rPr>
        <w:t xml:space="preserve"> The actual patient count has been included elsewhere so the total patient count remains accurate but patient privacy is maintained.</w:t>
      </w:r>
    </w:p>
  </w:footnote>
  <w:footnote w:id="17">
    <w:p w14:paraId="6B34D008" w14:textId="47ED253E" w:rsidR="003645F4" w:rsidRPr="001C1231" w:rsidRDefault="003645F4" w:rsidP="00A954BD">
      <w:pPr>
        <w:pStyle w:val="FootnoteText"/>
        <w:jc w:val="both"/>
        <w:rPr>
          <w:rFonts w:ascii="Arial" w:hAnsi="Arial" w:cs="Arial"/>
          <w:sz w:val="18"/>
          <w:szCs w:val="18"/>
        </w:rPr>
      </w:pPr>
      <w:r w:rsidRPr="001C1231">
        <w:rPr>
          <w:rStyle w:val="FootnoteReference"/>
          <w:rFonts w:ascii="Arial" w:hAnsi="Arial" w:cs="Arial"/>
          <w:sz w:val="18"/>
          <w:szCs w:val="18"/>
        </w:rPr>
        <w:footnoteRef/>
      </w:r>
      <w:r w:rsidRPr="001C1231">
        <w:rPr>
          <w:rFonts w:ascii="Arial" w:hAnsi="Arial" w:cs="Arial"/>
          <w:sz w:val="18"/>
          <w:szCs w:val="18"/>
        </w:rPr>
        <w:t xml:space="preserve"> Since February 25, 2022, approximately 10 months, the 16 psychiatric beds at GSMC have been offline due to staffing shortages.</w:t>
      </w:r>
    </w:p>
  </w:footnote>
  <w:footnote w:id="18">
    <w:p w14:paraId="2077F8D4" w14:textId="2A6A4974" w:rsidR="003645F4" w:rsidRPr="001C1231" w:rsidRDefault="003645F4" w:rsidP="00A954BD">
      <w:pPr>
        <w:pStyle w:val="FootnoteText"/>
        <w:jc w:val="both"/>
        <w:rPr>
          <w:rFonts w:ascii="Arial" w:hAnsi="Arial"/>
          <w:sz w:val="18"/>
          <w:szCs w:val="18"/>
        </w:rPr>
      </w:pPr>
      <w:r w:rsidRPr="001C1231">
        <w:rPr>
          <w:rStyle w:val="FootnoteReference"/>
          <w:rFonts w:ascii="Arial" w:hAnsi="Arial"/>
          <w:sz w:val="18"/>
          <w:szCs w:val="18"/>
        </w:rPr>
        <w:footnoteRef/>
      </w:r>
      <w:r w:rsidRPr="001C1231">
        <w:rPr>
          <w:rFonts w:ascii="Arial" w:hAnsi="Arial"/>
          <w:sz w:val="18"/>
          <w:szCs w:val="18"/>
        </w:rPr>
        <w:t xml:space="preserve"> “Unknown” is defined as not recorded as male or female.  </w:t>
      </w:r>
    </w:p>
  </w:footnote>
  <w:footnote w:id="19">
    <w:p w14:paraId="0FB46E54" w14:textId="5F808A58" w:rsidR="003645F4" w:rsidRPr="001C1231" w:rsidRDefault="003645F4" w:rsidP="00A954BD">
      <w:pPr>
        <w:pStyle w:val="FootnoteText"/>
        <w:jc w:val="both"/>
        <w:rPr>
          <w:sz w:val="18"/>
          <w:szCs w:val="18"/>
        </w:rPr>
      </w:pPr>
      <w:r w:rsidRPr="001C1231">
        <w:rPr>
          <w:rStyle w:val="FootnoteReference"/>
          <w:rFonts w:ascii="Arial" w:hAnsi="Arial"/>
          <w:sz w:val="18"/>
          <w:szCs w:val="18"/>
        </w:rPr>
        <w:footnoteRef/>
      </w:r>
      <w:r w:rsidRPr="001C1231">
        <w:rPr>
          <w:rFonts w:ascii="Arial" w:hAnsi="Arial"/>
          <w:sz w:val="18"/>
          <w:szCs w:val="18"/>
        </w:rPr>
        <w:t xml:space="preserve"> “Declined” indicates the patient declined to provide.</w:t>
      </w:r>
    </w:p>
  </w:footnote>
  <w:footnote w:id="20">
    <w:p w14:paraId="705FD316" w14:textId="04EABC1F" w:rsidR="003645F4" w:rsidRPr="001C1231" w:rsidRDefault="003645F4" w:rsidP="00A954BD">
      <w:pPr>
        <w:pStyle w:val="FootnoteText"/>
        <w:jc w:val="both"/>
        <w:rPr>
          <w:rFonts w:ascii="Arial" w:hAnsi="Arial"/>
          <w:sz w:val="18"/>
          <w:szCs w:val="18"/>
        </w:rPr>
      </w:pPr>
      <w:r w:rsidRPr="001C1231">
        <w:rPr>
          <w:rStyle w:val="FootnoteReference"/>
          <w:rFonts w:ascii="Arial" w:hAnsi="Arial"/>
          <w:sz w:val="18"/>
          <w:szCs w:val="18"/>
        </w:rPr>
        <w:footnoteRef/>
      </w:r>
      <w:r w:rsidRPr="001C1231">
        <w:rPr>
          <w:rFonts w:ascii="Arial" w:hAnsi="Arial"/>
          <w:sz w:val="18"/>
          <w:szCs w:val="18"/>
        </w:rPr>
        <w:t xml:space="preserve"> “Other” indicates not included in any of the categories mentioned in the table</w:t>
      </w:r>
      <w:r w:rsidRPr="001C1231">
        <w:rPr>
          <w:rFonts w:ascii="Arial" w:hAnsi="Arial" w:cs="Arial"/>
          <w:sz w:val="18"/>
          <w:szCs w:val="18"/>
        </w:rPr>
        <w:t>.</w:t>
      </w:r>
    </w:p>
  </w:footnote>
  <w:footnote w:id="21">
    <w:p w14:paraId="1C2C4766" w14:textId="3C3FA1AA" w:rsidR="003645F4" w:rsidRPr="007145AD" w:rsidRDefault="003645F4" w:rsidP="00A954BD">
      <w:pPr>
        <w:pStyle w:val="FootnoteText"/>
        <w:jc w:val="both"/>
        <w:rPr>
          <w:rFonts w:ascii="Arial" w:hAnsi="Arial"/>
          <w:sz w:val="18"/>
        </w:rPr>
      </w:pPr>
      <w:r w:rsidRPr="001C1231">
        <w:rPr>
          <w:rStyle w:val="FootnoteReference"/>
          <w:rFonts w:ascii="Arial" w:hAnsi="Arial"/>
          <w:sz w:val="18"/>
          <w:szCs w:val="18"/>
        </w:rPr>
        <w:footnoteRef/>
      </w:r>
      <w:r w:rsidRPr="001C1231">
        <w:rPr>
          <w:rFonts w:ascii="Arial" w:hAnsi="Arial"/>
          <w:sz w:val="18"/>
          <w:szCs w:val="18"/>
        </w:rPr>
        <w:t xml:space="preserve"> “Unable to Obtain” indicates staff was unable to obtain from the patient due to trauma situations or patient </w:t>
      </w:r>
      <w:r w:rsidRPr="001C1231">
        <w:rPr>
          <w:rFonts w:ascii="Arial" w:hAnsi="Arial" w:cs="Arial"/>
          <w:sz w:val="18"/>
          <w:szCs w:val="18"/>
        </w:rPr>
        <w:t>was</w:t>
      </w:r>
      <w:r w:rsidRPr="001C1231">
        <w:rPr>
          <w:rFonts w:ascii="Arial" w:hAnsi="Arial"/>
          <w:sz w:val="18"/>
          <w:szCs w:val="18"/>
        </w:rPr>
        <w:t xml:space="preserve"> unconscious.</w:t>
      </w:r>
      <w:r w:rsidRPr="007145AD">
        <w:rPr>
          <w:rFonts w:ascii="Arial" w:hAnsi="Arial"/>
          <w:sz w:val="18"/>
        </w:rPr>
        <w:t xml:space="preserve"> </w:t>
      </w:r>
    </w:p>
  </w:footnote>
  <w:footnote w:id="22">
    <w:p w14:paraId="62C09C80" w14:textId="0322A9F2" w:rsidR="00777A9A" w:rsidRPr="006955ED" w:rsidRDefault="00777A9A" w:rsidP="00A954BD">
      <w:pPr>
        <w:pStyle w:val="FootnoteText"/>
        <w:jc w:val="both"/>
        <w:rPr>
          <w:rFonts w:ascii="Arial" w:hAnsi="Arial" w:cs="Arial"/>
          <w:sz w:val="18"/>
          <w:szCs w:val="18"/>
        </w:rPr>
      </w:pPr>
      <w:r w:rsidRPr="006955ED">
        <w:rPr>
          <w:rStyle w:val="FootnoteReference"/>
          <w:rFonts w:ascii="Arial" w:hAnsi="Arial" w:cs="Arial"/>
          <w:sz w:val="18"/>
          <w:szCs w:val="18"/>
        </w:rPr>
        <w:footnoteRef/>
      </w:r>
      <w:r w:rsidRPr="006955ED">
        <w:rPr>
          <w:rFonts w:ascii="Arial" w:hAnsi="Arial" w:cs="Arial"/>
          <w:sz w:val="18"/>
          <w:szCs w:val="18"/>
        </w:rPr>
        <w:t xml:space="preserve"> FY22</w:t>
      </w:r>
      <w:r w:rsidR="006955ED">
        <w:rPr>
          <w:rFonts w:ascii="Arial" w:hAnsi="Arial" w:cs="Arial"/>
          <w:sz w:val="18"/>
          <w:szCs w:val="18"/>
        </w:rPr>
        <w:t xml:space="preserve"> </w:t>
      </w:r>
      <w:r w:rsidRPr="006955ED">
        <w:rPr>
          <w:rFonts w:ascii="Arial" w:hAnsi="Arial" w:cs="Arial"/>
          <w:sz w:val="18"/>
          <w:szCs w:val="18"/>
        </w:rPr>
        <w:t>(Q1-Q3) was not used in data comparison due to IP</w:t>
      </w:r>
      <w:r w:rsidR="00903803" w:rsidRPr="006955ED">
        <w:rPr>
          <w:rFonts w:ascii="Arial" w:hAnsi="Arial" w:cs="Arial"/>
          <w:sz w:val="18"/>
          <w:szCs w:val="18"/>
        </w:rPr>
        <w:t xml:space="preserve"> psychiatric</w:t>
      </w:r>
      <w:r w:rsidRPr="006955ED">
        <w:rPr>
          <w:rFonts w:ascii="Arial" w:hAnsi="Arial" w:cs="Arial"/>
          <w:sz w:val="18"/>
          <w:szCs w:val="18"/>
        </w:rPr>
        <w:t xml:space="preserve"> beds going offline </w:t>
      </w:r>
      <w:proofErr w:type="gramStart"/>
      <w:r w:rsidRPr="006955ED">
        <w:rPr>
          <w:rFonts w:ascii="Arial" w:hAnsi="Arial" w:cs="Arial"/>
          <w:sz w:val="18"/>
          <w:szCs w:val="18"/>
        </w:rPr>
        <w:t>as a result of</w:t>
      </w:r>
      <w:proofErr w:type="gramEnd"/>
      <w:r w:rsidRPr="006955ED">
        <w:rPr>
          <w:rFonts w:ascii="Arial" w:hAnsi="Arial" w:cs="Arial"/>
          <w:sz w:val="18"/>
          <w:szCs w:val="18"/>
        </w:rPr>
        <w:t xml:space="preserve"> staffing shortages. This would skew the data.</w:t>
      </w:r>
    </w:p>
  </w:footnote>
  <w:footnote w:id="23">
    <w:p w14:paraId="74B4DC6B" w14:textId="7DC6ECE2" w:rsidR="00777A9A" w:rsidRPr="002535F0" w:rsidRDefault="00777A9A" w:rsidP="002535F0">
      <w:pPr>
        <w:pStyle w:val="FootnoteText"/>
        <w:jc w:val="both"/>
        <w:rPr>
          <w:rFonts w:ascii="Arial" w:hAnsi="Arial" w:cs="Arial"/>
          <w:sz w:val="18"/>
          <w:szCs w:val="18"/>
        </w:rPr>
      </w:pPr>
      <w:r w:rsidRPr="006955ED">
        <w:rPr>
          <w:rStyle w:val="FootnoteReference"/>
          <w:rFonts w:ascii="Arial" w:hAnsi="Arial" w:cs="Arial"/>
          <w:sz w:val="18"/>
          <w:szCs w:val="18"/>
        </w:rPr>
        <w:footnoteRef/>
      </w:r>
      <w:r w:rsidRPr="006955ED">
        <w:rPr>
          <w:rFonts w:ascii="Arial" w:hAnsi="Arial" w:cs="Arial"/>
          <w:sz w:val="18"/>
          <w:szCs w:val="18"/>
        </w:rPr>
        <w:t xml:space="preserve"> Number of unique patients were likely lower due to patient avoidance of hospitals during the COVID-19 Pandemic.</w:t>
      </w:r>
    </w:p>
  </w:footnote>
  <w:footnote w:id="24">
    <w:p w14:paraId="6E7F3AAF" w14:textId="6EEE44E0" w:rsidR="008625A0" w:rsidRPr="0049394B" w:rsidRDefault="008625A0" w:rsidP="00A954BD">
      <w:pPr>
        <w:pStyle w:val="FootnoteText"/>
        <w:jc w:val="both"/>
        <w:rPr>
          <w:rFonts w:ascii="Times New Roman" w:hAnsi="Times New Roman" w:cs="Times New Roman"/>
          <w:sz w:val="18"/>
          <w:szCs w:val="18"/>
        </w:rPr>
      </w:pPr>
      <w:r w:rsidRPr="0049394B">
        <w:rPr>
          <w:rStyle w:val="FootnoteReference"/>
          <w:rFonts w:ascii="Times New Roman" w:hAnsi="Times New Roman" w:cs="Times New Roman"/>
          <w:sz w:val="18"/>
          <w:szCs w:val="18"/>
        </w:rPr>
        <w:footnoteRef/>
      </w:r>
      <w:r w:rsidRPr="0049394B">
        <w:rPr>
          <w:rFonts w:ascii="Times New Roman" w:hAnsi="Times New Roman" w:cs="Times New Roman"/>
          <w:sz w:val="18"/>
          <w:szCs w:val="18"/>
        </w:rPr>
        <w:t xml:space="preserve"> </w:t>
      </w:r>
      <w:r w:rsidR="00D33CEF">
        <w:rPr>
          <w:rFonts w:ascii="Arial" w:hAnsi="Arial" w:cs="Arial"/>
          <w:i/>
          <w:iCs/>
          <w:sz w:val="18"/>
          <w:szCs w:val="18"/>
        </w:rPr>
        <w:t xml:space="preserve">See </w:t>
      </w:r>
      <w:hyperlink r:id="rId3" w:anchor=":~:text=As%20shown%20in%20the%20figure,of%20adults%20in%20the%20U.S" w:history="1">
        <w:r w:rsidR="00D33CEF" w:rsidRPr="001E67BC">
          <w:rPr>
            <w:rStyle w:val="Hyperlink"/>
            <w:rFonts w:ascii="Arial" w:hAnsi="Arial" w:cs="Arial"/>
            <w:i/>
            <w:iCs/>
            <w:color w:val="auto"/>
            <w:sz w:val="18"/>
            <w:szCs w:val="18"/>
            <w:u w:val="none"/>
          </w:rPr>
          <w:t>Mental Health in Massachusetts</w:t>
        </w:r>
      </w:hyperlink>
      <w:r w:rsidR="00D33CEF" w:rsidRPr="001E67BC">
        <w:rPr>
          <w:rFonts w:ascii="Arial" w:hAnsi="Arial" w:cs="Arial"/>
          <w:sz w:val="18"/>
          <w:szCs w:val="18"/>
        </w:rPr>
        <w:t>, KFF (</w:t>
      </w:r>
      <w:hyperlink r:id="rId4" w:history="1">
        <w:r w:rsidR="00C82D5D" w:rsidRPr="001E67BC">
          <w:rPr>
            <w:rStyle w:val="Hyperlink"/>
            <w:rFonts w:ascii="Arial" w:hAnsi="Arial" w:cs="Arial"/>
            <w:color w:val="auto"/>
            <w:sz w:val="18"/>
            <w:szCs w:val="18"/>
            <w:u w:val="none"/>
          </w:rPr>
          <w:t>https://www.kff.org/statedata/mental-health-and-substance-use-state-fact-sheets/massachusetts/#:~:text=As%20shown%20in%20the%20figure,of%20adults%20in%20the%20U.S</w:t>
        </w:r>
      </w:hyperlink>
      <w:r w:rsidR="00C82D5D" w:rsidRPr="001E67BC">
        <w:rPr>
          <w:rFonts w:ascii="Arial" w:hAnsi="Arial" w:cs="Arial"/>
          <w:sz w:val="18"/>
          <w:szCs w:val="18"/>
        </w:rPr>
        <w:t xml:space="preserve"> </w:t>
      </w:r>
      <w:r w:rsidR="00D33CEF" w:rsidRPr="001E67BC">
        <w:rPr>
          <w:rFonts w:ascii="Arial" w:hAnsi="Arial" w:cs="Arial"/>
          <w:sz w:val="18"/>
          <w:szCs w:val="18"/>
        </w:rPr>
        <w:t>)</w:t>
      </w:r>
      <w:r w:rsidR="00A954BD" w:rsidRPr="001E67BC">
        <w:rPr>
          <w:rFonts w:ascii="Arial" w:hAnsi="Arial" w:cs="Arial"/>
          <w:sz w:val="18"/>
          <w:szCs w:val="18"/>
        </w:rPr>
        <w:t xml:space="preserve"> </w:t>
      </w:r>
      <w:r w:rsidR="00D33CEF" w:rsidRPr="001E67BC">
        <w:rPr>
          <w:rFonts w:ascii="Arial" w:hAnsi="Arial" w:cs="Arial"/>
          <w:sz w:val="18"/>
          <w:szCs w:val="18"/>
        </w:rPr>
        <w:t xml:space="preserve">(last </w:t>
      </w:r>
      <w:r w:rsidR="00D33CEF">
        <w:rPr>
          <w:rFonts w:ascii="Arial" w:hAnsi="Arial" w:cs="Arial"/>
          <w:sz w:val="18"/>
          <w:szCs w:val="18"/>
        </w:rPr>
        <w:t>visited Dec. 23, 2022).</w:t>
      </w:r>
    </w:p>
  </w:footnote>
  <w:footnote w:id="25">
    <w:p w14:paraId="21FB36E0" w14:textId="38B22F07" w:rsidR="008625A0" w:rsidRPr="0049394B" w:rsidRDefault="008625A0" w:rsidP="00A954BD">
      <w:pPr>
        <w:pStyle w:val="FootnoteText"/>
        <w:jc w:val="both"/>
        <w:rPr>
          <w:rFonts w:ascii="Times New Roman" w:hAnsi="Times New Roman" w:cs="Times New Roman"/>
          <w:sz w:val="18"/>
          <w:szCs w:val="18"/>
        </w:rPr>
      </w:pPr>
      <w:r w:rsidRPr="0049394B">
        <w:rPr>
          <w:rStyle w:val="FootnoteReference"/>
          <w:rFonts w:ascii="Times New Roman" w:hAnsi="Times New Roman" w:cs="Times New Roman"/>
          <w:sz w:val="18"/>
          <w:szCs w:val="18"/>
        </w:rPr>
        <w:footnoteRef/>
      </w:r>
      <w:r w:rsidRPr="0049394B">
        <w:rPr>
          <w:rFonts w:ascii="Times New Roman" w:hAnsi="Times New Roman" w:cs="Times New Roman"/>
          <w:sz w:val="18"/>
          <w:szCs w:val="18"/>
        </w:rPr>
        <w:t xml:space="preserve"> </w:t>
      </w:r>
      <w:r w:rsidR="00D33CEF">
        <w:rPr>
          <w:rFonts w:ascii="Arial" w:hAnsi="Arial" w:cs="Arial"/>
          <w:i/>
          <w:iCs/>
          <w:sz w:val="18"/>
          <w:szCs w:val="18"/>
        </w:rPr>
        <w:t>Id.</w:t>
      </w:r>
    </w:p>
  </w:footnote>
  <w:footnote w:id="26">
    <w:p w14:paraId="3D74E70C" w14:textId="710828AD" w:rsidR="008625A0" w:rsidRPr="00A954BD" w:rsidRDefault="008625A0"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D33CEF" w:rsidRPr="00A954BD">
        <w:rPr>
          <w:rFonts w:ascii="Arial" w:hAnsi="Arial" w:cs="Arial"/>
          <w:i/>
          <w:iCs/>
          <w:sz w:val="18"/>
          <w:szCs w:val="18"/>
        </w:rPr>
        <w:t xml:space="preserve">See </w:t>
      </w:r>
      <w:hyperlink r:id="rId5" w:history="1">
        <w:r w:rsidR="00D33CEF" w:rsidRPr="00AA7459">
          <w:rPr>
            <w:rStyle w:val="Hyperlink"/>
            <w:rFonts w:ascii="Arial" w:hAnsi="Arial" w:cs="Arial"/>
            <w:i/>
            <w:iCs/>
            <w:color w:val="auto"/>
            <w:sz w:val="18"/>
            <w:szCs w:val="18"/>
            <w:u w:val="none"/>
          </w:rPr>
          <w:t>Capturing a Crisis</w:t>
        </w:r>
        <w:r w:rsidR="00D33CEF" w:rsidRPr="00AA7459">
          <w:rPr>
            <w:rStyle w:val="Hyperlink"/>
            <w:rFonts w:ascii="Arial" w:hAnsi="Arial" w:cs="Arial"/>
            <w:color w:val="auto"/>
            <w:sz w:val="18"/>
            <w:szCs w:val="18"/>
            <w:u w:val="none"/>
          </w:rPr>
          <w:t>, Massachusetts Behavioral Health Boarding Metrics</w:t>
        </w:r>
      </w:hyperlink>
      <w:r w:rsidR="00D33CEF" w:rsidRPr="00AA7459">
        <w:rPr>
          <w:rFonts w:ascii="Arial" w:hAnsi="Arial" w:cs="Arial"/>
          <w:sz w:val="18"/>
          <w:szCs w:val="18"/>
        </w:rPr>
        <w:t xml:space="preserve"> </w:t>
      </w:r>
      <w:r w:rsidR="00D33CEF" w:rsidRPr="00AA7459">
        <w:rPr>
          <w:rFonts w:ascii="Arial" w:hAnsi="Arial" w:cs="Arial"/>
          <w:i/>
          <w:iCs/>
          <w:sz w:val="18"/>
          <w:szCs w:val="18"/>
        </w:rPr>
        <w:t>available at</w:t>
      </w:r>
      <w:r w:rsidR="00D33CEF" w:rsidRPr="00AA7459">
        <w:rPr>
          <w:rFonts w:ascii="Arial" w:hAnsi="Arial" w:cs="Arial"/>
          <w:sz w:val="18"/>
          <w:szCs w:val="18"/>
        </w:rPr>
        <w:t xml:space="preserve"> </w:t>
      </w:r>
      <w:r w:rsidR="00A954BD" w:rsidRPr="00AA7459">
        <w:rPr>
          <w:rFonts w:ascii="Arial" w:hAnsi="Arial" w:cs="Arial"/>
          <w:sz w:val="18"/>
          <w:szCs w:val="18"/>
        </w:rPr>
        <w:t>(</w:t>
      </w:r>
      <w:hyperlink r:id="rId6" w:history="1">
        <w:r w:rsidR="00AA7459" w:rsidRPr="00AA7459">
          <w:rPr>
            <w:rStyle w:val="Hyperlink"/>
            <w:rFonts w:ascii="Arial" w:hAnsi="Arial" w:cs="Arial"/>
            <w:color w:val="auto"/>
            <w:sz w:val="18"/>
            <w:szCs w:val="18"/>
            <w:u w:val="none"/>
          </w:rPr>
          <w:t>https://mhalink.informz.net/mhalink/data/images/MHA%2020212022%20Trending%20Boarding%20Report_final.pdfhttps://www.mhalink.org/MHA/IssuesAdvocacy/State/Behavioral_Health_Boarding/MHA/IssuesAndAdvocacy/Capturing_a_Crisis_MHAs_Weekly_Behavioral_Health_Boarding_Reports.aspx?hkey=40f7493a-e25b-4a28-9cda-d7de41e622d2</w:t>
        </w:r>
      </w:hyperlink>
      <w:r w:rsidR="00AA7459" w:rsidRPr="00AA7459">
        <w:rPr>
          <w:rFonts w:ascii="Arial" w:hAnsi="Arial" w:cs="Arial"/>
          <w:sz w:val="18"/>
          <w:szCs w:val="18"/>
        </w:rPr>
        <w:t xml:space="preserve"> </w:t>
      </w:r>
      <w:r w:rsidR="00A954BD" w:rsidRPr="00AA7459">
        <w:rPr>
          <w:rFonts w:ascii="Arial" w:hAnsi="Arial" w:cs="Arial"/>
          <w:sz w:val="18"/>
          <w:szCs w:val="18"/>
        </w:rPr>
        <w:t>).</w:t>
      </w:r>
    </w:p>
  </w:footnote>
  <w:footnote w:id="27">
    <w:p w14:paraId="54A01D03" w14:textId="60539D4B" w:rsidR="00BB2A0F" w:rsidRPr="00A954BD" w:rsidRDefault="00BB2A0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00D33CEF" w:rsidRPr="00A954BD">
        <w:rPr>
          <w:rFonts w:ascii="Arial" w:hAnsi="Arial" w:cs="Arial"/>
          <w:sz w:val="18"/>
          <w:szCs w:val="18"/>
        </w:rPr>
        <w:t xml:space="preserve"> </w:t>
      </w:r>
      <w:r w:rsidR="00124B13" w:rsidRPr="00A954BD">
        <w:rPr>
          <w:rFonts w:ascii="Arial" w:hAnsi="Arial" w:cs="Arial"/>
          <w:sz w:val="18"/>
          <w:szCs w:val="18"/>
        </w:rPr>
        <w:t xml:space="preserve">UMass </w:t>
      </w:r>
      <w:r w:rsidR="00124B13" w:rsidRPr="00774D58">
        <w:rPr>
          <w:rFonts w:ascii="Arial" w:hAnsi="Arial" w:cs="Arial"/>
          <w:sz w:val="18"/>
          <w:szCs w:val="18"/>
        </w:rPr>
        <w:t xml:space="preserve">Donahue Institute, </w:t>
      </w:r>
      <w:hyperlink r:id="rId7" w:history="1">
        <w:r w:rsidR="00124B13" w:rsidRPr="00774D58">
          <w:rPr>
            <w:rStyle w:val="Hyperlink"/>
            <w:rFonts w:ascii="Arial" w:hAnsi="Arial" w:cs="Arial"/>
            <w:i/>
            <w:iCs/>
            <w:color w:val="auto"/>
            <w:sz w:val="18"/>
            <w:szCs w:val="18"/>
            <w:u w:val="none"/>
          </w:rPr>
          <w:t>Massachusetts Population Estimates by City and Town</w:t>
        </w:r>
      </w:hyperlink>
      <w:r w:rsidR="00124B13" w:rsidRPr="00774D58">
        <w:rPr>
          <w:rFonts w:ascii="Arial" w:hAnsi="Arial" w:cs="Arial"/>
          <w:sz w:val="18"/>
          <w:szCs w:val="18"/>
        </w:rPr>
        <w:t xml:space="preserve"> (2021), </w:t>
      </w:r>
      <w:r w:rsidR="00124B13" w:rsidRPr="00774D58">
        <w:rPr>
          <w:rFonts w:ascii="Arial" w:hAnsi="Arial" w:cs="Arial"/>
          <w:i/>
          <w:iCs/>
          <w:sz w:val="18"/>
          <w:szCs w:val="18"/>
        </w:rPr>
        <w:t>available at</w:t>
      </w:r>
      <w:r w:rsidR="00124B13" w:rsidRPr="00774D58">
        <w:rPr>
          <w:rFonts w:ascii="Arial" w:hAnsi="Arial" w:cs="Arial"/>
          <w:sz w:val="18"/>
          <w:szCs w:val="18"/>
        </w:rPr>
        <w:t xml:space="preserve"> </w:t>
      </w:r>
      <w:r w:rsidR="00A954BD" w:rsidRPr="00774D58">
        <w:rPr>
          <w:rFonts w:ascii="Arial" w:hAnsi="Arial" w:cs="Arial"/>
          <w:sz w:val="18"/>
          <w:szCs w:val="18"/>
        </w:rPr>
        <w:t>(</w:t>
      </w:r>
      <w:hyperlink r:id="rId8" w:history="1">
        <w:r w:rsidR="00AA7459" w:rsidRPr="00774D58">
          <w:rPr>
            <w:rStyle w:val="Hyperlink"/>
            <w:rFonts w:ascii="Arial" w:hAnsi="Arial" w:cs="Arial"/>
            <w:color w:val="auto"/>
            <w:sz w:val="18"/>
            <w:szCs w:val="18"/>
            <w:u w:val="none"/>
          </w:rPr>
          <w:t>https://donahue.umass.edu/data/pep/dashboards/2019_census_subcounty.html</w:t>
        </w:r>
      </w:hyperlink>
      <w:r w:rsidR="00AA7459" w:rsidRPr="00774D58">
        <w:rPr>
          <w:rFonts w:ascii="Arial" w:hAnsi="Arial" w:cs="Arial"/>
          <w:sz w:val="18"/>
          <w:szCs w:val="18"/>
        </w:rPr>
        <w:t xml:space="preserve"> </w:t>
      </w:r>
      <w:r w:rsidR="00A954BD" w:rsidRPr="00774D58">
        <w:rPr>
          <w:rFonts w:ascii="Arial" w:hAnsi="Arial" w:cs="Arial"/>
          <w:sz w:val="18"/>
          <w:szCs w:val="18"/>
        </w:rPr>
        <w:t>)</w:t>
      </w:r>
      <w:r w:rsidR="00124B13" w:rsidRPr="00774D58">
        <w:rPr>
          <w:rFonts w:ascii="Arial" w:hAnsi="Arial" w:cs="Arial"/>
          <w:i/>
          <w:iCs/>
          <w:sz w:val="18"/>
          <w:szCs w:val="18"/>
        </w:rPr>
        <w:t xml:space="preserve">. </w:t>
      </w:r>
      <w:r w:rsidR="00124B13" w:rsidRPr="00774D58">
        <w:rPr>
          <w:rFonts w:ascii="Arial" w:hAnsi="Arial" w:cs="Arial"/>
          <w:sz w:val="18"/>
          <w:szCs w:val="18"/>
        </w:rPr>
        <w:t>Data source is U.S. Census Bureau, Population Division.</w:t>
      </w:r>
    </w:p>
  </w:footnote>
  <w:footnote w:id="28">
    <w:p w14:paraId="1D85E36B" w14:textId="04F1CBAE" w:rsidR="00BB2A0F" w:rsidRPr="00A954BD" w:rsidRDefault="00BB2A0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BE5705" w:rsidRPr="00A954BD">
        <w:rPr>
          <w:rFonts w:ascii="Arial" w:hAnsi="Arial" w:cs="Arial"/>
          <w:i/>
          <w:iCs/>
          <w:sz w:val="18"/>
          <w:szCs w:val="18"/>
        </w:rPr>
        <w:t>Id.</w:t>
      </w:r>
    </w:p>
  </w:footnote>
  <w:footnote w:id="29">
    <w:p w14:paraId="48D08FA0" w14:textId="77777777" w:rsidR="008625A0" w:rsidRDefault="008625A0" w:rsidP="00A954BD">
      <w:pPr>
        <w:pStyle w:val="FootnoteText"/>
        <w:jc w:val="both"/>
      </w:pPr>
      <w:r w:rsidRPr="00A954BD">
        <w:rPr>
          <w:rStyle w:val="FootnoteReference"/>
          <w:rFonts w:ascii="Arial" w:hAnsi="Arial" w:cs="Arial"/>
          <w:sz w:val="18"/>
          <w:szCs w:val="18"/>
        </w:rPr>
        <w:footnoteRef/>
      </w:r>
      <w:r w:rsidRPr="00A954BD">
        <w:rPr>
          <w:rFonts w:ascii="Arial" w:hAnsi="Arial" w:cs="Arial"/>
          <w:sz w:val="18"/>
          <w:szCs w:val="18"/>
        </w:rPr>
        <w:t xml:space="preserve"> Since February 25, 2022, approximately 10 months, the 16 psychiatric beds at GSMC have been offline due to staffing shortages.</w:t>
      </w:r>
    </w:p>
  </w:footnote>
  <w:footnote w:id="30">
    <w:p w14:paraId="1BB6973C" w14:textId="385EF3B1"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BE5705" w:rsidRPr="00A954BD">
        <w:rPr>
          <w:rFonts w:ascii="Arial" w:hAnsi="Arial" w:cs="Arial"/>
          <w:i/>
          <w:iCs/>
          <w:sz w:val="18"/>
          <w:szCs w:val="18"/>
        </w:rPr>
        <w:t xml:space="preserve">See </w:t>
      </w:r>
      <w:hyperlink r:id="rId9" w:history="1">
        <w:r w:rsidR="00BE5705" w:rsidRPr="008F3BC5">
          <w:rPr>
            <w:rStyle w:val="Hyperlink"/>
            <w:rFonts w:ascii="Arial" w:hAnsi="Arial" w:cs="Arial"/>
            <w:i/>
            <w:iCs/>
            <w:color w:val="auto"/>
            <w:sz w:val="18"/>
            <w:szCs w:val="18"/>
            <w:u w:val="none"/>
          </w:rPr>
          <w:t>Mental Illness</w:t>
        </w:r>
      </w:hyperlink>
      <w:r w:rsidR="00BE5705" w:rsidRPr="008F3BC5">
        <w:rPr>
          <w:rFonts w:ascii="Arial" w:hAnsi="Arial" w:cs="Arial"/>
          <w:sz w:val="18"/>
          <w:szCs w:val="18"/>
        </w:rPr>
        <w:t>, National Institute of Mental Health (</w:t>
      </w:r>
      <w:hyperlink r:id="rId10" w:history="1">
        <w:r w:rsidR="008F3BC5" w:rsidRPr="008F3BC5">
          <w:rPr>
            <w:rStyle w:val="Hyperlink"/>
            <w:rFonts w:ascii="Arial" w:hAnsi="Arial" w:cs="Arial"/>
            <w:color w:val="auto"/>
            <w:sz w:val="18"/>
            <w:szCs w:val="18"/>
            <w:u w:val="none"/>
          </w:rPr>
          <w:t>https://www.nimh.nih.gov/health/statistics/mental-illness</w:t>
        </w:r>
      </w:hyperlink>
      <w:r w:rsidR="008F3BC5" w:rsidRPr="008F3BC5">
        <w:rPr>
          <w:rFonts w:ascii="Arial" w:hAnsi="Arial" w:cs="Arial"/>
          <w:sz w:val="18"/>
          <w:szCs w:val="18"/>
        </w:rPr>
        <w:t xml:space="preserve"> </w:t>
      </w:r>
      <w:r w:rsidR="00BE5705" w:rsidRPr="008F3BC5">
        <w:rPr>
          <w:rFonts w:ascii="Arial" w:hAnsi="Arial" w:cs="Arial"/>
          <w:sz w:val="18"/>
          <w:szCs w:val="18"/>
        </w:rPr>
        <w:t>) (last visited Dec. 23, 2022).</w:t>
      </w:r>
    </w:p>
  </w:footnote>
  <w:footnote w:id="31">
    <w:p w14:paraId="46D49DE1" w14:textId="65898FD4"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AMI was defined as a mental, behavioral, or emotional disorder</w:t>
      </w:r>
      <w:r w:rsidR="00A954BD">
        <w:rPr>
          <w:rFonts w:ascii="Arial" w:hAnsi="Arial" w:cs="Arial"/>
          <w:sz w:val="18"/>
          <w:szCs w:val="18"/>
        </w:rPr>
        <w:t>.</w:t>
      </w:r>
      <w:r w:rsidR="00A954BD" w:rsidRPr="00A954BD">
        <w:rPr>
          <w:rFonts w:ascii="Arial" w:hAnsi="Arial" w:cs="Arial"/>
          <w:sz w:val="18"/>
          <w:szCs w:val="18"/>
        </w:rPr>
        <w:t xml:space="preserve"> </w:t>
      </w:r>
      <w:r w:rsidR="00A954BD">
        <w:rPr>
          <w:rFonts w:ascii="Arial" w:hAnsi="Arial" w:cs="Arial"/>
          <w:i/>
          <w:iCs/>
          <w:sz w:val="18"/>
          <w:szCs w:val="18"/>
        </w:rPr>
        <w:t>I</w:t>
      </w:r>
      <w:r w:rsidR="00BE5705" w:rsidRPr="00A954BD">
        <w:rPr>
          <w:rFonts w:ascii="Arial" w:hAnsi="Arial" w:cs="Arial"/>
          <w:i/>
          <w:iCs/>
          <w:sz w:val="18"/>
          <w:szCs w:val="18"/>
        </w:rPr>
        <w:t>d.</w:t>
      </w:r>
    </w:p>
  </w:footnote>
  <w:footnote w:id="32">
    <w:p w14:paraId="65B9ACB5" w14:textId="2369FE0C"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A954BD" w:rsidRPr="00A954BD">
        <w:rPr>
          <w:rFonts w:ascii="Arial" w:hAnsi="Arial" w:cs="Arial"/>
          <w:i/>
          <w:iCs/>
          <w:sz w:val="18"/>
          <w:szCs w:val="18"/>
        </w:rPr>
        <w:t xml:space="preserve">See supra </w:t>
      </w:r>
      <w:r w:rsidR="00A954BD" w:rsidRPr="00A954BD">
        <w:rPr>
          <w:rFonts w:ascii="Arial" w:hAnsi="Arial" w:cs="Arial"/>
          <w:sz w:val="18"/>
          <w:szCs w:val="18"/>
        </w:rPr>
        <w:t>note 2</w:t>
      </w:r>
      <w:r w:rsidR="002535F0">
        <w:rPr>
          <w:rFonts w:ascii="Arial" w:hAnsi="Arial" w:cs="Arial"/>
          <w:sz w:val="18"/>
          <w:szCs w:val="18"/>
        </w:rPr>
        <w:t>9</w:t>
      </w:r>
      <w:r w:rsidR="00A954BD" w:rsidRPr="00A954BD">
        <w:rPr>
          <w:rFonts w:ascii="Arial" w:hAnsi="Arial" w:cs="Arial"/>
          <w:sz w:val="18"/>
          <w:szCs w:val="18"/>
        </w:rPr>
        <w:t>.</w:t>
      </w:r>
    </w:p>
  </w:footnote>
  <w:footnote w:id="33">
    <w:p w14:paraId="1F239225" w14:textId="26EF9594"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A954BD" w:rsidRPr="00A954BD">
        <w:rPr>
          <w:rFonts w:ascii="Arial" w:hAnsi="Arial" w:cs="Arial"/>
          <w:i/>
          <w:iCs/>
          <w:sz w:val="18"/>
          <w:szCs w:val="18"/>
        </w:rPr>
        <w:t xml:space="preserve">See supra </w:t>
      </w:r>
      <w:r w:rsidR="00A954BD" w:rsidRPr="00A954BD">
        <w:rPr>
          <w:rFonts w:ascii="Arial" w:hAnsi="Arial" w:cs="Arial"/>
          <w:sz w:val="18"/>
          <w:szCs w:val="18"/>
        </w:rPr>
        <w:t>note 2</w:t>
      </w:r>
      <w:r w:rsidR="002535F0">
        <w:rPr>
          <w:rFonts w:ascii="Arial" w:hAnsi="Arial" w:cs="Arial"/>
          <w:sz w:val="18"/>
          <w:szCs w:val="18"/>
        </w:rPr>
        <w:t>9</w:t>
      </w:r>
      <w:r w:rsidR="00A954BD" w:rsidRPr="00A954BD">
        <w:rPr>
          <w:rFonts w:ascii="Arial" w:hAnsi="Arial" w:cs="Arial"/>
          <w:sz w:val="18"/>
          <w:szCs w:val="18"/>
        </w:rPr>
        <w:t>.</w:t>
      </w:r>
    </w:p>
  </w:footnote>
  <w:footnote w:id="34">
    <w:p w14:paraId="32AA489E" w14:textId="71FBAA05"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BE5705" w:rsidRPr="00A954BD">
        <w:rPr>
          <w:rFonts w:ascii="Arial" w:hAnsi="Arial" w:cs="Arial"/>
          <w:color w:val="000000"/>
          <w:sz w:val="18"/>
          <w:szCs w:val="18"/>
          <w:shd w:val="clear" w:color="auto" w:fill="FFFFFF"/>
        </w:rPr>
        <w:t xml:space="preserve">Terlizzi EP, </w:t>
      </w:r>
      <w:r w:rsidR="00BE5705" w:rsidRPr="00606A4D">
        <w:rPr>
          <w:rFonts w:ascii="Arial" w:hAnsi="Arial" w:cs="Arial"/>
          <w:sz w:val="18"/>
          <w:szCs w:val="18"/>
          <w:shd w:val="clear" w:color="auto" w:fill="FFFFFF"/>
        </w:rPr>
        <w:t xml:space="preserve">Schiller JS. </w:t>
      </w:r>
      <w:hyperlink r:id="rId11" w:anchor="Suggested_citation" w:history="1">
        <w:r w:rsidR="00BE5705" w:rsidRPr="00606A4D">
          <w:rPr>
            <w:rStyle w:val="Hyperlink"/>
            <w:rFonts w:ascii="Arial" w:hAnsi="Arial" w:cs="Arial"/>
            <w:i/>
            <w:iCs/>
            <w:color w:val="auto"/>
            <w:sz w:val="18"/>
            <w:szCs w:val="18"/>
            <w:u w:val="none"/>
            <w:shd w:val="clear" w:color="auto" w:fill="FFFFFF"/>
          </w:rPr>
          <w:t>Mental health treatment among adults aged 18–44</w:t>
        </w:r>
      </w:hyperlink>
      <w:r w:rsidR="00BE5705" w:rsidRPr="00606A4D">
        <w:rPr>
          <w:rFonts w:ascii="Arial" w:hAnsi="Arial" w:cs="Arial"/>
          <w:sz w:val="18"/>
          <w:szCs w:val="18"/>
          <w:shd w:val="clear" w:color="auto" w:fill="FFFFFF"/>
        </w:rPr>
        <w:t>: United States, 2019–2021. NCHS Data Brief, no. 444. Hyattsville, MD: National Center for Health Statistics. 2022 (</w:t>
      </w:r>
      <w:hyperlink r:id="rId12" w:history="1">
        <w:r w:rsidR="004C6AEB" w:rsidRPr="00606A4D">
          <w:rPr>
            <w:rStyle w:val="Hyperlink"/>
            <w:rFonts w:ascii="Arial" w:hAnsi="Arial" w:cs="Arial"/>
            <w:color w:val="auto"/>
            <w:sz w:val="18"/>
            <w:szCs w:val="18"/>
            <w:u w:val="none"/>
            <w:shd w:val="clear" w:color="auto" w:fill="FFFFFF"/>
          </w:rPr>
          <w:t>https://www.cdc.gov/nchs/products/databriefs/db444.htm#Suggested_citation</w:t>
        </w:r>
      </w:hyperlink>
      <w:r w:rsidR="004C6AEB" w:rsidRPr="00606A4D">
        <w:rPr>
          <w:rFonts w:ascii="Arial" w:hAnsi="Arial" w:cs="Arial"/>
          <w:sz w:val="18"/>
          <w:szCs w:val="18"/>
          <w:shd w:val="clear" w:color="auto" w:fill="FFFFFF"/>
        </w:rPr>
        <w:t xml:space="preserve"> </w:t>
      </w:r>
      <w:r w:rsidR="00A954BD" w:rsidRPr="00606A4D">
        <w:rPr>
          <w:rFonts w:ascii="Arial" w:hAnsi="Arial" w:cs="Arial"/>
          <w:sz w:val="18"/>
          <w:szCs w:val="18"/>
          <w:shd w:val="clear" w:color="auto" w:fill="FFFFFF"/>
        </w:rPr>
        <w:t>)</w:t>
      </w:r>
      <w:r w:rsidR="00BE5705" w:rsidRPr="00606A4D">
        <w:rPr>
          <w:rFonts w:ascii="Arial" w:hAnsi="Arial" w:cs="Arial"/>
          <w:sz w:val="18"/>
          <w:szCs w:val="18"/>
          <w:shd w:val="clear" w:color="auto" w:fill="FFFFFF"/>
        </w:rPr>
        <w:t xml:space="preserve"> (Sept. 2022</w:t>
      </w:r>
      <w:r w:rsidR="00BE5705" w:rsidRPr="00A954BD">
        <w:rPr>
          <w:rFonts w:ascii="Arial" w:hAnsi="Arial" w:cs="Arial"/>
          <w:sz w:val="18"/>
          <w:szCs w:val="18"/>
          <w:shd w:val="clear" w:color="auto" w:fill="FFFFFF"/>
        </w:rPr>
        <w:t>).</w:t>
      </w:r>
    </w:p>
  </w:footnote>
  <w:footnote w:id="35">
    <w:p w14:paraId="29006A3C" w14:textId="1E4A3911" w:rsidR="00BE5705" w:rsidRPr="00F12878" w:rsidRDefault="009C4CCF" w:rsidP="00A954BD">
      <w:pPr>
        <w:autoSpaceDE w:val="0"/>
        <w:autoSpaceDN w:val="0"/>
        <w:adjustRightInd w:val="0"/>
        <w:spacing w:after="0" w:line="240" w:lineRule="auto"/>
        <w:jc w:val="both"/>
        <w:rPr>
          <w:rStyle w:val="Hyperlink"/>
          <w:rFonts w:ascii="Arial" w:hAnsi="Arial" w:cs="Arial"/>
          <w:color w:val="auto"/>
          <w:sz w:val="18"/>
          <w:szCs w:val="18"/>
          <w:u w:val="none"/>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F12878" w:rsidRPr="00F12878">
        <w:rPr>
          <w:rFonts w:ascii="Arial" w:hAnsi="Arial" w:cs="Arial"/>
          <w:sz w:val="18"/>
          <w:szCs w:val="18"/>
        </w:rPr>
        <w:fldChar w:fldCharType="begin"/>
      </w:r>
      <w:r w:rsidR="00F12878" w:rsidRPr="00F12878">
        <w:rPr>
          <w:rFonts w:ascii="Arial" w:hAnsi="Arial" w:cs="Arial"/>
          <w:sz w:val="18"/>
          <w:szCs w:val="18"/>
        </w:rPr>
        <w:instrText xml:space="preserve"> HYPERLINK "https://www.who.int/publications/i/item/9789240050860" </w:instrText>
      </w:r>
      <w:r w:rsidR="00F12878" w:rsidRPr="00F12878">
        <w:rPr>
          <w:rFonts w:ascii="Arial" w:hAnsi="Arial" w:cs="Arial"/>
          <w:sz w:val="18"/>
          <w:szCs w:val="18"/>
        </w:rPr>
      </w:r>
      <w:r w:rsidR="00F12878" w:rsidRPr="00F12878">
        <w:rPr>
          <w:rFonts w:ascii="Arial" w:hAnsi="Arial" w:cs="Arial"/>
          <w:sz w:val="18"/>
          <w:szCs w:val="18"/>
        </w:rPr>
        <w:fldChar w:fldCharType="separate"/>
      </w:r>
      <w:r w:rsidR="00BE5705" w:rsidRPr="00F12878">
        <w:rPr>
          <w:rStyle w:val="Hyperlink"/>
          <w:rFonts w:ascii="Arial" w:hAnsi="Arial" w:cs="Arial"/>
          <w:color w:val="auto"/>
          <w:sz w:val="18"/>
          <w:szCs w:val="18"/>
          <w:u w:val="none"/>
        </w:rPr>
        <w:t>World mental health report: transforming mental health for all. Executive</w:t>
      </w:r>
    </w:p>
    <w:p w14:paraId="1A98A4D3" w14:textId="6D7F7BD0" w:rsidR="009C4CCF" w:rsidRPr="00A954BD" w:rsidRDefault="00BE5705" w:rsidP="00A954BD">
      <w:pPr>
        <w:autoSpaceDE w:val="0"/>
        <w:autoSpaceDN w:val="0"/>
        <w:adjustRightInd w:val="0"/>
        <w:spacing w:after="0" w:line="240" w:lineRule="auto"/>
        <w:jc w:val="both"/>
        <w:rPr>
          <w:rFonts w:ascii="Arial" w:hAnsi="Arial" w:cs="Arial"/>
          <w:sz w:val="18"/>
          <w:szCs w:val="18"/>
        </w:rPr>
      </w:pPr>
      <w:r w:rsidRPr="00F12878">
        <w:rPr>
          <w:rStyle w:val="Hyperlink"/>
          <w:rFonts w:ascii="Arial" w:hAnsi="Arial" w:cs="Arial"/>
          <w:color w:val="auto"/>
          <w:sz w:val="18"/>
          <w:szCs w:val="18"/>
          <w:u w:val="none"/>
        </w:rPr>
        <w:t>summary</w:t>
      </w:r>
      <w:r w:rsidR="00F12878" w:rsidRPr="00F12878">
        <w:rPr>
          <w:rFonts w:ascii="Arial" w:hAnsi="Arial" w:cs="Arial"/>
          <w:sz w:val="18"/>
          <w:szCs w:val="18"/>
        </w:rPr>
        <w:fldChar w:fldCharType="end"/>
      </w:r>
      <w:r w:rsidRPr="00F12878">
        <w:rPr>
          <w:rFonts w:ascii="Arial" w:hAnsi="Arial" w:cs="Arial"/>
          <w:sz w:val="18"/>
          <w:szCs w:val="18"/>
        </w:rPr>
        <w:t>. Geneva: World Health Organization; 2022. License: CC BY-NC-SA 3.0 IGO. (</w:t>
      </w:r>
      <w:hyperlink r:id="rId13" w:history="1">
        <w:r w:rsidR="00F12878" w:rsidRPr="00F12878">
          <w:rPr>
            <w:rStyle w:val="Hyperlink"/>
            <w:rFonts w:ascii="Arial" w:hAnsi="Arial" w:cs="Arial"/>
            <w:color w:val="auto"/>
            <w:sz w:val="18"/>
            <w:szCs w:val="18"/>
            <w:u w:val="none"/>
          </w:rPr>
          <w:t>https://www.who.int/publications/i/item/9789240050860</w:t>
        </w:r>
      </w:hyperlink>
      <w:r w:rsidR="00F12878" w:rsidRPr="00F12878">
        <w:rPr>
          <w:rFonts w:ascii="Arial" w:hAnsi="Arial" w:cs="Arial"/>
          <w:sz w:val="18"/>
          <w:szCs w:val="18"/>
        </w:rPr>
        <w:t xml:space="preserve"> </w:t>
      </w:r>
      <w:r w:rsidRPr="00F12878">
        <w:rPr>
          <w:rFonts w:ascii="Arial" w:hAnsi="Arial" w:cs="Arial"/>
          <w:sz w:val="18"/>
          <w:szCs w:val="18"/>
        </w:rPr>
        <w:t>) (June 16, 2022).</w:t>
      </w:r>
    </w:p>
  </w:footnote>
  <w:footnote w:id="36">
    <w:p w14:paraId="010D0615" w14:textId="46912A16" w:rsidR="009C4CCF" w:rsidRPr="00A954BD" w:rsidRDefault="009C4CCF" w:rsidP="00A954BD">
      <w:pPr>
        <w:autoSpaceDE w:val="0"/>
        <w:autoSpaceDN w:val="0"/>
        <w:adjustRightInd w:val="0"/>
        <w:spacing w:after="0" w:line="240" w:lineRule="auto"/>
        <w:jc w:val="both"/>
        <w:rPr>
          <w:rFonts w:ascii="Arial" w:hAnsi="Arial" w:cs="Arial"/>
          <w:color w:val="000000"/>
          <w:sz w:val="18"/>
          <w:szCs w:val="18"/>
        </w:rPr>
      </w:pPr>
      <w:r w:rsidRPr="00A954BD">
        <w:rPr>
          <w:rStyle w:val="FootnoteReference"/>
          <w:rFonts w:ascii="Arial" w:hAnsi="Arial" w:cs="Arial"/>
          <w:sz w:val="18"/>
          <w:szCs w:val="18"/>
        </w:rPr>
        <w:footnoteRef/>
      </w:r>
      <w:r w:rsidR="00BE5705" w:rsidRPr="00A954BD">
        <w:rPr>
          <w:rFonts w:ascii="Arial" w:hAnsi="Arial" w:cs="Arial"/>
          <w:color w:val="000000"/>
          <w:sz w:val="18"/>
          <w:szCs w:val="18"/>
        </w:rPr>
        <w:t xml:space="preserve"> </w:t>
      </w:r>
      <w:r w:rsidR="00BE5705" w:rsidRPr="00A954BD">
        <w:rPr>
          <w:rFonts w:ascii="Arial" w:hAnsi="Arial" w:cs="Arial"/>
          <w:i/>
          <w:iCs/>
          <w:color w:val="000000"/>
          <w:sz w:val="18"/>
          <w:szCs w:val="18"/>
        </w:rPr>
        <w:t>See id</w:t>
      </w:r>
      <w:r w:rsidR="00BE5705" w:rsidRPr="00A954BD">
        <w:rPr>
          <w:rFonts w:ascii="Arial" w:hAnsi="Arial" w:cs="Arial"/>
          <w:color w:val="000000"/>
          <w:sz w:val="18"/>
          <w:szCs w:val="18"/>
        </w:rPr>
        <w:t>.</w:t>
      </w:r>
    </w:p>
  </w:footnote>
  <w:footnote w:id="37">
    <w:p w14:paraId="6BAEFF03" w14:textId="7C556EB5" w:rsidR="009C4CCF" w:rsidRPr="0049394B" w:rsidRDefault="009C4CCF" w:rsidP="00A954BD">
      <w:pPr>
        <w:pStyle w:val="FootnoteText"/>
        <w:jc w:val="both"/>
        <w:rPr>
          <w:rFonts w:ascii="Times New Roman" w:hAnsi="Times New Roman" w:cs="Times New Roman"/>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BE5705" w:rsidRPr="00A954BD">
        <w:rPr>
          <w:rFonts w:ascii="Arial" w:hAnsi="Arial" w:cs="Arial"/>
          <w:i/>
          <w:iCs/>
          <w:sz w:val="18"/>
          <w:szCs w:val="18"/>
        </w:rPr>
        <w:t xml:space="preserve">See </w:t>
      </w:r>
      <w:r w:rsidR="00EA0256" w:rsidRPr="00A954BD">
        <w:rPr>
          <w:rFonts w:ascii="Arial" w:hAnsi="Arial" w:cs="Arial"/>
          <w:sz w:val="18"/>
          <w:szCs w:val="18"/>
        </w:rPr>
        <w:t xml:space="preserve">Deborah Becker, </w:t>
      </w:r>
      <w:hyperlink r:id="rId14" w:history="1">
        <w:r w:rsidR="00EA0256" w:rsidRPr="00060BDD">
          <w:rPr>
            <w:rStyle w:val="Hyperlink"/>
            <w:rFonts w:ascii="Arial" w:hAnsi="Arial" w:cs="Arial"/>
            <w:i/>
            <w:iCs/>
            <w:color w:val="auto"/>
            <w:sz w:val="18"/>
            <w:szCs w:val="18"/>
            <w:u w:val="none"/>
          </w:rPr>
          <w:t>The pandemic has led to a surge in mental health need in Mass., survey finds</w:t>
        </w:r>
      </w:hyperlink>
      <w:r w:rsidR="00EA0256" w:rsidRPr="00060BDD">
        <w:rPr>
          <w:rFonts w:ascii="Arial" w:hAnsi="Arial" w:cs="Arial"/>
          <w:i/>
          <w:iCs/>
          <w:sz w:val="18"/>
          <w:szCs w:val="18"/>
        </w:rPr>
        <w:t xml:space="preserve">, </w:t>
      </w:r>
      <w:proofErr w:type="spellStart"/>
      <w:r w:rsidR="00EA0256" w:rsidRPr="00060BDD">
        <w:rPr>
          <w:rFonts w:ascii="Arial" w:hAnsi="Arial" w:cs="Arial"/>
          <w:sz w:val="18"/>
          <w:szCs w:val="18"/>
        </w:rPr>
        <w:t>wbur</w:t>
      </w:r>
      <w:proofErr w:type="spellEnd"/>
      <w:r w:rsidR="00EA0256" w:rsidRPr="00060BDD">
        <w:rPr>
          <w:rFonts w:ascii="Arial" w:hAnsi="Arial" w:cs="Arial"/>
          <w:sz w:val="18"/>
          <w:szCs w:val="18"/>
        </w:rPr>
        <w:t xml:space="preserve"> (</w:t>
      </w:r>
      <w:hyperlink r:id="rId15" w:history="1">
        <w:r w:rsidR="00060BDD" w:rsidRPr="00060BDD">
          <w:rPr>
            <w:rStyle w:val="Hyperlink"/>
            <w:rFonts w:ascii="Arial" w:hAnsi="Arial" w:cs="Arial"/>
            <w:color w:val="auto"/>
            <w:sz w:val="18"/>
            <w:szCs w:val="18"/>
            <w:u w:val="none"/>
          </w:rPr>
          <w:t>https://www.wbur.org/news/2022/02/08/massachusetts-pandemic-mental-health</w:t>
        </w:r>
      </w:hyperlink>
      <w:r w:rsidR="00060BDD" w:rsidRPr="00060BDD">
        <w:rPr>
          <w:rFonts w:ascii="Arial" w:hAnsi="Arial" w:cs="Arial"/>
          <w:sz w:val="18"/>
          <w:szCs w:val="18"/>
        </w:rPr>
        <w:t xml:space="preserve"> </w:t>
      </w:r>
      <w:r w:rsidR="00EA0256" w:rsidRPr="00060BDD">
        <w:rPr>
          <w:rFonts w:ascii="Arial" w:hAnsi="Arial" w:cs="Arial"/>
          <w:sz w:val="18"/>
          <w:szCs w:val="18"/>
        </w:rPr>
        <w:t>) (Feb. 8, 2022).</w:t>
      </w:r>
    </w:p>
  </w:footnote>
  <w:footnote w:id="38">
    <w:p w14:paraId="3379F673" w14:textId="47C276F4"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EA0256" w:rsidRPr="00A954BD">
        <w:rPr>
          <w:rFonts w:ascii="Arial" w:hAnsi="Arial" w:cs="Arial"/>
          <w:i/>
          <w:iCs/>
          <w:sz w:val="18"/>
          <w:szCs w:val="18"/>
        </w:rPr>
        <w:t xml:space="preserve">See supra </w:t>
      </w:r>
      <w:r w:rsidR="00EA0256" w:rsidRPr="00A954BD">
        <w:rPr>
          <w:rFonts w:ascii="Arial" w:hAnsi="Arial" w:cs="Arial"/>
          <w:sz w:val="18"/>
          <w:szCs w:val="18"/>
        </w:rPr>
        <w:t>note 2</w:t>
      </w:r>
      <w:r w:rsidR="002535F0">
        <w:rPr>
          <w:rFonts w:ascii="Arial" w:hAnsi="Arial" w:cs="Arial"/>
          <w:sz w:val="18"/>
          <w:szCs w:val="18"/>
        </w:rPr>
        <w:t>3</w:t>
      </w:r>
      <w:r w:rsidR="00EA0256" w:rsidRPr="00A954BD">
        <w:rPr>
          <w:rFonts w:ascii="Arial" w:hAnsi="Arial" w:cs="Arial"/>
          <w:sz w:val="18"/>
          <w:szCs w:val="18"/>
        </w:rPr>
        <w:t>.</w:t>
      </w:r>
    </w:p>
  </w:footnote>
  <w:footnote w:id="39">
    <w:p w14:paraId="68F06F6B" w14:textId="1141CFB5"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00EA0256" w:rsidRPr="00A954BD">
        <w:rPr>
          <w:rFonts w:ascii="Arial" w:hAnsi="Arial" w:cs="Arial"/>
          <w:color w:val="212121"/>
          <w:sz w:val="18"/>
          <w:szCs w:val="18"/>
          <w:shd w:val="clear" w:color="auto" w:fill="FFFFFF"/>
        </w:rPr>
        <w:t xml:space="preserve"> </w:t>
      </w:r>
      <w:r w:rsidR="00EA0256" w:rsidRPr="00A954BD">
        <w:rPr>
          <w:rFonts w:ascii="Arial" w:hAnsi="Arial" w:cs="Arial"/>
          <w:sz w:val="18"/>
          <w:szCs w:val="18"/>
        </w:rPr>
        <w:t xml:space="preserve">See Jesse M. </w:t>
      </w:r>
      <w:r w:rsidR="00EA0256" w:rsidRPr="00A954BD">
        <w:rPr>
          <w:rFonts w:ascii="Arial" w:hAnsi="Arial" w:cs="Arial"/>
          <w:color w:val="212121"/>
          <w:sz w:val="18"/>
          <w:szCs w:val="18"/>
          <w:shd w:val="clear" w:color="auto" w:fill="FFFFFF"/>
        </w:rPr>
        <w:t>Pines, Richard T. Griffey. </w:t>
      </w:r>
      <w:hyperlink r:id="rId16" w:history="1">
        <w:r w:rsidR="00EA0256" w:rsidRPr="00A6128F">
          <w:rPr>
            <w:rStyle w:val="Hyperlink"/>
            <w:rFonts w:ascii="Arial" w:hAnsi="Arial" w:cs="Arial"/>
            <w:i/>
            <w:iCs/>
            <w:color w:val="auto"/>
            <w:sz w:val="18"/>
            <w:szCs w:val="18"/>
            <w:u w:val="none"/>
            <w:shd w:val="clear" w:color="auto" w:fill="FFFFFF"/>
          </w:rPr>
          <w:t>What we have learned from a decade of ED crowding research?</w:t>
        </w:r>
        <w:r w:rsidR="00EA0256" w:rsidRPr="00A6128F">
          <w:rPr>
            <w:rStyle w:val="Hyperlink"/>
            <w:rFonts w:ascii="Arial" w:hAnsi="Arial" w:cs="Arial"/>
            <w:color w:val="auto"/>
            <w:sz w:val="18"/>
            <w:szCs w:val="18"/>
            <w:u w:val="none"/>
            <w:shd w:val="clear" w:color="auto" w:fill="FFFFFF"/>
          </w:rPr>
          <w:t> </w:t>
        </w:r>
      </w:hyperlink>
      <w:r w:rsidR="00EA0256" w:rsidRPr="00A6128F">
        <w:rPr>
          <w:rStyle w:val="ref-journal"/>
          <w:rFonts w:ascii="Arial" w:hAnsi="Arial" w:cs="Arial"/>
          <w:sz w:val="18"/>
          <w:szCs w:val="18"/>
          <w:shd w:val="clear" w:color="auto" w:fill="FFFFFF"/>
        </w:rPr>
        <w:t>Acad. Emerg. Med</w:t>
      </w:r>
      <w:r w:rsidR="00EA0256" w:rsidRPr="00A6128F">
        <w:rPr>
          <w:rFonts w:ascii="Arial" w:hAnsi="Arial" w:cs="Arial"/>
          <w:sz w:val="18"/>
          <w:szCs w:val="18"/>
          <w:shd w:val="clear" w:color="auto" w:fill="FFFFFF"/>
        </w:rPr>
        <w:t>. 2015;</w:t>
      </w:r>
      <w:r w:rsidR="00EA0256" w:rsidRPr="00A6128F">
        <w:rPr>
          <w:rStyle w:val="ref-vol"/>
          <w:rFonts w:ascii="Arial" w:hAnsi="Arial" w:cs="Arial"/>
          <w:sz w:val="18"/>
          <w:szCs w:val="18"/>
          <w:shd w:val="clear" w:color="auto" w:fill="FFFFFF"/>
        </w:rPr>
        <w:t>22</w:t>
      </w:r>
      <w:r w:rsidR="00EA0256" w:rsidRPr="00A6128F">
        <w:rPr>
          <w:rFonts w:ascii="Arial" w:hAnsi="Arial" w:cs="Arial"/>
          <w:sz w:val="18"/>
          <w:szCs w:val="18"/>
          <w:shd w:val="clear" w:color="auto" w:fill="FFFFFF"/>
        </w:rPr>
        <w:t>(</w:t>
      </w:r>
      <w:r w:rsidR="00EA0256" w:rsidRPr="00A6128F">
        <w:rPr>
          <w:rStyle w:val="ref-iss"/>
          <w:rFonts w:ascii="Arial" w:hAnsi="Arial" w:cs="Arial"/>
          <w:sz w:val="18"/>
          <w:szCs w:val="18"/>
          <w:shd w:val="clear" w:color="auto" w:fill="FFFFFF"/>
        </w:rPr>
        <w:t>8</w:t>
      </w:r>
      <w:r w:rsidR="00EA0256" w:rsidRPr="00A6128F">
        <w:rPr>
          <w:rFonts w:ascii="Arial" w:hAnsi="Arial" w:cs="Arial"/>
          <w:sz w:val="18"/>
          <w:szCs w:val="18"/>
          <w:shd w:val="clear" w:color="auto" w:fill="FFFFFF"/>
        </w:rPr>
        <w:t>):985–7. 10.1111/acem.12716 (July 20, 2015)</w:t>
      </w:r>
      <w:r w:rsidR="00EA0256" w:rsidRPr="00A6128F">
        <w:rPr>
          <w:rFonts w:ascii="Arial" w:hAnsi="Arial" w:cs="Arial"/>
          <w:sz w:val="18"/>
          <w:szCs w:val="18"/>
        </w:rPr>
        <w:t xml:space="preserve"> (</w:t>
      </w:r>
      <w:hyperlink r:id="rId17" w:history="1">
        <w:r w:rsidR="00A6128F" w:rsidRPr="00A6128F">
          <w:rPr>
            <w:rStyle w:val="Hyperlink"/>
            <w:rFonts w:ascii="Arial" w:hAnsi="Arial" w:cs="Arial"/>
            <w:color w:val="auto"/>
            <w:sz w:val="18"/>
            <w:szCs w:val="18"/>
            <w:u w:val="none"/>
            <w:shd w:val="clear" w:color="auto" w:fill="FFFFFF"/>
          </w:rPr>
          <w:t>https://onlinelibrary.wiley.com/doi/10.1111/acem.12716</w:t>
        </w:r>
      </w:hyperlink>
      <w:r w:rsidR="00A6128F" w:rsidRPr="00A6128F">
        <w:rPr>
          <w:rFonts w:ascii="Arial" w:hAnsi="Arial" w:cs="Arial"/>
          <w:sz w:val="18"/>
          <w:szCs w:val="18"/>
          <w:shd w:val="clear" w:color="auto" w:fill="FFFFFF"/>
        </w:rPr>
        <w:t xml:space="preserve"> </w:t>
      </w:r>
      <w:r w:rsidR="00EA0256" w:rsidRPr="00A6128F">
        <w:rPr>
          <w:rFonts w:ascii="Arial" w:hAnsi="Arial" w:cs="Arial"/>
          <w:sz w:val="18"/>
          <w:szCs w:val="18"/>
          <w:shd w:val="clear" w:color="auto" w:fill="FFFFFF"/>
        </w:rPr>
        <w:t>).</w:t>
      </w:r>
    </w:p>
  </w:footnote>
  <w:footnote w:id="40">
    <w:p w14:paraId="6AEF4D4F" w14:textId="0ADFF58D"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EA0256" w:rsidRPr="00A954BD">
        <w:rPr>
          <w:rFonts w:ascii="Arial" w:hAnsi="Arial" w:cs="Arial"/>
          <w:i/>
          <w:iCs/>
          <w:sz w:val="18"/>
          <w:szCs w:val="18"/>
        </w:rPr>
        <w:t>See</w:t>
      </w:r>
      <w:r w:rsidR="00EA0256" w:rsidRPr="00A954BD">
        <w:rPr>
          <w:rFonts w:ascii="Arial" w:hAnsi="Arial" w:cs="Arial"/>
          <w:sz w:val="18"/>
          <w:szCs w:val="18"/>
        </w:rPr>
        <w:t xml:space="preserve"> </w:t>
      </w:r>
      <w:hyperlink r:id="rId18" w:history="1">
        <w:r w:rsidR="00EA0256" w:rsidRPr="008D4762">
          <w:rPr>
            <w:rStyle w:val="Hyperlink"/>
            <w:rFonts w:ascii="Arial" w:hAnsi="Arial" w:cs="Arial"/>
            <w:i/>
            <w:iCs/>
            <w:color w:val="auto"/>
            <w:sz w:val="18"/>
            <w:szCs w:val="18"/>
            <w:u w:val="none"/>
          </w:rPr>
          <w:t>HPC Issues New Research on Behavioral Health-Related Emergency Department Boarding</w:t>
        </w:r>
        <w:r w:rsidR="00EA0256" w:rsidRPr="008D4762">
          <w:rPr>
            <w:rStyle w:val="Hyperlink"/>
            <w:rFonts w:ascii="Arial" w:hAnsi="Arial" w:cs="Arial"/>
            <w:color w:val="auto"/>
            <w:sz w:val="18"/>
            <w:szCs w:val="18"/>
            <w:u w:val="none"/>
          </w:rPr>
          <w:t>,</w:t>
        </w:r>
      </w:hyperlink>
      <w:r w:rsidR="00EA0256" w:rsidRPr="008D4762">
        <w:rPr>
          <w:rFonts w:ascii="Arial" w:hAnsi="Arial" w:cs="Arial"/>
          <w:sz w:val="18"/>
          <w:szCs w:val="18"/>
        </w:rPr>
        <w:t xml:space="preserve"> Massachusetts Health Policy Commission (Nov. 16, 2017) (</w:t>
      </w:r>
      <w:hyperlink r:id="rId19" w:history="1">
        <w:r w:rsidR="0085388D" w:rsidRPr="008D4762">
          <w:rPr>
            <w:rStyle w:val="Hyperlink"/>
            <w:rFonts w:ascii="Arial" w:hAnsi="Arial" w:cs="Arial"/>
            <w:color w:val="auto"/>
            <w:sz w:val="18"/>
            <w:szCs w:val="18"/>
            <w:u w:val="none"/>
          </w:rPr>
          <w:t>https://www.mass.gov/news/hpc-issues-new-research-on-behavioral-health-related-emergency-department-boarding</w:t>
        </w:r>
      </w:hyperlink>
      <w:r w:rsidR="0085388D" w:rsidRPr="008D4762">
        <w:rPr>
          <w:rFonts w:ascii="Arial" w:hAnsi="Arial" w:cs="Arial"/>
          <w:sz w:val="18"/>
          <w:szCs w:val="18"/>
        </w:rPr>
        <w:t xml:space="preserve"> </w:t>
      </w:r>
      <w:r w:rsidR="00EA0256" w:rsidRPr="008D4762">
        <w:rPr>
          <w:rFonts w:ascii="Arial" w:hAnsi="Arial" w:cs="Arial"/>
          <w:sz w:val="18"/>
          <w:szCs w:val="18"/>
        </w:rPr>
        <w:t xml:space="preserve">); </w:t>
      </w:r>
      <w:hyperlink r:id="rId20" w:history="1">
        <w:r w:rsidR="00EA0256" w:rsidRPr="008D4762">
          <w:rPr>
            <w:rStyle w:val="Hyperlink"/>
            <w:rFonts w:ascii="Arial" w:hAnsi="Arial" w:cs="Arial"/>
            <w:i/>
            <w:iCs/>
            <w:color w:val="auto"/>
            <w:sz w:val="18"/>
            <w:szCs w:val="18"/>
            <w:u w:val="none"/>
          </w:rPr>
          <w:t>Behavioral Health-Related Emergency Department Boarding in Massachusetts,</w:t>
        </w:r>
      </w:hyperlink>
      <w:r w:rsidR="00EA0256" w:rsidRPr="008D4762">
        <w:rPr>
          <w:rFonts w:ascii="Arial" w:hAnsi="Arial" w:cs="Arial"/>
          <w:i/>
          <w:iCs/>
          <w:sz w:val="18"/>
          <w:szCs w:val="18"/>
        </w:rPr>
        <w:t xml:space="preserve"> </w:t>
      </w:r>
      <w:r w:rsidR="00EA0256" w:rsidRPr="008D4762">
        <w:rPr>
          <w:rFonts w:ascii="Arial" w:hAnsi="Arial" w:cs="Arial"/>
          <w:sz w:val="18"/>
          <w:szCs w:val="18"/>
        </w:rPr>
        <w:t xml:space="preserve">Massachusetts Health Policy Commission (Nov. 2017) available at </w:t>
      </w:r>
      <w:r w:rsidR="00A954BD" w:rsidRPr="008D4762">
        <w:rPr>
          <w:rFonts w:ascii="Arial" w:hAnsi="Arial" w:cs="Arial"/>
          <w:sz w:val="18"/>
          <w:szCs w:val="18"/>
        </w:rPr>
        <w:t>(</w:t>
      </w:r>
      <w:hyperlink r:id="rId21" w:history="1">
        <w:r w:rsidR="008D4762" w:rsidRPr="008D4762">
          <w:rPr>
            <w:rStyle w:val="Hyperlink"/>
            <w:rFonts w:ascii="Arial" w:hAnsi="Arial" w:cs="Arial"/>
            <w:color w:val="auto"/>
            <w:sz w:val="18"/>
            <w:szCs w:val="18"/>
            <w:u w:val="none"/>
          </w:rPr>
          <w:t>https://www.mass.gov/doc/behavioral-health-related-emergency-department-boarding</w:t>
        </w:r>
      </w:hyperlink>
      <w:r w:rsidR="008D4762" w:rsidRPr="008D4762">
        <w:rPr>
          <w:rFonts w:ascii="Arial" w:hAnsi="Arial" w:cs="Arial"/>
          <w:sz w:val="18"/>
          <w:szCs w:val="18"/>
        </w:rPr>
        <w:t xml:space="preserve"> </w:t>
      </w:r>
      <w:r w:rsidR="00A954BD" w:rsidRPr="008D4762">
        <w:rPr>
          <w:rFonts w:ascii="Arial" w:hAnsi="Arial" w:cs="Arial"/>
          <w:sz w:val="18"/>
          <w:szCs w:val="18"/>
        </w:rPr>
        <w:t>)</w:t>
      </w:r>
      <w:r w:rsidR="00EA0256" w:rsidRPr="008D4762">
        <w:rPr>
          <w:rFonts w:ascii="Arial" w:hAnsi="Arial" w:cs="Arial"/>
          <w:sz w:val="18"/>
          <w:szCs w:val="18"/>
        </w:rPr>
        <w:t>.</w:t>
      </w:r>
    </w:p>
  </w:footnote>
  <w:footnote w:id="41">
    <w:p w14:paraId="7975D00C" w14:textId="301D17D6" w:rsidR="009C4CCF" w:rsidRPr="00A954BD" w:rsidRDefault="009C4CCF" w:rsidP="00A954BD">
      <w:pPr>
        <w:pStyle w:val="FootnoteText"/>
        <w:jc w:val="both"/>
        <w:rPr>
          <w:rFonts w:ascii="Arial" w:hAnsi="Arial" w:cs="Arial"/>
          <w:i/>
          <w:iCs/>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EA0256" w:rsidRPr="00A954BD">
        <w:rPr>
          <w:rFonts w:ascii="Arial" w:hAnsi="Arial" w:cs="Arial"/>
          <w:i/>
          <w:iCs/>
          <w:sz w:val="18"/>
          <w:szCs w:val="18"/>
        </w:rPr>
        <w:t>See</w:t>
      </w:r>
      <w:r w:rsidR="00EA0256" w:rsidRPr="00A954BD">
        <w:rPr>
          <w:rFonts w:ascii="Arial" w:hAnsi="Arial" w:cs="Arial"/>
          <w:sz w:val="18"/>
          <w:szCs w:val="18"/>
        </w:rPr>
        <w:t xml:space="preserve"> </w:t>
      </w:r>
      <w:r w:rsidR="00EA0256" w:rsidRPr="00A954BD">
        <w:rPr>
          <w:rFonts w:ascii="Arial" w:hAnsi="Arial" w:cs="Arial"/>
          <w:i/>
          <w:iCs/>
          <w:sz w:val="18"/>
          <w:szCs w:val="18"/>
        </w:rPr>
        <w:t>id.</w:t>
      </w:r>
    </w:p>
  </w:footnote>
  <w:footnote w:id="42">
    <w:p w14:paraId="37BB6268" w14:textId="0B07CD70"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EA0256" w:rsidRPr="00A954BD">
        <w:rPr>
          <w:rFonts w:ascii="Arial" w:hAnsi="Arial" w:cs="Arial"/>
          <w:i/>
          <w:iCs/>
          <w:sz w:val="18"/>
          <w:szCs w:val="18"/>
        </w:rPr>
        <w:t>See</w:t>
      </w:r>
      <w:r w:rsidR="00EA0256" w:rsidRPr="00A954BD">
        <w:rPr>
          <w:rFonts w:ascii="Arial" w:hAnsi="Arial" w:cs="Arial"/>
          <w:sz w:val="18"/>
          <w:szCs w:val="18"/>
        </w:rPr>
        <w:t xml:space="preserve"> </w:t>
      </w:r>
      <w:r w:rsidR="00EA0256" w:rsidRPr="00A954BD">
        <w:rPr>
          <w:rFonts w:ascii="Arial" w:hAnsi="Arial" w:cs="Arial"/>
          <w:i/>
          <w:iCs/>
          <w:sz w:val="18"/>
          <w:szCs w:val="18"/>
        </w:rPr>
        <w:t>id.</w:t>
      </w:r>
    </w:p>
  </w:footnote>
  <w:footnote w:id="43">
    <w:p w14:paraId="2ABB07F9" w14:textId="473EE9F7"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EA0256" w:rsidRPr="00A954BD">
        <w:rPr>
          <w:rFonts w:ascii="Arial" w:hAnsi="Arial" w:cs="Arial"/>
          <w:i/>
          <w:iCs/>
          <w:sz w:val="18"/>
          <w:szCs w:val="18"/>
        </w:rPr>
        <w:t xml:space="preserve">See supra </w:t>
      </w:r>
      <w:r w:rsidR="00EA0256" w:rsidRPr="00A954BD">
        <w:rPr>
          <w:rFonts w:ascii="Arial" w:hAnsi="Arial" w:cs="Arial"/>
          <w:sz w:val="18"/>
          <w:szCs w:val="18"/>
        </w:rPr>
        <w:t>note 2</w:t>
      </w:r>
      <w:r w:rsidR="002535F0">
        <w:rPr>
          <w:rFonts w:ascii="Arial" w:hAnsi="Arial" w:cs="Arial"/>
          <w:sz w:val="18"/>
          <w:szCs w:val="18"/>
        </w:rPr>
        <w:t>5</w:t>
      </w:r>
      <w:r w:rsidR="00EA0256" w:rsidRPr="00A954BD">
        <w:rPr>
          <w:rFonts w:ascii="Arial" w:hAnsi="Arial" w:cs="Arial"/>
          <w:sz w:val="18"/>
          <w:szCs w:val="18"/>
        </w:rPr>
        <w:t>.</w:t>
      </w:r>
    </w:p>
  </w:footnote>
  <w:footnote w:id="44">
    <w:p w14:paraId="642DAD47" w14:textId="27FD9C90"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00EA0256" w:rsidRPr="00A954BD">
        <w:rPr>
          <w:rFonts w:ascii="Arial" w:hAnsi="Arial" w:cs="Arial"/>
          <w:i/>
          <w:iCs/>
          <w:sz w:val="18"/>
          <w:szCs w:val="18"/>
        </w:rPr>
        <w:t xml:space="preserve">See </w:t>
      </w:r>
      <w:hyperlink r:id="rId22" w:anchor=".Y5NLM3ZOn-g" w:history="1">
        <w:r w:rsidR="00EA0256" w:rsidRPr="00FA0B70">
          <w:rPr>
            <w:rStyle w:val="Hyperlink"/>
            <w:rFonts w:ascii="Arial" w:hAnsi="Arial" w:cs="Arial"/>
            <w:i/>
            <w:iCs/>
            <w:color w:val="auto"/>
            <w:sz w:val="18"/>
            <w:szCs w:val="18"/>
            <w:u w:val="none"/>
          </w:rPr>
          <w:t>Quick Safety 19: ED boarding of psychiatric patients – a continuing problem</w:t>
        </w:r>
      </w:hyperlink>
      <w:r w:rsidR="00EA0256" w:rsidRPr="00FA0B70">
        <w:rPr>
          <w:rFonts w:ascii="Arial" w:hAnsi="Arial" w:cs="Arial"/>
          <w:sz w:val="18"/>
          <w:szCs w:val="18"/>
        </w:rPr>
        <w:t>, The Joint Commission,</w:t>
      </w:r>
      <w:r w:rsidR="00EA0256" w:rsidRPr="00FA0B70">
        <w:rPr>
          <w:rFonts w:ascii="Arial" w:hAnsi="Arial" w:cs="Arial"/>
          <w:i/>
          <w:iCs/>
          <w:sz w:val="18"/>
          <w:szCs w:val="18"/>
        </w:rPr>
        <w:t xml:space="preserve"> </w:t>
      </w:r>
      <w:r w:rsidR="00EA0256" w:rsidRPr="00FA0B70">
        <w:rPr>
          <w:rFonts w:ascii="Arial" w:hAnsi="Arial" w:cs="Arial"/>
          <w:sz w:val="18"/>
          <w:szCs w:val="18"/>
        </w:rPr>
        <w:t>(</w:t>
      </w:r>
      <w:hyperlink r:id="rId23" w:history="1">
        <w:r w:rsidR="00FA0B70" w:rsidRPr="00FA0B70">
          <w:rPr>
            <w:rStyle w:val="Hyperlink"/>
            <w:rFonts w:ascii="Arial" w:hAnsi="Arial" w:cs="Arial"/>
            <w:color w:val="auto"/>
            <w:sz w:val="18"/>
            <w:szCs w:val="18"/>
            <w:u w:val="none"/>
          </w:rPr>
          <w:t>https://www.jointcommission.org/resources/news-and-multimedia/newsletters/newsletters/quick-safety/quick-safety--issue-19-alleviating-ed-boarding-of-psychiatric-patients/alleviating-ed-boarding-of-psychiatric-patients/#.Y5NLM3ZOn-g</w:t>
        </w:r>
      </w:hyperlink>
      <w:r w:rsidR="00FA0B70" w:rsidRPr="00FA0B70">
        <w:rPr>
          <w:rFonts w:ascii="Arial" w:hAnsi="Arial" w:cs="Arial"/>
          <w:sz w:val="18"/>
          <w:szCs w:val="18"/>
        </w:rPr>
        <w:t xml:space="preserve"> </w:t>
      </w:r>
      <w:r w:rsidR="00EA0256" w:rsidRPr="00FA0B70">
        <w:rPr>
          <w:rFonts w:ascii="Arial" w:hAnsi="Arial" w:cs="Arial"/>
          <w:sz w:val="18"/>
          <w:szCs w:val="18"/>
        </w:rPr>
        <w:t>) (July 2021).</w:t>
      </w:r>
    </w:p>
  </w:footnote>
  <w:footnote w:id="45">
    <w:p w14:paraId="475D641E" w14:textId="4B0FF3C2"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6B142C" w:rsidRPr="00A954BD">
        <w:rPr>
          <w:rFonts w:ascii="Arial" w:hAnsi="Arial" w:cs="Arial"/>
          <w:i/>
          <w:iCs/>
          <w:sz w:val="18"/>
          <w:szCs w:val="18"/>
        </w:rPr>
        <w:t xml:space="preserve">See </w:t>
      </w:r>
      <w:r w:rsidR="006B142C" w:rsidRPr="00A954BD">
        <w:rPr>
          <w:rFonts w:ascii="Arial" w:hAnsi="Arial" w:cs="Arial"/>
          <w:sz w:val="18"/>
          <w:szCs w:val="18"/>
        </w:rPr>
        <w:t xml:space="preserve">Martha </w:t>
      </w:r>
      <w:proofErr w:type="spellStart"/>
      <w:r w:rsidR="006B142C" w:rsidRPr="00A954BD">
        <w:rPr>
          <w:rFonts w:ascii="Arial" w:hAnsi="Arial" w:cs="Arial"/>
          <w:sz w:val="18"/>
          <w:szCs w:val="18"/>
        </w:rPr>
        <w:t>Bebinger</w:t>
      </w:r>
      <w:proofErr w:type="spellEnd"/>
      <w:r w:rsidR="006B142C" w:rsidRPr="00A954BD">
        <w:rPr>
          <w:rFonts w:ascii="Arial" w:hAnsi="Arial" w:cs="Arial"/>
          <w:sz w:val="18"/>
          <w:szCs w:val="18"/>
        </w:rPr>
        <w:t xml:space="preserve">, </w:t>
      </w:r>
      <w:hyperlink r:id="rId24" w:history="1">
        <w:r w:rsidR="006B142C" w:rsidRPr="006335DC">
          <w:rPr>
            <w:rStyle w:val="Hyperlink"/>
            <w:rFonts w:ascii="Arial" w:hAnsi="Arial" w:cs="Arial"/>
            <w:i/>
            <w:iCs/>
            <w:color w:val="auto"/>
            <w:sz w:val="18"/>
            <w:szCs w:val="18"/>
            <w:u w:val="none"/>
          </w:rPr>
          <w:t>716 psych patients are struck in emergency rooms waiting for care, Mass. Report shows</w:t>
        </w:r>
      </w:hyperlink>
      <w:r w:rsidR="006B142C" w:rsidRPr="006335DC">
        <w:rPr>
          <w:rFonts w:ascii="Arial" w:hAnsi="Arial" w:cs="Arial"/>
          <w:i/>
          <w:iCs/>
          <w:sz w:val="18"/>
          <w:szCs w:val="18"/>
        </w:rPr>
        <w:t xml:space="preserve">, </w:t>
      </w:r>
      <w:r w:rsidR="006B142C" w:rsidRPr="006335DC">
        <w:rPr>
          <w:rFonts w:ascii="Arial" w:hAnsi="Arial" w:cs="Arial"/>
          <w:sz w:val="18"/>
          <w:szCs w:val="18"/>
        </w:rPr>
        <w:t>(Oct. 11, 2921) (</w:t>
      </w:r>
      <w:hyperlink r:id="rId25" w:history="1">
        <w:r w:rsidR="006335DC" w:rsidRPr="006335DC">
          <w:rPr>
            <w:rStyle w:val="Hyperlink"/>
            <w:rFonts w:ascii="Arial" w:hAnsi="Arial" w:cs="Arial"/>
            <w:color w:val="auto"/>
            <w:sz w:val="18"/>
            <w:szCs w:val="18"/>
            <w:u w:val="none"/>
          </w:rPr>
          <w:t>https://www.wbur.org/news/2021/10/11/massachusetts-mental-health-boarding-report</w:t>
        </w:r>
      </w:hyperlink>
      <w:r w:rsidR="006335DC" w:rsidRPr="006335DC">
        <w:rPr>
          <w:rFonts w:ascii="Arial" w:hAnsi="Arial" w:cs="Arial"/>
          <w:sz w:val="18"/>
          <w:szCs w:val="18"/>
        </w:rPr>
        <w:t xml:space="preserve"> </w:t>
      </w:r>
      <w:r w:rsidR="006B142C" w:rsidRPr="006335DC">
        <w:rPr>
          <w:rFonts w:ascii="Arial" w:hAnsi="Arial" w:cs="Arial"/>
          <w:sz w:val="18"/>
          <w:szCs w:val="18"/>
        </w:rPr>
        <w:t>).</w:t>
      </w:r>
    </w:p>
  </w:footnote>
  <w:footnote w:id="46">
    <w:p w14:paraId="64D6BF3E" w14:textId="13912765"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006B142C" w:rsidRPr="00A954BD">
        <w:rPr>
          <w:rFonts w:ascii="Arial" w:hAnsi="Arial" w:cs="Arial"/>
          <w:color w:val="212121"/>
          <w:sz w:val="18"/>
          <w:szCs w:val="18"/>
          <w:shd w:val="clear" w:color="auto" w:fill="FFFFFF"/>
        </w:rPr>
        <w:t xml:space="preserve"> </w:t>
      </w:r>
      <w:r w:rsidR="006B142C" w:rsidRPr="00A954BD">
        <w:rPr>
          <w:rFonts w:ascii="Arial" w:hAnsi="Arial" w:cs="Arial"/>
          <w:sz w:val="18"/>
          <w:szCs w:val="18"/>
        </w:rPr>
        <w:t xml:space="preserve">Claire </w:t>
      </w:r>
      <w:r w:rsidR="006B142C" w:rsidRPr="00A954BD">
        <w:rPr>
          <w:rFonts w:ascii="Arial" w:hAnsi="Arial" w:cs="Arial"/>
          <w:color w:val="212121"/>
          <w:sz w:val="18"/>
          <w:szCs w:val="18"/>
          <w:shd w:val="clear" w:color="auto" w:fill="FFFFFF"/>
        </w:rPr>
        <w:t xml:space="preserve">Morley, Maria Unwin, Peterson, Gregory M. Peterson, et al. </w:t>
      </w:r>
      <w:r w:rsidR="006B142C" w:rsidRPr="00A954BD">
        <w:rPr>
          <w:rFonts w:ascii="Arial" w:hAnsi="Arial" w:cs="Arial"/>
          <w:i/>
          <w:iCs/>
          <w:color w:val="212121"/>
          <w:sz w:val="18"/>
          <w:szCs w:val="18"/>
          <w:shd w:val="clear" w:color="auto" w:fill="FFFFFF"/>
        </w:rPr>
        <w:t xml:space="preserve">Emergency department crowding: A systematic review of causes, </w:t>
      </w:r>
      <w:proofErr w:type="gramStart"/>
      <w:r w:rsidR="006B142C" w:rsidRPr="00A954BD">
        <w:rPr>
          <w:rFonts w:ascii="Arial" w:hAnsi="Arial" w:cs="Arial"/>
          <w:i/>
          <w:iCs/>
          <w:color w:val="212121"/>
          <w:sz w:val="18"/>
          <w:szCs w:val="18"/>
          <w:shd w:val="clear" w:color="auto" w:fill="FFFFFF"/>
        </w:rPr>
        <w:t>consequences</w:t>
      </w:r>
      <w:proofErr w:type="gramEnd"/>
      <w:r w:rsidR="006B142C" w:rsidRPr="00A954BD">
        <w:rPr>
          <w:rFonts w:ascii="Arial" w:hAnsi="Arial" w:cs="Arial"/>
          <w:i/>
          <w:iCs/>
          <w:color w:val="212121"/>
          <w:sz w:val="18"/>
          <w:szCs w:val="18"/>
          <w:shd w:val="clear" w:color="auto" w:fill="FFFFFF"/>
        </w:rPr>
        <w:t xml:space="preserve"> and solutions</w:t>
      </w:r>
      <w:r w:rsidR="006B142C" w:rsidRPr="00A954BD">
        <w:rPr>
          <w:rFonts w:ascii="Arial" w:hAnsi="Arial" w:cs="Arial"/>
          <w:color w:val="212121"/>
          <w:sz w:val="18"/>
          <w:szCs w:val="18"/>
          <w:shd w:val="clear" w:color="auto" w:fill="FFFFFF"/>
        </w:rPr>
        <w:t xml:space="preserve">. </w:t>
      </w:r>
      <w:proofErr w:type="spellStart"/>
      <w:r w:rsidR="006B142C" w:rsidRPr="00A954BD">
        <w:rPr>
          <w:rFonts w:ascii="Arial" w:hAnsi="Arial" w:cs="Arial"/>
          <w:color w:val="212121"/>
          <w:sz w:val="18"/>
          <w:szCs w:val="18"/>
          <w:shd w:val="clear" w:color="auto" w:fill="FFFFFF"/>
        </w:rPr>
        <w:t>PLoS</w:t>
      </w:r>
      <w:proofErr w:type="spellEnd"/>
      <w:r w:rsidR="006B142C" w:rsidRPr="00A954BD">
        <w:rPr>
          <w:rFonts w:ascii="Arial" w:hAnsi="Arial" w:cs="Arial"/>
          <w:color w:val="212121"/>
          <w:sz w:val="18"/>
          <w:szCs w:val="18"/>
          <w:shd w:val="clear" w:color="auto" w:fill="FFFFFF"/>
        </w:rPr>
        <w:t xml:space="preserve"> One.;13(8</w:t>
      </w:r>
      <w:proofErr w:type="gramStart"/>
      <w:r w:rsidR="006B142C" w:rsidRPr="00A954BD">
        <w:rPr>
          <w:rFonts w:ascii="Arial" w:hAnsi="Arial" w:cs="Arial"/>
          <w:color w:val="212121"/>
          <w:sz w:val="18"/>
          <w:szCs w:val="18"/>
          <w:shd w:val="clear" w:color="auto" w:fill="FFFFFF"/>
        </w:rPr>
        <w:t>):e</w:t>
      </w:r>
      <w:proofErr w:type="gramEnd"/>
      <w:r w:rsidR="006B142C" w:rsidRPr="00A954BD">
        <w:rPr>
          <w:rFonts w:ascii="Arial" w:hAnsi="Arial" w:cs="Arial"/>
          <w:color w:val="212121"/>
          <w:sz w:val="18"/>
          <w:szCs w:val="18"/>
          <w:shd w:val="clear" w:color="auto" w:fill="FFFFFF"/>
        </w:rPr>
        <w:t xml:space="preserve">0203316. </w:t>
      </w:r>
      <w:proofErr w:type="spellStart"/>
      <w:r w:rsidR="006B142C" w:rsidRPr="00A954BD">
        <w:rPr>
          <w:rFonts w:ascii="Arial" w:hAnsi="Arial" w:cs="Arial"/>
          <w:color w:val="212121"/>
          <w:sz w:val="18"/>
          <w:szCs w:val="18"/>
          <w:shd w:val="clear" w:color="auto" w:fill="FFFFFF"/>
        </w:rPr>
        <w:t>doi</w:t>
      </w:r>
      <w:proofErr w:type="spellEnd"/>
      <w:r w:rsidR="006B142C" w:rsidRPr="00A954BD">
        <w:rPr>
          <w:rFonts w:ascii="Arial" w:hAnsi="Arial" w:cs="Arial"/>
          <w:color w:val="212121"/>
          <w:sz w:val="18"/>
          <w:szCs w:val="18"/>
          <w:shd w:val="clear" w:color="auto" w:fill="FFFFFF"/>
        </w:rPr>
        <w:t>: 10.1371/journal.pone.0203316.</w:t>
      </w:r>
    </w:p>
  </w:footnote>
  <w:footnote w:id="47">
    <w:p w14:paraId="1D73A064" w14:textId="3A34DA34"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Pr="00A954BD">
        <w:rPr>
          <w:rFonts w:ascii="Arial" w:hAnsi="Arial" w:cs="Arial"/>
          <w:color w:val="000000"/>
          <w:sz w:val="18"/>
          <w:szCs w:val="18"/>
        </w:rPr>
        <w:t xml:space="preserve">Adrian Boyle, Kathleen </w:t>
      </w:r>
      <w:proofErr w:type="spellStart"/>
      <w:r w:rsidRPr="00AB43EF">
        <w:rPr>
          <w:rFonts w:ascii="Arial" w:hAnsi="Arial" w:cs="Arial"/>
          <w:sz w:val="18"/>
          <w:szCs w:val="18"/>
        </w:rPr>
        <w:t>Beniuk</w:t>
      </w:r>
      <w:proofErr w:type="spellEnd"/>
      <w:r w:rsidRPr="00AB43EF">
        <w:rPr>
          <w:rFonts w:ascii="Arial" w:hAnsi="Arial" w:cs="Arial"/>
          <w:sz w:val="18"/>
          <w:szCs w:val="18"/>
        </w:rPr>
        <w:t xml:space="preserve">, et al. </w:t>
      </w:r>
      <w:hyperlink r:id="rId26" w:history="1">
        <w:r w:rsidRPr="00AB43EF">
          <w:rPr>
            <w:rStyle w:val="Hyperlink"/>
            <w:rFonts w:ascii="Arial" w:hAnsi="Arial" w:cs="Arial"/>
            <w:i/>
            <w:iCs/>
            <w:color w:val="auto"/>
            <w:sz w:val="18"/>
            <w:szCs w:val="18"/>
            <w:u w:val="none"/>
          </w:rPr>
          <w:t>Emergency Department Crowding: Time for Interventions and Policy Evaluations</w:t>
        </w:r>
        <w:r w:rsidRPr="00AB43EF">
          <w:rPr>
            <w:rStyle w:val="Hyperlink"/>
            <w:rFonts w:ascii="Arial" w:hAnsi="Arial" w:cs="Arial"/>
            <w:color w:val="auto"/>
            <w:sz w:val="18"/>
            <w:szCs w:val="18"/>
            <w:u w:val="none"/>
          </w:rPr>
          <w:t>, </w:t>
        </w:r>
      </w:hyperlink>
      <w:r w:rsidRPr="00AB43EF">
        <w:rPr>
          <w:rFonts w:ascii="Arial" w:hAnsi="Arial" w:cs="Arial"/>
          <w:sz w:val="18"/>
          <w:szCs w:val="18"/>
        </w:rPr>
        <w:t>Emergency Medicine International, vol. 2012, Article ID 838610</w:t>
      </w:r>
      <w:r w:rsidR="006B142C" w:rsidRPr="00AB43EF">
        <w:rPr>
          <w:rFonts w:ascii="Arial" w:hAnsi="Arial" w:cs="Arial"/>
          <w:sz w:val="18"/>
          <w:szCs w:val="18"/>
        </w:rPr>
        <w:t xml:space="preserve"> </w:t>
      </w:r>
      <w:r w:rsidRPr="00AB43EF">
        <w:rPr>
          <w:rFonts w:ascii="Arial" w:hAnsi="Arial" w:cs="Arial"/>
          <w:sz w:val="18"/>
          <w:szCs w:val="18"/>
        </w:rPr>
        <w:t xml:space="preserve">(Feb. 7, 2012) </w:t>
      </w:r>
      <w:r w:rsidR="006B142C" w:rsidRPr="00AB43EF">
        <w:rPr>
          <w:rFonts w:ascii="Arial" w:hAnsi="Arial" w:cs="Arial"/>
          <w:sz w:val="18"/>
          <w:szCs w:val="18"/>
        </w:rPr>
        <w:t>(</w:t>
      </w:r>
      <w:hyperlink r:id="rId27" w:history="1">
        <w:r w:rsidR="00AB43EF" w:rsidRPr="00AB43EF">
          <w:rPr>
            <w:rStyle w:val="Hyperlink"/>
            <w:rFonts w:ascii="Arial" w:hAnsi="Arial" w:cs="Arial"/>
            <w:color w:val="auto"/>
            <w:sz w:val="18"/>
            <w:szCs w:val="18"/>
            <w:u w:val="none"/>
          </w:rPr>
          <w:t>https://www.hindawi.com/journals/emi/2012/838610/</w:t>
        </w:r>
      </w:hyperlink>
      <w:r w:rsidR="00AB43EF" w:rsidRPr="00AB43EF">
        <w:rPr>
          <w:rFonts w:ascii="Arial" w:hAnsi="Arial" w:cs="Arial"/>
          <w:sz w:val="18"/>
          <w:szCs w:val="18"/>
        </w:rPr>
        <w:t xml:space="preserve"> </w:t>
      </w:r>
      <w:r w:rsidR="006B142C" w:rsidRPr="00AB43EF">
        <w:rPr>
          <w:rFonts w:ascii="Arial" w:hAnsi="Arial" w:cs="Arial"/>
          <w:sz w:val="18"/>
          <w:szCs w:val="18"/>
        </w:rPr>
        <w:t>)</w:t>
      </w:r>
      <w:r w:rsidRPr="00AB43EF">
        <w:rPr>
          <w:rFonts w:ascii="Arial" w:hAnsi="Arial" w:cs="Arial"/>
          <w:sz w:val="18"/>
          <w:szCs w:val="18"/>
        </w:rPr>
        <w:t>.</w:t>
      </w:r>
    </w:p>
  </w:footnote>
  <w:footnote w:id="48">
    <w:p w14:paraId="77DCE142" w14:textId="4839F0A2" w:rsidR="009C4CCF" w:rsidRPr="00A954BD" w:rsidRDefault="009C4CCF" w:rsidP="00A954BD">
      <w:pPr>
        <w:pStyle w:val="FootnoteText"/>
        <w:jc w:val="both"/>
        <w:rPr>
          <w:rFonts w:ascii="Arial" w:hAnsi="Arial" w:cs="Arial"/>
          <w:i/>
          <w:iCs/>
          <w:sz w:val="18"/>
          <w:szCs w:val="18"/>
        </w:rPr>
      </w:pPr>
      <w:r w:rsidRPr="00A954BD">
        <w:rPr>
          <w:rStyle w:val="FootnoteReference"/>
          <w:rFonts w:ascii="Arial" w:hAnsi="Arial" w:cs="Arial"/>
          <w:sz w:val="18"/>
          <w:szCs w:val="18"/>
          <w:shd w:val="clear" w:color="auto" w:fill="FFFFFF" w:themeFill="background1"/>
        </w:rPr>
        <w:footnoteRef/>
      </w:r>
      <w:r w:rsidR="006B142C" w:rsidRPr="00A954BD">
        <w:rPr>
          <w:rFonts w:ascii="Arial" w:hAnsi="Arial" w:cs="Arial"/>
          <w:i/>
          <w:iCs/>
          <w:sz w:val="18"/>
          <w:szCs w:val="18"/>
        </w:rPr>
        <w:t xml:space="preserve"> Id.</w:t>
      </w:r>
    </w:p>
  </w:footnote>
  <w:footnote w:id="49">
    <w:p w14:paraId="6FBAA55F" w14:textId="1AFF5DA8"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5D2331" w:rsidRPr="00A954BD">
        <w:rPr>
          <w:rFonts w:ascii="Arial" w:hAnsi="Arial" w:cs="Arial"/>
          <w:i/>
          <w:iCs/>
          <w:sz w:val="18"/>
          <w:szCs w:val="18"/>
        </w:rPr>
        <w:t xml:space="preserve">See supra </w:t>
      </w:r>
      <w:r w:rsidR="005D2331" w:rsidRPr="00A954BD">
        <w:rPr>
          <w:rFonts w:ascii="Arial" w:hAnsi="Arial" w:cs="Arial"/>
          <w:sz w:val="18"/>
          <w:szCs w:val="18"/>
        </w:rPr>
        <w:t>note 2</w:t>
      </w:r>
      <w:r w:rsidR="002535F0">
        <w:rPr>
          <w:rFonts w:ascii="Arial" w:hAnsi="Arial" w:cs="Arial"/>
          <w:sz w:val="18"/>
          <w:szCs w:val="18"/>
        </w:rPr>
        <w:t>5</w:t>
      </w:r>
      <w:r w:rsidR="005D2331" w:rsidRPr="00A954BD">
        <w:rPr>
          <w:rFonts w:ascii="Arial" w:hAnsi="Arial" w:cs="Arial"/>
          <w:sz w:val="18"/>
          <w:szCs w:val="18"/>
        </w:rPr>
        <w:t xml:space="preserve">. </w:t>
      </w:r>
    </w:p>
  </w:footnote>
  <w:footnote w:id="50">
    <w:p w14:paraId="66672C37" w14:textId="60FF97B1" w:rsidR="009C4CCF" w:rsidRPr="00F87BAA"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5D2331" w:rsidRPr="00A954BD">
        <w:rPr>
          <w:rFonts w:ascii="Arial" w:hAnsi="Arial" w:cs="Arial"/>
          <w:i/>
          <w:iCs/>
          <w:sz w:val="18"/>
          <w:szCs w:val="18"/>
        </w:rPr>
        <w:t xml:space="preserve">See supra </w:t>
      </w:r>
      <w:r w:rsidR="005D2331" w:rsidRPr="00F87BAA">
        <w:rPr>
          <w:rFonts w:ascii="Arial" w:hAnsi="Arial" w:cs="Arial"/>
          <w:sz w:val="18"/>
          <w:szCs w:val="18"/>
        </w:rPr>
        <w:t>note 4</w:t>
      </w:r>
      <w:r w:rsidR="002535F0" w:rsidRPr="00F87BAA">
        <w:rPr>
          <w:rFonts w:ascii="Arial" w:hAnsi="Arial" w:cs="Arial"/>
          <w:sz w:val="18"/>
          <w:szCs w:val="18"/>
        </w:rPr>
        <w:t>6</w:t>
      </w:r>
      <w:r w:rsidR="005D2331" w:rsidRPr="00F87BAA">
        <w:rPr>
          <w:rFonts w:ascii="Arial" w:hAnsi="Arial" w:cs="Arial"/>
          <w:sz w:val="18"/>
          <w:szCs w:val="18"/>
        </w:rPr>
        <w:t xml:space="preserve">; </w:t>
      </w:r>
      <w:hyperlink r:id="rId28" w:history="1">
        <w:r w:rsidRPr="00F87BAA">
          <w:rPr>
            <w:rStyle w:val="Hyperlink"/>
            <w:rFonts w:ascii="Arial" w:hAnsi="Arial" w:cs="Arial"/>
            <w:color w:val="auto"/>
            <w:sz w:val="18"/>
            <w:szCs w:val="18"/>
            <w:u w:val="none"/>
          </w:rPr>
          <w:t>Access block causes emergency department overcrowding and ambulance diversion in Perth, Western Australia</w:t>
        </w:r>
      </w:hyperlink>
      <w:r w:rsidRPr="00F87BAA">
        <w:rPr>
          <w:rFonts w:ascii="Arial" w:hAnsi="Arial" w:cs="Arial"/>
          <w:sz w:val="18"/>
          <w:szCs w:val="18"/>
        </w:rPr>
        <w:t xml:space="preserve">, 22 EMERGENCY MED. J. 351, 352-54 (2005), </w:t>
      </w:r>
      <w:r w:rsidRPr="00F87BAA">
        <w:rPr>
          <w:rFonts w:ascii="Arial" w:hAnsi="Arial" w:cs="Arial"/>
          <w:i/>
          <w:iCs/>
          <w:sz w:val="18"/>
          <w:szCs w:val="18"/>
        </w:rPr>
        <w:t>available at</w:t>
      </w:r>
      <w:r w:rsidRPr="00F87BAA">
        <w:rPr>
          <w:rFonts w:ascii="Arial" w:hAnsi="Arial" w:cs="Arial"/>
          <w:sz w:val="18"/>
          <w:szCs w:val="18"/>
        </w:rPr>
        <w:t xml:space="preserve"> </w:t>
      </w:r>
    </w:p>
    <w:p w14:paraId="1F1819D1" w14:textId="4369393A" w:rsidR="009C4CCF" w:rsidRPr="00F87BAA" w:rsidRDefault="005D2331" w:rsidP="00A954BD">
      <w:pPr>
        <w:pStyle w:val="FootnoteText"/>
        <w:jc w:val="both"/>
        <w:rPr>
          <w:rFonts w:ascii="Arial" w:hAnsi="Arial" w:cs="Arial"/>
          <w:sz w:val="18"/>
          <w:szCs w:val="18"/>
        </w:rPr>
      </w:pPr>
      <w:r w:rsidRPr="00F87BAA">
        <w:rPr>
          <w:rFonts w:ascii="Arial" w:hAnsi="Arial" w:cs="Arial"/>
          <w:sz w:val="18"/>
          <w:szCs w:val="18"/>
        </w:rPr>
        <w:t>(</w:t>
      </w:r>
      <w:hyperlink r:id="rId29" w:history="1">
        <w:r w:rsidR="00DE592D" w:rsidRPr="00F87BAA">
          <w:rPr>
            <w:rStyle w:val="Hyperlink"/>
            <w:rFonts w:ascii="Arial" w:hAnsi="Arial" w:cs="Arial"/>
            <w:color w:val="auto"/>
            <w:sz w:val="18"/>
            <w:szCs w:val="18"/>
            <w:u w:val="none"/>
          </w:rPr>
          <w:t>http://emj.bmj.com/content/emermed/22/5/351.full.pdf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
        <w:t>)</w:t>
      </w:r>
      <w:r w:rsidR="009C4CCF" w:rsidRPr="00F87BAA">
        <w:rPr>
          <w:rFonts w:ascii="Arial" w:hAnsi="Arial" w:cs="Arial"/>
          <w:sz w:val="18"/>
          <w:szCs w:val="18"/>
        </w:rPr>
        <w:t xml:space="preserve">; </w:t>
      </w:r>
      <w:hyperlink r:id="rId30" w:history="1">
        <w:r w:rsidR="009C4CCF" w:rsidRPr="00F87BAA">
          <w:rPr>
            <w:rStyle w:val="Hyperlink"/>
            <w:rFonts w:ascii="Arial" w:hAnsi="Arial" w:cs="Arial"/>
            <w:color w:val="auto"/>
            <w:sz w:val="18"/>
            <w:szCs w:val="18"/>
            <w:u w:val="none"/>
          </w:rPr>
          <w:t>Entry overload, emergency department overcrowding, and ambulance bypass</w:t>
        </w:r>
      </w:hyperlink>
      <w:r w:rsidR="009C4CCF" w:rsidRPr="00F87BAA">
        <w:rPr>
          <w:rFonts w:ascii="Arial" w:hAnsi="Arial" w:cs="Arial"/>
          <w:sz w:val="18"/>
          <w:szCs w:val="18"/>
        </w:rPr>
        <w:t xml:space="preserve">, 20 EMERGENCY MED. J. 406, 408-09 (2003), </w:t>
      </w:r>
      <w:r w:rsidR="009C4CCF" w:rsidRPr="00F87BAA">
        <w:rPr>
          <w:rFonts w:ascii="Arial" w:hAnsi="Arial" w:cs="Arial"/>
          <w:i/>
          <w:iCs/>
          <w:sz w:val="18"/>
          <w:szCs w:val="18"/>
        </w:rPr>
        <w:t>available at</w:t>
      </w:r>
      <w:r w:rsidR="009C4CCF" w:rsidRPr="00F87BAA">
        <w:rPr>
          <w:rFonts w:ascii="Arial" w:hAnsi="Arial" w:cs="Arial"/>
          <w:sz w:val="18"/>
          <w:szCs w:val="18"/>
        </w:rPr>
        <w:t xml:space="preserve"> </w:t>
      </w:r>
    </w:p>
    <w:p w14:paraId="600D3E02" w14:textId="4F1825E7" w:rsidR="009C4CCF" w:rsidRPr="00A954BD" w:rsidRDefault="005D2331" w:rsidP="00A954BD">
      <w:pPr>
        <w:pStyle w:val="FootnoteText"/>
        <w:jc w:val="both"/>
        <w:rPr>
          <w:rFonts w:ascii="Arial" w:hAnsi="Arial" w:cs="Arial"/>
          <w:sz w:val="18"/>
          <w:szCs w:val="18"/>
        </w:rPr>
      </w:pPr>
      <w:r w:rsidRPr="00F87BAA">
        <w:rPr>
          <w:rFonts w:ascii="Arial" w:hAnsi="Arial" w:cs="Arial"/>
          <w:sz w:val="18"/>
          <w:szCs w:val="18"/>
        </w:rPr>
        <w:t>(</w:t>
      </w:r>
      <w:hyperlink r:id="rId31" w:history="1">
        <w:r w:rsidR="00F87BAA" w:rsidRPr="00F87BAA">
          <w:rPr>
            <w:rStyle w:val="Hyperlink"/>
            <w:rFonts w:ascii="Arial" w:hAnsi="Arial" w:cs="Arial"/>
            <w:color w:val="auto"/>
            <w:sz w:val="18"/>
            <w:szCs w:val="18"/>
            <w:u w:val="none"/>
          </w:rPr>
          <w:t>http://emj.bmj.com/content/emermed/20/5/406.full.pdf</w:t>
        </w:r>
      </w:hyperlink>
      <w:r w:rsidR="00F87BAA" w:rsidRPr="00F87BAA">
        <w:rPr>
          <w:rFonts w:ascii="Arial" w:hAnsi="Arial" w:cs="Arial"/>
          <w:sz w:val="18"/>
          <w:szCs w:val="18"/>
        </w:rPr>
        <w:t xml:space="preserve"> </w:t>
      </w:r>
      <w:r w:rsidRPr="00F87BAA">
        <w:rPr>
          <w:rFonts w:ascii="Arial" w:hAnsi="Arial" w:cs="Arial"/>
          <w:sz w:val="18"/>
          <w:szCs w:val="18"/>
        </w:rPr>
        <w:t>)</w:t>
      </w:r>
      <w:r w:rsidR="009C4CCF" w:rsidRPr="00F87BAA">
        <w:rPr>
          <w:rFonts w:ascii="Arial" w:hAnsi="Arial" w:cs="Arial"/>
          <w:sz w:val="18"/>
          <w:szCs w:val="18"/>
        </w:rPr>
        <w:t xml:space="preserve">; </w:t>
      </w:r>
      <w:hyperlink r:id="rId32" w:history="1">
        <w:r w:rsidR="009C4CCF" w:rsidRPr="00F87BAA">
          <w:rPr>
            <w:rStyle w:val="Hyperlink"/>
            <w:rFonts w:ascii="Arial" w:hAnsi="Arial" w:cs="Arial"/>
            <w:color w:val="auto"/>
            <w:sz w:val="18"/>
            <w:szCs w:val="18"/>
            <w:u w:val="none"/>
          </w:rPr>
          <w:t>Psychiatric Emergencies</w:t>
        </w:r>
      </w:hyperlink>
      <w:r w:rsidR="009C4CCF" w:rsidRPr="00F87BAA">
        <w:rPr>
          <w:rFonts w:ascii="Arial" w:hAnsi="Arial" w:cs="Arial"/>
          <w:sz w:val="18"/>
          <w:szCs w:val="18"/>
        </w:rPr>
        <w:t>, AMERICAN COLLEGE Of EMERGENCY PHYSICIANS</w:t>
      </w:r>
      <w:r w:rsidRPr="00F87BAA">
        <w:rPr>
          <w:rFonts w:ascii="Arial" w:hAnsi="Arial" w:cs="Arial"/>
          <w:sz w:val="18"/>
          <w:szCs w:val="18"/>
        </w:rPr>
        <w:t xml:space="preserve"> (</w:t>
      </w:r>
      <w:hyperlink r:id="rId33" w:history="1">
        <w:r w:rsidR="00F87BAA" w:rsidRPr="00F87BAA">
          <w:rPr>
            <w:rStyle w:val="Hyperlink"/>
            <w:rFonts w:ascii="Arial" w:hAnsi="Arial" w:cs="Arial"/>
            <w:color w:val="auto"/>
            <w:sz w:val="18"/>
            <w:szCs w:val="18"/>
            <w:u w:val="none"/>
          </w:rPr>
          <w:t>http://newsroom.acep.org/index.php?s=20301&amp;item=30093</w:t>
        </w:r>
      </w:hyperlink>
      <w:r w:rsidR="00F87BAA" w:rsidRPr="00F87BAA">
        <w:rPr>
          <w:rFonts w:ascii="Arial" w:hAnsi="Arial" w:cs="Arial"/>
          <w:sz w:val="18"/>
          <w:szCs w:val="18"/>
        </w:rPr>
        <w:t xml:space="preserve"> </w:t>
      </w:r>
      <w:r w:rsidRPr="00F87BAA">
        <w:rPr>
          <w:rFonts w:ascii="Arial" w:hAnsi="Arial" w:cs="Arial"/>
          <w:sz w:val="18"/>
          <w:szCs w:val="18"/>
        </w:rPr>
        <w:t>)</w:t>
      </w:r>
      <w:r w:rsidR="009C4CCF" w:rsidRPr="00F87BAA">
        <w:rPr>
          <w:rFonts w:ascii="Arial" w:hAnsi="Arial" w:cs="Arial"/>
          <w:sz w:val="18"/>
          <w:szCs w:val="18"/>
        </w:rPr>
        <w:t xml:space="preserve"> (last </w:t>
      </w:r>
      <w:r w:rsidR="009C4CCF" w:rsidRPr="00A954BD">
        <w:rPr>
          <w:rFonts w:ascii="Arial" w:hAnsi="Arial" w:cs="Arial"/>
          <w:sz w:val="18"/>
          <w:szCs w:val="18"/>
        </w:rPr>
        <w:t>visited May 4, 2018).</w:t>
      </w:r>
    </w:p>
  </w:footnote>
  <w:footnote w:id="51">
    <w:p w14:paraId="2E2BD8D3" w14:textId="344B23B0" w:rsidR="009C4CCF"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w:t>
      </w:r>
      <w:r w:rsidR="00D27CD8" w:rsidRPr="00A954BD">
        <w:rPr>
          <w:rFonts w:ascii="Arial" w:hAnsi="Arial" w:cs="Arial"/>
          <w:i/>
          <w:iCs/>
          <w:sz w:val="18"/>
          <w:szCs w:val="18"/>
        </w:rPr>
        <w:t xml:space="preserve">See supra </w:t>
      </w:r>
      <w:r w:rsidR="00D27CD8" w:rsidRPr="00A954BD">
        <w:rPr>
          <w:rFonts w:ascii="Arial" w:hAnsi="Arial" w:cs="Arial"/>
          <w:sz w:val="18"/>
          <w:szCs w:val="18"/>
        </w:rPr>
        <w:t>notes 4</w:t>
      </w:r>
      <w:r w:rsidR="002535F0">
        <w:rPr>
          <w:rFonts w:ascii="Arial" w:hAnsi="Arial" w:cs="Arial"/>
          <w:sz w:val="18"/>
          <w:szCs w:val="18"/>
        </w:rPr>
        <w:t>6</w:t>
      </w:r>
      <w:r w:rsidR="00D27CD8" w:rsidRPr="00A954BD">
        <w:rPr>
          <w:rFonts w:ascii="Arial" w:hAnsi="Arial" w:cs="Arial"/>
          <w:sz w:val="18"/>
          <w:szCs w:val="18"/>
        </w:rPr>
        <w:t>, 4</w:t>
      </w:r>
      <w:r w:rsidR="002535F0">
        <w:rPr>
          <w:rFonts w:ascii="Arial" w:hAnsi="Arial" w:cs="Arial"/>
          <w:sz w:val="18"/>
          <w:szCs w:val="18"/>
        </w:rPr>
        <w:t>9</w:t>
      </w:r>
      <w:r w:rsidR="00D27CD8" w:rsidRPr="00A954BD">
        <w:rPr>
          <w:rFonts w:ascii="Arial" w:hAnsi="Arial" w:cs="Arial"/>
          <w:sz w:val="18"/>
          <w:szCs w:val="18"/>
        </w:rPr>
        <w:t>.</w:t>
      </w:r>
    </w:p>
  </w:footnote>
  <w:footnote w:id="52">
    <w:p w14:paraId="6329F450" w14:textId="6DA20BE3" w:rsidR="00D27CD8" w:rsidRPr="00A954BD" w:rsidRDefault="009C4CCF" w:rsidP="00A954BD">
      <w:pPr>
        <w:pStyle w:val="FootnoteText"/>
        <w:jc w:val="both"/>
        <w:rPr>
          <w:rFonts w:ascii="Arial" w:hAnsi="Arial" w:cs="Arial"/>
          <w:sz w:val="18"/>
          <w:szCs w:val="18"/>
        </w:rPr>
      </w:pPr>
      <w:r w:rsidRPr="00A954BD">
        <w:rPr>
          <w:rStyle w:val="FootnoteReference"/>
          <w:rFonts w:ascii="Arial" w:hAnsi="Arial" w:cs="Arial"/>
          <w:sz w:val="18"/>
          <w:szCs w:val="18"/>
        </w:rPr>
        <w:footnoteRef/>
      </w:r>
      <w:r w:rsidR="00A954BD" w:rsidRPr="00A954BD">
        <w:rPr>
          <w:rFonts w:ascii="Arial" w:hAnsi="Arial" w:cs="Arial"/>
          <w:i/>
          <w:iCs/>
          <w:sz w:val="18"/>
          <w:szCs w:val="18"/>
        </w:rPr>
        <w:t xml:space="preserve"> See supra </w:t>
      </w:r>
      <w:r w:rsidR="00A954BD" w:rsidRPr="00A954BD">
        <w:rPr>
          <w:rFonts w:ascii="Arial" w:hAnsi="Arial" w:cs="Arial"/>
          <w:sz w:val="18"/>
          <w:szCs w:val="18"/>
        </w:rPr>
        <w:t>notes 4</w:t>
      </w:r>
      <w:r w:rsidR="002535F0">
        <w:rPr>
          <w:rFonts w:ascii="Arial" w:hAnsi="Arial" w:cs="Arial"/>
          <w:sz w:val="18"/>
          <w:szCs w:val="18"/>
        </w:rPr>
        <w:t>6</w:t>
      </w:r>
      <w:r w:rsidR="00A954BD" w:rsidRPr="00A954BD">
        <w:rPr>
          <w:rFonts w:ascii="Arial" w:hAnsi="Arial" w:cs="Arial"/>
          <w:sz w:val="18"/>
          <w:szCs w:val="18"/>
        </w:rPr>
        <w:t>, 4</w:t>
      </w:r>
      <w:r w:rsidR="002535F0">
        <w:rPr>
          <w:rFonts w:ascii="Arial" w:hAnsi="Arial" w:cs="Arial"/>
          <w:sz w:val="18"/>
          <w:szCs w:val="18"/>
        </w:rPr>
        <w:t>9</w:t>
      </w:r>
      <w:r w:rsidR="00A954BD" w:rsidRPr="00A954BD">
        <w:rPr>
          <w:rFonts w:ascii="Arial" w:hAnsi="Arial" w:cs="Arial"/>
          <w:sz w:val="18"/>
          <w:szCs w:val="18"/>
        </w:rPr>
        <w:t>.</w:t>
      </w:r>
    </w:p>
    <w:p w14:paraId="04587E3B" w14:textId="6B492428" w:rsidR="009C4CCF" w:rsidRPr="008A5586" w:rsidRDefault="009C4CCF" w:rsidP="009C4CCF">
      <w:pPr>
        <w:pStyle w:val="FootnoteText"/>
        <w:rPr>
          <w:rFonts w:ascii="Arial" w:hAnsi="Arial" w:cs="Arial"/>
          <w:sz w:val="16"/>
          <w:szCs w:val="16"/>
        </w:rPr>
      </w:pPr>
      <w:r w:rsidRPr="008A5586">
        <w:rPr>
          <w:rFonts w:ascii="Arial" w:hAnsi="Arial" w:cs="Arial"/>
          <w:sz w:val="16"/>
          <w:szCs w:val="16"/>
        </w:rPr>
        <w:t>.</w:t>
      </w:r>
    </w:p>
  </w:footnote>
  <w:footnote w:id="53">
    <w:p w14:paraId="1A3246F4" w14:textId="7C88D374" w:rsidR="006239DF" w:rsidRDefault="006239DF">
      <w:pPr>
        <w:pStyle w:val="FootnoteText"/>
      </w:pPr>
      <w:r>
        <w:rPr>
          <w:rStyle w:val="FootnoteReference"/>
        </w:rPr>
        <w:footnoteRef/>
      </w:r>
      <w:r>
        <w:t xml:space="preserve"> </w:t>
      </w:r>
      <w:r w:rsidRPr="006239DF">
        <w:rPr>
          <w:rFonts w:ascii="Arial" w:hAnsi="Arial" w:cs="Arial"/>
          <w:sz w:val="18"/>
          <w:szCs w:val="18"/>
        </w:rPr>
        <w:t xml:space="preserve">The same presentation </w:t>
      </w:r>
      <w:r>
        <w:rPr>
          <w:rFonts w:ascii="Arial" w:hAnsi="Arial" w:cs="Arial"/>
          <w:sz w:val="18"/>
          <w:szCs w:val="18"/>
        </w:rPr>
        <w:t>given to</w:t>
      </w:r>
      <w:r w:rsidRPr="006239DF">
        <w:rPr>
          <w:rFonts w:ascii="Arial" w:hAnsi="Arial" w:cs="Arial"/>
          <w:sz w:val="18"/>
          <w:szCs w:val="18"/>
        </w:rPr>
        <w:t xml:space="preserve"> PFAC will be used at the community forum.</w:t>
      </w:r>
    </w:p>
  </w:footnote>
  <w:footnote w:id="54">
    <w:p w14:paraId="05485530" w14:textId="7D0AC5CA" w:rsidR="00FE711F" w:rsidRPr="00A954BD" w:rsidRDefault="00FE711F" w:rsidP="00A954BD">
      <w:pPr>
        <w:autoSpaceDE w:val="0"/>
        <w:autoSpaceDN w:val="0"/>
        <w:adjustRightInd w:val="0"/>
        <w:spacing w:after="0" w:line="240" w:lineRule="auto"/>
        <w:jc w:val="both"/>
        <w:rPr>
          <w:rFonts w:ascii="*Microsoft Sans Serif-34290-Ide" w:hAnsi="*Microsoft Sans Serif-34290-Ide" w:cs="*Microsoft Sans Serif-34290-Ide"/>
          <w:sz w:val="18"/>
          <w:szCs w:val="18"/>
        </w:rPr>
      </w:pPr>
      <w:r w:rsidRPr="00A954BD">
        <w:rPr>
          <w:rStyle w:val="FootnoteReference"/>
          <w:rFonts w:ascii="Arial" w:hAnsi="Arial" w:cs="Arial"/>
          <w:sz w:val="18"/>
          <w:szCs w:val="18"/>
        </w:rPr>
        <w:footnoteRef/>
      </w:r>
      <w:r w:rsidRPr="00A954BD">
        <w:rPr>
          <w:rFonts w:ascii="Arial" w:hAnsi="Arial" w:cs="Arial"/>
          <w:sz w:val="18"/>
          <w:szCs w:val="18"/>
        </w:rPr>
        <w:t xml:space="preserve"> Sunil Kripalani MD, MSc, Cecelia N. </w:t>
      </w:r>
      <w:r w:rsidRPr="007E44F5">
        <w:rPr>
          <w:rFonts w:ascii="Arial" w:hAnsi="Arial" w:cs="Arial"/>
          <w:sz w:val="18"/>
          <w:szCs w:val="18"/>
        </w:rPr>
        <w:t xml:space="preserve">Theobald, MD, et al., </w:t>
      </w:r>
      <w:hyperlink r:id="rId34" w:history="1">
        <w:r w:rsidRPr="007E44F5">
          <w:rPr>
            <w:rStyle w:val="Hyperlink"/>
            <w:rFonts w:ascii="Arial" w:hAnsi="Arial" w:cs="Arial"/>
            <w:i/>
            <w:iCs/>
            <w:color w:val="auto"/>
            <w:sz w:val="18"/>
            <w:szCs w:val="18"/>
            <w:u w:val="none"/>
          </w:rPr>
          <w:t>Reducing Hospital Readmission: Current Strategies and Future Directions</w:t>
        </w:r>
      </w:hyperlink>
      <w:r w:rsidRPr="007E44F5">
        <w:rPr>
          <w:rFonts w:ascii="Arial" w:hAnsi="Arial" w:cs="Arial"/>
          <w:i/>
          <w:iCs/>
          <w:sz w:val="18"/>
          <w:szCs w:val="18"/>
        </w:rPr>
        <w:t xml:space="preserve">, </w:t>
      </w:r>
      <w:r w:rsidRPr="007E44F5">
        <w:rPr>
          <w:rFonts w:ascii="Arial" w:hAnsi="Arial" w:cs="Arial"/>
          <w:sz w:val="18"/>
          <w:szCs w:val="18"/>
        </w:rPr>
        <w:t xml:space="preserve">65 ANNUAL REVIEW MED. 4 71 (2014), </w:t>
      </w:r>
      <w:r w:rsidRPr="007E44F5">
        <w:rPr>
          <w:rFonts w:ascii="Arial" w:hAnsi="Arial" w:cs="Arial"/>
          <w:i/>
          <w:iCs/>
          <w:sz w:val="18"/>
          <w:szCs w:val="18"/>
        </w:rPr>
        <w:t xml:space="preserve">available at </w:t>
      </w:r>
      <w:r w:rsidR="00A954BD" w:rsidRPr="007E44F5">
        <w:rPr>
          <w:rFonts w:ascii="Arial" w:hAnsi="Arial" w:cs="Arial"/>
          <w:sz w:val="18"/>
          <w:szCs w:val="18"/>
        </w:rPr>
        <w:t>(</w:t>
      </w:r>
      <w:hyperlink r:id="rId35" w:history="1">
        <w:r w:rsidR="007E44F5" w:rsidRPr="007E44F5">
          <w:rPr>
            <w:rStyle w:val="Hyperlink"/>
            <w:rFonts w:ascii="Arial" w:hAnsi="Arial" w:cs="Arial"/>
            <w:color w:val="auto"/>
            <w:sz w:val="18"/>
            <w:szCs w:val="18"/>
            <w:u w:val="none"/>
          </w:rPr>
          <w:t>https://www.ncbi.nlm.nih.gov/pmc/articles/PMC4104507/</w:t>
        </w:r>
      </w:hyperlink>
      <w:r w:rsidR="007E44F5" w:rsidRPr="007E44F5">
        <w:rPr>
          <w:rFonts w:ascii="Arial" w:hAnsi="Arial" w:cs="Arial"/>
          <w:sz w:val="18"/>
          <w:szCs w:val="18"/>
        </w:rPr>
        <w:t xml:space="preserve"> </w:t>
      </w:r>
      <w:r w:rsidR="00A954BD" w:rsidRPr="007E44F5">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BF90" w14:textId="77777777" w:rsidR="00CB02FE" w:rsidRDefault="00CB0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DDEC" w14:textId="28DAC812" w:rsidR="000F3164" w:rsidRDefault="000F3164">
    <w:pPr>
      <w:pStyle w:val="Header"/>
    </w:pPr>
  </w:p>
  <w:p w14:paraId="67F7192B" w14:textId="0AC72AC9" w:rsidR="00C11954" w:rsidRDefault="00C11954" w:rsidP="005A2249">
    <w:pPr>
      <w:pStyle w:val="Header"/>
      <w:tabs>
        <w:tab w:val="clear" w:pos="4680"/>
        <w:tab w:val="clear" w:pos="9360"/>
        <w:tab w:val="left" w:pos="81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097E" w14:textId="77777777" w:rsidR="00CB02FE" w:rsidRDefault="00CB0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56E"/>
    <w:multiLevelType w:val="hybridMultilevel"/>
    <w:tmpl w:val="273E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0428"/>
    <w:multiLevelType w:val="hybridMultilevel"/>
    <w:tmpl w:val="3D16F408"/>
    <w:lvl w:ilvl="0" w:tplc="0FCED3C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5D1B71"/>
    <w:multiLevelType w:val="hybridMultilevel"/>
    <w:tmpl w:val="63B456E0"/>
    <w:lvl w:ilvl="0" w:tplc="975E9F3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F126D"/>
    <w:multiLevelType w:val="hybridMultilevel"/>
    <w:tmpl w:val="3238FECC"/>
    <w:lvl w:ilvl="0" w:tplc="73C6E9F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DC1199"/>
    <w:multiLevelType w:val="hybridMultilevel"/>
    <w:tmpl w:val="B7CA5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452352"/>
    <w:multiLevelType w:val="hybridMultilevel"/>
    <w:tmpl w:val="60AC0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52C9F"/>
    <w:multiLevelType w:val="multilevel"/>
    <w:tmpl w:val="01EC2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3473D"/>
    <w:multiLevelType w:val="hybridMultilevel"/>
    <w:tmpl w:val="4B36A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A4C09"/>
    <w:multiLevelType w:val="hybridMultilevel"/>
    <w:tmpl w:val="00A04A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780F94"/>
    <w:multiLevelType w:val="hybridMultilevel"/>
    <w:tmpl w:val="2B327544"/>
    <w:lvl w:ilvl="0" w:tplc="F670CB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52A1E"/>
    <w:multiLevelType w:val="hybridMultilevel"/>
    <w:tmpl w:val="EB104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67A4779"/>
    <w:multiLevelType w:val="hybridMultilevel"/>
    <w:tmpl w:val="02561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43E2D"/>
    <w:multiLevelType w:val="hybridMultilevel"/>
    <w:tmpl w:val="F318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260B3"/>
    <w:multiLevelType w:val="hybridMultilevel"/>
    <w:tmpl w:val="8FBED64A"/>
    <w:lvl w:ilvl="0" w:tplc="F24C01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00834"/>
    <w:multiLevelType w:val="hybridMultilevel"/>
    <w:tmpl w:val="B14A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40CFD"/>
    <w:multiLevelType w:val="hybridMultilevel"/>
    <w:tmpl w:val="3FFAD0BA"/>
    <w:lvl w:ilvl="0" w:tplc="E7380F74">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D74382"/>
    <w:multiLevelType w:val="hybridMultilevel"/>
    <w:tmpl w:val="59C67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A557D"/>
    <w:multiLevelType w:val="hybridMultilevel"/>
    <w:tmpl w:val="7B665F82"/>
    <w:lvl w:ilvl="0" w:tplc="04090015">
      <w:start w:val="1"/>
      <w:numFmt w:val="upperLetter"/>
      <w:lvlText w:val="%1."/>
      <w:lvlJc w:val="left"/>
      <w:pPr>
        <w:ind w:left="720" w:hanging="360"/>
      </w:pPr>
      <w:rPr>
        <w:rFonts w:hint="default"/>
      </w:rPr>
    </w:lvl>
    <w:lvl w:ilvl="1" w:tplc="639A6C28">
      <w:start w:val="1"/>
      <w:numFmt w:val="decimal"/>
      <w:lvlText w:val="%2."/>
      <w:lvlJc w:val="left"/>
      <w:pPr>
        <w:ind w:left="1440" w:hanging="360"/>
      </w:pPr>
      <w:rPr>
        <w:i/>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31D92"/>
    <w:multiLevelType w:val="hybridMultilevel"/>
    <w:tmpl w:val="C1D2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F571C"/>
    <w:multiLevelType w:val="hybridMultilevel"/>
    <w:tmpl w:val="1F50C67C"/>
    <w:lvl w:ilvl="0" w:tplc="2CDA1AD6">
      <w:start w:val="1"/>
      <w:numFmt w:val="bullet"/>
      <w:lvlText w:val="•"/>
      <w:lvlJc w:val="left"/>
      <w:pPr>
        <w:tabs>
          <w:tab w:val="num" w:pos="720"/>
        </w:tabs>
        <w:ind w:left="720" w:hanging="360"/>
      </w:pPr>
      <w:rPr>
        <w:rFonts w:ascii="Calibri" w:hAnsi="Calibri" w:cs="Times New Roman" w:hint="default"/>
      </w:rPr>
    </w:lvl>
    <w:lvl w:ilvl="1" w:tplc="E8DA93F2">
      <w:numFmt w:val="bullet"/>
      <w:lvlText w:val="–"/>
      <w:lvlJc w:val="left"/>
      <w:pPr>
        <w:tabs>
          <w:tab w:val="num" w:pos="1440"/>
        </w:tabs>
        <w:ind w:left="1440" w:hanging="360"/>
      </w:pPr>
      <w:rPr>
        <w:rFonts w:ascii="Calibri" w:hAnsi="Calibri" w:cs="Times New Roman" w:hint="default"/>
      </w:rPr>
    </w:lvl>
    <w:lvl w:ilvl="2" w:tplc="2FA40586">
      <w:numFmt w:val="bullet"/>
      <w:lvlText w:val="•"/>
      <w:lvlJc w:val="left"/>
      <w:pPr>
        <w:tabs>
          <w:tab w:val="num" w:pos="2160"/>
        </w:tabs>
        <w:ind w:left="2160" w:hanging="360"/>
      </w:pPr>
      <w:rPr>
        <w:rFonts w:ascii="Calibri" w:hAnsi="Calibri" w:cs="Times New Roman" w:hint="default"/>
      </w:rPr>
    </w:lvl>
    <w:lvl w:ilvl="3" w:tplc="1DDE254E">
      <w:start w:val="1"/>
      <w:numFmt w:val="bullet"/>
      <w:lvlText w:val="•"/>
      <w:lvlJc w:val="left"/>
      <w:pPr>
        <w:tabs>
          <w:tab w:val="num" w:pos="2880"/>
        </w:tabs>
        <w:ind w:left="2880" w:hanging="360"/>
      </w:pPr>
      <w:rPr>
        <w:rFonts w:ascii="Calibri" w:hAnsi="Calibri" w:cs="Times New Roman" w:hint="default"/>
      </w:rPr>
    </w:lvl>
    <w:lvl w:ilvl="4" w:tplc="7F1E143C">
      <w:start w:val="1"/>
      <w:numFmt w:val="bullet"/>
      <w:lvlText w:val="•"/>
      <w:lvlJc w:val="left"/>
      <w:pPr>
        <w:tabs>
          <w:tab w:val="num" w:pos="3600"/>
        </w:tabs>
        <w:ind w:left="3600" w:hanging="360"/>
      </w:pPr>
      <w:rPr>
        <w:rFonts w:ascii="Calibri" w:hAnsi="Calibri" w:cs="Times New Roman" w:hint="default"/>
      </w:rPr>
    </w:lvl>
    <w:lvl w:ilvl="5" w:tplc="B578305E">
      <w:start w:val="1"/>
      <w:numFmt w:val="bullet"/>
      <w:lvlText w:val="•"/>
      <w:lvlJc w:val="left"/>
      <w:pPr>
        <w:tabs>
          <w:tab w:val="num" w:pos="4320"/>
        </w:tabs>
        <w:ind w:left="4320" w:hanging="360"/>
      </w:pPr>
      <w:rPr>
        <w:rFonts w:ascii="Calibri" w:hAnsi="Calibri" w:cs="Times New Roman" w:hint="default"/>
      </w:rPr>
    </w:lvl>
    <w:lvl w:ilvl="6" w:tplc="D1D6779A">
      <w:start w:val="1"/>
      <w:numFmt w:val="bullet"/>
      <w:lvlText w:val="•"/>
      <w:lvlJc w:val="left"/>
      <w:pPr>
        <w:tabs>
          <w:tab w:val="num" w:pos="5040"/>
        </w:tabs>
        <w:ind w:left="5040" w:hanging="360"/>
      </w:pPr>
      <w:rPr>
        <w:rFonts w:ascii="Calibri" w:hAnsi="Calibri" w:cs="Times New Roman" w:hint="default"/>
      </w:rPr>
    </w:lvl>
    <w:lvl w:ilvl="7" w:tplc="B0149992">
      <w:start w:val="1"/>
      <w:numFmt w:val="bullet"/>
      <w:lvlText w:val="•"/>
      <w:lvlJc w:val="left"/>
      <w:pPr>
        <w:tabs>
          <w:tab w:val="num" w:pos="5760"/>
        </w:tabs>
        <w:ind w:left="5760" w:hanging="360"/>
      </w:pPr>
      <w:rPr>
        <w:rFonts w:ascii="Calibri" w:hAnsi="Calibri" w:cs="Times New Roman" w:hint="default"/>
      </w:rPr>
    </w:lvl>
    <w:lvl w:ilvl="8" w:tplc="13108A10">
      <w:start w:val="1"/>
      <w:numFmt w:val="bullet"/>
      <w:lvlText w:val="•"/>
      <w:lvlJc w:val="left"/>
      <w:pPr>
        <w:tabs>
          <w:tab w:val="num" w:pos="6480"/>
        </w:tabs>
        <w:ind w:left="6480" w:hanging="360"/>
      </w:pPr>
      <w:rPr>
        <w:rFonts w:ascii="Calibri" w:hAnsi="Calibri" w:cs="Times New Roman" w:hint="default"/>
      </w:rPr>
    </w:lvl>
  </w:abstractNum>
  <w:abstractNum w:abstractNumId="21" w15:restartNumberingAfterBreak="0">
    <w:nsid w:val="354A079D"/>
    <w:multiLevelType w:val="hybridMultilevel"/>
    <w:tmpl w:val="15F4ACE0"/>
    <w:lvl w:ilvl="0" w:tplc="3A6A5842">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2"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9E95A3B"/>
    <w:multiLevelType w:val="hybridMultilevel"/>
    <w:tmpl w:val="3014D380"/>
    <w:lvl w:ilvl="0" w:tplc="8C04DCE0">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5" w15:restartNumberingAfterBreak="0">
    <w:nsid w:val="3B114CF2"/>
    <w:multiLevelType w:val="hybridMultilevel"/>
    <w:tmpl w:val="6D32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D007D"/>
    <w:multiLevelType w:val="hybridMultilevel"/>
    <w:tmpl w:val="69F8A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864546"/>
    <w:multiLevelType w:val="hybridMultilevel"/>
    <w:tmpl w:val="40963372"/>
    <w:lvl w:ilvl="0" w:tplc="0D40BE5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F148EE0">
      <w:start w:val="1"/>
      <w:numFmt w:val="decimal"/>
      <w:lvlText w:val="%4."/>
      <w:lvlJc w:val="left"/>
      <w:pPr>
        <w:ind w:left="54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B2934"/>
    <w:multiLevelType w:val="hybridMultilevel"/>
    <w:tmpl w:val="1C5A16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E774B"/>
    <w:multiLevelType w:val="hybridMultilevel"/>
    <w:tmpl w:val="F5823A58"/>
    <w:lvl w:ilvl="0" w:tplc="DF22A4BA">
      <w:start w:val="1"/>
      <w:numFmt w:val="upperLetter"/>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0"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54C3C"/>
    <w:multiLevelType w:val="hybridMultilevel"/>
    <w:tmpl w:val="6DAE19BC"/>
    <w:lvl w:ilvl="0" w:tplc="C54A338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F84322"/>
    <w:multiLevelType w:val="hybridMultilevel"/>
    <w:tmpl w:val="43C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4" w15:restartNumberingAfterBreak="0">
    <w:nsid w:val="60F85006"/>
    <w:multiLevelType w:val="hybridMultilevel"/>
    <w:tmpl w:val="080AEA36"/>
    <w:lvl w:ilvl="0" w:tplc="A1CA3B7E">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59299C"/>
    <w:multiLevelType w:val="hybridMultilevel"/>
    <w:tmpl w:val="165AE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37A00ED"/>
    <w:multiLevelType w:val="hybridMultilevel"/>
    <w:tmpl w:val="FC364B88"/>
    <w:lvl w:ilvl="0" w:tplc="0206E6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C2DE6"/>
    <w:multiLevelType w:val="hybridMultilevel"/>
    <w:tmpl w:val="1248BDB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0D26EC4"/>
    <w:multiLevelType w:val="hybridMultilevel"/>
    <w:tmpl w:val="54E42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10658"/>
    <w:multiLevelType w:val="hybridMultilevel"/>
    <w:tmpl w:val="167CE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1396565">
    <w:abstractNumId w:val="12"/>
  </w:num>
  <w:num w:numId="2" w16cid:durableId="1651056443">
    <w:abstractNumId w:val="28"/>
  </w:num>
  <w:num w:numId="3" w16cid:durableId="2089376738">
    <w:abstractNumId w:val="3"/>
  </w:num>
  <w:num w:numId="4" w16cid:durableId="228078736">
    <w:abstractNumId w:val="38"/>
  </w:num>
  <w:num w:numId="5" w16cid:durableId="620261523">
    <w:abstractNumId w:val="25"/>
  </w:num>
  <w:num w:numId="6" w16cid:durableId="605387827">
    <w:abstractNumId w:val="2"/>
  </w:num>
  <w:num w:numId="7" w16cid:durableId="757334543">
    <w:abstractNumId w:val="19"/>
  </w:num>
  <w:num w:numId="8" w16cid:durableId="403992985">
    <w:abstractNumId w:val="32"/>
  </w:num>
  <w:num w:numId="9" w16cid:durableId="1707176859">
    <w:abstractNumId w:val="13"/>
  </w:num>
  <w:num w:numId="10" w16cid:durableId="1391269892">
    <w:abstractNumId w:val="15"/>
  </w:num>
  <w:num w:numId="11" w16cid:durableId="513958648">
    <w:abstractNumId w:val="0"/>
  </w:num>
  <w:num w:numId="12" w16cid:durableId="784691915">
    <w:abstractNumId w:val="4"/>
  </w:num>
  <w:num w:numId="13" w16cid:durableId="732967659">
    <w:abstractNumId w:val="21"/>
  </w:num>
  <w:num w:numId="14" w16cid:durableId="1169907924">
    <w:abstractNumId w:val="17"/>
  </w:num>
  <w:num w:numId="15" w16cid:durableId="2112116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8914210">
    <w:abstractNumId w:val="26"/>
  </w:num>
  <w:num w:numId="17" w16cid:durableId="455028399">
    <w:abstractNumId w:val="30"/>
  </w:num>
  <w:num w:numId="18" w16cid:durableId="1712073161">
    <w:abstractNumId w:val="35"/>
  </w:num>
  <w:num w:numId="19" w16cid:durableId="1492528144">
    <w:abstractNumId w:val="33"/>
  </w:num>
  <w:num w:numId="20" w16cid:durableId="2019885228">
    <w:abstractNumId w:val="18"/>
  </w:num>
  <w:num w:numId="21" w16cid:durableId="1706903841">
    <w:abstractNumId w:val="22"/>
  </w:num>
  <w:num w:numId="22" w16cid:durableId="1959871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7917480">
    <w:abstractNumId w:val="27"/>
  </w:num>
  <w:num w:numId="24" w16cid:durableId="762917300">
    <w:abstractNumId w:val="6"/>
  </w:num>
  <w:num w:numId="25" w16cid:durableId="196693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4904986">
    <w:abstractNumId w:val="37"/>
  </w:num>
  <w:num w:numId="27" w16cid:durableId="49155595">
    <w:abstractNumId w:val="8"/>
  </w:num>
  <w:num w:numId="28" w16cid:durableId="741367530">
    <w:abstractNumId w:val="23"/>
  </w:num>
  <w:num w:numId="29" w16cid:durableId="289632600">
    <w:abstractNumId w:val="14"/>
  </w:num>
  <w:num w:numId="30" w16cid:durableId="788084100">
    <w:abstractNumId w:val="7"/>
  </w:num>
  <w:num w:numId="31" w16cid:durableId="213273910">
    <w:abstractNumId w:val="39"/>
  </w:num>
  <w:num w:numId="32" w16cid:durableId="2122650318">
    <w:abstractNumId w:val="29"/>
  </w:num>
  <w:num w:numId="33" w16cid:durableId="195049899">
    <w:abstractNumId w:val="1"/>
  </w:num>
  <w:num w:numId="34" w16cid:durableId="970938887">
    <w:abstractNumId w:val="11"/>
  </w:num>
  <w:num w:numId="35" w16cid:durableId="488981272">
    <w:abstractNumId w:val="10"/>
  </w:num>
  <w:num w:numId="36" w16cid:durableId="1633367294">
    <w:abstractNumId w:val="5"/>
  </w:num>
  <w:num w:numId="37" w16cid:durableId="1706902034">
    <w:abstractNumId w:val="24"/>
  </w:num>
  <w:num w:numId="38" w16cid:durableId="1664429381">
    <w:abstractNumId w:val="20"/>
  </w:num>
  <w:num w:numId="39" w16cid:durableId="1650210384">
    <w:abstractNumId w:val="36"/>
  </w:num>
  <w:num w:numId="40" w16cid:durableId="1094008914">
    <w:abstractNumId w:val="31"/>
  </w:num>
  <w:num w:numId="41" w16cid:durableId="1928998513">
    <w:abstractNumId w:val="34"/>
  </w:num>
  <w:num w:numId="42" w16cid:durableId="271791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Info" w:val="F"/>
  </w:docVars>
  <w:rsids>
    <w:rsidRoot w:val="00AB7535"/>
    <w:rsid w:val="000005DB"/>
    <w:rsid w:val="0000203F"/>
    <w:rsid w:val="00004CBC"/>
    <w:rsid w:val="000055EB"/>
    <w:rsid w:val="00005611"/>
    <w:rsid w:val="00005D7F"/>
    <w:rsid w:val="00006F13"/>
    <w:rsid w:val="00014467"/>
    <w:rsid w:val="000147E4"/>
    <w:rsid w:val="000164AC"/>
    <w:rsid w:val="00020062"/>
    <w:rsid w:val="000212FD"/>
    <w:rsid w:val="00022CAA"/>
    <w:rsid w:val="0002327F"/>
    <w:rsid w:val="00023A0E"/>
    <w:rsid w:val="0002464A"/>
    <w:rsid w:val="00025068"/>
    <w:rsid w:val="000316EF"/>
    <w:rsid w:val="00036AFB"/>
    <w:rsid w:val="00036E84"/>
    <w:rsid w:val="00043911"/>
    <w:rsid w:val="00043930"/>
    <w:rsid w:val="00043BAA"/>
    <w:rsid w:val="00047975"/>
    <w:rsid w:val="000533BD"/>
    <w:rsid w:val="000543D8"/>
    <w:rsid w:val="000566BB"/>
    <w:rsid w:val="00060889"/>
    <w:rsid w:val="00060BDD"/>
    <w:rsid w:val="00060FE9"/>
    <w:rsid w:val="00064484"/>
    <w:rsid w:val="000646FF"/>
    <w:rsid w:val="00064AD6"/>
    <w:rsid w:val="00066216"/>
    <w:rsid w:val="00066DE1"/>
    <w:rsid w:val="00070BE5"/>
    <w:rsid w:val="000719B4"/>
    <w:rsid w:val="00073823"/>
    <w:rsid w:val="0007382A"/>
    <w:rsid w:val="000743BF"/>
    <w:rsid w:val="00076503"/>
    <w:rsid w:val="00077D2F"/>
    <w:rsid w:val="00080624"/>
    <w:rsid w:val="00081795"/>
    <w:rsid w:val="00081F50"/>
    <w:rsid w:val="000836DB"/>
    <w:rsid w:val="000858A9"/>
    <w:rsid w:val="00086594"/>
    <w:rsid w:val="00086C4F"/>
    <w:rsid w:val="0008712C"/>
    <w:rsid w:val="0009098A"/>
    <w:rsid w:val="00090CED"/>
    <w:rsid w:val="00092F76"/>
    <w:rsid w:val="00093EBC"/>
    <w:rsid w:val="00094C30"/>
    <w:rsid w:val="00097257"/>
    <w:rsid w:val="000A0D20"/>
    <w:rsid w:val="000A3B77"/>
    <w:rsid w:val="000A3CD9"/>
    <w:rsid w:val="000A590B"/>
    <w:rsid w:val="000B2094"/>
    <w:rsid w:val="000C00BE"/>
    <w:rsid w:val="000C1400"/>
    <w:rsid w:val="000C2786"/>
    <w:rsid w:val="000C3ABF"/>
    <w:rsid w:val="000C3D1A"/>
    <w:rsid w:val="000C47E5"/>
    <w:rsid w:val="000C6624"/>
    <w:rsid w:val="000D00A8"/>
    <w:rsid w:val="000D23F9"/>
    <w:rsid w:val="000D2485"/>
    <w:rsid w:val="000D25A7"/>
    <w:rsid w:val="000D2FDC"/>
    <w:rsid w:val="000D7861"/>
    <w:rsid w:val="000E03CE"/>
    <w:rsid w:val="000E1E8A"/>
    <w:rsid w:val="000E21AC"/>
    <w:rsid w:val="000E2416"/>
    <w:rsid w:val="000E4855"/>
    <w:rsid w:val="000E4A46"/>
    <w:rsid w:val="000E4C1D"/>
    <w:rsid w:val="000E5FBB"/>
    <w:rsid w:val="000F0FC9"/>
    <w:rsid w:val="000F1693"/>
    <w:rsid w:val="000F3164"/>
    <w:rsid w:val="000F66D8"/>
    <w:rsid w:val="000F6938"/>
    <w:rsid w:val="000F6C1C"/>
    <w:rsid w:val="00101E89"/>
    <w:rsid w:val="00103FB7"/>
    <w:rsid w:val="00106459"/>
    <w:rsid w:val="00107A39"/>
    <w:rsid w:val="0011339C"/>
    <w:rsid w:val="001137C7"/>
    <w:rsid w:val="0011622B"/>
    <w:rsid w:val="0012060D"/>
    <w:rsid w:val="001208E3"/>
    <w:rsid w:val="00120C33"/>
    <w:rsid w:val="00123425"/>
    <w:rsid w:val="00124B13"/>
    <w:rsid w:val="00124BFC"/>
    <w:rsid w:val="001251B9"/>
    <w:rsid w:val="00125C88"/>
    <w:rsid w:val="001261D2"/>
    <w:rsid w:val="00127681"/>
    <w:rsid w:val="00127792"/>
    <w:rsid w:val="001279F1"/>
    <w:rsid w:val="001307AE"/>
    <w:rsid w:val="001330D3"/>
    <w:rsid w:val="00134E76"/>
    <w:rsid w:val="001352A1"/>
    <w:rsid w:val="001414A6"/>
    <w:rsid w:val="00142491"/>
    <w:rsid w:val="00143479"/>
    <w:rsid w:val="00145DDF"/>
    <w:rsid w:val="001504DD"/>
    <w:rsid w:val="00150FF1"/>
    <w:rsid w:val="00153432"/>
    <w:rsid w:val="0015543D"/>
    <w:rsid w:val="00156F9C"/>
    <w:rsid w:val="00157AE0"/>
    <w:rsid w:val="00157DFF"/>
    <w:rsid w:val="001614AD"/>
    <w:rsid w:val="00165416"/>
    <w:rsid w:val="00165AC4"/>
    <w:rsid w:val="001664A6"/>
    <w:rsid w:val="001671B8"/>
    <w:rsid w:val="00167999"/>
    <w:rsid w:val="0017041A"/>
    <w:rsid w:val="00171D18"/>
    <w:rsid w:val="0017292D"/>
    <w:rsid w:val="001734E2"/>
    <w:rsid w:val="001738E9"/>
    <w:rsid w:val="00174D53"/>
    <w:rsid w:val="00181813"/>
    <w:rsid w:val="001836BD"/>
    <w:rsid w:val="001856C5"/>
    <w:rsid w:val="00186565"/>
    <w:rsid w:val="00187DC2"/>
    <w:rsid w:val="0019156E"/>
    <w:rsid w:val="00194034"/>
    <w:rsid w:val="00196C43"/>
    <w:rsid w:val="00197384"/>
    <w:rsid w:val="00197D4B"/>
    <w:rsid w:val="001A0F1C"/>
    <w:rsid w:val="001A3BC0"/>
    <w:rsid w:val="001A4B2C"/>
    <w:rsid w:val="001B074B"/>
    <w:rsid w:val="001B1CE9"/>
    <w:rsid w:val="001B2409"/>
    <w:rsid w:val="001B533D"/>
    <w:rsid w:val="001B615D"/>
    <w:rsid w:val="001B6588"/>
    <w:rsid w:val="001B7C6B"/>
    <w:rsid w:val="001C05F6"/>
    <w:rsid w:val="001C1231"/>
    <w:rsid w:val="001C188F"/>
    <w:rsid w:val="001C2337"/>
    <w:rsid w:val="001C4827"/>
    <w:rsid w:val="001C6329"/>
    <w:rsid w:val="001C641B"/>
    <w:rsid w:val="001C6BB9"/>
    <w:rsid w:val="001C76A0"/>
    <w:rsid w:val="001D15E6"/>
    <w:rsid w:val="001D2763"/>
    <w:rsid w:val="001D7957"/>
    <w:rsid w:val="001E06E6"/>
    <w:rsid w:val="001E3BAE"/>
    <w:rsid w:val="001E439B"/>
    <w:rsid w:val="001E4B44"/>
    <w:rsid w:val="001E5E31"/>
    <w:rsid w:val="001E635C"/>
    <w:rsid w:val="001E67BC"/>
    <w:rsid w:val="001F2201"/>
    <w:rsid w:val="001F303F"/>
    <w:rsid w:val="001F5047"/>
    <w:rsid w:val="001F7D2D"/>
    <w:rsid w:val="001F7F57"/>
    <w:rsid w:val="00201745"/>
    <w:rsid w:val="00202753"/>
    <w:rsid w:val="00203FEE"/>
    <w:rsid w:val="002050F9"/>
    <w:rsid w:val="00205DC2"/>
    <w:rsid w:val="00207002"/>
    <w:rsid w:val="002105DB"/>
    <w:rsid w:val="00211096"/>
    <w:rsid w:val="002125CD"/>
    <w:rsid w:val="00213732"/>
    <w:rsid w:val="0021520B"/>
    <w:rsid w:val="0021678A"/>
    <w:rsid w:val="00217EC5"/>
    <w:rsid w:val="00221C95"/>
    <w:rsid w:val="002229A1"/>
    <w:rsid w:val="00223258"/>
    <w:rsid w:val="00223422"/>
    <w:rsid w:val="00223F0A"/>
    <w:rsid w:val="00225DF5"/>
    <w:rsid w:val="0022668E"/>
    <w:rsid w:val="00226D69"/>
    <w:rsid w:val="00227B2E"/>
    <w:rsid w:val="002306F8"/>
    <w:rsid w:val="0023262E"/>
    <w:rsid w:val="0023299A"/>
    <w:rsid w:val="002344DC"/>
    <w:rsid w:val="00236E35"/>
    <w:rsid w:val="002404EF"/>
    <w:rsid w:val="00240A17"/>
    <w:rsid w:val="00241509"/>
    <w:rsid w:val="002459CE"/>
    <w:rsid w:val="00246706"/>
    <w:rsid w:val="00246FE8"/>
    <w:rsid w:val="00247B7A"/>
    <w:rsid w:val="0025192B"/>
    <w:rsid w:val="00252550"/>
    <w:rsid w:val="002535F0"/>
    <w:rsid w:val="00256427"/>
    <w:rsid w:val="00256AF0"/>
    <w:rsid w:val="00261E67"/>
    <w:rsid w:val="0026624A"/>
    <w:rsid w:val="002669CF"/>
    <w:rsid w:val="00271677"/>
    <w:rsid w:val="002724F0"/>
    <w:rsid w:val="00274B35"/>
    <w:rsid w:val="0027544B"/>
    <w:rsid w:val="0027798E"/>
    <w:rsid w:val="00282DD4"/>
    <w:rsid w:val="002838ED"/>
    <w:rsid w:val="00287101"/>
    <w:rsid w:val="00290B03"/>
    <w:rsid w:val="00291879"/>
    <w:rsid w:val="00293677"/>
    <w:rsid w:val="00294A5B"/>
    <w:rsid w:val="002953C7"/>
    <w:rsid w:val="00296080"/>
    <w:rsid w:val="002A45F1"/>
    <w:rsid w:val="002A4D27"/>
    <w:rsid w:val="002A636C"/>
    <w:rsid w:val="002B01A1"/>
    <w:rsid w:val="002B1094"/>
    <w:rsid w:val="002B27B8"/>
    <w:rsid w:val="002B2DDA"/>
    <w:rsid w:val="002B6387"/>
    <w:rsid w:val="002B64E7"/>
    <w:rsid w:val="002C07A1"/>
    <w:rsid w:val="002C1410"/>
    <w:rsid w:val="002C1E7E"/>
    <w:rsid w:val="002C4588"/>
    <w:rsid w:val="002C4936"/>
    <w:rsid w:val="002C65FD"/>
    <w:rsid w:val="002D307A"/>
    <w:rsid w:val="002D4926"/>
    <w:rsid w:val="002D4C3B"/>
    <w:rsid w:val="002D6450"/>
    <w:rsid w:val="002D7684"/>
    <w:rsid w:val="002D79F9"/>
    <w:rsid w:val="002E1BDC"/>
    <w:rsid w:val="002E1F31"/>
    <w:rsid w:val="002E51C2"/>
    <w:rsid w:val="002E7EE8"/>
    <w:rsid w:val="002F1711"/>
    <w:rsid w:val="002F62A7"/>
    <w:rsid w:val="002F7983"/>
    <w:rsid w:val="002F7D6A"/>
    <w:rsid w:val="003010DE"/>
    <w:rsid w:val="003012EF"/>
    <w:rsid w:val="00304FA9"/>
    <w:rsid w:val="00307464"/>
    <w:rsid w:val="00310CD1"/>
    <w:rsid w:val="00313356"/>
    <w:rsid w:val="003159CE"/>
    <w:rsid w:val="00317092"/>
    <w:rsid w:val="003170DF"/>
    <w:rsid w:val="00321095"/>
    <w:rsid w:val="00325A0E"/>
    <w:rsid w:val="00331713"/>
    <w:rsid w:val="0033434E"/>
    <w:rsid w:val="00334413"/>
    <w:rsid w:val="00340FA5"/>
    <w:rsid w:val="003410C3"/>
    <w:rsid w:val="00341BEF"/>
    <w:rsid w:val="00342156"/>
    <w:rsid w:val="00344008"/>
    <w:rsid w:val="0034559B"/>
    <w:rsid w:val="00352227"/>
    <w:rsid w:val="00352338"/>
    <w:rsid w:val="003533B0"/>
    <w:rsid w:val="0035466D"/>
    <w:rsid w:val="00355CE1"/>
    <w:rsid w:val="00356E85"/>
    <w:rsid w:val="00361D22"/>
    <w:rsid w:val="003625DC"/>
    <w:rsid w:val="003645F4"/>
    <w:rsid w:val="003647C1"/>
    <w:rsid w:val="0036514D"/>
    <w:rsid w:val="003664EE"/>
    <w:rsid w:val="00367C46"/>
    <w:rsid w:val="003703CD"/>
    <w:rsid w:val="00372C38"/>
    <w:rsid w:val="00373820"/>
    <w:rsid w:val="00374AEA"/>
    <w:rsid w:val="003772C9"/>
    <w:rsid w:val="00380EAB"/>
    <w:rsid w:val="00381137"/>
    <w:rsid w:val="003829C3"/>
    <w:rsid w:val="003831BD"/>
    <w:rsid w:val="0038793E"/>
    <w:rsid w:val="00394C42"/>
    <w:rsid w:val="003960D7"/>
    <w:rsid w:val="003A0F10"/>
    <w:rsid w:val="003A1498"/>
    <w:rsid w:val="003A48C7"/>
    <w:rsid w:val="003A4A3E"/>
    <w:rsid w:val="003B0C52"/>
    <w:rsid w:val="003B0CC7"/>
    <w:rsid w:val="003B53B6"/>
    <w:rsid w:val="003C0031"/>
    <w:rsid w:val="003C011E"/>
    <w:rsid w:val="003C02FE"/>
    <w:rsid w:val="003C04ED"/>
    <w:rsid w:val="003C06F9"/>
    <w:rsid w:val="003C2ABE"/>
    <w:rsid w:val="003C4549"/>
    <w:rsid w:val="003C5F93"/>
    <w:rsid w:val="003D23C7"/>
    <w:rsid w:val="003D2473"/>
    <w:rsid w:val="003D5956"/>
    <w:rsid w:val="003D682B"/>
    <w:rsid w:val="003D6967"/>
    <w:rsid w:val="003D7315"/>
    <w:rsid w:val="003D7CD5"/>
    <w:rsid w:val="003E205D"/>
    <w:rsid w:val="003E3598"/>
    <w:rsid w:val="003E3EBF"/>
    <w:rsid w:val="003E565D"/>
    <w:rsid w:val="003E6475"/>
    <w:rsid w:val="003E6F7E"/>
    <w:rsid w:val="003F30F4"/>
    <w:rsid w:val="003F31D5"/>
    <w:rsid w:val="003F58CF"/>
    <w:rsid w:val="0040191E"/>
    <w:rsid w:val="00402B8F"/>
    <w:rsid w:val="00403012"/>
    <w:rsid w:val="00404787"/>
    <w:rsid w:val="0040670F"/>
    <w:rsid w:val="00407CAE"/>
    <w:rsid w:val="00410519"/>
    <w:rsid w:val="00411324"/>
    <w:rsid w:val="00412201"/>
    <w:rsid w:val="00412783"/>
    <w:rsid w:val="004140A6"/>
    <w:rsid w:val="00415351"/>
    <w:rsid w:val="00415695"/>
    <w:rsid w:val="00416DE5"/>
    <w:rsid w:val="00417BEE"/>
    <w:rsid w:val="00417CF9"/>
    <w:rsid w:val="00423E0B"/>
    <w:rsid w:val="004259BA"/>
    <w:rsid w:val="00433A04"/>
    <w:rsid w:val="0043402B"/>
    <w:rsid w:val="00436ACF"/>
    <w:rsid w:val="00437B77"/>
    <w:rsid w:val="00440A11"/>
    <w:rsid w:val="004433B2"/>
    <w:rsid w:val="00443C3F"/>
    <w:rsid w:val="00444169"/>
    <w:rsid w:val="00444F6A"/>
    <w:rsid w:val="00450BFF"/>
    <w:rsid w:val="00451948"/>
    <w:rsid w:val="0045201E"/>
    <w:rsid w:val="004540AE"/>
    <w:rsid w:val="00454B17"/>
    <w:rsid w:val="00455E26"/>
    <w:rsid w:val="00456782"/>
    <w:rsid w:val="004576B9"/>
    <w:rsid w:val="004600F3"/>
    <w:rsid w:val="00460746"/>
    <w:rsid w:val="00460979"/>
    <w:rsid w:val="004618CB"/>
    <w:rsid w:val="004630C4"/>
    <w:rsid w:val="00463C1C"/>
    <w:rsid w:val="004656A6"/>
    <w:rsid w:val="00467044"/>
    <w:rsid w:val="00470B71"/>
    <w:rsid w:val="004710BA"/>
    <w:rsid w:val="00471688"/>
    <w:rsid w:val="0047587C"/>
    <w:rsid w:val="00476E27"/>
    <w:rsid w:val="00476EE4"/>
    <w:rsid w:val="004777ED"/>
    <w:rsid w:val="0048169F"/>
    <w:rsid w:val="00482905"/>
    <w:rsid w:val="00485C7C"/>
    <w:rsid w:val="004914D6"/>
    <w:rsid w:val="00491EF6"/>
    <w:rsid w:val="00492BB6"/>
    <w:rsid w:val="0049394B"/>
    <w:rsid w:val="00493F18"/>
    <w:rsid w:val="00496A14"/>
    <w:rsid w:val="004978E0"/>
    <w:rsid w:val="004A2553"/>
    <w:rsid w:val="004A278C"/>
    <w:rsid w:val="004A394B"/>
    <w:rsid w:val="004A44EE"/>
    <w:rsid w:val="004A5AD7"/>
    <w:rsid w:val="004A5DD4"/>
    <w:rsid w:val="004A6F24"/>
    <w:rsid w:val="004A7A82"/>
    <w:rsid w:val="004B09B9"/>
    <w:rsid w:val="004B0CBB"/>
    <w:rsid w:val="004B103F"/>
    <w:rsid w:val="004B46A2"/>
    <w:rsid w:val="004B4C5F"/>
    <w:rsid w:val="004B4CCB"/>
    <w:rsid w:val="004B4E53"/>
    <w:rsid w:val="004B58B0"/>
    <w:rsid w:val="004B5DCB"/>
    <w:rsid w:val="004B75F5"/>
    <w:rsid w:val="004C1FF1"/>
    <w:rsid w:val="004C2E8E"/>
    <w:rsid w:val="004C2F5F"/>
    <w:rsid w:val="004C4213"/>
    <w:rsid w:val="004C6341"/>
    <w:rsid w:val="004C6AEB"/>
    <w:rsid w:val="004D64E4"/>
    <w:rsid w:val="004D6D09"/>
    <w:rsid w:val="004D7382"/>
    <w:rsid w:val="004D7DF6"/>
    <w:rsid w:val="004E0C32"/>
    <w:rsid w:val="004E354F"/>
    <w:rsid w:val="004E4A7B"/>
    <w:rsid w:val="004E538D"/>
    <w:rsid w:val="004E58A4"/>
    <w:rsid w:val="004E6435"/>
    <w:rsid w:val="004E6B39"/>
    <w:rsid w:val="004F0016"/>
    <w:rsid w:val="004F1985"/>
    <w:rsid w:val="004F24BE"/>
    <w:rsid w:val="004F4FB9"/>
    <w:rsid w:val="004F6B2C"/>
    <w:rsid w:val="0050011A"/>
    <w:rsid w:val="00501A4A"/>
    <w:rsid w:val="005027E7"/>
    <w:rsid w:val="0050287B"/>
    <w:rsid w:val="00505EC1"/>
    <w:rsid w:val="00507C7B"/>
    <w:rsid w:val="00512016"/>
    <w:rsid w:val="005125D8"/>
    <w:rsid w:val="0051274B"/>
    <w:rsid w:val="00512F7E"/>
    <w:rsid w:val="0051465E"/>
    <w:rsid w:val="005166A4"/>
    <w:rsid w:val="00516D0B"/>
    <w:rsid w:val="00521F73"/>
    <w:rsid w:val="005335B0"/>
    <w:rsid w:val="0053606D"/>
    <w:rsid w:val="00536E18"/>
    <w:rsid w:val="00542582"/>
    <w:rsid w:val="00544976"/>
    <w:rsid w:val="00546BB9"/>
    <w:rsid w:val="00547CEA"/>
    <w:rsid w:val="00552A8D"/>
    <w:rsid w:val="005535AE"/>
    <w:rsid w:val="00554A3F"/>
    <w:rsid w:val="0055556A"/>
    <w:rsid w:val="00557C05"/>
    <w:rsid w:val="00560268"/>
    <w:rsid w:val="0056125C"/>
    <w:rsid w:val="00562462"/>
    <w:rsid w:val="00562B7A"/>
    <w:rsid w:val="00562EBC"/>
    <w:rsid w:val="005631F1"/>
    <w:rsid w:val="00570A34"/>
    <w:rsid w:val="00571E03"/>
    <w:rsid w:val="005739DC"/>
    <w:rsid w:val="005756B7"/>
    <w:rsid w:val="00584ABD"/>
    <w:rsid w:val="00595C4A"/>
    <w:rsid w:val="005968A2"/>
    <w:rsid w:val="00596F96"/>
    <w:rsid w:val="005A0451"/>
    <w:rsid w:val="005A0AAD"/>
    <w:rsid w:val="005A0C6C"/>
    <w:rsid w:val="005A2249"/>
    <w:rsid w:val="005A4A28"/>
    <w:rsid w:val="005A7F8B"/>
    <w:rsid w:val="005B1021"/>
    <w:rsid w:val="005B2510"/>
    <w:rsid w:val="005B52D8"/>
    <w:rsid w:val="005B5822"/>
    <w:rsid w:val="005B7015"/>
    <w:rsid w:val="005B7202"/>
    <w:rsid w:val="005B78FC"/>
    <w:rsid w:val="005C0E1E"/>
    <w:rsid w:val="005C1D2F"/>
    <w:rsid w:val="005C3CBD"/>
    <w:rsid w:val="005C4538"/>
    <w:rsid w:val="005C52DB"/>
    <w:rsid w:val="005C6161"/>
    <w:rsid w:val="005C6C5E"/>
    <w:rsid w:val="005C6FBC"/>
    <w:rsid w:val="005D2331"/>
    <w:rsid w:val="005D49B7"/>
    <w:rsid w:val="005D49D6"/>
    <w:rsid w:val="005D4B58"/>
    <w:rsid w:val="005D586B"/>
    <w:rsid w:val="005E0BFB"/>
    <w:rsid w:val="005E33CD"/>
    <w:rsid w:val="005E5B2B"/>
    <w:rsid w:val="005E5C4F"/>
    <w:rsid w:val="005E6ED6"/>
    <w:rsid w:val="005E74CE"/>
    <w:rsid w:val="005E79DE"/>
    <w:rsid w:val="005F151F"/>
    <w:rsid w:val="005F7834"/>
    <w:rsid w:val="005F78DF"/>
    <w:rsid w:val="00600D88"/>
    <w:rsid w:val="00602720"/>
    <w:rsid w:val="00605171"/>
    <w:rsid w:val="00605826"/>
    <w:rsid w:val="00605BD9"/>
    <w:rsid w:val="0060638C"/>
    <w:rsid w:val="0060680B"/>
    <w:rsid w:val="00606A4D"/>
    <w:rsid w:val="00610C0E"/>
    <w:rsid w:val="00611972"/>
    <w:rsid w:val="006125FD"/>
    <w:rsid w:val="00613E7F"/>
    <w:rsid w:val="00614FBA"/>
    <w:rsid w:val="00615D81"/>
    <w:rsid w:val="006164E7"/>
    <w:rsid w:val="00616577"/>
    <w:rsid w:val="00621998"/>
    <w:rsid w:val="00621C03"/>
    <w:rsid w:val="0062232C"/>
    <w:rsid w:val="006232BB"/>
    <w:rsid w:val="006239DF"/>
    <w:rsid w:val="00624B2C"/>
    <w:rsid w:val="00624F9A"/>
    <w:rsid w:val="00626095"/>
    <w:rsid w:val="006261AF"/>
    <w:rsid w:val="00627382"/>
    <w:rsid w:val="0063299D"/>
    <w:rsid w:val="006335DC"/>
    <w:rsid w:val="00634D85"/>
    <w:rsid w:val="00635992"/>
    <w:rsid w:val="00637599"/>
    <w:rsid w:val="00637824"/>
    <w:rsid w:val="00637DAE"/>
    <w:rsid w:val="006411D9"/>
    <w:rsid w:val="006411E6"/>
    <w:rsid w:val="0064185D"/>
    <w:rsid w:val="006424A8"/>
    <w:rsid w:val="00645E57"/>
    <w:rsid w:val="00646CB3"/>
    <w:rsid w:val="006478AC"/>
    <w:rsid w:val="00650955"/>
    <w:rsid w:val="00653AB1"/>
    <w:rsid w:val="00656E39"/>
    <w:rsid w:val="0065744E"/>
    <w:rsid w:val="00657FEE"/>
    <w:rsid w:val="006636BD"/>
    <w:rsid w:val="00667B19"/>
    <w:rsid w:val="0067284D"/>
    <w:rsid w:val="0067582D"/>
    <w:rsid w:val="00676B4C"/>
    <w:rsid w:val="00677982"/>
    <w:rsid w:val="0068074E"/>
    <w:rsid w:val="00683BDE"/>
    <w:rsid w:val="006853C5"/>
    <w:rsid w:val="00690068"/>
    <w:rsid w:val="00690453"/>
    <w:rsid w:val="00690733"/>
    <w:rsid w:val="00690D93"/>
    <w:rsid w:val="0069326E"/>
    <w:rsid w:val="00694D4F"/>
    <w:rsid w:val="006955ED"/>
    <w:rsid w:val="006959A1"/>
    <w:rsid w:val="00697DAF"/>
    <w:rsid w:val="006A4D8C"/>
    <w:rsid w:val="006B0B69"/>
    <w:rsid w:val="006B142C"/>
    <w:rsid w:val="006B2D30"/>
    <w:rsid w:val="006B48A7"/>
    <w:rsid w:val="006B5BC3"/>
    <w:rsid w:val="006C0CE4"/>
    <w:rsid w:val="006C2577"/>
    <w:rsid w:val="006C30CC"/>
    <w:rsid w:val="006C3FBF"/>
    <w:rsid w:val="006C4B1B"/>
    <w:rsid w:val="006C5191"/>
    <w:rsid w:val="006C6CFF"/>
    <w:rsid w:val="006C7356"/>
    <w:rsid w:val="006C7671"/>
    <w:rsid w:val="006D1030"/>
    <w:rsid w:val="006D1795"/>
    <w:rsid w:val="006D4188"/>
    <w:rsid w:val="006D6CC6"/>
    <w:rsid w:val="006D7100"/>
    <w:rsid w:val="006D79AA"/>
    <w:rsid w:val="006E7493"/>
    <w:rsid w:val="006E7DCB"/>
    <w:rsid w:val="006E7E6A"/>
    <w:rsid w:val="006F0967"/>
    <w:rsid w:val="006F10DE"/>
    <w:rsid w:val="006F6332"/>
    <w:rsid w:val="006F7975"/>
    <w:rsid w:val="0070010A"/>
    <w:rsid w:val="007011CC"/>
    <w:rsid w:val="007018F1"/>
    <w:rsid w:val="00702C8B"/>
    <w:rsid w:val="00702EAF"/>
    <w:rsid w:val="007031A4"/>
    <w:rsid w:val="0070410E"/>
    <w:rsid w:val="007062D4"/>
    <w:rsid w:val="00707D0B"/>
    <w:rsid w:val="0071176C"/>
    <w:rsid w:val="007144B3"/>
    <w:rsid w:val="007145AD"/>
    <w:rsid w:val="007159FB"/>
    <w:rsid w:val="007167F5"/>
    <w:rsid w:val="007209C0"/>
    <w:rsid w:val="00720AB4"/>
    <w:rsid w:val="00722E63"/>
    <w:rsid w:val="00722FE3"/>
    <w:rsid w:val="00725EB8"/>
    <w:rsid w:val="00726497"/>
    <w:rsid w:val="0073000F"/>
    <w:rsid w:val="00730DCD"/>
    <w:rsid w:val="007330AE"/>
    <w:rsid w:val="0073376E"/>
    <w:rsid w:val="007340E6"/>
    <w:rsid w:val="007347C1"/>
    <w:rsid w:val="00735E11"/>
    <w:rsid w:val="007404E6"/>
    <w:rsid w:val="007458F8"/>
    <w:rsid w:val="0075074E"/>
    <w:rsid w:val="0075078E"/>
    <w:rsid w:val="0075083F"/>
    <w:rsid w:val="00753E62"/>
    <w:rsid w:val="007561CA"/>
    <w:rsid w:val="00757F6E"/>
    <w:rsid w:val="007630E3"/>
    <w:rsid w:val="007636BF"/>
    <w:rsid w:val="0076748E"/>
    <w:rsid w:val="007710AF"/>
    <w:rsid w:val="00774D58"/>
    <w:rsid w:val="0077537B"/>
    <w:rsid w:val="00776883"/>
    <w:rsid w:val="00777932"/>
    <w:rsid w:val="00777A9A"/>
    <w:rsid w:val="007819DF"/>
    <w:rsid w:val="00784941"/>
    <w:rsid w:val="00786410"/>
    <w:rsid w:val="007901B9"/>
    <w:rsid w:val="00790A34"/>
    <w:rsid w:val="00796B49"/>
    <w:rsid w:val="007A3FC7"/>
    <w:rsid w:val="007A47B0"/>
    <w:rsid w:val="007B05F9"/>
    <w:rsid w:val="007B1FE6"/>
    <w:rsid w:val="007B3A4F"/>
    <w:rsid w:val="007B4BD6"/>
    <w:rsid w:val="007C1856"/>
    <w:rsid w:val="007C2614"/>
    <w:rsid w:val="007D0A4D"/>
    <w:rsid w:val="007D0B13"/>
    <w:rsid w:val="007D1E71"/>
    <w:rsid w:val="007D3061"/>
    <w:rsid w:val="007D4599"/>
    <w:rsid w:val="007D5EBA"/>
    <w:rsid w:val="007D7A08"/>
    <w:rsid w:val="007E0898"/>
    <w:rsid w:val="007E2A81"/>
    <w:rsid w:val="007E3514"/>
    <w:rsid w:val="007E44F5"/>
    <w:rsid w:val="007E481F"/>
    <w:rsid w:val="007F1C4C"/>
    <w:rsid w:val="007F212D"/>
    <w:rsid w:val="007F6A69"/>
    <w:rsid w:val="007F7CBE"/>
    <w:rsid w:val="008005DF"/>
    <w:rsid w:val="008025F7"/>
    <w:rsid w:val="00804FB9"/>
    <w:rsid w:val="00806393"/>
    <w:rsid w:val="008064EE"/>
    <w:rsid w:val="00806971"/>
    <w:rsid w:val="00806FA7"/>
    <w:rsid w:val="00807362"/>
    <w:rsid w:val="00807BD1"/>
    <w:rsid w:val="00810F61"/>
    <w:rsid w:val="00811EFF"/>
    <w:rsid w:val="00812155"/>
    <w:rsid w:val="00812613"/>
    <w:rsid w:val="00814DA8"/>
    <w:rsid w:val="008151F9"/>
    <w:rsid w:val="00815D38"/>
    <w:rsid w:val="00815EAC"/>
    <w:rsid w:val="00820F44"/>
    <w:rsid w:val="008239D2"/>
    <w:rsid w:val="0082504E"/>
    <w:rsid w:val="00825681"/>
    <w:rsid w:val="008258EF"/>
    <w:rsid w:val="00827632"/>
    <w:rsid w:val="00831042"/>
    <w:rsid w:val="00833854"/>
    <w:rsid w:val="00836E5D"/>
    <w:rsid w:val="0083771B"/>
    <w:rsid w:val="00837ABB"/>
    <w:rsid w:val="008402B5"/>
    <w:rsid w:val="00840961"/>
    <w:rsid w:val="0084202A"/>
    <w:rsid w:val="008453D2"/>
    <w:rsid w:val="008472F8"/>
    <w:rsid w:val="00847A80"/>
    <w:rsid w:val="0085095D"/>
    <w:rsid w:val="0085387A"/>
    <w:rsid w:val="0085388D"/>
    <w:rsid w:val="00854836"/>
    <w:rsid w:val="00857A0A"/>
    <w:rsid w:val="0086068A"/>
    <w:rsid w:val="008619EC"/>
    <w:rsid w:val="008625A0"/>
    <w:rsid w:val="0086278A"/>
    <w:rsid w:val="00862D6A"/>
    <w:rsid w:val="00864338"/>
    <w:rsid w:val="008723E6"/>
    <w:rsid w:val="008745B4"/>
    <w:rsid w:val="008746D6"/>
    <w:rsid w:val="00874D35"/>
    <w:rsid w:val="00874E5F"/>
    <w:rsid w:val="0087581E"/>
    <w:rsid w:val="00881254"/>
    <w:rsid w:val="00881391"/>
    <w:rsid w:val="008849C4"/>
    <w:rsid w:val="00885DCA"/>
    <w:rsid w:val="00886FBF"/>
    <w:rsid w:val="00895A24"/>
    <w:rsid w:val="00895B91"/>
    <w:rsid w:val="008973E5"/>
    <w:rsid w:val="008A224A"/>
    <w:rsid w:val="008A3591"/>
    <w:rsid w:val="008A5586"/>
    <w:rsid w:val="008A6566"/>
    <w:rsid w:val="008A65B5"/>
    <w:rsid w:val="008A6A51"/>
    <w:rsid w:val="008A77B3"/>
    <w:rsid w:val="008B0426"/>
    <w:rsid w:val="008B5A86"/>
    <w:rsid w:val="008C0879"/>
    <w:rsid w:val="008C281A"/>
    <w:rsid w:val="008C42A6"/>
    <w:rsid w:val="008C6093"/>
    <w:rsid w:val="008C7173"/>
    <w:rsid w:val="008C781B"/>
    <w:rsid w:val="008C7FB0"/>
    <w:rsid w:val="008D0371"/>
    <w:rsid w:val="008D048C"/>
    <w:rsid w:val="008D1C33"/>
    <w:rsid w:val="008D2DDF"/>
    <w:rsid w:val="008D3FC0"/>
    <w:rsid w:val="008D4762"/>
    <w:rsid w:val="008D6C52"/>
    <w:rsid w:val="008E2318"/>
    <w:rsid w:val="008E3AF5"/>
    <w:rsid w:val="008E4014"/>
    <w:rsid w:val="008E4E20"/>
    <w:rsid w:val="008F0DCD"/>
    <w:rsid w:val="008F1019"/>
    <w:rsid w:val="008F11BE"/>
    <w:rsid w:val="008F3BC5"/>
    <w:rsid w:val="008F4266"/>
    <w:rsid w:val="0090356F"/>
    <w:rsid w:val="00903803"/>
    <w:rsid w:val="009050CD"/>
    <w:rsid w:val="00905F31"/>
    <w:rsid w:val="009126B8"/>
    <w:rsid w:val="009141F6"/>
    <w:rsid w:val="00915A02"/>
    <w:rsid w:val="00916772"/>
    <w:rsid w:val="00920CBC"/>
    <w:rsid w:val="00922317"/>
    <w:rsid w:val="0092325E"/>
    <w:rsid w:val="0092699B"/>
    <w:rsid w:val="00927495"/>
    <w:rsid w:val="0092793D"/>
    <w:rsid w:val="00933D9E"/>
    <w:rsid w:val="00937AA5"/>
    <w:rsid w:val="009418CB"/>
    <w:rsid w:val="00945BCD"/>
    <w:rsid w:val="00950D90"/>
    <w:rsid w:val="00951573"/>
    <w:rsid w:val="00952743"/>
    <w:rsid w:val="009550B0"/>
    <w:rsid w:val="0096089B"/>
    <w:rsid w:val="00960ECD"/>
    <w:rsid w:val="00963130"/>
    <w:rsid w:val="00963D9E"/>
    <w:rsid w:val="0096459D"/>
    <w:rsid w:val="009659D9"/>
    <w:rsid w:val="00966EF2"/>
    <w:rsid w:val="00973309"/>
    <w:rsid w:val="009743F5"/>
    <w:rsid w:val="00976223"/>
    <w:rsid w:val="00977BEC"/>
    <w:rsid w:val="009805E0"/>
    <w:rsid w:val="009813CC"/>
    <w:rsid w:val="00984A0B"/>
    <w:rsid w:val="0098652A"/>
    <w:rsid w:val="009871E3"/>
    <w:rsid w:val="00987284"/>
    <w:rsid w:val="009903B5"/>
    <w:rsid w:val="00990BD8"/>
    <w:rsid w:val="009918E0"/>
    <w:rsid w:val="009972F4"/>
    <w:rsid w:val="009A013A"/>
    <w:rsid w:val="009A2ACE"/>
    <w:rsid w:val="009A32E5"/>
    <w:rsid w:val="009A3864"/>
    <w:rsid w:val="009A4F49"/>
    <w:rsid w:val="009A76C8"/>
    <w:rsid w:val="009A79A5"/>
    <w:rsid w:val="009B13C3"/>
    <w:rsid w:val="009B14E7"/>
    <w:rsid w:val="009B417F"/>
    <w:rsid w:val="009B4FD4"/>
    <w:rsid w:val="009B525F"/>
    <w:rsid w:val="009B53A2"/>
    <w:rsid w:val="009C1F10"/>
    <w:rsid w:val="009C24E4"/>
    <w:rsid w:val="009C4CCF"/>
    <w:rsid w:val="009C5108"/>
    <w:rsid w:val="009C5793"/>
    <w:rsid w:val="009C625C"/>
    <w:rsid w:val="009C7EEC"/>
    <w:rsid w:val="009D6ABD"/>
    <w:rsid w:val="009D7563"/>
    <w:rsid w:val="009E05B5"/>
    <w:rsid w:val="009E0D5A"/>
    <w:rsid w:val="009E2884"/>
    <w:rsid w:val="009E5158"/>
    <w:rsid w:val="009E56EA"/>
    <w:rsid w:val="009E7F98"/>
    <w:rsid w:val="009F194F"/>
    <w:rsid w:val="009F1C87"/>
    <w:rsid w:val="009F1FA3"/>
    <w:rsid w:val="009F2E75"/>
    <w:rsid w:val="009F4F4F"/>
    <w:rsid w:val="009F6089"/>
    <w:rsid w:val="009F6A86"/>
    <w:rsid w:val="00A01193"/>
    <w:rsid w:val="00A020FB"/>
    <w:rsid w:val="00A11BAC"/>
    <w:rsid w:val="00A12018"/>
    <w:rsid w:val="00A122F5"/>
    <w:rsid w:val="00A12962"/>
    <w:rsid w:val="00A13C34"/>
    <w:rsid w:val="00A168A0"/>
    <w:rsid w:val="00A17FDC"/>
    <w:rsid w:val="00A20DD4"/>
    <w:rsid w:val="00A213C5"/>
    <w:rsid w:val="00A214DD"/>
    <w:rsid w:val="00A27724"/>
    <w:rsid w:val="00A30EF2"/>
    <w:rsid w:val="00A31166"/>
    <w:rsid w:val="00A324C9"/>
    <w:rsid w:val="00A32B05"/>
    <w:rsid w:val="00A368A8"/>
    <w:rsid w:val="00A404C5"/>
    <w:rsid w:val="00A40AEA"/>
    <w:rsid w:val="00A45041"/>
    <w:rsid w:val="00A47EC9"/>
    <w:rsid w:val="00A5431E"/>
    <w:rsid w:val="00A54812"/>
    <w:rsid w:val="00A56196"/>
    <w:rsid w:val="00A56746"/>
    <w:rsid w:val="00A56A79"/>
    <w:rsid w:val="00A56B4B"/>
    <w:rsid w:val="00A571E8"/>
    <w:rsid w:val="00A60126"/>
    <w:rsid w:val="00A60127"/>
    <w:rsid w:val="00A604E4"/>
    <w:rsid w:val="00A6128F"/>
    <w:rsid w:val="00A62DA3"/>
    <w:rsid w:val="00A62ECD"/>
    <w:rsid w:val="00A63DFD"/>
    <w:rsid w:val="00A652FE"/>
    <w:rsid w:val="00A71C2E"/>
    <w:rsid w:val="00A733AA"/>
    <w:rsid w:val="00A74A9A"/>
    <w:rsid w:val="00A74F0A"/>
    <w:rsid w:val="00A7632E"/>
    <w:rsid w:val="00A77811"/>
    <w:rsid w:val="00A821ED"/>
    <w:rsid w:val="00A83AAD"/>
    <w:rsid w:val="00A8473E"/>
    <w:rsid w:val="00A954BD"/>
    <w:rsid w:val="00A96CE7"/>
    <w:rsid w:val="00AA277A"/>
    <w:rsid w:val="00AA3E47"/>
    <w:rsid w:val="00AA5B07"/>
    <w:rsid w:val="00AA6AFC"/>
    <w:rsid w:val="00AA7459"/>
    <w:rsid w:val="00AB01CA"/>
    <w:rsid w:val="00AB073D"/>
    <w:rsid w:val="00AB13E0"/>
    <w:rsid w:val="00AB43EF"/>
    <w:rsid w:val="00AB4EB8"/>
    <w:rsid w:val="00AB61A4"/>
    <w:rsid w:val="00AB725D"/>
    <w:rsid w:val="00AB7535"/>
    <w:rsid w:val="00AB7F4C"/>
    <w:rsid w:val="00AC1F00"/>
    <w:rsid w:val="00AC26F6"/>
    <w:rsid w:val="00AC315D"/>
    <w:rsid w:val="00AC58DA"/>
    <w:rsid w:val="00AC5A9E"/>
    <w:rsid w:val="00AC61AD"/>
    <w:rsid w:val="00AD0AF7"/>
    <w:rsid w:val="00AD2D60"/>
    <w:rsid w:val="00AE2409"/>
    <w:rsid w:val="00AE324F"/>
    <w:rsid w:val="00AE33AB"/>
    <w:rsid w:val="00AE441C"/>
    <w:rsid w:val="00AE6186"/>
    <w:rsid w:val="00AF00D0"/>
    <w:rsid w:val="00AF3DF8"/>
    <w:rsid w:val="00AF5485"/>
    <w:rsid w:val="00B02688"/>
    <w:rsid w:val="00B033FB"/>
    <w:rsid w:val="00B05684"/>
    <w:rsid w:val="00B12B40"/>
    <w:rsid w:val="00B12F83"/>
    <w:rsid w:val="00B13548"/>
    <w:rsid w:val="00B13B95"/>
    <w:rsid w:val="00B14A06"/>
    <w:rsid w:val="00B167A0"/>
    <w:rsid w:val="00B22551"/>
    <w:rsid w:val="00B2510C"/>
    <w:rsid w:val="00B253C9"/>
    <w:rsid w:val="00B26125"/>
    <w:rsid w:val="00B2632B"/>
    <w:rsid w:val="00B26CFF"/>
    <w:rsid w:val="00B277C9"/>
    <w:rsid w:val="00B320DD"/>
    <w:rsid w:val="00B33ED3"/>
    <w:rsid w:val="00B34FAC"/>
    <w:rsid w:val="00B35EC6"/>
    <w:rsid w:val="00B371F1"/>
    <w:rsid w:val="00B37288"/>
    <w:rsid w:val="00B40443"/>
    <w:rsid w:val="00B42846"/>
    <w:rsid w:val="00B42ADA"/>
    <w:rsid w:val="00B4360B"/>
    <w:rsid w:val="00B458E2"/>
    <w:rsid w:val="00B47727"/>
    <w:rsid w:val="00B51D2B"/>
    <w:rsid w:val="00B52909"/>
    <w:rsid w:val="00B52DB8"/>
    <w:rsid w:val="00B52E94"/>
    <w:rsid w:val="00B5305B"/>
    <w:rsid w:val="00B539B0"/>
    <w:rsid w:val="00B55485"/>
    <w:rsid w:val="00B60B8A"/>
    <w:rsid w:val="00B60F37"/>
    <w:rsid w:val="00B64FC6"/>
    <w:rsid w:val="00B67AEB"/>
    <w:rsid w:val="00B70811"/>
    <w:rsid w:val="00B7134A"/>
    <w:rsid w:val="00B71B1C"/>
    <w:rsid w:val="00B731CB"/>
    <w:rsid w:val="00B73296"/>
    <w:rsid w:val="00B75A0D"/>
    <w:rsid w:val="00B83CE1"/>
    <w:rsid w:val="00B86422"/>
    <w:rsid w:val="00B86A7D"/>
    <w:rsid w:val="00B87EDF"/>
    <w:rsid w:val="00B90486"/>
    <w:rsid w:val="00B905D8"/>
    <w:rsid w:val="00B9405A"/>
    <w:rsid w:val="00B9415D"/>
    <w:rsid w:val="00B95BE2"/>
    <w:rsid w:val="00B966E5"/>
    <w:rsid w:val="00B96E5F"/>
    <w:rsid w:val="00B97AB7"/>
    <w:rsid w:val="00BA346A"/>
    <w:rsid w:val="00BA45F2"/>
    <w:rsid w:val="00BB04ED"/>
    <w:rsid w:val="00BB0598"/>
    <w:rsid w:val="00BB15A0"/>
    <w:rsid w:val="00BB2A0F"/>
    <w:rsid w:val="00BB3D54"/>
    <w:rsid w:val="00BB7F40"/>
    <w:rsid w:val="00BC01DE"/>
    <w:rsid w:val="00BC0232"/>
    <w:rsid w:val="00BC2302"/>
    <w:rsid w:val="00BC3665"/>
    <w:rsid w:val="00BC59CC"/>
    <w:rsid w:val="00BC7581"/>
    <w:rsid w:val="00BD0EBB"/>
    <w:rsid w:val="00BD23E6"/>
    <w:rsid w:val="00BD4912"/>
    <w:rsid w:val="00BD74D1"/>
    <w:rsid w:val="00BE0F6C"/>
    <w:rsid w:val="00BE1F12"/>
    <w:rsid w:val="00BE5705"/>
    <w:rsid w:val="00BE6FFE"/>
    <w:rsid w:val="00BE7600"/>
    <w:rsid w:val="00BE792D"/>
    <w:rsid w:val="00BE7B5C"/>
    <w:rsid w:val="00BF0CBF"/>
    <w:rsid w:val="00BF0DFA"/>
    <w:rsid w:val="00BF3815"/>
    <w:rsid w:val="00BF44B8"/>
    <w:rsid w:val="00C00E95"/>
    <w:rsid w:val="00C011B0"/>
    <w:rsid w:val="00C0152D"/>
    <w:rsid w:val="00C0193B"/>
    <w:rsid w:val="00C02DAD"/>
    <w:rsid w:val="00C0545E"/>
    <w:rsid w:val="00C07821"/>
    <w:rsid w:val="00C07994"/>
    <w:rsid w:val="00C11954"/>
    <w:rsid w:val="00C136FC"/>
    <w:rsid w:val="00C14994"/>
    <w:rsid w:val="00C1513D"/>
    <w:rsid w:val="00C15AA5"/>
    <w:rsid w:val="00C15F3B"/>
    <w:rsid w:val="00C16B51"/>
    <w:rsid w:val="00C21DC7"/>
    <w:rsid w:val="00C244B8"/>
    <w:rsid w:val="00C246F6"/>
    <w:rsid w:val="00C24D70"/>
    <w:rsid w:val="00C2515A"/>
    <w:rsid w:val="00C260E2"/>
    <w:rsid w:val="00C30832"/>
    <w:rsid w:val="00C31329"/>
    <w:rsid w:val="00C3205A"/>
    <w:rsid w:val="00C33440"/>
    <w:rsid w:val="00C336E5"/>
    <w:rsid w:val="00C34AD2"/>
    <w:rsid w:val="00C35D47"/>
    <w:rsid w:val="00C37FFA"/>
    <w:rsid w:val="00C43A83"/>
    <w:rsid w:val="00C45179"/>
    <w:rsid w:val="00C4657D"/>
    <w:rsid w:val="00C47E40"/>
    <w:rsid w:val="00C522E8"/>
    <w:rsid w:val="00C52451"/>
    <w:rsid w:val="00C52B74"/>
    <w:rsid w:val="00C54579"/>
    <w:rsid w:val="00C54E42"/>
    <w:rsid w:val="00C55369"/>
    <w:rsid w:val="00C56BAB"/>
    <w:rsid w:val="00C62186"/>
    <w:rsid w:val="00C64D35"/>
    <w:rsid w:val="00C657B0"/>
    <w:rsid w:val="00C66A49"/>
    <w:rsid w:val="00C67426"/>
    <w:rsid w:val="00C6798D"/>
    <w:rsid w:val="00C7661C"/>
    <w:rsid w:val="00C77265"/>
    <w:rsid w:val="00C815F6"/>
    <w:rsid w:val="00C81734"/>
    <w:rsid w:val="00C82D5D"/>
    <w:rsid w:val="00C841FC"/>
    <w:rsid w:val="00C8494A"/>
    <w:rsid w:val="00C85D5F"/>
    <w:rsid w:val="00C864F3"/>
    <w:rsid w:val="00C87853"/>
    <w:rsid w:val="00C93157"/>
    <w:rsid w:val="00C933C4"/>
    <w:rsid w:val="00C93EA1"/>
    <w:rsid w:val="00C97E5C"/>
    <w:rsid w:val="00CA12F2"/>
    <w:rsid w:val="00CA27C3"/>
    <w:rsid w:val="00CA3587"/>
    <w:rsid w:val="00CA5BAE"/>
    <w:rsid w:val="00CB02FE"/>
    <w:rsid w:val="00CB0C6D"/>
    <w:rsid w:val="00CB2C35"/>
    <w:rsid w:val="00CB7625"/>
    <w:rsid w:val="00CC250A"/>
    <w:rsid w:val="00CC3B76"/>
    <w:rsid w:val="00CC4F21"/>
    <w:rsid w:val="00CD0E8D"/>
    <w:rsid w:val="00CE0C32"/>
    <w:rsid w:val="00CE1873"/>
    <w:rsid w:val="00CE6E5A"/>
    <w:rsid w:val="00CE74EF"/>
    <w:rsid w:val="00CF28BA"/>
    <w:rsid w:val="00CF4184"/>
    <w:rsid w:val="00CF568E"/>
    <w:rsid w:val="00CF6C14"/>
    <w:rsid w:val="00D00BA7"/>
    <w:rsid w:val="00D02781"/>
    <w:rsid w:val="00D0557D"/>
    <w:rsid w:val="00D062AF"/>
    <w:rsid w:val="00D06427"/>
    <w:rsid w:val="00D065DD"/>
    <w:rsid w:val="00D06D41"/>
    <w:rsid w:val="00D06DBD"/>
    <w:rsid w:val="00D10DF0"/>
    <w:rsid w:val="00D11407"/>
    <w:rsid w:val="00D13022"/>
    <w:rsid w:val="00D14B8B"/>
    <w:rsid w:val="00D20756"/>
    <w:rsid w:val="00D207BE"/>
    <w:rsid w:val="00D216E4"/>
    <w:rsid w:val="00D22AAF"/>
    <w:rsid w:val="00D2300E"/>
    <w:rsid w:val="00D26084"/>
    <w:rsid w:val="00D26BCE"/>
    <w:rsid w:val="00D26CC1"/>
    <w:rsid w:val="00D2726D"/>
    <w:rsid w:val="00D27CD8"/>
    <w:rsid w:val="00D27D54"/>
    <w:rsid w:val="00D30C28"/>
    <w:rsid w:val="00D33CEF"/>
    <w:rsid w:val="00D360C2"/>
    <w:rsid w:val="00D379A4"/>
    <w:rsid w:val="00D42073"/>
    <w:rsid w:val="00D44B2F"/>
    <w:rsid w:val="00D46919"/>
    <w:rsid w:val="00D46DA8"/>
    <w:rsid w:val="00D471BB"/>
    <w:rsid w:val="00D51904"/>
    <w:rsid w:val="00D51D3D"/>
    <w:rsid w:val="00D53A2F"/>
    <w:rsid w:val="00D60BDE"/>
    <w:rsid w:val="00D61AEF"/>
    <w:rsid w:val="00D621B5"/>
    <w:rsid w:val="00D63BB3"/>
    <w:rsid w:val="00D63E33"/>
    <w:rsid w:val="00D66ECC"/>
    <w:rsid w:val="00D6773B"/>
    <w:rsid w:val="00D72A8E"/>
    <w:rsid w:val="00D7447E"/>
    <w:rsid w:val="00D77DF5"/>
    <w:rsid w:val="00D80CAD"/>
    <w:rsid w:val="00D8171F"/>
    <w:rsid w:val="00D82D59"/>
    <w:rsid w:val="00D831E3"/>
    <w:rsid w:val="00D86B95"/>
    <w:rsid w:val="00D90156"/>
    <w:rsid w:val="00D9066F"/>
    <w:rsid w:val="00D91203"/>
    <w:rsid w:val="00D9191E"/>
    <w:rsid w:val="00D91946"/>
    <w:rsid w:val="00D9271A"/>
    <w:rsid w:val="00D952A4"/>
    <w:rsid w:val="00D95543"/>
    <w:rsid w:val="00D95D48"/>
    <w:rsid w:val="00D96480"/>
    <w:rsid w:val="00DA0F1F"/>
    <w:rsid w:val="00DA2869"/>
    <w:rsid w:val="00DA37CC"/>
    <w:rsid w:val="00DA388F"/>
    <w:rsid w:val="00DA401C"/>
    <w:rsid w:val="00DA41B4"/>
    <w:rsid w:val="00DA47BC"/>
    <w:rsid w:val="00DA6CF7"/>
    <w:rsid w:val="00DB3032"/>
    <w:rsid w:val="00DB356A"/>
    <w:rsid w:val="00DB394F"/>
    <w:rsid w:val="00DB4294"/>
    <w:rsid w:val="00DB43A2"/>
    <w:rsid w:val="00DB446E"/>
    <w:rsid w:val="00DB68B6"/>
    <w:rsid w:val="00DC2994"/>
    <w:rsid w:val="00DC4D3E"/>
    <w:rsid w:val="00DC68C9"/>
    <w:rsid w:val="00DC6D4B"/>
    <w:rsid w:val="00DC74E3"/>
    <w:rsid w:val="00DD05B8"/>
    <w:rsid w:val="00DD0EBE"/>
    <w:rsid w:val="00DD2479"/>
    <w:rsid w:val="00DD2562"/>
    <w:rsid w:val="00DD5765"/>
    <w:rsid w:val="00DD6006"/>
    <w:rsid w:val="00DE2750"/>
    <w:rsid w:val="00DE50AC"/>
    <w:rsid w:val="00DE592D"/>
    <w:rsid w:val="00DE5FA7"/>
    <w:rsid w:val="00DE7CAF"/>
    <w:rsid w:val="00DF0E81"/>
    <w:rsid w:val="00DF0EAF"/>
    <w:rsid w:val="00DF2B56"/>
    <w:rsid w:val="00DF2E96"/>
    <w:rsid w:val="00DF3B96"/>
    <w:rsid w:val="00DF539F"/>
    <w:rsid w:val="00DF579D"/>
    <w:rsid w:val="00DF66A1"/>
    <w:rsid w:val="00E00B01"/>
    <w:rsid w:val="00E011AA"/>
    <w:rsid w:val="00E01891"/>
    <w:rsid w:val="00E022ED"/>
    <w:rsid w:val="00E02BCD"/>
    <w:rsid w:val="00E03DF5"/>
    <w:rsid w:val="00E04A83"/>
    <w:rsid w:val="00E053E3"/>
    <w:rsid w:val="00E06E47"/>
    <w:rsid w:val="00E10C56"/>
    <w:rsid w:val="00E12393"/>
    <w:rsid w:val="00E13474"/>
    <w:rsid w:val="00E13D2E"/>
    <w:rsid w:val="00E141B5"/>
    <w:rsid w:val="00E14979"/>
    <w:rsid w:val="00E16800"/>
    <w:rsid w:val="00E1784A"/>
    <w:rsid w:val="00E17EDB"/>
    <w:rsid w:val="00E20104"/>
    <w:rsid w:val="00E20436"/>
    <w:rsid w:val="00E20D3E"/>
    <w:rsid w:val="00E21955"/>
    <w:rsid w:val="00E23E94"/>
    <w:rsid w:val="00E246CE"/>
    <w:rsid w:val="00E26E47"/>
    <w:rsid w:val="00E273E3"/>
    <w:rsid w:val="00E307BE"/>
    <w:rsid w:val="00E318D7"/>
    <w:rsid w:val="00E36035"/>
    <w:rsid w:val="00E3634F"/>
    <w:rsid w:val="00E415C7"/>
    <w:rsid w:val="00E46475"/>
    <w:rsid w:val="00E477B2"/>
    <w:rsid w:val="00E47E41"/>
    <w:rsid w:val="00E5153F"/>
    <w:rsid w:val="00E51C65"/>
    <w:rsid w:val="00E51F51"/>
    <w:rsid w:val="00E529BD"/>
    <w:rsid w:val="00E55459"/>
    <w:rsid w:val="00E60CEE"/>
    <w:rsid w:val="00E63DFE"/>
    <w:rsid w:val="00E65894"/>
    <w:rsid w:val="00E668D0"/>
    <w:rsid w:val="00E67A80"/>
    <w:rsid w:val="00E71294"/>
    <w:rsid w:val="00E71AD7"/>
    <w:rsid w:val="00E7435E"/>
    <w:rsid w:val="00E75674"/>
    <w:rsid w:val="00E75791"/>
    <w:rsid w:val="00E771C2"/>
    <w:rsid w:val="00E77D8F"/>
    <w:rsid w:val="00E80431"/>
    <w:rsid w:val="00E812F7"/>
    <w:rsid w:val="00E81348"/>
    <w:rsid w:val="00E82175"/>
    <w:rsid w:val="00E83BB2"/>
    <w:rsid w:val="00E83E52"/>
    <w:rsid w:val="00E8486B"/>
    <w:rsid w:val="00E8516C"/>
    <w:rsid w:val="00E856BB"/>
    <w:rsid w:val="00E915CA"/>
    <w:rsid w:val="00E95EFE"/>
    <w:rsid w:val="00E96E73"/>
    <w:rsid w:val="00E97A42"/>
    <w:rsid w:val="00EA0256"/>
    <w:rsid w:val="00EA1279"/>
    <w:rsid w:val="00EA1C17"/>
    <w:rsid w:val="00EA1D54"/>
    <w:rsid w:val="00EA2324"/>
    <w:rsid w:val="00EA29A8"/>
    <w:rsid w:val="00EB0C8C"/>
    <w:rsid w:val="00EB1D7C"/>
    <w:rsid w:val="00EB251A"/>
    <w:rsid w:val="00EB3403"/>
    <w:rsid w:val="00EB344E"/>
    <w:rsid w:val="00EB40AD"/>
    <w:rsid w:val="00EB554D"/>
    <w:rsid w:val="00EB5AA0"/>
    <w:rsid w:val="00EB6829"/>
    <w:rsid w:val="00EC0A0A"/>
    <w:rsid w:val="00EC0CC7"/>
    <w:rsid w:val="00EC1B00"/>
    <w:rsid w:val="00EC1B38"/>
    <w:rsid w:val="00EC4235"/>
    <w:rsid w:val="00EC496F"/>
    <w:rsid w:val="00EC6654"/>
    <w:rsid w:val="00ED0B58"/>
    <w:rsid w:val="00ED3739"/>
    <w:rsid w:val="00ED3EA6"/>
    <w:rsid w:val="00ED52A2"/>
    <w:rsid w:val="00ED7B53"/>
    <w:rsid w:val="00EE167B"/>
    <w:rsid w:val="00EE3EA5"/>
    <w:rsid w:val="00EE477D"/>
    <w:rsid w:val="00EE5D76"/>
    <w:rsid w:val="00EE5E8E"/>
    <w:rsid w:val="00EF2425"/>
    <w:rsid w:val="00EF2A7C"/>
    <w:rsid w:val="00EF4139"/>
    <w:rsid w:val="00EF4CEF"/>
    <w:rsid w:val="00EF7528"/>
    <w:rsid w:val="00EF799E"/>
    <w:rsid w:val="00F014B7"/>
    <w:rsid w:val="00F02327"/>
    <w:rsid w:val="00F02AB7"/>
    <w:rsid w:val="00F037D2"/>
    <w:rsid w:val="00F05F66"/>
    <w:rsid w:val="00F10E44"/>
    <w:rsid w:val="00F12878"/>
    <w:rsid w:val="00F1356C"/>
    <w:rsid w:val="00F16C9F"/>
    <w:rsid w:val="00F24A49"/>
    <w:rsid w:val="00F24E4A"/>
    <w:rsid w:val="00F27FEA"/>
    <w:rsid w:val="00F27FF0"/>
    <w:rsid w:val="00F33F96"/>
    <w:rsid w:val="00F34338"/>
    <w:rsid w:val="00F35CE9"/>
    <w:rsid w:val="00F36A6C"/>
    <w:rsid w:val="00F41859"/>
    <w:rsid w:val="00F4384B"/>
    <w:rsid w:val="00F450F9"/>
    <w:rsid w:val="00F466D1"/>
    <w:rsid w:val="00F46A63"/>
    <w:rsid w:val="00F46EC8"/>
    <w:rsid w:val="00F53D45"/>
    <w:rsid w:val="00F55661"/>
    <w:rsid w:val="00F56CB8"/>
    <w:rsid w:val="00F57A4A"/>
    <w:rsid w:val="00F607CB"/>
    <w:rsid w:val="00F61619"/>
    <w:rsid w:val="00F61ACB"/>
    <w:rsid w:val="00F62D3B"/>
    <w:rsid w:val="00F62EF8"/>
    <w:rsid w:val="00F6537D"/>
    <w:rsid w:val="00F663A7"/>
    <w:rsid w:val="00F67712"/>
    <w:rsid w:val="00F71C98"/>
    <w:rsid w:val="00F72F29"/>
    <w:rsid w:val="00F73882"/>
    <w:rsid w:val="00F73D16"/>
    <w:rsid w:val="00F74240"/>
    <w:rsid w:val="00F74BD0"/>
    <w:rsid w:val="00F76460"/>
    <w:rsid w:val="00F77332"/>
    <w:rsid w:val="00F81DE7"/>
    <w:rsid w:val="00F83218"/>
    <w:rsid w:val="00F8422F"/>
    <w:rsid w:val="00F864FD"/>
    <w:rsid w:val="00F86F81"/>
    <w:rsid w:val="00F87BAA"/>
    <w:rsid w:val="00F902AA"/>
    <w:rsid w:val="00F91281"/>
    <w:rsid w:val="00F93A18"/>
    <w:rsid w:val="00F955BE"/>
    <w:rsid w:val="00F96BE2"/>
    <w:rsid w:val="00F96E7F"/>
    <w:rsid w:val="00F96F0F"/>
    <w:rsid w:val="00F96F1E"/>
    <w:rsid w:val="00FA0507"/>
    <w:rsid w:val="00FA0B70"/>
    <w:rsid w:val="00FA0E67"/>
    <w:rsid w:val="00FA2E31"/>
    <w:rsid w:val="00FA3886"/>
    <w:rsid w:val="00FA6B16"/>
    <w:rsid w:val="00FB0623"/>
    <w:rsid w:val="00FB3EDC"/>
    <w:rsid w:val="00FB684B"/>
    <w:rsid w:val="00FB72D2"/>
    <w:rsid w:val="00FC56C6"/>
    <w:rsid w:val="00FC7CA5"/>
    <w:rsid w:val="00FD1D04"/>
    <w:rsid w:val="00FD4200"/>
    <w:rsid w:val="00FD4B97"/>
    <w:rsid w:val="00FD6F90"/>
    <w:rsid w:val="00FE0A07"/>
    <w:rsid w:val="00FE5880"/>
    <w:rsid w:val="00FE6652"/>
    <w:rsid w:val="00FE6BBB"/>
    <w:rsid w:val="00FE711F"/>
    <w:rsid w:val="00FF1F3B"/>
    <w:rsid w:val="00FF3CAB"/>
    <w:rsid w:val="00FF415F"/>
    <w:rsid w:val="00FF4A92"/>
    <w:rsid w:val="00FF5DAC"/>
    <w:rsid w:val="00FF5EEC"/>
    <w:rsid w:val="08494B88"/>
    <w:rsid w:val="31F21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C4C5E"/>
  <w15:chartTrackingRefBased/>
  <w15:docId w15:val="{11CBFC3B-89B0-4D35-982A-3F9A1117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671"/>
  </w:style>
  <w:style w:type="paragraph" w:styleId="Heading1">
    <w:name w:val="heading 1"/>
    <w:basedOn w:val="Normal"/>
    <w:next w:val="Normal"/>
    <w:link w:val="Heading1Char"/>
    <w:uiPriority w:val="9"/>
    <w:qFormat/>
    <w:rsid w:val="007A47B0"/>
    <w:pPr>
      <w:keepNext/>
      <w:ind w:firstLine="720"/>
      <w:outlineLvl w:val="0"/>
    </w:pPr>
    <w:rPr>
      <w:rFonts w:ascii="Arial" w:hAnsi="Arial" w:cs="Arial"/>
      <w:i/>
      <w:iCs/>
      <w:sz w:val="20"/>
      <w:szCs w:val="20"/>
    </w:rPr>
  </w:style>
  <w:style w:type="paragraph" w:styleId="Heading2">
    <w:name w:val="heading 2"/>
    <w:basedOn w:val="Normal"/>
    <w:next w:val="Normal"/>
    <w:link w:val="Heading2Char"/>
    <w:uiPriority w:val="9"/>
    <w:unhideWhenUsed/>
    <w:qFormat/>
    <w:rsid w:val="00621C03"/>
    <w:pPr>
      <w:keepNext/>
      <w:spacing w:after="0" w:line="240" w:lineRule="auto"/>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720AB4"/>
    <w:pPr>
      <w:keepNext/>
      <w:widowControl w:val="0"/>
      <w:spacing w:after="0" w:line="240" w:lineRule="auto"/>
      <w:jc w:val="both"/>
      <w:outlineLvl w:val="2"/>
    </w:pPr>
    <w:rPr>
      <w:rFonts w:ascii="Arial" w:eastAsia="Calibri" w:hAnsi="Arial" w:cs="Arial"/>
      <w:b/>
      <w:bCs/>
    </w:rPr>
  </w:style>
  <w:style w:type="paragraph" w:styleId="Heading4">
    <w:name w:val="heading 4"/>
    <w:basedOn w:val="Normal"/>
    <w:next w:val="Normal"/>
    <w:link w:val="Heading4Char"/>
    <w:uiPriority w:val="9"/>
    <w:unhideWhenUsed/>
    <w:qFormat/>
    <w:rsid w:val="00C34AD2"/>
    <w:pPr>
      <w:keepNext/>
      <w:spacing w:after="0" w:line="240" w:lineRule="auto"/>
      <w:outlineLvl w:val="3"/>
    </w:pPr>
    <w:rPr>
      <w:rFonts w:ascii="Arial" w:eastAsia="Times New Roman" w:hAnsi="Arial" w:cs="Arial"/>
      <w:b/>
      <w:bCs/>
      <w:kern w:val="2"/>
    </w:rPr>
  </w:style>
  <w:style w:type="paragraph" w:styleId="Heading5">
    <w:name w:val="heading 5"/>
    <w:basedOn w:val="Normal"/>
    <w:next w:val="Normal"/>
    <w:link w:val="Heading5Char"/>
    <w:uiPriority w:val="9"/>
    <w:unhideWhenUsed/>
    <w:qFormat/>
    <w:rsid w:val="007C2614"/>
    <w:pPr>
      <w:keepNext/>
      <w:spacing w:after="0"/>
      <w:jc w:val="both"/>
      <w:outlineLvl w:val="4"/>
    </w:pPr>
    <w:rPr>
      <w:rFonts w:ascii="Arial" w:eastAsia="Verdana" w:hAnsi="Arial" w:cs="Arial"/>
      <w:b/>
      <w:bCs/>
      <w:sz w:val="28"/>
      <w:szCs w:val="28"/>
    </w:rPr>
  </w:style>
  <w:style w:type="paragraph" w:styleId="Heading6">
    <w:name w:val="heading 6"/>
    <w:basedOn w:val="Normal"/>
    <w:next w:val="Normal"/>
    <w:link w:val="Heading6Char"/>
    <w:uiPriority w:val="9"/>
    <w:unhideWhenUsed/>
    <w:qFormat/>
    <w:rsid w:val="00A45041"/>
    <w:pPr>
      <w:keepNext/>
      <w:spacing w:after="0"/>
      <w:ind w:firstLine="720"/>
      <w:jc w:val="both"/>
      <w:outlineLvl w:val="5"/>
    </w:pPr>
    <w:rPr>
      <w:rFonts w:ascii="Arial" w:hAnsi="Arial" w:cs="Arial"/>
      <w:i/>
      <w:iCs/>
      <w:sz w:val="20"/>
      <w:u w:val="single"/>
    </w:rPr>
  </w:style>
  <w:style w:type="paragraph" w:styleId="Heading7">
    <w:name w:val="heading 7"/>
    <w:basedOn w:val="Normal"/>
    <w:next w:val="Normal"/>
    <w:link w:val="Heading7Char"/>
    <w:uiPriority w:val="9"/>
    <w:unhideWhenUsed/>
    <w:qFormat/>
    <w:rsid w:val="00A45041"/>
    <w:pPr>
      <w:keepNext/>
      <w:spacing w:after="0"/>
      <w:ind w:left="-720"/>
      <w:jc w:val="both"/>
      <w:outlineLvl w:val="6"/>
    </w:pPr>
    <w:rPr>
      <w:rFonts w:ascii="Arial" w:eastAsia="Verdana" w:hAnsi="Arial" w:cs="Arial"/>
      <w:b/>
      <w:bCs/>
      <w:sz w:val="28"/>
      <w:szCs w:val="28"/>
    </w:rPr>
  </w:style>
  <w:style w:type="paragraph" w:styleId="Heading8">
    <w:name w:val="heading 8"/>
    <w:basedOn w:val="Normal"/>
    <w:next w:val="Normal"/>
    <w:link w:val="Heading8Char"/>
    <w:uiPriority w:val="9"/>
    <w:unhideWhenUsed/>
    <w:qFormat/>
    <w:rsid w:val="0049394B"/>
    <w:pPr>
      <w:keepNext/>
      <w:spacing w:after="0" w:line="240" w:lineRule="auto"/>
      <w:ind w:left="720"/>
      <w:jc w:val="both"/>
      <w:outlineLvl w:val="7"/>
    </w:pPr>
    <w:rPr>
      <w:rFonts w:ascii="Arial" w:hAnsi="Arial" w:cs="Arial"/>
      <w:i/>
      <w:iCs/>
      <w:u w:val="single"/>
    </w:rPr>
  </w:style>
  <w:style w:type="paragraph" w:styleId="Heading9">
    <w:name w:val="heading 9"/>
    <w:basedOn w:val="Normal"/>
    <w:next w:val="Normal"/>
    <w:link w:val="Heading9Char"/>
    <w:uiPriority w:val="9"/>
    <w:unhideWhenUsed/>
    <w:qFormat/>
    <w:rsid w:val="00AE324F"/>
    <w:pPr>
      <w:keepNext/>
      <w:spacing w:after="0" w:line="240" w:lineRule="auto"/>
      <w:jc w:val="center"/>
      <w:outlineLvl w:val="8"/>
    </w:pPr>
    <w:rPr>
      <w:rFonts w:asciiTheme="majorHAnsi" w:eastAsia="Verdana" w:hAnsiTheme="majorHAnsi" w:cstheme="majorHAns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ID">
    <w:name w:val="DocID"/>
    <w:basedOn w:val="Normal"/>
    <w:next w:val="Footer"/>
    <w:link w:val="DocIDChar"/>
    <w:rsid w:val="00B05684"/>
    <w:pPr>
      <w:spacing w:after="0" w:line="240" w:lineRule="auto"/>
    </w:pPr>
    <w:rPr>
      <w:rFonts w:ascii="Arial" w:hAnsi="Arial" w:cs="Arial"/>
      <w:color w:val="000000"/>
      <w:sz w:val="16"/>
    </w:rPr>
  </w:style>
  <w:style w:type="character" w:customStyle="1" w:styleId="DocIDChar">
    <w:name w:val="DocID Char"/>
    <w:basedOn w:val="DefaultParagraphFont"/>
    <w:link w:val="DocID"/>
    <w:rsid w:val="00B05684"/>
    <w:rPr>
      <w:rFonts w:ascii="Arial" w:hAnsi="Arial" w:cs="Arial"/>
      <w:color w:val="000000"/>
      <w:sz w:val="16"/>
    </w:rPr>
  </w:style>
  <w:style w:type="paragraph" w:styleId="Footer">
    <w:name w:val="footer"/>
    <w:basedOn w:val="Normal"/>
    <w:link w:val="FooterChar"/>
    <w:uiPriority w:val="99"/>
    <w:unhideWhenUsed/>
    <w:rsid w:val="00AB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5"/>
  </w:style>
  <w:style w:type="paragraph" w:styleId="Header">
    <w:name w:val="header"/>
    <w:basedOn w:val="Normal"/>
    <w:link w:val="HeaderChar"/>
    <w:uiPriority w:val="99"/>
    <w:unhideWhenUsed/>
    <w:rsid w:val="00AB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5"/>
  </w:style>
  <w:style w:type="paragraph" w:styleId="BalloonText">
    <w:name w:val="Balloon Text"/>
    <w:basedOn w:val="Normal"/>
    <w:link w:val="BalloonTextChar"/>
    <w:uiPriority w:val="99"/>
    <w:unhideWhenUsed/>
    <w:rsid w:val="00D6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C7671"/>
    <w:rPr>
      <w:rFonts w:ascii="Segoe UI" w:hAnsi="Segoe UI" w:cs="Segoe UI"/>
      <w:sz w:val="18"/>
      <w:szCs w:val="18"/>
    </w:rPr>
  </w:style>
  <w:style w:type="character" w:styleId="FootnoteReference">
    <w:name w:val="footnote reference"/>
    <w:basedOn w:val="DefaultParagraphFont"/>
    <w:uiPriority w:val="99"/>
    <w:unhideWhenUsed/>
    <w:rsid w:val="006C7671"/>
    <w:rPr>
      <w:vertAlign w:val="superscript"/>
    </w:rPr>
  </w:style>
  <w:style w:type="paragraph" w:styleId="FootnoteText">
    <w:name w:val="footnote text"/>
    <w:basedOn w:val="Normal"/>
    <w:link w:val="FootnoteTextChar1"/>
    <w:uiPriority w:val="99"/>
    <w:unhideWhenUsed/>
    <w:rsid w:val="006C7671"/>
    <w:pPr>
      <w:spacing w:after="0" w:line="240" w:lineRule="auto"/>
    </w:pPr>
    <w:rPr>
      <w:sz w:val="20"/>
      <w:szCs w:val="20"/>
    </w:rPr>
  </w:style>
  <w:style w:type="character" w:customStyle="1" w:styleId="FootnoteTextChar">
    <w:name w:val="Footnote Text Char"/>
    <w:basedOn w:val="DefaultParagraphFont"/>
    <w:uiPriority w:val="99"/>
    <w:semiHidden/>
    <w:rsid w:val="006C7671"/>
    <w:rPr>
      <w:sz w:val="20"/>
      <w:szCs w:val="20"/>
    </w:rPr>
  </w:style>
  <w:style w:type="character" w:customStyle="1" w:styleId="FootnoteTextChar1">
    <w:name w:val="Footnote Text Char1"/>
    <w:basedOn w:val="DefaultParagraphFont"/>
    <w:link w:val="FootnoteText"/>
    <w:uiPriority w:val="99"/>
    <w:rsid w:val="006C7671"/>
    <w:rPr>
      <w:sz w:val="20"/>
      <w:szCs w:val="20"/>
    </w:rPr>
  </w:style>
  <w:style w:type="character" w:styleId="Hyperlink">
    <w:name w:val="Hyperlink"/>
    <w:basedOn w:val="DefaultParagraphFont"/>
    <w:uiPriority w:val="99"/>
    <w:unhideWhenUsed/>
    <w:rsid w:val="006C7671"/>
    <w:rPr>
      <w:color w:val="0563C1" w:themeColor="hyperlink"/>
      <w:u w:val="single"/>
    </w:rPr>
  </w:style>
  <w:style w:type="paragraph" w:styleId="ListParagraph">
    <w:name w:val="List Paragraph"/>
    <w:basedOn w:val="Normal"/>
    <w:link w:val="ListParagraphChar"/>
    <w:uiPriority w:val="34"/>
    <w:qFormat/>
    <w:rsid w:val="006C7671"/>
    <w:pPr>
      <w:ind w:left="720"/>
      <w:contextualSpacing/>
    </w:pPr>
  </w:style>
  <w:style w:type="character" w:customStyle="1" w:styleId="ListParagraphChar">
    <w:name w:val="List Paragraph Char"/>
    <w:basedOn w:val="DefaultParagraphFont"/>
    <w:link w:val="ListParagraph"/>
    <w:uiPriority w:val="34"/>
    <w:rsid w:val="006C7671"/>
  </w:style>
  <w:style w:type="character" w:styleId="CommentReference">
    <w:name w:val="annotation reference"/>
    <w:basedOn w:val="DefaultParagraphFont"/>
    <w:uiPriority w:val="99"/>
    <w:semiHidden/>
    <w:unhideWhenUsed/>
    <w:rsid w:val="006C7671"/>
    <w:rPr>
      <w:sz w:val="16"/>
      <w:szCs w:val="16"/>
    </w:rPr>
  </w:style>
  <w:style w:type="paragraph" w:styleId="CommentText">
    <w:name w:val="annotation text"/>
    <w:basedOn w:val="Normal"/>
    <w:link w:val="CommentTextChar"/>
    <w:uiPriority w:val="99"/>
    <w:semiHidden/>
    <w:unhideWhenUsed/>
    <w:rsid w:val="006C7671"/>
    <w:pPr>
      <w:spacing w:line="240" w:lineRule="auto"/>
    </w:pPr>
    <w:rPr>
      <w:sz w:val="20"/>
      <w:szCs w:val="20"/>
    </w:rPr>
  </w:style>
  <w:style w:type="character" w:customStyle="1" w:styleId="CommentTextChar">
    <w:name w:val="Comment Text Char"/>
    <w:basedOn w:val="DefaultParagraphFont"/>
    <w:link w:val="CommentText"/>
    <w:uiPriority w:val="99"/>
    <w:semiHidden/>
    <w:rsid w:val="006C7671"/>
    <w:rPr>
      <w:sz w:val="20"/>
      <w:szCs w:val="20"/>
    </w:rPr>
  </w:style>
  <w:style w:type="table" w:styleId="TableGrid">
    <w:name w:val="Table Grid"/>
    <w:basedOn w:val="TableNormal"/>
    <w:uiPriority w:val="39"/>
    <w:rsid w:val="006C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136FC"/>
    <w:rPr>
      <w:b/>
      <w:bCs/>
    </w:rPr>
  </w:style>
  <w:style w:type="character" w:customStyle="1" w:styleId="CommentSubjectChar">
    <w:name w:val="Comment Subject Char"/>
    <w:basedOn w:val="CommentTextChar"/>
    <w:link w:val="CommentSubject"/>
    <w:uiPriority w:val="99"/>
    <w:semiHidden/>
    <w:rsid w:val="00C136FC"/>
    <w:rPr>
      <w:b/>
      <w:bCs/>
      <w:sz w:val="20"/>
      <w:szCs w:val="20"/>
    </w:rPr>
  </w:style>
  <w:style w:type="paragraph" w:styleId="BodyText">
    <w:name w:val="Body Text"/>
    <w:basedOn w:val="Normal"/>
    <w:link w:val="BodyTextChar"/>
    <w:uiPriority w:val="1"/>
    <w:qFormat/>
    <w:rsid w:val="000D2FDC"/>
    <w:pPr>
      <w:widowControl w:val="0"/>
      <w:spacing w:before="10" w:after="0" w:line="240" w:lineRule="auto"/>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0D2FDC"/>
    <w:rPr>
      <w:rFonts w:ascii="Times New Roman" w:eastAsia="Times New Roman" w:hAnsi="Times New Roman"/>
      <w:sz w:val="19"/>
      <w:szCs w:val="19"/>
    </w:rPr>
  </w:style>
  <w:style w:type="character" w:styleId="FollowedHyperlink">
    <w:name w:val="FollowedHyperlink"/>
    <w:basedOn w:val="DefaultParagraphFont"/>
    <w:uiPriority w:val="99"/>
    <w:semiHidden/>
    <w:unhideWhenUsed/>
    <w:rsid w:val="002F62A7"/>
    <w:rPr>
      <w:color w:val="954F72" w:themeColor="followedHyperlink"/>
      <w:u w:val="single"/>
    </w:rPr>
  </w:style>
  <w:style w:type="character" w:styleId="UnresolvedMention">
    <w:name w:val="Unresolved Mention"/>
    <w:basedOn w:val="DefaultParagraphFont"/>
    <w:uiPriority w:val="99"/>
    <w:semiHidden/>
    <w:unhideWhenUsed/>
    <w:rsid w:val="00352338"/>
    <w:rPr>
      <w:color w:val="605E5C"/>
      <w:shd w:val="clear" w:color="auto" w:fill="E1DFDD"/>
    </w:rPr>
  </w:style>
  <w:style w:type="character" w:styleId="Emphasis">
    <w:name w:val="Emphasis"/>
    <w:basedOn w:val="DefaultParagraphFont"/>
    <w:uiPriority w:val="20"/>
    <w:qFormat/>
    <w:rsid w:val="002953C7"/>
    <w:rPr>
      <w:i/>
      <w:iCs/>
    </w:rPr>
  </w:style>
  <w:style w:type="paragraph" w:styleId="NormalWeb">
    <w:name w:val="Normal (Web)"/>
    <w:basedOn w:val="Normal"/>
    <w:uiPriority w:val="99"/>
    <w:unhideWhenUsed/>
    <w:rsid w:val="002953C7"/>
    <w:pPr>
      <w:spacing w:after="0" w:line="240" w:lineRule="auto"/>
    </w:pPr>
    <w:rPr>
      <w:rFonts w:ascii="Calibri" w:hAnsi="Calibri" w:cs="Calibri"/>
    </w:rPr>
  </w:style>
  <w:style w:type="paragraph" w:styleId="BodyText2">
    <w:name w:val="Body Text 2"/>
    <w:basedOn w:val="Normal"/>
    <w:link w:val="BodyText2Char"/>
    <w:uiPriority w:val="99"/>
    <w:unhideWhenUsed/>
    <w:rsid w:val="00227B2E"/>
    <w:pPr>
      <w:spacing w:after="0" w:line="240" w:lineRule="auto"/>
      <w:jc w:val="both"/>
    </w:pPr>
    <w:rPr>
      <w:rFonts w:ascii="Arial" w:eastAsia="Times New Roman" w:hAnsi="Arial" w:cs="Arial"/>
      <w:kern w:val="2"/>
      <w:sz w:val="20"/>
      <w:szCs w:val="20"/>
    </w:rPr>
  </w:style>
  <w:style w:type="character" w:customStyle="1" w:styleId="BodyText2Char">
    <w:name w:val="Body Text 2 Char"/>
    <w:basedOn w:val="DefaultParagraphFont"/>
    <w:link w:val="BodyText2"/>
    <w:uiPriority w:val="99"/>
    <w:rsid w:val="00227B2E"/>
    <w:rPr>
      <w:rFonts w:ascii="Arial" w:eastAsia="Times New Roman" w:hAnsi="Arial" w:cs="Arial"/>
      <w:kern w:val="2"/>
      <w:sz w:val="20"/>
      <w:szCs w:val="20"/>
    </w:rPr>
  </w:style>
  <w:style w:type="paragraph" w:styleId="BodyText3">
    <w:name w:val="Body Text 3"/>
    <w:basedOn w:val="Normal"/>
    <w:link w:val="BodyText3Char"/>
    <w:uiPriority w:val="99"/>
    <w:unhideWhenUsed/>
    <w:rsid w:val="00A83AAD"/>
    <w:pPr>
      <w:spacing w:after="0" w:line="240" w:lineRule="auto"/>
      <w:jc w:val="center"/>
    </w:pPr>
    <w:rPr>
      <w:rFonts w:ascii="Calibri" w:hAnsi="Calibri"/>
      <w:color w:val="000000"/>
      <w:sz w:val="18"/>
      <w:szCs w:val="18"/>
    </w:rPr>
  </w:style>
  <w:style w:type="character" w:customStyle="1" w:styleId="BodyText3Char">
    <w:name w:val="Body Text 3 Char"/>
    <w:basedOn w:val="DefaultParagraphFont"/>
    <w:link w:val="BodyText3"/>
    <w:uiPriority w:val="99"/>
    <w:rsid w:val="00A83AAD"/>
    <w:rPr>
      <w:rFonts w:ascii="Calibri" w:hAnsi="Calibri"/>
      <w:color w:val="000000"/>
      <w:sz w:val="18"/>
      <w:szCs w:val="18"/>
    </w:rPr>
  </w:style>
  <w:style w:type="character" w:customStyle="1" w:styleId="Heading1Char">
    <w:name w:val="Heading 1 Char"/>
    <w:basedOn w:val="DefaultParagraphFont"/>
    <w:link w:val="Heading1"/>
    <w:uiPriority w:val="9"/>
    <w:rsid w:val="007A47B0"/>
    <w:rPr>
      <w:rFonts w:ascii="Arial" w:hAnsi="Arial" w:cs="Arial"/>
      <w:i/>
      <w:iCs/>
      <w:sz w:val="20"/>
      <w:szCs w:val="20"/>
    </w:rPr>
  </w:style>
  <w:style w:type="paragraph" w:customStyle="1" w:styleId="Default">
    <w:name w:val="Default"/>
    <w:basedOn w:val="Normal"/>
    <w:uiPriority w:val="99"/>
    <w:semiHidden/>
    <w:rsid w:val="00ED52A2"/>
    <w:pPr>
      <w:autoSpaceDE w:val="0"/>
      <w:autoSpaceDN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ED52A2"/>
    <w:rPr>
      <w:b/>
      <w:bCs/>
    </w:rPr>
  </w:style>
  <w:style w:type="character" w:customStyle="1" w:styleId="Heading2Char">
    <w:name w:val="Heading 2 Char"/>
    <w:basedOn w:val="DefaultParagraphFont"/>
    <w:link w:val="Heading2"/>
    <w:uiPriority w:val="9"/>
    <w:rsid w:val="00621C03"/>
    <w:rPr>
      <w:rFonts w:ascii="Arial" w:hAnsi="Arial" w:cs="Arial"/>
      <w:b/>
      <w:bCs/>
      <w:sz w:val="20"/>
      <w:szCs w:val="20"/>
    </w:rPr>
  </w:style>
  <w:style w:type="character" w:customStyle="1" w:styleId="Heading3Char">
    <w:name w:val="Heading 3 Char"/>
    <w:basedOn w:val="DefaultParagraphFont"/>
    <w:link w:val="Heading3"/>
    <w:uiPriority w:val="9"/>
    <w:rsid w:val="00720AB4"/>
    <w:rPr>
      <w:rFonts w:ascii="Arial" w:eastAsia="Calibri" w:hAnsi="Arial" w:cs="Arial"/>
      <w:b/>
      <w:bCs/>
    </w:rPr>
  </w:style>
  <w:style w:type="character" w:customStyle="1" w:styleId="Heading4Char">
    <w:name w:val="Heading 4 Char"/>
    <w:basedOn w:val="DefaultParagraphFont"/>
    <w:link w:val="Heading4"/>
    <w:uiPriority w:val="9"/>
    <w:rsid w:val="00C34AD2"/>
    <w:rPr>
      <w:rFonts w:ascii="Arial" w:eastAsia="Times New Roman" w:hAnsi="Arial" w:cs="Arial"/>
      <w:b/>
      <w:bCs/>
      <w:kern w:val="2"/>
    </w:rPr>
  </w:style>
  <w:style w:type="character" w:customStyle="1" w:styleId="Heading5Char">
    <w:name w:val="Heading 5 Char"/>
    <w:basedOn w:val="DefaultParagraphFont"/>
    <w:link w:val="Heading5"/>
    <w:uiPriority w:val="9"/>
    <w:rsid w:val="007C2614"/>
    <w:rPr>
      <w:rFonts w:ascii="Arial" w:eastAsia="Verdana" w:hAnsi="Arial" w:cs="Arial"/>
      <w:b/>
      <w:bCs/>
      <w:sz w:val="28"/>
      <w:szCs w:val="28"/>
    </w:rPr>
  </w:style>
  <w:style w:type="character" w:customStyle="1" w:styleId="Heading6Char">
    <w:name w:val="Heading 6 Char"/>
    <w:basedOn w:val="DefaultParagraphFont"/>
    <w:link w:val="Heading6"/>
    <w:uiPriority w:val="9"/>
    <w:rsid w:val="00A45041"/>
    <w:rPr>
      <w:rFonts w:ascii="Arial" w:hAnsi="Arial" w:cs="Arial"/>
      <w:i/>
      <w:iCs/>
      <w:sz w:val="20"/>
      <w:u w:val="single"/>
    </w:rPr>
  </w:style>
  <w:style w:type="character" w:customStyle="1" w:styleId="Heading7Char">
    <w:name w:val="Heading 7 Char"/>
    <w:basedOn w:val="DefaultParagraphFont"/>
    <w:link w:val="Heading7"/>
    <w:uiPriority w:val="9"/>
    <w:rsid w:val="00A45041"/>
    <w:rPr>
      <w:rFonts w:ascii="Arial" w:eastAsia="Verdana" w:hAnsi="Arial" w:cs="Arial"/>
      <w:b/>
      <w:bCs/>
      <w:sz w:val="28"/>
      <w:szCs w:val="28"/>
    </w:rPr>
  </w:style>
  <w:style w:type="character" w:customStyle="1" w:styleId="ref-title">
    <w:name w:val="ref-title"/>
    <w:basedOn w:val="DefaultParagraphFont"/>
    <w:rsid w:val="00DF3B96"/>
  </w:style>
  <w:style w:type="character" w:customStyle="1" w:styleId="ref-journal">
    <w:name w:val="ref-journal"/>
    <w:basedOn w:val="DefaultParagraphFont"/>
    <w:rsid w:val="00DF3B96"/>
  </w:style>
  <w:style w:type="character" w:customStyle="1" w:styleId="ref-vol">
    <w:name w:val="ref-vol"/>
    <w:basedOn w:val="DefaultParagraphFont"/>
    <w:rsid w:val="00DF3B96"/>
  </w:style>
  <w:style w:type="character" w:customStyle="1" w:styleId="ref-iss">
    <w:name w:val="ref-iss"/>
    <w:basedOn w:val="DefaultParagraphFont"/>
    <w:rsid w:val="00DF3B96"/>
  </w:style>
  <w:style w:type="character" w:customStyle="1" w:styleId="Heading8Char">
    <w:name w:val="Heading 8 Char"/>
    <w:basedOn w:val="DefaultParagraphFont"/>
    <w:link w:val="Heading8"/>
    <w:uiPriority w:val="9"/>
    <w:rsid w:val="0049394B"/>
    <w:rPr>
      <w:rFonts w:ascii="Arial" w:hAnsi="Arial" w:cs="Arial"/>
      <w:i/>
      <w:iCs/>
      <w:u w:val="single"/>
    </w:rPr>
  </w:style>
  <w:style w:type="paragraph" w:styleId="EndnoteText">
    <w:name w:val="endnote text"/>
    <w:basedOn w:val="Normal"/>
    <w:link w:val="EndnoteTextChar"/>
    <w:uiPriority w:val="99"/>
    <w:semiHidden/>
    <w:unhideWhenUsed/>
    <w:rsid w:val="00D055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57D"/>
    <w:rPr>
      <w:sz w:val="20"/>
      <w:szCs w:val="20"/>
    </w:rPr>
  </w:style>
  <w:style w:type="character" w:styleId="EndnoteReference">
    <w:name w:val="endnote reference"/>
    <w:basedOn w:val="DefaultParagraphFont"/>
    <w:uiPriority w:val="99"/>
    <w:semiHidden/>
    <w:unhideWhenUsed/>
    <w:rsid w:val="00D0557D"/>
    <w:rPr>
      <w:vertAlign w:val="superscript"/>
    </w:rPr>
  </w:style>
  <w:style w:type="character" w:customStyle="1" w:styleId="Heading9Char">
    <w:name w:val="Heading 9 Char"/>
    <w:basedOn w:val="DefaultParagraphFont"/>
    <w:link w:val="Heading9"/>
    <w:uiPriority w:val="9"/>
    <w:rsid w:val="00AE324F"/>
    <w:rPr>
      <w:rFonts w:asciiTheme="majorHAnsi" w:eastAsia="Verdana" w:hAnsiTheme="majorHAnsi" w:cstheme="majorHAnsi"/>
      <w:b/>
      <w:bCs/>
      <w:sz w:val="18"/>
      <w:szCs w:val="18"/>
    </w:rPr>
  </w:style>
  <w:style w:type="paragraph" w:styleId="Revision">
    <w:name w:val="Revision"/>
    <w:hidden/>
    <w:uiPriority w:val="99"/>
    <w:semiHidden/>
    <w:rsid w:val="00D61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720">
      <w:bodyDiv w:val="1"/>
      <w:marLeft w:val="0"/>
      <w:marRight w:val="0"/>
      <w:marTop w:val="0"/>
      <w:marBottom w:val="0"/>
      <w:divBdr>
        <w:top w:val="none" w:sz="0" w:space="0" w:color="auto"/>
        <w:left w:val="none" w:sz="0" w:space="0" w:color="auto"/>
        <w:bottom w:val="none" w:sz="0" w:space="0" w:color="auto"/>
        <w:right w:val="none" w:sz="0" w:space="0" w:color="auto"/>
      </w:divBdr>
    </w:div>
    <w:div w:id="224994859">
      <w:bodyDiv w:val="1"/>
      <w:marLeft w:val="0"/>
      <w:marRight w:val="0"/>
      <w:marTop w:val="0"/>
      <w:marBottom w:val="0"/>
      <w:divBdr>
        <w:top w:val="none" w:sz="0" w:space="0" w:color="auto"/>
        <w:left w:val="none" w:sz="0" w:space="0" w:color="auto"/>
        <w:bottom w:val="none" w:sz="0" w:space="0" w:color="auto"/>
        <w:right w:val="none" w:sz="0" w:space="0" w:color="auto"/>
      </w:divBdr>
    </w:div>
    <w:div w:id="268632222">
      <w:bodyDiv w:val="1"/>
      <w:marLeft w:val="0"/>
      <w:marRight w:val="0"/>
      <w:marTop w:val="0"/>
      <w:marBottom w:val="0"/>
      <w:divBdr>
        <w:top w:val="none" w:sz="0" w:space="0" w:color="auto"/>
        <w:left w:val="none" w:sz="0" w:space="0" w:color="auto"/>
        <w:bottom w:val="none" w:sz="0" w:space="0" w:color="auto"/>
        <w:right w:val="none" w:sz="0" w:space="0" w:color="auto"/>
      </w:divBdr>
    </w:div>
    <w:div w:id="280695830">
      <w:bodyDiv w:val="1"/>
      <w:marLeft w:val="0"/>
      <w:marRight w:val="0"/>
      <w:marTop w:val="0"/>
      <w:marBottom w:val="0"/>
      <w:divBdr>
        <w:top w:val="none" w:sz="0" w:space="0" w:color="auto"/>
        <w:left w:val="none" w:sz="0" w:space="0" w:color="auto"/>
        <w:bottom w:val="none" w:sz="0" w:space="0" w:color="auto"/>
        <w:right w:val="none" w:sz="0" w:space="0" w:color="auto"/>
      </w:divBdr>
    </w:div>
    <w:div w:id="308486041">
      <w:bodyDiv w:val="1"/>
      <w:marLeft w:val="0"/>
      <w:marRight w:val="0"/>
      <w:marTop w:val="0"/>
      <w:marBottom w:val="0"/>
      <w:divBdr>
        <w:top w:val="none" w:sz="0" w:space="0" w:color="auto"/>
        <w:left w:val="none" w:sz="0" w:space="0" w:color="auto"/>
        <w:bottom w:val="none" w:sz="0" w:space="0" w:color="auto"/>
        <w:right w:val="none" w:sz="0" w:space="0" w:color="auto"/>
      </w:divBdr>
    </w:div>
    <w:div w:id="356152599">
      <w:bodyDiv w:val="1"/>
      <w:marLeft w:val="0"/>
      <w:marRight w:val="0"/>
      <w:marTop w:val="0"/>
      <w:marBottom w:val="0"/>
      <w:divBdr>
        <w:top w:val="none" w:sz="0" w:space="0" w:color="auto"/>
        <w:left w:val="none" w:sz="0" w:space="0" w:color="auto"/>
        <w:bottom w:val="none" w:sz="0" w:space="0" w:color="auto"/>
        <w:right w:val="none" w:sz="0" w:space="0" w:color="auto"/>
      </w:divBdr>
    </w:div>
    <w:div w:id="367072354">
      <w:bodyDiv w:val="1"/>
      <w:marLeft w:val="0"/>
      <w:marRight w:val="0"/>
      <w:marTop w:val="0"/>
      <w:marBottom w:val="0"/>
      <w:divBdr>
        <w:top w:val="none" w:sz="0" w:space="0" w:color="auto"/>
        <w:left w:val="none" w:sz="0" w:space="0" w:color="auto"/>
        <w:bottom w:val="none" w:sz="0" w:space="0" w:color="auto"/>
        <w:right w:val="none" w:sz="0" w:space="0" w:color="auto"/>
      </w:divBdr>
    </w:div>
    <w:div w:id="378434100">
      <w:bodyDiv w:val="1"/>
      <w:marLeft w:val="0"/>
      <w:marRight w:val="0"/>
      <w:marTop w:val="0"/>
      <w:marBottom w:val="0"/>
      <w:divBdr>
        <w:top w:val="none" w:sz="0" w:space="0" w:color="auto"/>
        <w:left w:val="none" w:sz="0" w:space="0" w:color="auto"/>
        <w:bottom w:val="none" w:sz="0" w:space="0" w:color="auto"/>
        <w:right w:val="none" w:sz="0" w:space="0" w:color="auto"/>
      </w:divBdr>
    </w:div>
    <w:div w:id="412967924">
      <w:bodyDiv w:val="1"/>
      <w:marLeft w:val="0"/>
      <w:marRight w:val="0"/>
      <w:marTop w:val="0"/>
      <w:marBottom w:val="0"/>
      <w:divBdr>
        <w:top w:val="none" w:sz="0" w:space="0" w:color="auto"/>
        <w:left w:val="none" w:sz="0" w:space="0" w:color="auto"/>
        <w:bottom w:val="none" w:sz="0" w:space="0" w:color="auto"/>
        <w:right w:val="none" w:sz="0" w:space="0" w:color="auto"/>
      </w:divBdr>
    </w:div>
    <w:div w:id="474882879">
      <w:bodyDiv w:val="1"/>
      <w:marLeft w:val="0"/>
      <w:marRight w:val="0"/>
      <w:marTop w:val="0"/>
      <w:marBottom w:val="0"/>
      <w:divBdr>
        <w:top w:val="none" w:sz="0" w:space="0" w:color="auto"/>
        <w:left w:val="none" w:sz="0" w:space="0" w:color="auto"/>
        <w:bottom w:val="none" w:sz="0" w:space="0" w:color="auto"/>
        <w:right w:val="none" w:sz="0" w:space="0" w:color="auto"/>
      </w:divBdr>
    </w:div>
    <w:div w:id="504638785">
      <w:bodyDiv w:val="1"/>
      <w:marLeft w:val="0"/>
      <w:marRight w:val="0"/>
      <w:marTop w:val="0"/>
      <w:marBottom w:val="0"/>
      <w:divBdr>
        <w:top w:val="none" w:sz="0" w:space="0" w:color="auto"/>
        <w:left w:val="none" w:sz="0" w:space="0" w:color="auto"/>
        <w:bottom w:val="none" w:sz="0" w:space="0" w:color="auto"/>
        <w:right w:val="none" w:sz="0" w:space="0" w:color="auto"/>
      </w:divBdr>
    </w:div>
    <w:div w:id="530387112">
      <w:bodyDiv w:val="1"/>
      <w:marLeft w:val="0"/>
      <w:marRight w:val="0"/>
      <w:marTop w:val="0"/>
      <w:marBottom w:val="0"/>
      <w:divBdr>
        <w:top w:val="none" w:sz="0" w:space="0" w:color="auto"/>
        <w:left w:val="none" w:sz="0" w:space="0" w:color="auto"/>
        <w:bottom w:val="none" w:sz="0" w:space="0" w:color="auto"/>
        <w:right w:val="none" w:sz="0" w:space="0" w:color="auto"/>
      </w:divBdr>
    </w:div>
    <w:div w:id="534805175">
      <w:bodyDiv w:val="1"/>
      <w:marLeft w:val="0"/>
      <w:marRight w:val="0"/>
      <w:marTop w:val="0"/>
      <w:marBottom w:val="0"/>
      <w:divBdr>
        <w:top w:val="none" w:sz="0" w:space="0" w:color="auto"/>
        <w:left w:val="none" w:sz="0" w:space="0" w:color="auto"/>
        <w:bottom w:val="none" w:sz="0" w:space="0" w:color="auto"/>
        <w:right w:val="none" w:sz="0" w:space="0" w:color="auto"/>
      </w:divBdr>
    </w:div>
    <w:div w:id="538931936">
      <w:bodyDiv w:val="1"/>
      <w:marLeft w:val="0"/>
      <w:marRight w:val="0"/>
      <w:marTop w:val="0"/>
      <w:marBottom w:val="0"/>
      <w:divBdr>
        <w:top w:val="none" w:sz="0" w:space="0" w:color="auto"/>
        <w:left w:val="none" w:sz="0" w:space="0" w:color="auto"/>
        <w:bottom w:val="none" w:sz="0" w:space="0" w:color="auto"/>
        <w:right w:val="none" w:sz="0" w:space="0" w:color="auto"/>
      </w:divBdr>
    </w:div>
    <w:div w:id="544222766">
      <w:bodyDiv w:val="1"/>
      <w:marLeft w:val="0"/>
      <w:marRight w:val="0"/>
      <w:marTop w:val="0"/>
      <w:marBottom w:val="0"/>
      <w:divBdr>
        <w:top w:val="none" w:sz="0" w:space="0" w:color="auto"/>
        <w:left w:val="none" w:sz="0" w:space="0" w:color="auto"/>
        <w:bottom w:val="none" w:sz="0" w:space="0" w:color="auto"/>
        <w:right w:val="none" w:sz="0" w:space="0" w:color="auto"/>
      </w:divBdr>
    </w:div>
    <w:div w:id="595946980">
      <w:bodyDiv w:val="1"/>
      <w:marLeft w:val="0"/>
      <w:marRight w:val="0"/>
      <w:marTop w:val="0"/>
      <w:marBottom w:val="0"/>
      <w:divBdr>
        <w:top w:val="none" w:sz="0" w:space="0" w:color="auto"/>
        <w:left w:val="none" w:sz="0" w:space="0" w:color="auto"/>
        <w:bottom w:val="none" w:sz="0" w:space="0" w:color="auto"/>
        <w:right w:val="none" w:sz="0" w:space="0" w:color="auto"/>
      </w:divBdr>
    </w:div>
    <w:div w:id="611208793">
      <w:bodyDiv w:val="1"/>
      <w:marLeft w:val="0"/>
      <w:marRight w:val="0"/>
      <w:marTop w:val="0"/>
      <w:marBottom w:val="0"/>
      <w:divBdr>
        <w:top w:val="none" w:sz="0" w:space="0" w:color="auto"/>
        <w:left w:val="none" w:sz="0" w:space="0" w:color="auto"/>
        <w:bottom w:val="none" w:sz="0" w:space="0" w:color="auto"/>
        <w:right w:val="none" w:sz="0" w:space="0" w:color="auto"/>
      </w:divBdr>
    </w:div>
    <w:div w:id="721750296">
      <w:bodyDiv w:val="1"/>
      <w:marLeft w:val="0"/>
      <w:marRight w:val="0"/>
      <w:marTop w:val="0"/>
      <w:marBottom w:val="0"/>
      <w:divBdr>
        <w:top w:val="none" w:sz="0" w:space="0" w:color="auto"/>
        <w:left w:val="none" w:sz="0" w:space="0" w:color="auto"/>
        <w:bottom w:val="none" w:sz="0" w:space="0" w:color="auto"/>
        <w:right w:val="none" w:sz="0" w:space="0" w:color="auto"/>
      </w:divBdr>
    </w:div>
    <w:div w:id="738214894">
      <w:bodyDiv w:val="1"/>
      <w:marLeft w:val="0"/>
      <w:marRight w:val="0"/>
      <w:marTop w:val="0"/>
      <w:marBottom w:val="0"/>
      <w:divBdr>
        <w:top w:val="none" w:sz="0" w:space="0" w:color="auto"/>
        <w:left w:val="none" w:sz="0" w:space="0" w:color="auto"/>
        <w:bottom w:val="none" w:sz="0" w:space="0" w:color="auto"/>
        <w:right w:val="none" w:sz="0" w:space="0" w:color="auto"/>
      </w:divBdr>
    </w:div>
    <w:div w:id="753552033">
      <w:bodyDiv w:val="1"/>
      <w:marLeft w:val="0"/>
      <w:marRight w:val="0"/>
      <w:marTop w:val="0"/>
      <w:marBottom w:val="0"/>
      <w:divBdr>
        <w:top w:val="none" w:sz="0" w:space="0" w:color="auto"/>
        <w:left w:val="none" w:sz="0" w:space="0" w:color="auto"/>
        <w:bottom w:val="none" w:sz="0" w:space="0" w:color="auto"/>
        <w:right w:val="none" w:sz="0" w:space="0" w:color="auto"/>
      </w:divBdr>
    </w:div>
    <w:div w:id="771244517">
      <w:bodyDiv w:val="1"/>
      <w:marLeft w:val="0"/>
      <w:marRight w:val="0"/>
      <w:marTop w:val="0"/>
      <w:marBottom w:val="0"/>
      <w:divBdr>
        <w:top w:val="none" w:sz="0" w:space="0" w:color="auto"/>
        <w:left w:val="none" w:sz="0" w:space="0" w:color="auto"/>
        <w:bottom w:val="none" w:sz="0" w:space="0" w:color="auto"/>
        <w:right w:val="none" w:sz="0" w:space="0" w:color="auto"/>
      </w:divBdr>
    </w:div>
    <w:div w:id="776557253">
      <w:bodyDiv w:val="1"/>
      <w:marLeft w:val="0"/>
      <w:marRight w:val="0"/>
      <w:marTop w:val="0"/>
      <w:marBottom w:val="0"/>
      <w:divBdr>
        <w:top w:val="none" w:sz="0" w:space="0" w:color="auto"/>
        <w:left w:val="none" w:sz="0" w:space="0" w:color="auto"/>
        <w:bottom w:val="none" w:sz="0" w:space="0" w:color="auto"/>
        <w:right w:val="none" w:sz="0" w:space="0" w:color="auto"/>
      </w:divBdr>
    </w:div>
    <w:div w:id="822235666">
      <w:bodyDiv w:val="1"/>
      <w:marLeft w:val="0"/>
      <w:marRight w:val="0"/>
      <w:marTop w:val="0"/>
      <w:marBottom w:val="0"/>
      <w:divBdr>
        <w:top w:val="none" w:sz="0" w:space="0" w:color="auto"/>
        <w:left w:val="none" w:sz="0" w:space="0" w:color="auto"/>
        <w:bottom w:val="none" w:sz="0" w:space="0" w:color="auto"/>
        <w:right w:val="none" w:sz="0" w:space="0" w:color="auto"/>
      </w:divBdr>
    </w:div>
    <w:div w:id="822697493">
      <w:bodyDiv w:val="1"/>
      <w:marLeft w:val="0"/>
      <w:marRight w:val="0"/>
      <w:marTop w:val="0"/>
      <w:marBottom w:val="0"/>
      <w:divBdr>
        <w:top w:val="none" w:sz="0" w:space="0" w:color="auto"/>
        <w:left w:val="none" w:sz="0" w:space="0" w:color="auto"/>
        <w:bottom w:val="none" w:sz="0" w:space="0" w:color="auto"/>
        <w:right w:val="none" w:sz="0" w:space="0" w:color="auto"/>
      </w:divBdr>
    </w:div>
    <w:div w:id="829949673">
      <w:bodyDiv w:val="1"/>
      <w:marLeft w:val="0"/>
      <w:marRight w:val="0"/>
      <w:marTop w:val="0"/>
      <w:marBottom w:val="0"/>
      <w:divBdr>
        <w:top w:val="none" w:sz="0" w:space="0" w:color="auto"/>
        <w:left w:val="none" w:sz="0" w:space="0" w:color="auto"/>
        <w:bottom w:val="none" w:sz="0" w:space="0" w:color="auto"/>
        <w:right w:val="none" w:sz="0" w:space="0" w:color="auto"/>
      </w:divBdr>
    </w:div>
    <w:div w:id="848913764">
      <w:bodyDiv w:val="1"/>
      <w:marLeft w:val="0"/>
      <w:marRight w:val="0"/>
      <w:marTop w:val="0"/>
      <w:marBottom w:val="0"/>
      <w:divBdr>
        <w:top w:val="none" w:sz="0" w:space="0" w:color="auto"/>
        <w:left w:val="none" w:sz="0" w:space="0" w:color="auto"/>
        <w:bottom w:val="none" w:sz="0" w:space="0" w:color="auto"/>
        <w:right w:val="none" w:sz="0" w:space="0" w:color="auto"/>
      </w:divBdr>
    </w:div>
    <w:div w:id="958073445">
      <w:bodyDiv w:val="1"/>
      <w:marLeft w:val="0"/>
      <w:marRight w:val="0"/>
      <w:marTop w:val="0"/>
      <w:marBottom w:val="0"/>
      <w:divBdr>
        <w:top w:val="none" w:sz="0" w:space="0" w:color="auto"/>
        <w:left w:val="none" w:sz="0" w:space="0" w:color="auto"/>
        <w:bottom w:val="none" w:sz="0" w:space="0" w:color="auto"/>
        <w:right w:val="none" w:sz="0" w:space="0" w:color="auto"/>
      </w:divBdr>
    </w:div>
    <w:div w:id="973678105">
      <w:bodyDiv w:val="1"/>
      <w:marLeft w:val="0"/>
      <w:marRight w:val="0"/>
      <w:marTop w:val="0"/>
      <w:marBottom w:val="0"/>
      <w:divBdr>
        <w:top w:val="none" w:sz="0" w:space="0" w:color="auto"/>
        <w:left w:val="none" w:sz="0" w:space="0" w:color="auto"/>
        <w:bottom w:val="none" w:sz="0" w:space="0" w:color="auto"/>
        <w:right w:val="none" w:sz="0" w:space="0" w:color="auto"/>
      </w:divBdr>
    </w:div>
    <w:div w:id="1070076402">
      <w:bodyDiv w:val="1"/>
      <w:marLeft w:val="0"/>
      <w:marRight w:val="0"/>
      <w:marTop w:val="0"/>
      <w:marBottom w:val="0"/>
      <w:divBdr>
        <w:top w:val="none" w:sz="0" w:space="0" w:color="auto"/>
        <w:left w:val="none" w:sz="0" w:space="0" w:color="auto"/>
        <w:bottom w:val="none" w:sz="0" w:space="0" w:color="auto"/>
        <w:right w:val="none" w:sz="0" w:space="0" w:color="auto"/>
      </w:divBdr>
    </w:div>
    <w:div w:id="1102073940">
      <w:bodyDiv w:val="1"/>
      <w:marLeft w:val="0"/>
      <w:marRight w:val="0"/>
      <w:marTop w:val="0"/>
      <w:marBottom w:val="0"/>
      <w:divBdr>
        <w:top w:val="none" w:sz="0" w:space="0" w:color="auto"/>
        <w:left w:val="none" w:sz="0" w:space="0" w:color="auto"/>
        <w:bottom w:val="none" w:sz="0" w:space="0" w:color="auto"/>
        <w:right w:val="none" w:sz="0" w:space="0" w:color="auto"/>
      </w:divBdr>
    </w:div>
    <w:div w:id="1125731003">
      <w:bodyDiv w:val="1"/>
      <w:marLeft w:val="0"/>
      <w:marRight w:val="0"/>
      <w:marTop w:val="0"/>
      <w:marBottom w:val="0"/>
      <w:divBdr>
        <w:top w:val="none" w:sz="0" w:space="0" w:color="auto"/>
        <w:left w:val="none" w:sz="0" w:space="0" w:color="auto"/>
        <w:bottom w:val="none" w:sz="0" w:space="0" w:color="auto"/>
        <w:right w:val="none" w:sz="0" w:space="0" w:color="auto"/>
      </w:divBdr>
    </w:div>
    <w:div w:id="1135878202">
      <w:bodyDiv w:val="1"/>
      <w:marLeft w:val="0"/>
      <w:marRight w:val="0"/>
      <w:marTop w:val="0"/>
      <w:marBottom w:val="0"/>
      <w:divBdr>
        <w:top w:val="none" w:sz="0" w:space="0" w:color="auto"/>
        <w:left w:val="none" w:sz="0" w:space="0" w:color="auto"/>
        <w:bottom w:val="none" w:sz="0" w:space="0" w:color="auto"/>
        <w:right w:val="none" w:sz="0" w:space="0" w:color="auto"/>
      </w:divBdr>
    </w:div>
    <w:div w:id="1196819333">
      <w:bodyDiv w:val="1"/>
      <w:marLeft w:val="0"/>
      <w:marRight w:val="0"/>
      <w:marTop w:val="0"/>
      <w:marBottom w:val="0"/>
      <w:divBdr>
        <w:top w:val="none" w:sz="0" w:space="0" w:color="auto"/>
        <w:left w:val="none" w:sz="0" w:space="0" w:color="auto"/>
        <w:bottom w:val="none" w:sz="0" w:space="0" w:color="auto"/>
        <w:right w:val="none" w:sz="0" w:space="0" w:color="auto"/>
      </w:divBdr>
    </w:div>
    <w:div w:id="1207794237">
      <w:bodyDiv w:val="1"/>
      <w:marLeft w:val="0"/>
      <w:marRight w:val="0"/>
      <w:marTop w:val="0"/>
      <w:marBottom w:val="0"/>
      <w:divBdr>
        <w:top w:val="none" w:sz="0" w:space="0" w:color="auto"/>
        <w:left w:val="none" w:sz="0" w:space="0" w:color="auto"/>
        <w:bottom w:val="none" w:sz="0" w:space="0" w:color="auto"/>
        <w:right w:val="none" w:sz="0" w:space="0" w:color="auto"/>
      </w:divBdr>
    </w:div>
    <w:div w:id="1216549661">
      <w:bodyDiv w:val="1"/>
      <w:marLeft w:val="0"/>
      <w:marRight w:val="0"/>
      <w:marTop w:val="0"/>
      <w:marBottom w:val="0"/>
      <w:divBdr>
        <w:top w:val="none" w:sz="0" w:space="0" w:color="auto"/>
        <w:left w:val="none" w:sz="0" w:space="0" w:color="auto"/>
        <w:bottom w:val="none" w:sz="0" w:space="0" w:color="auto"/>
        <w:right w:val="none" w:sz="0" w:space="0" w:color="auto"/>
      </w:divBdr>
    </w:div>
    <w:div w:id="1345135209">
      <w:bodyDiv w:val="1"/>
      <w:marLeft w:val="0"/>
      <w:marRight w:val="0"/>
      <w:marTop w:val="0"/>
      <w:marBottom w:val="0"/>
      <w:divBdr>
        <w:top w:val="none" w:sz="0" w:space="0" w:color="auto"/>
        <w:left w:val="none" w:sz="0" w:space="0" w:color="auto"/>
        <w:bottom w:val="none" w:sz="0" w:space="0" w:color="auto"/>
        <w:right w:val="none" w:sz="0" w:space="0" w:color="auto"/>
      </w:divBdr>
    </w:div>
    <w:div w:id="1345665718">
      <w:bodyDiv w:val="1"/>
      <w:marLeft w:val="0"/>
      <w:marRight w:val="0"/>
      <w:marTop w:val="0"/>
      <w:marBottom w:val="0"/>
      <w:divBdr>
        <w:top w:val="none" w:sz="0" w:space="0" w:color="auto"/>
        <w:left w:val="none" w:sz="0" w:space="0" w:color="auto"/>
        <w:bottom w:val="none" w:sz="0" w:space="0" w:color="auto"/>
        <w:right w:val="none" w:sz="0" w:space="0" w:color="auto"/>
      </w:divBdr>
    </w:div>
    <w:div w:id="1346862124">
      <w:bodyDiv w:val="1"/>
      <w:marLeft w:val="0"/>
      <w:marRight w:val="0"/>
      <w:marTop w:val="0"/>
      <w:marBottom w:val="0"/>
      <w:divBdr>
        <w:top w:val="none" w:sz="0" w:space="0" w:color="auto"/>
        <w:left w:val="none" w:sz="0" w:space="0" w:color="auto"/>
        <w:bottom w:val="none" w:sz="0" w:space="0" w:color="auto"/>
        <w:right w:val="none" w:sz="0" w:space="0" w:color="auto"/>
      </w:divBdr>
    </w:div>
    <w:div w:id="1349717826">
      <w:bodyDiv w:val="1"/>
      <w:marLeft w:val="0"/>
      <w:marRight w:val="0"/>
      <w:marTop w:val="0"/>
      <w:marBottom w:val="0"/>
      <w:divBdr>
        <w:top w:val="none" w:sz="0" w:space="0" w:color="auto"/>
        <w:left w:val="none" w:sz="0" w:space="0" w:color="auto"/>
        <w:bottom w:val="none" w:sz="0" w:space="0" w:color="auto"/>
        <w:right w:val="none" w:sz="0" w:space="0" w:color="auto"/>
      </w:divBdr>
    </w:div>
    <w:div w:id="1369141596">
      <w:bodyDiv w:val="1"/>
      <w:marLeft w:val="0"/>
      <w:marRight w:val="0"/>
      <w:marTop w:val="0"/>
      <w:marBottom w:val="0"/>
      <w:divBdr>
        <w:top w:val="none" w:sz="0" w:space="0" w:color="auto"/>
        <w:left w:val="none" w:sz="0" w:space="0" w:color="auto"/>
        <w:bottom w:val="none" w:sz="0" w:space="0" w:color="auto"/>
        <w:right w:val="none" w:sz="0" w:space="0" w:color="auto"/>
      </w:divBdr>
    </w:div>
    <w:div w:id="1415322107">
      <w:bodyDiv w:val="1"/>
      <w:marLeft w:val="0"/>
      <w:marRight w:val="0"/>
      <w:marTop w:val="0"/>
      <w:marBottom w:val="0"/>
      <w:divBdr>
        <w:top w:val="none" w:sz="0" w:space="0" w:color="auto"/>
        <w:left w:val="none" w:sz="0" w:space="0" w:color="auto"/>
        <w:bottom w:val="none" w:sz="0" w:space="0" w:color="auto"/>
        <w:right w:val="none" w:sz="0" w:space="0" w:color="auto"/>
      </w:divBdr>
    </w:div>
    <w:div w:id="1454715387">
      <w:bodyDiv w:val="1"/>
      <w:marLeft w:val="0"/>
      <w:marRight w:val="0"/>
      <w:marTop w:val="0"/>
      <w:marBottom w:val="0"/>
      <w:divBdr>
        <w:top w:val="none" w:sz="0" w:space="0" w:color="auto"/>
        <w:left w:val="none" w:sz="0" w:space="0" w:color="auto"/>
        <w:bottom w:val="none" w:sz="0" w:space="0" w:color="auto"/>
        <w:right w:val="none" w:sz="0" w:space="0" w:color="auto"/>
      </w:divBdr>
    </w:div>
    <w:div w:id="1454907836">
      <w:bodyDiv w:val="1"/>
      <w:marLeft w:val="0"/>
      <w:marRight w:val="0"/>
      <w:marTop w:val="0"/>
      <w:marBottom w:val="0"/>
      <w:divBdr>
        <w:top w:val="none" w:sz="0" w:space="0" w:color="auto"/>
        <w:left w:val="none" w:sz="0" w:space="0" w:color="auto"/>
        <w:bottom w:val="none" w:sz="0" w:space="0" w:color="auto"/>
        <w:right w:val="none" w:sz="0" w:space="0" w:color="auto"/>
      </w:divBdr>
    </w:div>
    <w:div w:id="1593901307">
      <w:bodyDiv w:val="1"/>
      <w:marLeft w:val="0"/>
      <w:marRight w:val="0"/>
      <w:marTop w:val="0"/>
      <w:marBottom w:val="0"/>
      <w:divBdr>
        <w:top w:val="none" w:sz="0" w:space="0" w:color="auto"/>
        <w:left w:val="none" w:sz="0" w:space="0" w:color="auto"/>
        <w:bottom w:val="none" w:sz="0" w:space="0" w:color="auto"/>
        <w:right w:val="none" w:sz="0" w:space="0" w:color="auto"/>
      </w:divBdr>
    </w:div>
    <w:div w:id="1673020956">
      <w:bodyDiv w:val="1"/>
      <w:marLeft w:val="0"/>
      <w:marRight w:val="0"/>
      <w:marTop w:val="0"/>
      <w:marBottom w:val="0"/>
      <w:divBdr>
        <w:top w:val="none" w:sz="0" w:space="0" w:color="auto"/>
        <w:left w:val="none" w:sz="0" w:space="0" w:color="auto"/>
        <w:bottom w:val="none" w:sz="0" w:space="0" w:color="auto"/>
        <w:right w:val="none" w:sz="0" w:space="0" w:color="auto"/>
      </w:divBdr>
    </w:div>
    <w:div w:id="1709405587">
      <w:bodyDiv w:val="1"/>
      <w:marLeft w:val="0"/>
      <w:marRight w:val="0"/>
      <w:marTop w:val="0"/>
      <w:marBottom w:val="0"/>
      <w:divBdr>
        <w:top w:val="none" w:sz="0" w:space="0" w:color="auto"/>
        <w:left w:val="none" w:sz="0" w:space="0" w:color="auto"/>
        <w:bottom w:val="none" w:sz="0" w:space="0" w:color="auto"/>
        <w:right w:val="none" w:sz="0" w:space="0" w:color="auto"/>
      </w:divBdr>
    </w:div>
    <w:div w:id="1713268284">
      <w:bodyDiv w:val="1"/>
      <w:marLeft w:val="0"/>
      <w:marRight w:val="0"/>
      <w:marTop w:val="0"/>
      <w:marBottom w:val="0"/>
      <w:divBdr>
        <w:top w:val="none" w:sz="0" w:space="0" w:color="auto"/>
        <w:left w:val="none" w:sz="0" w:space="0" w:color="auto"/>
        <w:bottom w:val="none" w:sz="0" w:space="0" w:color="auto"/>
        <w:right w:val="none" w:sz="0" w:space="0" w:color="auto"/>
      </w:divBdr>
    </w:div>
    <w:div w:id="1731346539">
      <w:bodyDiv w:val="1"/>
      <w:marLeft w:val="0"/>
      <w:marRight w:val="0"/>
      <w:marTop w:val="0"/>
      <w:marBottom w:val="0"/>
      <w:divBdr>
        <w:top w:val="none" w:sz="0" w:space="0" w:color="auto"/>
        <w:left w:val="none" w:sz="0" w:space="0" w:color="auto"/>
        <w:bottom w:val="none" w:sz="0" w:space="0" w:color="auto"/>
        <w:right w:val="none" w:sz="0" w:space="0" w:color="auto"/>
      </w:divBdr>
    </w:div>
    <w:div w:id="1734698581">
      <w:bodyDiv w:val="1"/>
      <w:marLeft w:val="0"/>
      <w:marRight w:val="0"/>
      <w:marTop w:val="0"/>
      <w:marBottom w:val="0"/>
      <w:divBdr>
        <w:top w:val="none" w:sz="0" w:space="0" w:color="auto"/>
        <w:left w:val="none" w:sz="0" w:space="0" w:color="auto"/>
        <w:bottom w:val="none" w:sz="0" w:space="0" w:color="auto"/>
        <w:right w:val="none" w:sz="0" w:space="0" w:color="auto"/>
      </w:divBdr>
    </w:div>
    <w:div w:id="1753165563">
      <w:bodyDiv w:val="1"/>
      <w:marLeft w:val="0"/>
      <w:marRight w:val="0"/>
      <w:marTop w:val="0"/>
      <w:marBottom w:val="0"/>
      <w:divBdr>
        <w:top w:val="none" w:sz="0" w:space="0" w:color="auto"/>
        <w:left w:val="none" w:sz="0" w:space="0" w:color="auto"/>
        <w:bottom w:val="none" w:sz="0" w:space="0" w:color="auto"/>
        <w:right w:val="none" w:sz="0" w:space="0" w:color="auto"/>
      </w:divBdr>
    </w:div>
    <w:div w:id="1783526226">
      <w:bodyDiv w:val="1"/>
      <w:marLeft w:val="0"/>
      <w:marRight w:val="0"/>
      <w:marTop w:val="0"/>
      <w:marBottom w:val="0"/>
      <w:divBdr>
        <w:top w:val="none" w:sz="0" w:space="0" w:color="auto"/>
        <w:left w:val="none" w:sz="0" w:space="0" w:color="auto"/>
        <w:bottom w:val="none" w:sz="0" w:space="0" w:color="auto"/>
        <w:right w:val="none" w:sz="0" w:space="0" w:color="auto"/>
      </w:divBdr>
    </w:div>
    <w:div w:id="1799179892">
      <w:bodyDiv w:val="1"/>
      <w:marLeft w:val="0"/>
      <w:marRight w:val="0"/>
      <w:marTop w:val="0"/>
      <w:marBottom w:val="0"/>
      <w:divBdr>
        <w:top w:val="none" w:sz="0" w:space="0" w:color="auto"/>
        <w:left w:val="none" w:sz="0" w:space="0" w:color="auto"/>
        <w:bottom w:val="none" w:sz="0" w:space="0" w:color="auto"/>
        <w:right w:val="none" w:sz="0" w:space="0" w:color="auto"/>
      </w:divBdr>
    </w:div>
    <w:div w:id="1822773059">
      <w:bodyDiv w:val="1"/>
      <w:marLeft w:val="0"/>
      <w:marRight w:val="0"/>
      <w:marTop w:val="0"/>
      <w:marBottom w:val="0"/>
      <w:divBdr>
        <w:top w:val="none" w:sz="0" w:space="0" w:color="auto"/>
        <w:left w:val="none" w:sz="0" w:space="0" w:color="auto"/>
        <w:bottom w:val="none" w:sz="0" w:space="0" w:color="auto"/>
        <w:right w:val="none" w:sz="0" w:space="0" w:color="auto"/>
      </w:divBdr>
    </w:div>
    <w:div w:id="1862009972">
      <w:bodyDiv w:val="1"/>
      <w:marLeft w:val="0"/>
      <w:marRight w:val="0"/>
      <w:marTop w:val="0"/>
      <w:marBottom w:val="0"/>
      <w:divBdr>
        <w:top w:val="none" w:sz="0" w:space="0" w:color="auto"/>
        <w:left w:val="none" w:sz="0" w:space="0" w:color="auto"/>
        <w:bottom w:val="none" w:sz="0" w:space="0" w:color="auto"/>
        <w:right w:val="none" w:sz="0" w:space="0" w:color="auto"/>
      </w:divBdr>
    </w:div>
    <w:div w:id="1915898320">
      <w:bodyDiv w:val="1"/>
      <w:marLeft w:val="0"/>
      <w:marRight w:val="0"/>
      <w:marTop w:val="0"/>
      <w:marBottom w:val="0"/>
      <w:divBdr>
        <w:top w:val="none" w:sz="0" w:space="0" w:color="auto"/>
        <w:left w:val="none" w:sz="0" w:space="0" w:color="auto"/>
        <w:bottom w:val="none" w:sz="0" w:space="0" w:color="auto"/>
        <w:right w:val="none" w:sz="0" w:space="0" w:color="auto"/>
      </w:divBdr>
    </w:div>
    <w:div w:id="1935897760">
      <w:bodyDiv w:val="1"/>
      <w:marLeft w:val="0"/>
      <w:marRight w:val="0"/>
      <w:marTop w:val="0"/>
      <w:marBottom w:val="0"/>
      <w:divBdr>
        <w:top w:val="none" w:sz="0" w:space="0" w:color="auto"/>
        <w:left w:val="none" w:sz="0" w:space="0" w:color="auto"/>
        <w:bottom w:val="none" w:sz="0" w:space="0" w:color="auto"/>
        <w:right w:val="none" w:sz="0" w:space="0" w:color="auto"/>
      </w:divBdr>
    </w:div>
    <w:div w:id="1950770858">
      <w:bodyDiv w:val="1"/>
      <w:marLeft w:val="0"/>
      <w:marRight w:val="0"/>
      <w:marTop w:val="0"/>
      <w:marBottom w:val="0"/>
      <w:divBdr>
        <w:top w:val="none" w:sz="0" w:space="0" w:color="auto"/>
        <w:left w:val="none" w:sz="0" w:space="0" w:color="auto"/>
        <w:bottom w:val="none" w:sz="0" w:space="0" w:color="auto"/>
        <w:right w:val="none" w:sz="0" w:space="0" w:color="auto"/>
      </w:divBdr>
    </w:div>
    <w:div w:id="1957449074">
      <w:bodyDiv w:val="1"/>
      <w:marLeft w:val="0"/>
      <w:marRight w:val="0"/>
      <w:marTop w:val="0"/>
      <w:marBottom w:val="0"/>
      <w:divBdr>
        <w:top w:val="none" w:sz="0" w:space="0" w:color="auto"/>
        <w:left w:val="none" w:sz="0" w:space="0" w:color="auto"/>
        <w:bottom w:val="none" w:sz="0" w:space="0" w:color="auto"/>
        <w:right w:val="none" w:sz="0" w:space="0" w:color="auto"/>
      </w:divBdr>
    </w:div>
    <w:div w:id="2041122066">
      <w:bodyDiv w:val="1"/>
      <w:marLeft w:val="0"/>
      <w:marRight w:val="0"/>
      <w:marTop w:val="0"/>
      <w:marBottom w:val="0"/>
      <w:divBdr>
        <w:top w:val="none" w:sz="0" w:space="0" w:color="auto"/>
        <w:left w:val="none" w:sz="0" w:space="0" w:color="auto"/>
        <w:bottom w:val="none" w:sz="0" w:space="0" w:color="auto"/>
        <w:right w:val="none" w:sz="0" w:space="0" w:color="auto"/>
      </w:divBdr>
    </w:div>
    <w:div w:id="2086029378">
      <w:bodyDiv w:val="1"/>
      <w:marLeft w:val="0"/>
      <w:marRight w:val="0"/>
      <w:marTop w:val="0"/>
      <w:marBottom w:val="0"/>
      <w:divBdr>
        <w:top w:val="none" w:sz="0" w:space="0" w:color="auto"/>
        <w:left w:val="none" w:sz="0" w:space="0" w:color="auto"/>
        <w:bottom w:val="none" w:sz="0" w:space="0" w:color="auto"/>
        <w:right w:val="none" w:sz="0" w:space="0" w:color="auto"/>
      </w:divBdr>
    </w:div>
    <w:div w:id="2139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who.int/publications/i/item/9789240050860" TargetMode="External"/><Relationship Id="rId18" Type="http://schemas.openxmlformats.org/officeDocument/2006/relationships/hyperlink" Target="https://www.mass.gov/news/hpc-issues-new-research-on-behavioral-health-related-emergency-department-boarding" TargetMode="External"/><Relationship Id="rId26" Type="http://schemas.openxmlformats.org/officeDocument/2006/relationships/hyperlink" Target="https://www.hindawi.com/journals/emi/2012/838610/" TargetMode="External"/><Relationship Id="rId3" Type="http://schemas.openxmlformats.org/officeDocument/2006/relationships/hyperlink" Target="https://www.kff.org/statedata/mental-health-and-substance-use-state-fact-sheets/massachusetts/" TargetMode="External"/><Relationship Id="rId21" Type="http://schemas.openxmlformats.org/officeDocument/2006/relationships/hyperlink" Target="https://www.mass.gov/doc/behavioral-health-related-emergency-department-boarding" TargetMode="External"/><Relationship Id="rId34" Type="http://schemas.openxmlformats.org/officeDocument/2006/relationships/hyperlink" Target="https://www.ncbi.nlm.nih.gov/pmc/articles/PMC4104507/" TargetMode="External"/><Relationship Id="rId7" Type="http://schemas.openxmlformats.org/officeDocument/2006/relationships/hyperlink" Target="https://donahue.umass.edu/data/pep/dashboards/2019_census_subcounty.html" TargetMode="External"/><Relationship Id="rId12" Type="http://schemas.openxmlformats.org/officeDocument/2006/relationships/hyperlink" Target="https://www.cdc.gov/nchs/products/databriefs/db444.htm#Suggested_citation" TargetMode="External"/><Relationship Id="rId17" Type="http://schemas.openxmlformats.org/officeDocument/2006/relationships/hyperlink" Target="https://onlinelibrary.wiley.com/doi/10.1111/acem.12716" TargetMode="External"/><Relationship Id="rId25" Type="http://schemas.openxmlformats.org/officeDocument/2006/relationships/hyperlink" Target="https://www.wbur.org/news/2021/10/11/massachusetts-mental-health-boarding-report" TargetMode="External"/><Relationship Id="rId33" Type="http://schemas.openxmlformats.org/officeDocument/2006/relationships/hyperlink" Target="http://newsroom.acep.org/index.php?s=20301&amp;item=30093" TargetMode="External"/><Relationship Id="rId2" Type="http://schemas.openxmlformats.org/officeDocument/2006/relationships/hyperlink" Target="https://donahue.umass.edu/data/pep/dashboards/2019_census_subcounty.html" TargetMode="External"/><Relationship Id="rId16" Type="http://schemas.openxmlformats.org/officeDocument/2006/relationships/hyperlink" Target="https://onlinelibrary.wiley.com/doi/10.1111/acem.12716" TargetMode="External"/><Relationship Id="rId20" Type="http://schemas.openxmlformats.org/officeDocument/2006/relationships/hyperlink" Target="https://www.mass.gov/doc/behavioral-health-related-emergency-department-boarding" TargetMode="External"/><Relationship Id="rId29" Type="http://schemas.openxmlformats.org/officeDocument/2006/relationships/hyperlink" Target="http://emj.bmj.com/content/emermed/22/5/351.full.pdf" TargetMode="External"/><Relationship Id="rId1" Type="http://schemas.openxmlformats.org/officeDocument/2006/relationships/hyperlink" Target="https://donahue.umass.edu/data/pep/dashboards/2019_census_subcounty.html" TargetMode="External"/><Relationship Id="rId6" Type="http://schemas.openxmlformats.org/officeDocument/2006/relationships/hyperlink" Target="https://mhalink.informz.net/mhalink/data/images/MHA%2020212022%20Trending%20Boarding%20Report_final.pdfhttps://www.mhalink.org/MHA/IssuesAdvocacy/State/Behavioral_Health_Boarding/MHA/IssuesAndAdvocacy/Capturing_a_Crisis_MHAs_Weekly_Behavioral_Health_Boarding_Reports.aspx?hkey=40f7493a-e25b-4a28-9cda-d7de41e622d2" TargetMode="External"/><Relationship Id="rId11" Type="http://schemas.openxmlformats.org/officeDocument/2006/relationships/hyperlink" Target="https://www.cdc.gov/nchs/products/databriefs/db444.htm" TargetMode="External"/><Relationship Id="rId24" Type="http://schemas.openxmlformats.org/officeDocument/2006/relationships/hyperlink" Target="https://www.wbur.org/news/2021/10/11/massachusetts-mental-health-boarding-report" TargetMode="External"/><Relationship Id="rId32" Type="http://schemas.openxmlformats.org/officeDocument/2006/relationships/hyperlink" Target="http://newsroom.acep.org/index.php?s=20301&amp;item=30093" TargetMode="External"/><Relationship Id="rId5" Type="http://schemas.openxmlformats.org/officeDocument/2006/relationships/hyperlink" Target="https://mhalink.informz.net/mhalink/data/images/MHA%2020212022%20Trending%20Boarding%20Report_final.pdfhttps:/www.mhalink.org/MHA/IssuesAdvocacy/State/Behavioral_Health_Boarding/MHA/IssuesAndAdvocacy/Capturing_a_Crisis_MHAs_Weekly_Behavioral_Health_Boarding_Reports.aspx?hkey=40f7493a-e25b-4a28-9cda-d7de41e622d2" TargetMode="External"/><Relationship Id="rId15" Type="http://schemas.openxmlformats.org/officeDocument/2006/relationships/hyperlink" Target="https://www.wbur.org/news/2022/02/08/massachusetts-pandemic-mental-health" TargetMode="External"/><Relationship Id="rId23" Type="http://schemas.openxmlformats.org/officeDocument/2006/relationships/hyperlink" Target="https://www.jointcommission.org/resources/news-and-multimedia/newsletters/newsletters/quick-safety/quick-safety--issue-19-alleviating-ed-boarding-of-psychiatric-patients/alleviating-ed-boarding-of-psychiatric-patients/#.Y5NLM3ZOn-g" TargetMode="External"/><Relationship Id="rId28" Type="http://schemas.openxmlformats.org/officeDocument/2006/relationships/hyperlink" Target="http://emj.bmj.com/content/emermed/22/5/351.full.pdf" TargetMode="External"/><Relationship Id="rId10" Type="http://schemas.openxmlformats.org/officeDocument/2006/relationships/hyperlink" Target="https://www.nimh.nih.gov/health/statistics/mental-illness" TargetMode="External"/><Relationship Id="rId19" Type="http://schemas.openxmlformats.org/officeDocument/2006/relationships/hyperlink" Target="https://www.mass.gov/news/hpc-issues-new-research-on-behavioral-health-related-emergency-department-boarding" TargetMode="External"/><Relationship Id="rId31" Type="http://schemas.openxmlformats.org/officeDocument/2006/relationships/hyperlink" Target="http://emj.bmj.com/content/emermed/20/5/406.full.pdf" TargetMode="External"/><Relationship Id="rId4" Type="http://schemas.openxmlformats.org/officeDocument/2006/relationships/hyperlink" Target="https://www.kff.org/statedata/mental-health-and-substance-use-state-fact-sheets/massachusetts/#:~:text=As%20shown%20in%20the%20figure,of%20adults%20in%20the%20U.S" TargetMode="External"/><Relationship Id="rId9" Type="http://schemas.openxmlformats.org/officeDocument/2006/relationships/hyperlink" Target="https://www.nimh.nih.gov/health/statistics/mental-illness" TargetMode="External"/><Relationship Id="rId14" Type="http://schemas.openxmlformats.org/officeDocument/2006/relationships/hyperlink" Target="https://www.wbur.org/news/2022/02/08/massachusetts-pandemic-mental-health" TargetMode="External"/><Relationship Id="rId22" Type="http://schemas.openxmlformats.org/officeDocument/2006/relationships/hyperlink" Target="https://www.jointcommission.org/resources/news-and-multimedia/newsletters/newsletters/quick-safety/quick-safety--issue-19-alleviating-ed-boarding-of-psychiatric-patients/alleviating-ed-boarding-of-psychiatric-patients/" TargetMode="External"/><Relationship Id="rId27" Type="http://schemas.openxmlformats.org/officeDocument/2006/relationships/hyperlink" Target="https://www.hindawi.com/journals/emi/2012/838610/" TargetMode="External"/><Relationship Id="rId30" Type="http://schemas.openxmlformats.org/officeDocument/2006/relationships/hyperlink" Target="http://emj.bmj.com/content/emermed/20/5/406.full.pdf" TargetMode="External"/><Relationship Id="rId35" Type="http://schemas.openxmlformats.org/officeDocument/2006/relationships/hyperlink" Target="https://www.ncbi.nlm.nih.gov/pmc/articles/PMC4104507/" TargetMode="External"/><Relationship Id="rId8" Type="http://schemas.openxmlformats.org/officeDocument/2006/relationships/hyperlink" Target="https://donahue.umass.edu/data/pep/dashboards/2019_census_subcoun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A138-1C31-4691-954F-55424D21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7199</Words>
  <Characters>41039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Ciolfi</dc:creator>
  <cp:keywords/>
  <dc:description/>
  <cp:lastModifiedBy>Marks, Brett (DPH)</cp:lastModifiedBy>
  <cp:revision>36</cp:revision>
  <cp:lastPrinted>2021-12-14T13:29:00Z</cp:lastPrinted>
  <dcterms:created xsi:type="dcterms:W3CDTF">2023-03-27T21:16:00Z</dcterms:created>
  <dcterms:modified xsi:type="dcterms:W3CDTF">2023-05-05T13:28:00Z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736382.1</vt:lpwstr>
  </property>
  <property fmtid="{D5CDD505-2E9C-101B-9397-08002B2CF9AE}" pid="4" name="DOCXDOCID">
    <vt:lpwstr>HB: 4872-0130-5433.1</vt:lpwstr>
  </property>
  <property fmtid="{D5CDD505-2E9C-101B-9397-08002B2CF9AE}" pid="5" name="DocXLocation">
    <vt:lpwstr>Every Page</vt:lpwstr>
  </property>
  <property fmtid="{D5CDD505-2E9C-101B-9397-08002B2CF9AE}" pid="6" name="DocXFormat">
    <vt:lpwstr>HB DocID w/ver w/HB Label</vt:lpwstr>
  </property>
  <property fmtid="{D5CDD505-2E9C-101B-9397-08002B2CF9AE}" pid="7" name="DocXRemovePrint">
    <vt:lpwstr>False</vt:lpwstr>
  </property>
  <property fmtid="{D5CDD505-2E9C-101B-9397-08002B2CF9AE}" pid="8" name="ndDocumentId">
    <vt:lpwstr>4888-0229-1260</vt:lpwstr>
  </property>
</Properties>
</file>