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9581E" w14:textId="7150F91C" w:rsidR="0065447B" w:rsidRPr="00090CEE" w:rsidRDefault="0065447B" w:rsidP="00543553">
      <w:pPr>
        <w:rPr>
          <w:rFonts w:asciiTheme="majorHAnsi" w:hAnsiTheme="majorHAnsi"/>
          <w:color w:val="222222"/>
          <w:sz w:val="21"/>
          <w:szCs w:val="21"/>
          <w:shd w:val="clear" w:color="auto" w:fill="FFFFFF"/>
        </w:rPr>
      </w:pPr>
    </w:p>
    <w:p w14:paraId="09F6D329" w14:textId="130D9F6B" w:rsidR="009A5505" w:rsidRPr="00090CEE" w:rsidRDefault="009A5505" w:rsidP="0065447B">
      <w:pPr>
        <w:spacing w:before="0" w:after="0" w:line="240" w:lineRule="auto"/>
        <w:rPr>
          <w:rFonts w:asciiTheme="majorHAnsi" w:hAnsiTheme="majorHAnsi"/>
          <w:color w:val="222222"/>
          <w:sz w:val="21"/>
          <w:szCs w:val="21"/>
          <w:shd w:val="clear" w:color="auto" w:fill="FFFFFF"/>
        </w:rPr>
      </w:pPr>
    </w:p>
    <w:p w14:paraId="005D0C42" w14:textId="40481417" w:rsidR="004024D0" w:rsidRPr="00090CEE" w:rsidRDefault="004024D0" w:rsidP="0065447B">
      <w:pPr>
        <w:spacing w:before="0" w:after="0" w:line="240" w:lineRule="auto"/>
        <w:rPr>
          <w:rFonts w:asciiTheme="majorHAnsi" w:hAnsiTheme="majorHAnsi"/>
          <w:color w:val="222222"/>
          <w:sz w:val="21"/>
          <w:szCs w:val="21"/>
          <w:shd w:val="clear" w:color="auto" w:fill="FFFFFF"/>
        </w:rPr>
      </w:pPr>
    </w:p>
    <w:p w14:paraId="01A209DE" w14:textId="5619258E" w:rsidR="00023915" w:rsidRPr="00090CEE" w:rsidRDefault="0001229E" w:rsidP="0065447B">
      <w:pPr>
        <w:spacing w:before="0" w:after="0" w:line="240" w:lineRule="auto"/>
        <w:rPr>
          <w:rFonts w:asciiTheme="majorHAnsi" w:hAnsiTheme="majorHAnsi"/>
          <w:color w:val="222222"/>
          <w:sz w:val="21"/>
          <w:szCs w:val="21"/>
          <w:shd w:val="clear" w:color="auto" w:fill="FFFFFF"/>
        </w:rPr>
      </w:pPr>
      <w:bookmarkStart w:id="0" w:name="_Hlk176851390"/>
      <w:r w:rsidRPr="00090CEE">
        <w:rPr>
          <w:rFonts w:asciiTheme="majorHAnsi" w:hAnsiTheme="majorHAnsi"/>
          <w:color w:val="222222"/>
          <w:sz w:val="21"/>
          <w:szCs w:val="21"/>
          <w:shd w:val="clear" w:color="auto" w:fill="FFFFFF"/>
        </w:rPr>
        <w:t>September 1</w:t>
      </w:r>
      <w:r w:rsidR="001732FC">
        <w:rPr>
          <w:rFonts w:asciiTheme="majorHAnsi" w:hAnsiTheme="majorHAnsi"/>
          <w:color w:val="222222"/>
          <w:sz w:val="21"/>
          <w:szCs w:val="21"/>
          <w:shd w:val="clear" w:color="auto" w:fill="FFFFFF"/>
        </w:rPr>
        <w:t>9</w:t>
      </w:r>
      <w:r w:rsidRPr="00090CEE">
        <w:rPr>
          <w:rFonts w:asciiTheme="majorHAnsi" w:hAnsiTheme="majorHAnsi"/>
          <w:color w:val="222222"/>
          <w:sz w:val="21"/>
          <w:szCs w:val="21"/>
          <w:shd w:val="clear" w:color="auto" w:fill="FFFFFF"/>
        </w:rPr>
        <w:t>, 2024</w:t>
      </w:r>
    </w:p>
    <w:p w14:paraId="79D5CE35" w14:textId="77777777" w:rsidR="0001229E" w:rsidRPr="00090CEE" w:rsidRDefault="0001229E" w:rsidP="0065447B">
      <w:pPr>
        <w:spacing w:before="0" w:after="0" w:line="240" w:lineRule="auto"/>
        <w:rPr>
          <w:rFonts w:asciiTheme="majorHAnsi" w:hAnsiTheme="majorHAnsi"/>
          <w:color w:val="222222"/>
          <w:sz w:val="21"/>
          <w:szCs w:val="21"/>
          <w:shd w:val="clear" w:color="auto" w:fill="FFFFFF"/>
        </w:rPr>
      </w:pPr>
    </w:p>
    <w:p w14:paraId="4446ADE8" w14:textId="77777777" w:rsidR="0001229E" w:rsidRPr="00090CEE" w:rsidRDefault="0001229E" w:rsidP="001732FC">
      <w:pPr>
        <w:spacing w:before="0" w:after="0" w:line="276" w:lineRule="auto"/>
        <w:rPr>
          <w:rFonts w:asciiTheme="majorHAnsi" w:hAnsiTheme="majorHAnsi"/>
          <w:sz w:val="21"/>
          <w:szCs w:val="21"/>
        </w:rPr>
      </w:pPr>
      <w:r w:rsidRPr="00090CEE">
        <w:rPr>
          <w:rFonts w:asciiTheme="majorHAnsi" w:hAnsiTheme="majorHAnsi"/>
          <w:sz w:val="21"/>
          <w:szCs w:val="21"/>
        </w:rPr>
        <w:t>Secretary Rebecca Tepper</w:t>
      </w:r>
    </w:p>
    <w:p w14:paraId="6E958FB3" w14:textId="77777777" w:rsidR="0001229E" w:rsidRPr="0001229E" w:rsidRDefault="0001229E" w:rsidP="001732FC">
      <w:pPr>
        <w:spacing w:before="0" w:after="0" w:line="276" w:lineRule="auto"/>
        <w:rPr>
          <w:rFonts w:asciiTheme="majorHAnsi" w:hAnsiTheme="majorHAnsi"/>
          <w:sz w:val="21"/>
          <w:szCs w:val="21"/>
        </w:rPr>
      </w:pPr>
      <w:r w:rsidRPr="0001229E">
        <w:rPr>
          <w:rFonts w:asciiTheme="majorHAnsi" w:hAnsiTheme="majorHAnsi"/>
          <w:sz w:val="21"/>
          <w:szCs w:val="21"/>
        </w:rPr>
        <w:t>Executive Office of Energy and Environmental Affairs</w:t>
      </w:r>
    </w:p>
    <w:p w14:paraId="2EF28C05" w14:textId="29F26F4A" w:rsidR="00E57019" w:rsidRDefault="0001229E" w:rsidP="001732FC">
      <w:pPr>
        <w:spacing w:before="0" w:after="0" w:line="276" w:lineRule="auto"/>
        <w:rPr>
          <w:rFonts w:asciiTheme="majorHAnsi" w:hAnsiTheme="majorHAnsi"/>
          <w:sz w:val="21"/>
          <w:szCs w:val="21"/>
        </w:rPr>
      </w:pPr>
      <w:r w:rsidRPr="00090CEE">
        <w:rPr>
          <w:rFonts w:asciiTheme="majorHAnsi" w:hAnsiTheme="majorHAnsi"/>
          <w:sz w:val="21"/>
          <w:szCs w:val="21"/>
        </w:rPr>
        <w:t>100 Cambridge St., 10th Floor</w:t>
      </w:r>
      <w:r w:rsidRPr="00090CEE">
        <w:rPr>
          <w:rFonts w:asciiTheme="majorHAnsi" w:hAnsiTheme="majorHAnsi"/>
          <w:sz w:val="21"/>
          <w:szCs w:val="21"/>
        </w:rPr>
        <w:br/>
        <w:t>Boston, MA 02114</w:t>
      </w:r>
    </w:p>
    <w:p w14:paraId="413C7D28" w14:textId="77777777" w:rsidR="00E57019" w:rsidRPr="0001229E" w:rsidRDefault="00E57019" w:rsidP="00E57019">
      <w:pPr>
        <w:spacing w:before="0" w:after="0" w:line="240" w:lineRule="auto"/>
        <w:rPr>
          <w:rFonts w:asciiTheme="majorHAnsi" w:hAnsiTheme="majorHAnsi"/>
          <w:sz w:val="21"/>
          <w:szCs w:val="21"/>
        </w:rPr>
      </w:pPr>
    </w:p>
    <w:p w14:paraId="211E1525" w14:textId="3A83CA71" w:rsidR="0001229E" w:rsidRPr="0001229E" w:rsidRDefault="0001229E" w:rsidP="00E57019">
      <w:pPr>
        <w:tabs>
          <w:tab w:val="left" w:pos="1245"/>
        </w:tabs>
        <w:spacing w:before="0"/>
        <w:rPr>
          <w:rFonts w:asciiTheme="majorHAnsi" w:hAnsiTheme="majorHAnsi"/>
          <w:sz w:val="21"/>
          <w:szCs w:val="21"/>
        </w:rPr>
      </w:pPr>
      <w:r w:rsidRPr="00090CEE">
        <w:rPr>
          <w:rFonts w:asciiTheme="majorHAnsi" w:hAnsiTheme="majorHAnsi"/>
          <w:sz w:val="21"/>
          <w:szCs w:val="21"/>
        </w:rPr>
        <w:t xml:space="preserve">Dear </w:t>
      </w:r>
      <w:proofErr w:type="gramStart"/>
      <w:r w:rsidRPr="00090CEE">
        <w:rPr>
          <w:rFonts w:asciiTheme="majorHAnsi" w:hAnsiTheme="majorHAnsi"/>
          <w:sz w:val="21"/>
          <w:szCs w:val="21"/>
        </w:rPr>
        <w:t>Secretary</w:t>
      </w:r>
      <w:proofErr w:type="gramEnd"/>
      <w:r w:rsidRPr="00090CEE">
        <w:rPr>
          <w:rFonts w:asciiTheme="majorHAnsi" w:hAnsiTheme="majorHAnsi"/>
          <w:sz w:val="21"/>
          <w:szCs w:val="21"/>
        </w:rPr>
        <w:t xml:space="preserve"> Tepper,</w:t>
      </w:r>
    </w:p>
    <w:p w14:paraId="08409F3E" w14:textId="4FD3FA2F" w:rsidR="0001229E" w:rsidRPr="0001229E" w:rsidRDefault="0001229E" w:rsidP="0001229E">
      <w:pPr>
        <w:tabs>
          <w:tab w:val="left" w:pos="1245"/>
        </w:tabs>
        <w:rPr>
          <w:rFonts w:asciiTheme="majorHAnsi" w:hAnsiTheme="majorHAnsi"/>
          <w:sz w:val="21"/>
          <w:szCs w:val="21"/>
        </w:rPr>
      </w:pPr>
      <w:r w:rsidRPr="0001229E">
        <w:rPr>
          <w:rFonts w:asciiTheme="majorHAnsi" w:hAnsiTheme="majorHAnsi"/>
          <w:sz w:val="21"/>
          <w:szCs w:val="21"/>
        </w:rPr>
        <w:t xml:space="preserve">We respectfully submit these comments regarding the drafting of Biodiversity Goals for the Commonwealth. We applaud Governor Healey for signing Executive Order No. 618 directing the Department of Fish &amp; Game to develop biodiversity conservation goals for 2030, 2040, and 2050. We agree with the general approach of protecting, restoring, and sustaining species, habitats, and ecosystems and connecting all people to nature. As the Department of Conservation and Recreation owns and manages more acres than any other state agency and connects people to nature </w:t>
      </w:r>
      <w:proofErr w:type="gramStart"/>
      <w:r w:rsidRPr="0001229E">
        <w:rPr>
          <w:rFonts w:asciiTheme="majorHAnsi" w:hAnsiTheme="majorHAnsi"/>
          <w:sz w:val="21"/>
          <w:szCs w:val="21"/>
        </w:rPr>
        <w:t>all across</w:t>
      </w:r>
      <w:proofErr w:type="gramEnd"/>
      <w:r w:rsidRPr="0001229E">
        <w:rPr>
          <w:rFonts w:asciiTheme="majorHAnsi" w:hAnsiTheme="majorHAnsi"/>
          <w:sz w:val="21"/>
          <w:szCs w:val="21"/>
        </w:rPr>
        <w:t xml:space="preserve"> the Commonwealth, we expect DCR to be a central player in advancing these goals.</w:t>
      </w:r>
    </w:p>
    <w:p w14:paraId="08E63744" w14:textId="5203715E" w:rsidR="0001229E" w:rsidRPr="0001229E" w:rsidRDefault="0001229E" w:rsidP="0001229E">
      <w:pPr>
        <w:tabs>
          <w:tab w:val="left" w:pos="1245"/>
        </w:tabs>
        <w:rPr>
          <w:rFonts w:asciiTheme="majorHAnsi" w:hAnsiTheme="majorHAnsi"/>
          <w:sz w:val="21"/>
          <w:szCs w:val="21"/>
        </w:rPr>
      </w:pPr>
      <w:r w:rsidRPr="0001229E">
        <w:rPr>
          <w:rFonts w:asciiTheme="majorHAnsi" w:hAnsiTheme="majorHAnsi"/>
          <w:sz w:val="21"/>
          <w:szCs w:val="21"/>
        </w:rPr>
        <w:t xml:space="preserve">As an overarching statement, we strongly agree that </w:t>
      </w:r>
      <w:r w:rsidRPr="0001229E">
        <w:rPr>
          <w:rFonts w:asciiTheme="majorHAnsi" w:hAnsiTheme="majorHAnsi"/>
          <w:b/>
          <w:bCs/>
          <w:sz w:val="21"/>
          <w:szCs w:val="21"/>
        </w:rPr>
        <w:t>preserving biodiversity is a climate solution</w:t>
      </w:r>
      <w:r w:rsidRPr="0001229E">
        <w:rPr>
          <w:rFonts w:asciiTheme="majorHAnsi" w:hAnsiTheme="majorHAnsi"/>
          <w:sz w:val="21"/>
          <w:szCs w:val="21"/>
        </w:rPr>
        <w:t>. Loss of biodiversity and climate change are interrelated crises that must be solved together. Land conservation, restoration and stewardship strategies must seek to optimize our abilities to mitigate and adapt to climate change as well as maintain and increase biodiversity. </w:t>
      </w:r>
    </w:p>
    <w:p w14:paraId="02E2F417" w14:textId="77777777" w:rsidR="0001229E" w:rsidRPr="0001229E" w:rsidRDefault="0001229E" w:rsidP="00B25FFE">
      <w:pPr>
        <w:tabs>
          <w:tab w:val="left" w:pos="1245"/>
        </w:tabs>
        <w:rPr>
          <w:rFonts w:asciiTheme="majorHAnsi" w:hAnsiTheme="majorHAnsi"/>
          <w:b/>
          <w:bCs/>
          <w:sz w:val="21"/>
          <w:szCs w:val="21"/>
        </w:rPr>
      </w:pPr>
      <w:r w:rsidRPr="0001229E">
        <w:rPr>
          <w:rFonts w:asciiTheme="majorHAnsi" w:hAnsiTheme="majorHAnsi"/>
          <w:b/>
          <w:bCs/>
          <w:sz w:val="21"/>
          <w:szCs w:val="21"/>
        </w:rPr>
        <w:t>Protect</w:t>
      </w:r>
    </w:p>
    <w:p w14:paraId="57BAB54D" w14:textId="77777777" w:rsidR="0001229E" w:rsidRPr="00090CEE" w:rsidRDefault="0001229E" w:rsidP="00B25FFE">
      <w:pPr>
        <w:pStyle w:val="ListParagraph"/>
        <w:numPr>
          <w:ilvl w:val="0"/>
          <w:numId w:val="3"/>
        </w:numPr>
        <w:rPr>
          <w:rFonts w:asciiTheme="majorHAnsi" w:hAnsiTheme="majorHAnsi"/>
          <w:sz w:val="21"/>
          <w:szCs w:val="21"/>
        </w:rPr>
      </w:pPr>
      <w:r w:rsidRPr="00090CEE">
        <w:rPr>
          <w:rFonts w:asciiTheme="majorHAnsi" w:hAnsiTheme="majorHAnsi"/>
          <w:sz w:val="21"/>
          <w:szCs w:val="21"/>
        </w:rPr>
        <w:t>We applaud the goals of protecting 30% of Massachusetts land and waters by 2030 and 40% by 2050. The 2050 goal must be seen as a minimum. </w:t>
      </w:r>
    </w:p>
    <w:p w14:paraId="30CA257D" w14:textId="2E768281" w:rsidR="0001229E" w:rsidRPr="00090CEE" w:rsidRDefault="0001229E" w:rsidP="00B25FFE">
      <w:pPr>
        <w:pStyle w:val="ListParagraph"/>
        <w:numPr>
          <w:ilvl w:val="0"/>
          <w:numId w:val="3"/>
        </w:numPr>
        <w:rPr>
          <w:rFonts w:asciiTheme="majorHAnsi" w:hAnsiTheme="majorHAnsi"/>
          <w:sz w:val="21"/>
          <w:szCs w:val="21"/>
        </w:rPr>
      </w:pPr>
      <w:r w:rsidRPr="00090CEE">
        <w:rPr>
          <w:rFonts w:asciiTheme="majorHAnsi" w:hAnsiTheme="majorHAnsi"/>
          <w:sz w:val="21"/>
          <w:szCs w:val="21"/>
        </w:rPr>
        <w:t>DCR must be adequately funded and staffed to accelerate its pace of land conservation</w:t>
      </w:r>
      <w:r w:rsidR="001E64AE">
        <w:rPr>
          <w:rFonts w:asciiTheme="majorHAnsi" w:hAnsiTheme="majorHAnsi"/>
          <w:sz w:val="21"/>
          <w:szCs w:val="21"/>
        </w:rPr>
        <w:t xml:space="preserve"> for biodiversity and for recreation.</w:t>
      </w:r>
    </w:p>
    <w:p w14:paraId="560D0713" w14:textId="41E715D0" w:rsidR="0001229E" w:rsidRPr="00090CEE" w:rsidRDefault="0001229E" w:rsidP="00B25FFE">
      <w:pPr>
        <w:pStyle w:val="ListParagraph"/>
        <w:numPr>
          <w:ilvl w:val="0"/>
          <w:numId w:val="3"/>
        </w:numPr>
        <w:rPr>
          <w:rFonts w:asciiTheme="majorHAnsi" w:hAnsiTheme="majorHAnsi"/>
          <w:sz w:val="21"/>
          <w:szCs w:val="21"/>
        </w:rPr>
      </w:pPr>
      <w:r w:rsidRPr="00090CEE">
        <w:rPr>
          <w:rFonts w:asciiTheme="majorHAnsi" w:hAnsiTheme="majorHAnsi"/>
          <w:sz w:val="21"/>
          <w:szCs w:val="21"/>
        </w:rPr>
        <w:t xml:space="preserve">DCR’s land conservation strategy should prioritize biodiversity conservation, focusing particularly on unprotected </w:t>
      </w:r>
      <w:proofErr w:type="spellStart"/>
      <w:r w:rsidRPr="00090CEE">
        <w:rPr>
          <w:rFonts w:asciiTheme="majorHAnsi" w:hAnsiTheme="majorHAnsi"/>
          <w:sz w:val="21"/>
          <w:szCs w:val="21"/>
        </w:rPr>
        <w:t>BioMap</w:t>
      </w:r>
      <w:proofErr w:type="spellEnd"/>
      <w:r w:rsidRPr="00090CEE">
        <w:rPr>
          <w:rFonts w:asciiTheme="majorHAnsi" w:hAnsiTheme="majorHAnsi"/>
          <w:sz w:val="21"/>
          <w:szCs w:val="21"/>
        </w:rPr>
        <w:t xml:space="preserve"> Core and Critical Natural Landscape areas adjacent to existing </w:t>
      </w:r>
      <w:r w:rsidR="001142FA" w:rsidRPr="00090CEE">
        <w:rPr>
          <w:rFonts w:asciiTheme="majorHAnsi" w:hAnsiTheme="majorHAnsi"/>
          <w:sz w:val="21"/>
          <w:szCs w:val="21"/>
        </w:rPr>
        <w:t>state-owned</w:t>
      </w:r>
      <w:r w:rsidRPr="00090CEE">
        <w:rPr>
          <w:rFonts w:asciiTheme="majorHAnsi" w:hAnsiTheme="majorHAnsi"/>
          <w:sz w:val="21"/>
          <w:szCs w:val="21"/>
        </w:rPr>
        <w:t xml:space="preserve"> land. </w:t>
      </w:r>
    </w:p>
    <w:p w14:paraId="4CD53580" w14:textId="77777777" w:rsidR="0001229E" w:rsidRPr="00090CEE" w:rsidRDefault="0001229E" w:rsidP="00B25FFE">
      <w:pPr>
        <w:pStyle w:val="ListParagraph"/>
        <w:numPr>
          <w:ilvl w:val="0"/>
          <w:numId w:val="3"/>
        </w:numPr>
        <w:rPr>
          <w:rFonts w:asciiTheme="majorHAnsi" w:hAnsiTheme="majorHAnsi"/>
          <w:sz w:val="21"/>
          <w:szCs w:val="21"/>
        </w:rPr>
      </w:pPr>
      <w:r w:rsidRPr="00090CEE">
        <w:rPr>
          <w:rFonts w:asciiTheme="majorHAnsi" w:hAnsiTheme="majorHAnsi"/>
          <w:sz w:val="21"/>
          <w:szCs w:val="21"/>
        </w:rPr>
        <w:t>DCR should continue to work with NGO partners to identify, fund and complete high impact land conservation projects. </w:t>
      </w:r>
    </w:p>
    <w:p w14:paraId="2A7241EC" w14:textId="199CBCD8" w:rsidR="0001229E" w:rsidRPr="00090CEE" w:rsidRDefault="001E64AE" w:rsidP="00B25FFE">
      <w:pPr>
        <w:pStyle w:val="ListParagraph"/>
        <w:numPr>
          <w:ilvl w:val="0"/>
          <w:numId w:val="3"/>
        </w:numPr>
        <w:rPr>
          <w:rFonts w:asciiTheme="majorHAnsi" w:hAnsiTheme="majorHAnsi"/>
          <w:sz w:val="21"/>
          <w:szCs w:val="21"/>
        </w:rPr>
      </w:pPr>
      <w:r w:rsidRPr="001E64AE">
        <w:rPr>
          <w:rFonts w:asciiTheme="majorHAnsi" w:hAnsiTheme="majorHAnsi"/>
          <w:sz w:val="21"/>
          <w:szCs w:val="21"/>
        </w:rPr>
        <w:t xml:space="preserve">EEA should develop mechanisms to measure progress against each of the biodiversity goals. Specifically, </w:t>
      </w:r>
      <w:r w:rsidR="0001229E" w:rsidRPr="00090CEE">
        <w:rPr>
          <w:rFonts w:asciiTheme="majorHAnsi" w:hAnsiTheme="majorHAnsi"/>
          <w:sz w:val="21"/>
          <w:szCs w:val="21"/>
        </w:rPr>
        <w:t>EEA should upgrade the process for updating and maintaining GIS data on currently protected open space to ensure accurate metrics for this goal and to assist with land conservation planning. </w:t>
      </w:r>
    </w:p>
    <w:p w14:paraId="7C57CD14" w14:textId="77777777" w:rsidR="0001229E" w:rsidRPr="0001229E" w:rsidRDefault="0001229E" w:rsidP="00B25FFE">
      <w:pPr>
        <w:tabs>
          <w:tab w:val="left" w:pos="1245"/>
        </w:tabs>
        <w:rPr>
          <w:rFonts w:asciiTheme="majorHAnsi" w:hAnsiTheme="majorHAnsi"/>
          <w:b/>
          <w:bCs/>
          <w:sz w:val="21"/>
          <w:szCs w:val="21"/>
        </w:rPr>
      </w:pPr>
      <w:r w:rsidRPr="0001229E">
        <w:rPr>
          <w:rFonts w:asciiTheme="majorHAnsi" w:hAnsiTheme="majorHAnsi"/>
          <w:b/>
          <w:bCs/>
          <w:sz w:val="21"/>
          <w:szCs w:val="21"/>
        </w:rPr>
        <w:t>Restore</w:t>
      </w:r>
    </w:p>
    <w:p w14:paraId="4F636A02" w14:textId="77777777" w:rsidR="0001229E" w:rsidRPr="00090CEE" w:rsidRDefault="0001229E" w:rsidP="00B25FFE">
      <w:pPr>
        <w:pStyle w:val="ListParagraph"/>
        <w:numPr>
          <w:ilvl w:val="0"/>
          <w:numId w:val="4"/>
        </w:numPr>
        <w:tabs>
          <w:tab w:val="left" w:pos="1245"/>
        </w:tabs>
        <w:rPr>
          <w:rFonts w:asciiTheme="majorHAnsi" w:hAnsiTheme="majorHAnsi"/>
          <w:sz w:val="21"/>
          <w:szCs w:val="21"/>
        </w:rPr>
      </w:pPr>
      <w:r w:rsidRPr="00090CEE">
        <w:rPr>
          <w:rFonts w:asciiTheme="majorHAnsi" w:hAnsiTheme="majorHAnsi"/>
          <w:sz w:val="21"/>
          <w:szCs w:val="21"/>
        </w:rPr>
        <w:t>DCR and MassDOT should work closely together to become leaders in wildlife-friendly transportation planning. DCR parkways should be managed with wildlife in mind, particularly sensitive species directly affected by vehicle traffic. Parkways should be used to demonstrate effective wildlife passages including underpasses and overpasses. </w:t>
      </w:r>
    </w:p>
    <w:p w14:paraId="33E69E60" w14:textId="77777777" w:rsidR="0001229E" w:rsidRPr="00090CEE" w:rsidRDefault="0001229E" w:rsidP="00B25FFE">
      <w:pPr>
        <w:pStyle w:val="ListParagraph"/>
        <w:numPr>
          <w:ilvl w:val="0"/>
          <w:numId w:val="4"/>
        </w:numPr>
        <w:tabs>
          <w:tab w:val="left" w:pos="1245"/>
        </w:tabs>
        <w:rPr>
          <w:rFonts w:asciiTheme="majorHAnsi" w:hAnsiTheme="majorHAnsi"/>
          <w:sz w:val="21"/>
          <w:szCs w:val="21"/>
        </w:rPr>
      </w:pPr>
      <w:r w:rsidRPr="00090CEE">
        <w:rPr>
          <w:rFonts w:asciiTheme="majorHAnsi" w:hAnsiTheme="majorHAnsi"/>
          <w:sz w:val="21"/>
          <w:szCs w:val="21"/>
        </w:rPr>
        <w:lastRenderedPageBreak/>
        <w:t>EEA should continue to direct DEP to update regulations to enable wetlands restoration at the pace and scale necessary to respond to the threats of climate change, particularly in salt marshes and other coastal habitats. </w:t>
      </w:r>
    </w:p>
    <w:p w14:paraId="4F5ED460" w14:textId="77777777" w:rsidR="00B25FFE" w:rsidRPr="00090CEE" w:rsidRDefault="0001229E" w:rsidP="00B25FFE">
      <w:pPr>
        <w:pStyle w:val="ListParagraph"/>
        <w:numPr>
          <w:ilvl w:val="0"/>
          <w:numId w:val="4"/>
        </w:numPr>
        <w:tabs>
          <w:tab w:val="left" w:pos="1245"/>
        </w:tabs>
        <w:rPr>
          <w:rFonts w:asciiTheme="majorHAnsi" w:hAnsiTheme="majorHAnsi"/>
          <w:sz w:val="21"/>
          <w:szCs w:val="21"/>
        </w:rPr>
      </w:pPr>
      <w:r w:rsidRPr="00090CEE">
        <w:rPr>
          <w:rFonts w:asciiTheme="majorHAnsi" w:hAnsiTheme="majorHAnsi"/>
          <w:sz w:val="21"/>
          <w:szCs w:val="21"/>
        </w:rPr>
        <w:t>DCR’s Office of Dam Safety and the Division of Ecological Restoration must enhance partnership to accelerate the pace of dam removal. State agencies should develop a coherent community outreach and support service to answer the common set of questions that arise when a community is considering dam removal. </w:t>
      </w:r>
    </w:p>
    <w:p w14:paraId="6428B297" w14:textId="153C8FA1" w:rsidR="0001229E" w:rsidRPr="0001229E" w:rsidRDefault="0001229E" w:rsidP="00B25FFE">
      <w:pPr>
        <w:tabs>
          <w:tab w:val="left" w:pos="1245"/>
        </w:tabs>
        <w:rPr>
          <w:rFonts w:asciiTheme="majorHAnsi" w:hAnsiTheme="majorHAnsi"/>
          <w:sz w:val="21"/>
          <w:szCs w:val="21"/>
        </w:rPr>
      </w:pPr>
      <w:r w:rsidRPr="0001229E">
        <w:rPr>
          <w:rFonts w:asciiTheme="majorHAnsi" w:hAnsiTheme="majorHAnsi"/>
          <w:b/>
          <w:bCs/>
          <w:sz w:val="21"/>
          <w:szCs w:val="21"/>
        </w:rPr>
        <w:t>Sustain</w:t>
      </w:r>
    </w:p>
    <w:p w14:paraId="085832DC" w14:textId="77777777" w:rsidR="0001229E" w:rsidRPr="00090CEE" w:rsidRDefault="0001229E" w:rsidP="00B25FFE">
      <w:pPr>
        <w:pStyle w:val="ListParagraph"/>
        <w:numPr>
          <w:ilvl w:val="0"/>
          <w:numId w:val="5"/>
        </w:numPr>
        <w:tabs>
          <w:tab w:val="left" w:pos="1245"/>
        </w:tabs>
        <w:rPr>
          <w:rFonts w:asciiTheme="majorHAnsi" w:hAnsiTheme="majorHAnsi"/>
          <w:sz w:val="21"/>
          <w:szCs w:val="21"/>
        </w:rPr>
      </w:pPr>
      <w:r w:rsidRPr="00090CEE">
        <w:rPr>
          <w:rFonts w:asciiTheme="majorHAnsi" w:hAnsiTheme="majorHAnsi"/>
          <w:sz w:val="21"/>
          <w:szCs w:val="21"/>
        </w:rPr>
        <w:t xml:space="preserve">We continue to believe that carefully planned forest management can enhance biodiversity, support local communities, and help our forests adapt to future climate conditions. We agree with EEA’s </w:t>
      </w:r>
      <w:r w:rsidRPr="00090CEE">
        <w:rPr>
          <w:rFonts w:asciiTheme="majorHAnsi" w:hAnsiTheme="majorHAnsi"/>
          <w:i/>
          <w:iCs/>
          <w:sz w:val="21"/>
          <w:szCs w:val="21"/>
        </w:rPr>
        <w:t>Response to the Report of the Climate Forestry Committee</w:t>
      </w:r>
      <w:r w:rsidRPr="00090CEE">
        <w:rPr>
          <w:rFonts w:asciiTheme="majorHAnsi" w:hAnsiTheme="majorHAnsi"/>
          <w:sz w:val="21"/>
          <w:szCs w:val="21"/>
        </w:rPr>
        <w:t xml:space="preserve"> that “[r]</w:t>
      </w:r>
      <w:proofErr w:type="spellStart"/>
      <w:r w:rsidRPr="00090CEE">
        <w:rPr>
          <w:rFonts w:asciiTheme="majorHAnsi" w:hAnsiTheme="majorHAnsi"/>
          <w:sz w:val="21"/>
          <w:szCs w:val="21"/>
        </w:rPr>
        <w:t>ecognizing</w:t>
      </w:r>
      <w:proofErr w:type="spellEnd"/>
      <w:r w:rsidRPr="00090CEE">
        <w:rPr>
          <w:rFonts w:asciiTheme="majorHAnsi" w:hAnsiTheme="majorHAnsi"/>
          <w:sz w:val="21"/>
          <w:szCs w:val="21"/>
        </w:rPr>
        <w:t xml:space="preserve"> the carbon sequestration and storage implications, when necessary to meet habitat goals the Commonwealth will manage land to sustain biodiversity for at-risk species and Species of Greatest Conservation Need in selectively sited ecological landscapes.”</w:t>
      </w:r>
    </w:p>
    <w:p w14:paraId="3AA3D9E5" w14:textId="77777777" w:rsidR="0001229E" w:rsidRPr="00090CEE" w:rsidRDefault="0001229E" w:rsidP="00B25FFE">
      <w:pPr>
        <w:pStyle w:val="ListParagraph"/>
        <w:numPr>
          <w:ilvl w:val="0"/>
          <w:numId w:val="5"/>
        </w:numPr>
        <w:tabs>
          <w:tab w:val="left" w:pos="1245"/>
        </w:tabs>
        <w:rPr>
          <w:rFonts w:asciiTheme="majorHAnsi" w:hAnsiTheme="majorHAnsi"/>
          <w:sz w:val="21"/>
          <w:szCs w:val="21"/>
        </w:rPr>
      </w:pPr>
      <w:proofErr w:type="spellStart"/>
      <w:r w:rsidRPr="00090CEE">
        <w:rPr>
          <w:rFonts w:asciiTheme="majorHAnsi" w:hAnsiTheme="majorHAnsi"/>
          <w:sz w:val="21"/>
          <w:szCs w:val="21"/>
        </w:rPr>
        <w:t>MassWildlife</w:t>
      </w:r>
      <w:proofErr w:type="spellEnd"/>
      <w:r w:rsidRPr="00090CEE">
        <w:rPr>
          <w:rFonts w:asciiTheme="majorHAnsi" w:hAnsiTheme="majorHAnsi"/>
          <w:sz w:val="21"/>
          <w:szCs w:val="21"/>
        </w:rPr>
        <w:t xml:space="preserve"> must develop and apply adequate methods to actively monitor and maintain white-tailed deer density at appropriate levels for forest health. The Hunters Share the Harvest program is admirable and should be expanded and supplemented with additional methods to reduce WTD density to current Wildlife Management Zone goals. </w:t>
      </w:r>
    </w:p>
    <w:p w14:paraId="3AEAF3F8" w14:textId="3A6DBCC4" w:rsidR="0001229E" w:rsidRPr="0001229E" w:rsidRDefault="0001229E" w:rsidP="00B25FFE">
      <w:pPr>
        <w:tabs>
          <w:tab w:val="left" w:pos="1245"/>
        </w:tabs>
        <w:rPr>
          <w:rFonts w:asciiTheme="majorHAnsi" w:hAnsiTheme="majorHAnsi"/>
          <w:b/>
          <w:bCs/>
          <w:sz w:val="21"/>
          <w:szCs w:val="21"/>
        </w:rPr>
      </w:pPr>
      <w:r w:rsidRPr="0001229E">
        <w:rPr>
          <w:rFonts w:asciiTheme="majorHAnsi" w:hAnsiTheme="majorHAnsi"/>
          <w:b/>
          <w:bCs/>
          <w:sz w:val="21"/>
          <w:szCs w:val="21"/>
        </w:rPr>
        <w:t>Connect</w:t>
      </w:r>
    </w:p>
    <w:p w14:paraId="629E3966" w14:textId="77777777" w:rsidR="0001229E" w:rsidRDefault="0001229E" w:rsidP="00B25FFE">
      <w:pPr>
        <w:pStyle w:val="ListParagraph"/>
        <w:numPr>
          <w:ilvl w:val="0"/>
          <w:numId w:val="6"/>
        </w:numPr>
        <w:tabs>
          <w:tab w:val="left" w:pos="1245"/>
        </w:tabs>
        <w:rPr>
          <w:rFonts w:asciiTheme="majorHAnsi" w:hAnsiTheme="majorHAnsi"/>
          <w:sz w:val="21"/>
          <w:szCs w:val="21"/>
        </w:rPr>
      </w:pPr>
      <w:r w:rsidRPr="00090CEE">
        <w:rPr>
          <w:rFonts w:asciiTheme="majorHAnsi" w:hAnsiTheme="majorHAnsi"/>
          <w:sz w:val="21"/>
          <w:szCs w:val="21"/>
        </w:rPr>
        <w:t>DCR should be funded to increase nature-based education and outreach programs for all ages. All programs should have some biodiversity component, leveraging local stories to emphasize the importance of biodiversity.</w:t>
      </w:r>
    </w:p>
    <w:p w14:paraId="61B40268" w14:textId="394DC94B" w:rsidR="001E64AE" w:rsidRPr="00090CEE" w:rsidRDefault="001E64AE" w:rsidP="00B25FFE">
      <w:pPr>
        <w:pStyle w:val="ListParagraph"/>
        <w:numPr>
          <w:ilvl w:val="0"/>
          <w:numId w:val="6"/>
        </w:numPr>
        <w:tabs>
          <w:tab w:val="left" w:pos="1245"/>
        </w:tabs>
        <w:rPr>
          <w:rFonts w:asciiTheme="majorHAnsi" w:hAnsiTheme="majorHAnsi"/>
          <w:sz w:val="21"/>
          <w:szCs w:val="21"/>
        </w:rPr>
      </w:pPr>
      <w:r w:rsidRPr="001E64AE">
        <w:rPr>
          <w:rFonts w:asciiTheme="majorHAnsi" w:hAnsiTheme="majorHAnsi"/>
          <w:sz w:val="21"/>
          <w:szCs w:val="21"/>
        </w:rPr>
        <w:t xml:space="preserve">Recreation facilities must be </w:t>
      </w:r>
      <w:proofErr w:type="gramStart"/>
      <w:r w:rsidRPr="001E64AE">
        <w:rPr>
          <w:rFonts w:asciiTheme="majorHAnsi" w:hAnsiTheme="majorHAnsi"/>
          <w:sz w:val="21"/>
          <w:szCs w:val="21"/>
        </w:rPr>
        <w:t>sited</w:t>
      </w:r>
      <w:proofErr w:type="gramEnd"/>
      <w:r w:rsidRPr="001E64AE">
        <w:rPr>
          <w:rFonts w:asciiTheme="majorHAnsi" w:hAnsiTheme="majorHAnsi"/>
          <w:sz w:val="21"/>
          <w:szCs w:val="21"/>
        </w:rPr>
        <w:t xml:space="preserve"> and activities managed to avoid areas most valuable for biodiversity</w:t>
      </w:r>
      <w:r>
        <w:rPr>
          <w:rFonts w:asciiTheme="majorHAnsi" w:hAnsiTheme="majorHAnsi"/>
          <w:sz w:val="21"/>
          <w:szCs w:val="21"/>
        </w:rPr>
        <w:t>.</w:t>
      </w:r>
    </w:p>
    <w:p w14:paraId="68640B1C" w14:textId="1D5D1767" w:rsidR="0001229E" w:rsidRPr="00090CEE" w:rsidRDefault="0001229E" w:rsidP="0001229E">
      <w:pPr>
        <w:pStyle w:val="ListParagraph"/>
        <w:numPr>
          <w:ilvl w:val="0"/>
          <w:numId w:val="6"/>
        </w:numPr>
        <w:tabs>
          <w:tab w:val="left" w:pos="1245"/>
        </w:tabs>
        <w:rPr>
          <w:rFonts w:asciiTheme="majorHAnsi" w:hAnsiTheme="majorHAnsi"/>
          <w:sz w:val="21"/>
          <w:szCs w:val="21"/>
        </w:rPr>
      </w:pPr>
      <w:r w:rsidRPr="00090CEE">
        <w:rPr>
          <w:rFonts w:asciiTheme="majorHAnsi" w:hAnsiTheme="majorHAnsi"/>
          <w:sz w:val="21"/>
          <w:szCs w:val="21"/>
        </w:rPr>
        <w:t>DCR should partner with communities to create one or more Dark Sky Preserves centered on state parks characterized by low light pollution. Dark sky efforts are critical to biodiversity, stargazing programs are a great way to connect people to nature, and designated preserves can generate tourism activity in rural areas.</w:t>
      </w:r>
    </w:p>
    <w:p w14:paraId="73D99741" w14:textId="77CFD9C7" w:rsidR="00B25FFE" w:rsidRPr="0001229E" w:rsidRDefault="0001229E" w:rsidP="0001229E">
      <w:pPr>
        <w:tabs>
          <w:tab w:val="left" w:pos="1245"/>
        </w:tabs>
        <w:rPr>
          <w:rFonts w:asciiTheme="majorHAnsi" w:hAnsiTheme="majorHAnsi"/>
          <w:sz w:val="21"/>
          <w:szCs w:val="21"/>
        </w:rPr>
      </w:pPr>
      <w:r w:rsidRPr="0001229E">
        <w:rPr>
          <w:rFonts w:asciiTheme="majorHAnsi" w:hAnsiTheme="majorHAnsi"/>
          <w:sz w:val="21"/>
          <w:szCs w:val="21"/>
        </w:rPr>
        <w:t xml:space="preserve">The entire Stewardship Council looks forward to working with Commissioner Arrigo and the talented DCR staff to advance </w:t>
      </w:r>
      <w:r w:rsidR="00B25FFE" w:rsidRPr="00090CEE">
        <w:rPr>
          <w:rFonts w:asciiTheme="majorHAnsi" w:hAnsiTheme="majorHAnsi"/>
          <w:sz w:val="21"/>
          <w:szCs w:val="21"/>
        </w:rPr>
        <w:t>their</w:t>
      </w:r>
      <w:r w:rsidRPr="0001229E">
        <w:rPr>
          <w:rFonts w:asciiTheme="majorHAnsi" w:hAnsiTheme="majorHAnsi"/>
          <w:sz w:val="21"/>
          <w:szCs w:val="21"/>
        </w:rPr>
        <w:t xml:space="preserve"> biodiversity goals.</w:t>
      </w:r>
    </w:p>
    <w:p w14:paraId="472E1A0D" w14:textId="77777777" w:rsidR="0001229E" w:rsidRPr="0001229E" w:rsidRDefault="0001229E" w:rsidP="0001229E">
      <w:pPr>
        <w:tabs>
          <w:tab w:val="left" w:pos="1245"/>
        </w:tabs>
        <w:rPr>
          <w:rFonts w:asciiTheme="majorHAnsi" w:hAnsiTheme="majorHAnsi"/>
          <w:sz w:val="21"/>
          <w:szCs w:val="21"/>
        </w:rPr>
      </w:pPr>
      <w:r w:rsidRPr="0001229E">
        <w:rPr>
          <w:rFonts w:asciiTheme="majorHAnsi" w:hAnsiTheme="majorHAnsi"/>
          <w:sz w:val="21"/>
          <w:szCs w:val="21"/>
        </w:rPr>
        <w:t>Sincerely,</w:t>
      </w:r>
    </w:p>
    <w:p w14:paraId="26D00B9F" w14:textId="7B3471E2" w:rsidR="00B25FFE" w:rsidRPr="00090CEE" w:rsidRDefault="0001229E" w:rsidP="00090CEE">
      <w:pPr>
        <w:tabs>
          <w:tab w:val="left" w:pos="1245"/>
        </w:tabs>
        <w:rPr>
          <w:rFonts w:asciiTheme="majorHAnsi" w:hAnsiTheme="majorHAnsi"/>
          <w:sz w:val="21"/>
          <w:szCs w:val="21"/>
        </w:rPr>
      </w:pPr>
      <w:r w:rsidRPr="00090CEE">
        <w:rPr>
          <w:rFonts w:asciiTheme="majorHAnsi" w:hAnsiTheme="majorHAnsi"/>
          <w:sz w:val="21"/>
          <w:szCs w:val="21"/>
        </w:rPr>
        <w:t>The DCR Stewardship Council</w:t>
      </w:r>
      <w:bookmarkEnd w:id="0"/>
    </w:p>
    <w:tbl>
      <w:tblPr>
        <w:tblStyle w:val="TableGri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3446"/>
        <w:gridCol w:w="3446"/>
      </w:tblGrid>
      <w:tr w:rsidR="00090CEE" w14:paraId="5DEC2A7F" w14:textId="77777777" w:rsidTr="00E57019">
        <w:trPr>
          <w:trHeight w:val="360"/>
        </w:trPr>
        <w:tc>
          <w:tcPr>
            <w:tcW w:w="3444" w:type="dxa"/>
          </w:tcPr>
          <w:p w14:paraId="71F39DFB" w14:textId="76000E60" w:rsidR="00090CEE" w:rsidRDefault="00090CEE" w:rsidP="00090CEE">
            <w:pPr>
              <w:jc w:val="center"/>
              <w:rPr>
                <w:rFonts w:asciiTheme="majorHAnsi" w:hAnsiTheme="majorHAnsi"/>
                <w:bCs/>
                <w:iCs/>
                <w:color w:val="222222"/>
                <w:sz w:val="21"/>
                <w:szCs w:val="21"/>
                <w:shd w:val="clear" w:color="auto" w:fill="FFFFFF"/>
              </w:rPr>
            </w:pPr>
            <w:r>
              <w:rPr>
                <w:rFonts w:asciiTheme="majorHAnsi" w:hAnsiTheme="majorHAnsi"/>
                <w:bCs/>
                <w:iCs/>
                <w:color w:val="222222"/>
                <w:sz w:val="21"/>
                <w:szCs w:val="21"/>
                <w:shd w:val="clear" w:color="auto" w:fill="FFFFFF"/>
              </w:rPr>
              <w:t>Jack Buckley, Chair</w:t>
            </w:r>
          </w:p>
        </w:tc>
        <w:tc>
          <w:tcPr>
            <w:tcW w:w="3446" w:type="dxa"/>
          </w:tcPr>
          <w:p w14:paraId="2A00AB42" w14:textId="0A1E856D" w:rsidR="00090CEE" w:rsidRDefault="00090CEE" w:rsidP="00090CEE">
            <w:pPr>
              <w:jc w:val="center"/>
              <w:rPr>
                <w:rFonts w:asciiTheme="majorHAnsi" w:hAnsiTheme="majorHAnsi"/>
                <w:bCs/>
                <w:iCs/>
                <w:color w:val="222222"/>
                <w:sz w:val="21"/>
                <w:szCs w:val="21"/>
                <w:shd w:val="clear" w:color="auto" w:fill="FFFFFF"/>
              </w:rPr>
            </w:pPr>
            <w:r>
              <w:rPr>
                <w:rFonts w:asciiTheme="majorHAnsi" w:hAnsiTheme="majorHAnsi"/>
                <w:bCs/>
                <w:iCs/>
                <w:color w:val="222222"/>
                <w:sz w:val="21"/>
                <w:szCs w:val="21"/>
                <w:shd w:val="clear" w:color="auto" w:fill="FFFFFF"/>
              </w:rPr>
              <w:t>Melissa Harper, Vice Chair</w:t>
            </w:r>
          </w:p>
        </w:tc>
        <w:tc>
          <w:tcPr>
            <w:tcW w:w="3446" w:type="dxa"/>
          </w:tcPr>
          <w:p w14:paraId="76B6CD3A" w14:textId="367DEFE7"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bCs/>
                <w:iCs/>
                <w:color w:val="222222"/>
                <w:sz w:val="21"/>
                <w:szCs w:val="21"/>
                <w:shd w:val="clear" w:color="auto" w:fill="FFFFFF"/>
              </w:rPr>
              <w:t>Ann Canedy, Esq.,</w:t>
            </w:r>
            <w:r>
              <w:rPr>
                <w:rFonts w:asciiTheme="majorHAnsi" w:hAnsiTheme="majorHAnsi"/>
                <w:bCs/>
                <w:iCs/>
                <w:color w:val="222222"/>
                <w:sz w:val="21"/>
                <w:szCs w:val="21"/>
                <w:shd w:val="clear" w:color="auto" w:fill="FFFFFF"/>
              </w:rPr>
              <w:t xml:space="preserve"> Secretary</w:t>
            </w:r>
          </w:p>
        </w:tc>
      </w:tr>
      <w:tr w:rsidR="00090CEE" w14:paraId="6960225B" w14:textId="77777777" w:rsidTr="00E57019">
        <w:trPr>
          <w:trHeight w:val="360"/>
        </w:trPr>
        <w:tc>
          <w:tcPr>
            <w:tcW w:w="3444" w:type="dxa"/>
          </w:tcPr>
          <w:p w14:paraId="482730DD" w14:textId="21A7AE1F"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Jeffrey Collins</w:t>
            </w:r>
          </w:p>
        </w:tc>
        <w:tc>
          <w:tcPr>
            <w:tcW w:w="3446" w:type="dxa"/>
          </w:tcPr>
          <w:p w14:paraId="228A6940" w14:textId="08FC3BE5"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Dicken J. Crane</w:t>
            </w:r>
          </w:p>
        </w:tc>
        <w:tc>
          <w:tcPr>
            <w:tcW w:w="3446" w:type="dxa"/>
          </w:tcPr>
          <w:p w14:paraId="32F4835C" w14:textId="2C38AA52"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Phil Doherty</w:t>
            </w:r>
          </w:p>
        </w:tc>
      </w:tr>
      <w:tr w:rsidR="00090CEE" w14:paraId="4EC875C3" w14:textId="77777777" w:rsidTr="00E57019">
        <w:trPr>
          <w:trHeight w:val="360"/>
        </w:trPr>
        <w:tc>
          <w:tcPr>
            <w:tcW w:w="3444" w:type="dxa"/>
          </w:tcPr>
          <w:p w14:paraId="2812F745" w14:textId="476CF38F"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Ted Dooley</w:t>
            </w:r>
          </w:p>
        </w:tc>
        <w:tc>
          <w:tcPr>
            <w:tcW w:w="3446" w:type="dxa"/>
          </w:tcPr>
          <w:p w14:paraId="7AA4CF5B" w14:textId="660ECE4D"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Laura Jasinski</w:t>
            </w:r>
          </w:p>
        </w:tc>
        <w:tc>
          <w:tcPr>
            <w:tcW w:w="3446" w:type="dxa"/>
          </w:tcPr>
          <w:p w14:paraId="1FB3C63B" w14:textId="559588DD"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Vivian Ortiz</w:t>
            </w:r>
          </w:p>
        </w:tc>
      </w:tr>
      <w:tr w:rsidR="00090CEE" w14:paraId="6DE44E4A" w14:textId="77777777" w:rsidTr="00E57019">
        <w:trPr>
          <w:trHeight w:val="360"/>
        </w:trPr>
        <w:tc>
          <w:tcPr>
            <w:tcW w:w="3444" w:type="dxa"/>
          </w:tcPr>
          <w:p w14:paraId="7B5A99BF" w14:textId="1AB05774"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Kevin O’Shea</w:t>
            </w:r>
          </w:p>
        </w:tc>
        <w:tc>
          <w:tcPr>
            <w:tcW w:w="3446" w:type="dxa"/>
          </w:tcPr>
          <w:p w14:paraId="5DC92168" w14:textId="01CC6A74"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Susan Smiley</w:t>
            </w:r>
          </w:p>
        </w:tc>
        <w:tc>
          <w:tcPr>
            <w:tcW w:w="3446" w:type="dxa"/>
          </w:tcPr>
          <w:p w14:paraId="081377B7" w14:textId="1BEC4342"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Dennis Smith</w:t>
            </w:r>
          </w:p>
        </w:tc>
      </w:tr>
      <w:tr w:rsidR="00090CEE" w14:paraId="17936040" w14:textId="77777777" w:rsidTr="00E57019">
        <w:trPr>
          <w:trHeight w:val="360"/>
        </w:trPr>
        <w:tc>
          <w:tcPr>
            <w:tcW w:w="3444" w:type="dxa"/>
          </w:tcPr>
          <w:p w14:paraId="6A9C7088" w14:textId="40029755" w:rsidR="00090CEE" w:rsidRDefault="00090CEE" w:rsidP="00090CEE">
            <w:pPr>
              <w:jc w:val="center"/>
              <w:rPr>
                <w:rFonts w:asciiTheme="majorHAnsi" w:hAnsiTheme="majorHAnsi"/>
                <w:bCs/>
                <w:iCs/>
                <w:color w:val="222222"/>
                <w:sz w:val="21"/>
                <w:szCs w:val="21"/>
                <w:shd w:val="clear" w:color="auto" w:fill="FFFFFF"/>
              </w:rPr>
            </w:pPr>
            <w:r w:rsidRPr="00090CEE">
              <w:rPr>
                <w:rFonts w:asciiTheme="majorHAnsi" w:hAnsiTheme="majorHAnsi"/>
                <w:iCs/>
                <w:color w:val="222222"/>
                <w:sz w:val="21"/>
                <w:szCs w:val="21"/>
                <w:shd w:val="clear" w:color="auto" w:fill="FFFFFF"/>
              </w:rPr>
              <w:t>Jennifer N.S. Wilson</w:t>
            </w:r>
          </w:p>
        </w:tc>
        <w:tc>
          <w:tcPr>
            <w:tcW w:w="3446" w:type="dxa"/>
          </w:tcPr>
          <w:p w14:paraId="0E95F0CB" w14:textId="77777777" w:rsidR="00090CEE" w:rsidRDefault="00090CEE" w:rsidP="00090CEE">
            <w:pPr>
              <w:jc w:val="center"/>
              <w:rPr>
                <w:rFonts w:asciiTheme="majorHAnsi" w:hAnsiTheme="majorHAnsi"/>
                <w:bCs/>
                <w:iCs/>
                <w:color w:val="222222"/>
                <w:sz w:val="21"/>
                <w:szCs w:val="21"/>
                <w:shd w:val="clear" w:color="auto" w:fill="FFFFFF"/>
              </w:rPr>
            </w:pPr>
          </w:p>
        </w:tc>
        <w:tc>
          <w:tcPr>
            <w:tcW w:w="3446" w:type="dxa"/>
          </w:tcPr>
          <w:p w14:paraId="294357FD" w14:textId="77777777" w:rsidR="00090CEE" w:rsidRDefault="00090CEE" w:rsidP="00090CEE">
            <w:pPr>
              <w:jc w:val="center"/>
              <w:rPr>
                <w:rFonts w:asciiTheme="majorHAnsi" w:hAnsiTheme="majorHAnsi"/>
                <w:bCs/>
                <w:iCs/>
                <w:color w:val="222222"/>
                <w:sz w:val="21"/>
                <w:szCs w:val="21"/>
                <w:shd w:val="clear" w:color="auto" w:fill="FFFFFF"/>
              </w:rPr>
            </w:pPr>
          </w:p>
        </w:tc>
      </w:tr>
    </w:tbl>
    <w:p w14:paraId="4ABC12FD" w14:textId="7B8344C7" w:rsidR="00E57019" w:rsidRPr="00E57019" w:rsidRDefault="00E57019" w:rsidP="00E57019">
      <w:pPr>
        <w:tabs>
          <w:tab w:val="left" w:pos="2565"/>
        </w:tabs>
        <w:rPr>
          <w:rFonts w:asciiTheme="majorHAnsi" w:hAnsiTheme="majorHAnsi"/>
          <w:sz w:val="21"/>
          <w:szCs w:val="21"/>
        </w:rPr>
      </w:pPr>
    </w:p>
    <w:sectPr w:rsidR="00E57019" w:rsidRPr="00E57019" w:rsidSect="00342801">
      <w:headerReference w:type="first" r:id="rId7"/>
      <w:pgSz w:w="12240" w:h="15840"/>
      <w:pgMar w:top="720"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4559A" w14:textId="77777777" w:rsidR="00643F25" w:rsidRDefault="00643F25" w:rsidP="00023915">
      <w:pPr>
        <w:spacing w:before="0" w:after="0" w:line="240" w:lineRule="auto"/>
      </w:pPr>
      <w:r>
        <w:separator/>
      </w:r>
    </w:p>
  </w:endnote>
  <w:endnote w:type="continuationSeparator" w:id="0">
    <w:p w14:paraId="7E56620C" w14:textId="77777777" w:rsidR="00643F25" w:rsidRDefault="00643F25" w:rsidP="000239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AA2C4" w14:textId="77777777" w:rsidR="00643F25" w:rsidRDefault="00643F25" w:rsidP="00023915">
      <w:pPr>
        <w:spacing w:before="0" w:after="0" w:line="240" w:lineRule="auto"/>
      </w:pPr>
      <w:r>
        <w:separator/>
      </w:r>
    </w:p>
  </w:footnote>
  <w:footnote w:type="continuationSeparator" w:id="0">
    <w:p w14:paraId="233D5B82" w14:textId="77777777" w:rsidR="00643F25" w:rsidRDefault="00643F25" w:rsidP="000239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78A8C" w14:textId="2F6BAEDC" w:rsidR="00342801" w:rsidRDefault="00466AD1">
    <w:pPr>
      <w:pStyle w:val="Header"/>
    </w:pPr>
    <w:r>
      <w:rPr>
        <w:noProof/>
      </w:rPr>
      <w:drawing>
        <wp:anchor distT="0" distB="0" distL="114300" distR="114300" simplePos="0" relativeHeight="251660288" behindDoc="1" locked="0" layoutInCell="1" allowOverlap="1" wp14:anchorId="696B2ADF" wp14:editId="6C386053">
          <wp:simplePos x="0" y="0"/>
          <wp:positionH relativeFrom="column">
            <wp:posOffset>169545</wp:posOffset>
          </wp:positionH>
          <wp:positionV relativeFrom="paragraph">
            <wp:posOffset>-244475</wp:posOffset>
          </wp:positionV>
          <wp:extent cx="6400800" cy="1067435"/>
          <wp:effectExtent l="0" t="0" r="0" b="0"/>
          <wp:wrapNone/>
          <wp:docPr id="720384885"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84885"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0674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91ACB"/>
    <w:multiLevelType w:val="multilevel"/>
    <w:tmpl w:val="AC68A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21931"/>
    <w:multiLevelType w:val="multilevel"/>
    <w:tmpl w:val="AC68A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C2B7F"/>
    <w:multiLevelType w:val="multilevel"/>
    <w:tmpl w:val="AC68A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1395A"/>
    <w:multiLevelType w:val="multilevel"/>
    <w:tmpl w:val="AC68A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900"/>
        </w:tabs>
        <w:ind w:left="90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00142"/>
    <w:multiLevelType w:val="multilevel"/>
    <w:tmpl w:val="AC68A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31631"/>
    <w:multiLevelType w:val="multilevel"/>
    <w:tmpl w:val="AC68A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0314240">
    <w:abstractNumId w:val="2"/>
  </w:num>
  <w:num w:numId="2" w16cid:durableId="948053019">
    <w:abstractNumId w:val="3"/>
  </w:num>
  <w:num w:numId="3" w16cid:durableId="846360876">
    <w:abstractNumId w:val="5"/>
  </w:num>
  <w:num w:numId="4" w16cid:durableId="255796582">
    <w:abstractNumId w:val="4"/>
  </w:num>
  <w:num w:numId="5" w16cid:durableId="611059662">
    <w:abstractNumId w:val="1"/>
  </w:num>
  <w:num w:numId="6" w16cid:durableId="3755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5D"/>
    <w:rsid w:val="0001229E"/>
    <w:rsid w:val="00020847"/>
    <w:rsid w:val="000215EA"/>
    <w:rsid w:val="00023915"/>
    <w:rsid w:val="00090CEE"/>
    <w:rsid w:val="000C170C"/>
    <w:rsid w:val="000E30B3"/>
    <w:rsid w:val="001142FA"/>
    <w:rsid w:val="001151E7"/>
    <w:rsid w:val="00131325"/>
    <w:rsid w:val="001415E5"/>
    <w:rsid w:val="00151712"/>
    <w:rsid w:val="001732FC"/>
    <w:rsid w:val="001E64AE"/>
    <w:rsid w:val="002100D1"/>
    <w:rsid w:val="002A30CD"/>
    <w:rsid w:val="002C38E5"/>
    <w:rsid w:val="00314177"/>
    <w:rsid w:val="00327730"/>
    <w:rsid w:val="00342801"/>
    <w:rsid w:val="003F746E"/>
    <w:rsid w:val="004024D0"/>
    <w:rsid w:val="00424053"/>
    <w:rsid w:val="00466AD1"/>
    <w:rsid w:val="00470B17"/>
    <w:rsid w:val="004956EF"/>
    <w:rsid w:val="004D10DC"/>
    <w:rsid w:val="00501CA0"/>
    <w:rsid w:val="00543553"/>
    <w:rsid w:val="005B3BCB"/>
    <w:rsid w:val="005E1B19"/>
    <w:rsid w:val="00643F25"/>
    <w:rsid w:val="0065447B"/>
    <w:rsid w:val="0069780F"/>
    <w:rsid w:val="00704350"/>
    <w:rsid w:val="00766222"/>
    <w:rsid w:val="007B7D2B"/>
    <w:rsid w:val="007F4469"/>
    <w:rsid w:val="00826631"/>
    <w:rsid w:val="008365E0"/>
    <w:rsid w:val="00914F07"/>
    <w:rsid w:val="009603F7"/>
    <w:rsid w:val="009A5505"/>
    <w:rsid w:val="009F4410"/>
    <w:rsid w:val="00B015C6"/>
    <w:rsid w:val="00B25FFE"/>
    <w:rsid w:val="00CE7532"/>
    <w:rsid w:val="00D542A4"/>
    <w:rsid w:val="00DB4DDC"/>
    <w:rsid w:val="00DB6882"/>
    <w:rsid w:val="00DC2A5D"/>
    <w:rsid w:val="00E06201"/>
    <w:rsid w:val="00E43BC3"/>
    <w:rsid w:val="00E45B7F"/>
    <w:rsid w:val="00E57019"/>
    <w:rsid w:val="00E85FF7"/>
    <w:rsid w:val="00EC27A9"/>
    <w:rsid w:val="00EF07B5"/>
    <w:rsid w:val="00EF328B"/>
    <w:rsid w:val="00F76A7D"/>
    <w:rsid w:val="00FE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F532E"/>
  <w15:docId w15:val="{1CDFA204-3A0A-40AB-AC0F-195B037A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80"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30"/>
  </w:style>
  <w:style w:type="paragraph" w:styleId="Heading1">
    <w:name w:val="heading 1"/>
    <w:basedOn w:val="Normal"/>
    <w:next w:val="Normal"/>
    <w:link w:val="Heading1Char"/>
    <w:uiPriority w:val="9"/>
    <w:qFormat/>
    <w:rsid w:val="0032773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2773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2773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2773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2773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2773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2773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2773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2773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3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2773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2773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2773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2773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2773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277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277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277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2773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2773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277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27730"/>
    <w:rPr>
      <w:rFonts w:asciiTheme="majorHAnsi" w:eastAsiaTheme="majorEastAsia" w:hAnsiTheme="majorHAnsi" w:cstheme="majorBidi"/>
      <w:i/>
      <w:iCs/>
      <w:spacing w:val="13"/>
      <w:sz w:val="24"/>
      <w:szCs w:val="24"/>
    </w:rPr>
  </w:style>
  <w:style w:type="character" w:styleId="Strong">
    <w:name w:val="Strong"/>
    <w:uiPriority w:val="22"/>
    <w:qFormat/>
    <w:rsid w:val="00327730"/>
    <w:rPr>
      <w:b/>
      <w:bCs/>
    </w:rPr>
  </w:style>
  <w:style w:type="character" w:styleId="Emphasis">
    <w:name w:val="Emphasis"/>
    <w:uiPriority w:val="20"/>
    <w:qFormat/>
    <w:rsid w:val="00327730"/>
    <w:rPr>
      <w:b/>
      <w:bCs/>
      <w:i/>
      <w:iCs/>
      <w:spacing w:val="10"/>
      <w:bdr w:val="none" w:sz="0" w:space="0" w:color="auto"/>
      <w:shd w:val="clear" w:color="auto" w:fill="auto"/>
    </w:rPr>
  </w:style>
  <w:style w:type="paragraph" w:styleId="NoSpacing">
    <w:name w:val="No Spacing"/>
    <w:basedOn w:val="Normal"/>
    <w:uiPriority w:val="1"/>
    <w:qFormat/>
    <w:rsid w:val="00327730"/>
    <w:pPr>
      <w:spacing w:after="0" w:line="240" w:lineRule="auto"/>
    </w:pPr>
  </w:style>
  <w:style w:type="paragraph" w:styleId="ListParagraph">
    <w:name w:val="List Paragraph"/>
    <w:basedOn w:val="Normal"/>
    <w:uiPriority w:val="34"/>
    <w:qFormat/>
    <w:rsid w:val="00327730"/>
    <w:pPr>
      <w:ind w:left="720"/>
      <w:contextualSpacing/>
    </w:pPr>
  </w:style>
  <w:style w:type="paragraph" w:styleId="Quote">
    <w:name w:val="Quote"/>
    <w:basedOn w:val="Normal"/>
    <w:next w:val="Normal"/>
    <w:link w:val="QuoteChar"/>
    <w:uiPriority w:val="29"/>
    <w:qFormat/>
    <w:rsid w:val="00327730"/>
    <w:pPr>
      <w:spacing w:before="200" w:after="0"/>
      <w:ind w:left="360" w:right="360"/>
    </w:pPr>
    <w:rPr>
      <w:i/>
      <w:iCs/>
    </w:rPr>
  </w:style>
  <w:style w:type="character" w:customStyle="1" w:styleId="QuoteChar">
    <w:name w:val="Quote Char"/>
    <w:basedOn w:val="DefaultParagraphFont"/>
    <w:link w:val="Quote"/>
    <w:uiPriority w:val="29"/>
    <w:rsid w:val="00327730"/>
    <w:rPr>
      <w:i/>
      <w:iCs/>
    </w:rPr>
  </w:style>
  <w:style w:type="paragraph" w:styleId="IntenseQuote">
    <w:name w:val="Intense Quote"/>
    <w:basedOn w:val="Normal"/>
    <w:next w:val="Normal"/>
    <w:link w:val="IntenseQuoteChar"/>
    <w:uiPriority w:val="30"/>
    <w:qFormat/>
    <w:rsid w:val="0032773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27730"/>
    <w:rPr>
      <w:b/>
      <w:bCs/>
      <w:i/>
      <w:iCs/>
    </w:rPr>
  </w:style>
  <w:style w:type="character" w:styleId="SubtleEmphasis">
    <w:name w:val="Subtle Emphasis"/>
    <w:uiPriority w:val="19"/>
    <w:qFormat/>
    <w:rsid w:val="00327730"/>
    <w:rPr>
      <w:i/>
      <w:iCs/>
    </w:rPr>
  </w:style>
  <w:style w:type="character" w:styleId="IntenseEmphasis">
    <w:name w:val="Intense Emphasis"/>
    <w:uiPriority w:val="21"/>
    <w:qFormat/>
    <w:rsid w:val="00327730"/>
    <w:rPr>
      <w:b/>
      <w:bCs/>
    </w:rPr>
  </w:style>
  <w:style w:type="character" w:styleId="SubtleReference">
    <w:name w:val="Subtle Reference"/>
    <w:uiPriority w:val="31"/>
    <w:qFormat/>
    <w:rsid w:val="00327730"/>
    <w:rPr>
      <w:smallCaps/>
    </w:rPr>
  </w:style>
  <w:style w:type="character" w:styleId="IntenseReference">
    <w:name w:val="Intense Reference"/>
    <w:uiPriority w:val="32"/>
    <w:qFormat/>
    <w:rsid w:val="00327730"/>
    <w:rPr>
      <w:smallCaps/>
      <w:spacing w:val="5"/>
      <w:u w:val="single"/>
    </w:rPr>
  </w:style>
  <w:style w:type="character" w:styleId="BookTitle">
    <w:name w:val="Book Title"/>
    <w:uiPriority w:val="33"/>
    <w:qFormat/>
    <w:rsid w:val="00327730"/>
    <w:rPr>
      <w:i/>
      <w:iCs/>
      <w:smallCaps/>
      <w:spacing w:val="5"/>
    </w:rPr>
  </w:style>
  <w:style w:type="paragraph" w:styleId="TOCHeading">
    <w:name w:val="TOC Heading"/>
    <w:basedOn w:val="Heading1"/>
    <w:next w:val="Normal"/>
    <w:uiPriority w:val="39"/>
    <w:semiHidden/>
    <w:unhideWhenUsed/>
    <w:qFormat/>
    <w:rsid w:val="00327730"/>
    <w:pPr>
      <w:outlineLvl w:val="9"/>
    </w:pPr>
    <w:rPr>
      <w:lang w:bidi="en-US"/>
    </w:rPr>
  </w:style>
  <w:style w:type="paragraph" w:styleId="BalloonText">
    <w:name w:val="Balloon Text"/>
    <w:basedOn w:val="Normal"/>
    <w:link w:val="BalloonTextChar"/>
    <w:uiPriority w:val="99"/>
    <w:semiHidden/>
    <w:unhideWhenUsed/>
    <w:rsid w:val="007B7D2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2B"/>
    <w:rPr>
      <w:rFonts w:ascii="Tahoma" w:hAnsi="Tahoma" w:cs="Tahoma"/>
      <w:sz w:val="16"/>
      <w:szCs w:val="16"/>
    </w:rPr>
  </w:style>
  <w:style w:type="paragraph" w:styleId="Header">
    <w:name w:val="header"/>
    <w:basedOn w:val="Normal"/>
    <w:link w:val="HeaderChar"/>
    <w:uiPriority w:val="99"/>
    <w:unhideWhenUsed/>
    <w:rsid w:val="000239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23915"/>
  </w:style>
  <w:style w:type="paragraph" w:styleId="Footer">
    <w:name w:val="footer"/>
    <w:basedOn w:val="Normal"/>
    <w:link w:val="FooterChar"/>
    <w:uiPriority w:val="99"/>
    <w:unhideWhenUsed/>
    <w:rsid w:val="000239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23915"/>
  </w:style>
  <w:style w:type="table" w:styleId="TableGrid">
    <w:name w:val="Table Grid"/>
    <w:basedOn w:val="TableNormal"/>
    <w:uiPriority w:val="59"/>
    <w:rsid w:val="00090CE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688716">
      <w:bodyDiv w:val="1"/>
      <w:marLeft w:val="0"/>
      <w:marRight w:val="0"/>
      <w:marTop w:val="0"/>
      <w:marBottom w:val="0"/>
      <w:divBdr>
        <w:top w:val="none" w:sz="0" w:space="0" w:color="auto"/>
        <w:left w:val="none" w:sz="0" w:space="0" w:color="auto"/>
        <w:bottom w:val="none" w:sz="0" w:space="0" w:color="auto"/>
        <w:right w:val="none" w:sz="0" w:space="0" w:color="auto"/>
      </w:divBdr>
    </w:div>
    <w:div w:id="1347705741">
      <w:bodyDiv w:val="1"/>
      <w:marLeft w:val="0"/>
      <w:marRight w:val="0"/>
      <w:marTop w:val="0"/>
      <w:marBottom w:val="0"/>
      <w:divBdr>
        <w:top w:val="none" w:sz="0" w:space="0" w:color="auto"/>
        <w:left w:val="none" w:sz="0" w:space="0" w:color="auto"/>
        <w:bottom w:val="none" w:sz="0" w:space="0" w:color="auto"/>
        <w:right w:val="none" w:sz="0" w:space="0" w:color="auto"/>
      </w:divBdr>
    </w:div>
    <w:div w:id="1868594085">
      <w:bodyDiv w:val="1"/>
      <w:marLeft w:val="0"/>
      <w:marRight w:val="0"/>
      <w:marTop w:val="0"/>
      <w:marBottom w:val="0"/>
      <w:divBdr>
        <w:top w:val="none" w:sz="0" w:space="0" w:color="auto"/>
        <w:left w:val="none" w:sz="0" w:space="0" w:color="auto"/>
        <w:bottom w:val="none" w:sz="0" w:space="0" w:color="auto"/>
        <w:right w:val="none" w:sz="0" w:space="0" w:color="auto"/>
      </w:divBdr>
    </w:div>
    <w:div w:id="21403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Perry, Matthew S (DCR)</cp:lastModifiedBy>
  <cp:revision>2</cp:revision>
  <cp:lastPrinted>2024-09-19T21:13:00Z</cp:lastPrinted>
  <dcterms:created xsi:type="dcterms:W3CDTF">2024-09-19T21:13:00Z</dcterms:created>
  <dcterms:modified xsi:type="dcterms:W3CDTF">2024-09-19T21:13:00Z</dcterms:modified>
</cp:coreProperties>
</file>