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FE" w:rsidRPr="00D97AD1" w:rsidRDefault="00F700FE" w:rsidP="00316735">
      <w:pPr>
        <w:spacing w:line="360" w:lineRule="auto"/>
        <w:jc w:val="center"/>
      </w:pPr>
      <w:r w:rsidRPr="00D97AD1">
        <w:t>COMMONWEALTH OF MASSACHUSETTS</w:t>
      </w:r>
    </w:p>
    <w:p w:rsidR="00F700FE" w:rsidRPr="00D97AD1" w:rsidRDefault="00F700FE" w:rsidP="00316735">
      <w:pPr>
        <w:spacing w:line="360" w:lineRule="auto"/>
      </w:pPr>
    </w:p>
    <w:p w:rsidR="00F700FE" w:rsidRPr="00D97AD1" w:rsidRDefault="00F700FE" w:rsidP="00316735">
      <w:pPr>
        <w:spacing w:line="360" w:lineRule="auto"/>
      </w:pPr>
      <w:r>
        <w:t>Suffolk</w:t>
      </w:r>
      <w:r w:rsidRPr="00D97AD1">
        <w:t>, SS.</w:t>
      </w:r>
      <w:r w:rsidRPr="00D97AD1">
        <w:tab/>
      </w:r>
      <w:r w:rsidRPr="00D97AD1">
        <w:tab/>
      </w:r>
      <w:r w:rsidRPr="00D97AD1">
        <w:tab/>
      </w:r>
      <w:r w:rsidRPr="00D97AD1">
        <w:tab/>
      </w:r>
      <w:r w:rsidRPr="00D97AD1">
        <w:tab/>
      </w:r>
      <w:r w:rsidRPr="00D97AD1">
        <w:tab/>
      </w:r>
      <w:r>
        <w:t>Division of Administrative Law Appeals</w:t>
      </w:r>
    </w:p>
    <w:p w:rsidR="00F700FE" w:rsidRPr="00D97AD1" w:rsidRDefault="00F700FE" w:rsidP="00316735">
      <w:pPr>
        <w:spacing w:line="360" w:lineRule="auto"/>
      </w:pPr>
    </w:p>
    <w:p w:rsidR="00F700FE" w:rsidRDefault="00F700FE" w:rsidP="00316735">
      <w:pPr>
        <w:spacing w:line="360" w:lineRule="auto"/>
      </w:pPr>
      <w:r w:rsidRPr="00D97AD1">
        <w:tab/>
      </w:r>
      <w:r w:rsidRPr="00D97AD1">
        <w:tab/>
      </w:r>
      <w:r w:rsidRPr="00D97AD1">
        <w:tab/>
      </w:r>
      <w:r w:rsidRPr="00D97AD1">
        <w:tab/>
      </w:r>
      <w:r w:rsidRPr="00D97AD1">
        <w:tab/>
      </w:r>
      <w:r w:rsidRPr="00D97AD1">
        <w:tab/>
      </w:r>
      <w:r w:rsidRPr="00D97AD1">
        <w:tab/>
      </w:r>
      <w:r>
        <w:t>Docket No. RM-13-461</w:t>
      </w:r>
    </w:p>
    <w:p w:rsidR="00F700FE" w:rsidRDefault="00F700FE" w:rsidP="00316735">
      <w:pPr>
        <w:spacing w:line="360" w:lineRule="auto"/>
      </w:pPr>
    </w:p>
    <w:p w:rsidR="00F700FE" w:rsidRDefault="00F700FE" w:rsidP="00316735">
      <w:pPr>
        <w:spacing w:line="360" w:lineRule="auto"/>
      </w:pPr>
      <w:r>
        <w:t>BOARD OF REGISTRATION IN MEDICINE,</w:t>
      </w:r>
      <w:r>
        <w:tab/>
        <w:t>:</w:t>
      </w:r>
    </w:p>
    <w:p w:rsidR="00F700FE" w:rsidRDefault="00F700FE" w:rsidP="00316735">
      <w:pPr>
        <w:spacing w:line="360" w:lineRule="auto"/>
      </w:pPr>
      <w:r>
        <w:tab/>
      </w:r>
      <w:r>
        <w:tab/>
      </w:r>
      <w:r>
        <w:tab/>
      </w:r>
      <w:r>
        <w:tab/>
      </w:r>
      <w:r>
        <w:rPr>
          <w:i/>
        </w:rPr>
        <w:t>Petitioner,</w:t>
      </w:r>
      <w:r>
        <w:rPr>
          <w:i/>
        </w:rPr>
        <w:tab/>
      </w:r>
      <w:r>
        <w:rPr>
          <w:i/>
        </w:rPr>
        <w:tab/>
      </w:r>
      <w:r>
        <w:t>:</w:t>
      </w:r>
    </w:p>
    <w:p w:rsidR="00F700FE" w:rsidRDefault="00F700FE" w:rsidP="00316735">
      <w:pPr>
        <w:spacing w:line="360" w:lineRule="auto"/>
      </w:pPr>
      <w:r>
        <w:tab/>
      </w:r>
      <w:r>
        <w:tab/>
      </w:r>
      <w:r>
        <w:tab/>
      </w:r>
      <w:r>
        <w:tab/>
      </w:r>
      <w:r>
        <w:tab/>
      </w:r>
      <w:r>
        <w:tab/>
      </w:r>
      <w:r>
        <w:tab/>
        <w:t>:</w:t>
      </w:r>
    </w:p>
    <w:p w:rsidR="00F700FE" w:rsidRDefault="00F700FE" w:rsidP="00316735">
      <w:pPr>
        <w:spacing w:line="360" w:lineRule="auto"/>
      </w:pPr>
      <w:r>
        <w:tab/>
        <w:t>v.</w:t>
      </w:r>
      <w:r>
        <w:tab/>
      </w:r>
      <w:r>
        <w:tab/>
      </w:r>
      <w:r>
        <w:tab/>
      </w:r>
      <w:r>
        <w:tab/>
      </w:r>
      <w:r>
        <w:tab/>
      </w:r>
      <w:r>
        <w:tab/>
        <w:t>:</w:t>
      </w:r>
    </w:p>
    <w:p w:rsidR="00F700FE" w:rsidRDefault="00F700FE" w:rsidP="00316735">
      <w:pPr>
        <w:spacing w:line="360" w:lineRule="auto"/>
      </w:pPr>
      <w:r>
        <w:tab/>
      </w:r>
      <w:r>
        <w:tab/>
      </w:r>
      <w:r>
        <w:tab/>
      </w:r>
      <w:r>
        <w:tab/>
      </w:r>
      <w:r>
        <w:tab/>
      </w:r>
      <w:r>
        <w:tab/>
      </w:r>
      <w:r>
        <w:tab/>
        <w:t>:</w:t>
      </w:r>
    </w:p>
    <w:p w:rsidR="00F700FE" w:rsidRDefault="00F700FE" w:rsidP="00316735">
      <w:pPr>
        <w:spacing w:line="360" w:lineRule="auto"/>
      </w:pPr>
      <w:r>
        <w:t>MATTHEW PHILIPS, M.D.,</w:t>
      </w:r>
      <w:r>
        <w:tab/>
      </w:r>
      <w:r>
        <w:tab/>
      </w:r>
      <w:r>
        <w:tab/>
      </w:r>
      <w:r>
        <w:tab/>
        <w:t>:</w:t>
      </w:r>
    </w:p>
    <w:p w:rsidR="00F700FE" w:rsidRDefault="00F700FE" w:rsidP="00316735">
      <w:pPr>
        <w:spacing w:line="360" w:lineRule="auto"/>
      </w:pPr>
      <w:r>
        <w:tab/>
      </w:r>
      <w:r>
        <w:tab/>
      </w:r>
      <w:r>
        <w:tab/>
      </w:r>
      <w:r>
        <w:tab/>
      </w:r>
      <w:r>
        <w:rPr>
          <w:i/>
        </w:rPr>
        <w:t>Respondent.</w:t>
      </w:r>
      <w:r>
        <w:rPr>
          <w:i/>
        </w:rPr>
        <w:tab/>
      </w:r>
      <w:r>
        <w:rPr>
          <w:i/>
        </w:rPr>
        <w:tab/>
      </w:r>
      <w:r>
        <w:t>:</w:t>
      </w:r>
    </w:p>
    <w:p w:rsidR="00F700FE" w:rsidRDefault="00F700FE" w:rsidP="00316735">
      <w:pPr>
        <w:spacing w:line="360" w:lineRule="auto"/>
      </w:pPr>
    </w:p>
    <w:p w:rsidR="00F700FE" w:rsidRPr="00824898" w:rsidRDefault="00F700FE" w:rsidP="00316735">
      <w:pPr>
        <w:spacing w:line="360" w:lineRule="auto"/>
        <w:jc w:val="center"/>
        <w:rPr>
          <w:b/>
          <w:bCs/>
          <w:u w:val="single"/>
        </w:rPr>
      </w:pPr>
      <w:r w:rsidRPr="00DA27B9">
        <w:rPr>
          <w:b/>
          <w:szCs w:val="22"/>
          <w:u w:val="single"/>
        </w:rPr>
        <w:t>STIPULATION</w:t>
      </w:r>
    </w:p>
    <w:p w:rsidR="00F700FE" w:rsidRDefault="00F700FE" w:rsidP="00316735">
      <w:pPr>
        <w:pStyle w:val="BodyTextIndent"/>
        <w:tabs>
          <w:tab w:val="left" w:pos="720"/>
        </w:tabs>
        <w:spacing w:after="0" w:line="360" w:lineRule="auto"/>
        <w:ind w:left="0"/>
      </w:pPr>
      <w:r>
        <w:tab/>
      </w:r>
      <w:r w:rsidRPr="00824898">
        <w:t>Matthew Philips, M.D. (Respondent), the Respondent’s attorney, and Complaint Counsel agree that this Stipulation shall be filed with the Administrative Magistrate for the Division of Administrative Law Appeals (DALA) as a resolution of questions of material fact and law as set forth by the Statements of Allegations in the above matter.  The Respondent admits to the Findings of Fact described below and agrees that the Administrative Magistrate and the Board may make the Conclusions of Law as set forth below.</w:t>
      </w:r>
    </w:p>
    <w:p w:rsidR="00F700FE" w:rsidRPr="00BE4172" w:rsidRDefault="00F700FE" w:rsidP="00DA27B9">
      <w:pPr>
        <w:spacing w:line="480" w:lineRule="auto"/>
        <w:jc w:val="center"/>
        <w:rPr>
          <w:b/>
          <w:u w:val="single"/>
        </w:rPr>
      </w:pPr>
      <w:r w:rsidRPr="00BE4172">
        <w:rPr>
          <w:b/>
          <w:u w:val="single"/>
        </w:rPr>
        <w:t>FINDINGS OF FACT</w:t>
      </w:r>
    </w:p>
    <w:p w:rsidR="00F700FE" w:rsidRDefault="00F700FE" w:rsidP="00F700FE">
      <w:pPr>
        <w:numPr>
          <w:ilvl w:val="0"/>
          <w:numId w:val="1"/>
        </w:numPr>
        <w:spacing w:line="360" w:lineRule="auto"/>
      </w:pPr>
      <w:r w:rsidRPr="007B0A4E">
        <w:t xml:space="preserve">The Respondent was born on April 20, 1966.  He graduated from the Yale University School of Medicine in 1993.  He is certified by the American Board of Neurological Surgery.  He has been licensed to practice medicine in Massachusetts under certificate number 161120 since 1999.  </w:t>
      </w:r>
      <w:r>
        <w:t>At all times relevant, he</w:t>
      </w:r>
      <w:r w:rsidRPr="007B0A4E">
        <w:t xml:space="preserve"> ha</w:t>
      </w:r>
      <w:r>
        <w:t>d</w:t>
      </w:r>
      <w:r w:rsidRPr="007B0A4E">
        <w:t xml:space="preserve"> privileges at St. Anne’s Hospital, Tobey Hospital, St. Luke’s Hospital, and Charlton </w:t>
      </w:r>
      <w:r>
        <w:t xml:space="preserve">Memorial </w:t>
      </w:r>
      <w:r w:rsidRPr="007B0A4E">
        <w:t>Hospital.</w:t>
      </w:r>
    </w:p>
    <w:p w:rsidR="00F700FE" w:rsidRDefault="00F700FE" w:rsidP="00F700FE">
      <w:pPr>
        <w:numPr>
          <w:ilvl w:val="0"/>
          <w:numId w:val="1"/>
        </w:numPr>
        <w:spacing w:line="360" w:lineRule="auto"/>
        <w:sectPr w:rsidR="00F700FE" w:rsidSect="00316735">
          <w:headerReference w:type="default" r:id="rId9"/>
          <w:footerReference w:type="default" r:id="rId10"/>
          <w:pgSz w:w="12240" w:h="15840" w:code="1"/>
          <w:pgMar w:top="1440" w:right="1800" w:bottom="1440" w:left="1800" w:header="720" w:footer="720" w:gutter="0"/>
          <w:cols w:space="720"/>
          <w:docGrid w:linePitch="360"/>
        </w:sectPr>
      </w:pPr>
      <w:r w:rsidRPr="00DC13F5">
        <w:t>On October 16, 2011, Patient A</w:t>
      </w:r>
      <w:r>
        <w:t xml:space="preserve">, a 68-year-old male diagnosed with terminal esophageal cancer, </w:t>
      </w:r>
      <w:r w:rsidRPr="00DC13F5">
        <w:t xml:space="preserve">was admitted to St. Anne’s Hospital </w:t>
      </w:r>
      <w:r>
        <w:t>(St. Anne’s).</w:t>
      </w:r>
      <w:bookmarkStart w:id="0" w:name="_GoBack"/>
      <w:bookmarkEnd w:id="0"/>
    </w:p>
    <w:p w:rsidR="00F700FE" w:rsidRDefault="00F700FE" w:rsidP="00F700FE">
      <w:pPr>
        <w:numPr>
          <w:ilvl w:val="0"/>
          <w:numId w:val="1"/>
        </w:numPr>
        <w:spacing w:line="360" w:lineRule="auto"/>
      </w:pPr>
      <w:r w:rsidRPr="00B64C65">
        <w:lastRenderedPageBreak/>
        <w:t>St. Anne’s determined that</w:t>
      </w:r>
      <w:r>
        <w:t xml:space="preserve"> Patient A’s cancer had spread to his spine and </w:t>
      </w:r>
      <w:r w:rsidRPr="00B64C65">
        <w:t>that the cancer</w:t>
      </w:r>
      <w:r w:rsidRPr="000D1994">
        <w:rPr>
          <w:strike/>
        </w:rPr>
        <w:t xml:space="preserve"> </w:t>
      </w:r>
      <w:r>
        <w:t xml:space="preserve">was impacting his spinal cord and his ability to walk.  </w:t>
      </w:r>
    </w:p>
    <w:p w:rsidR="00F700FE" w:rsidRDefault="00F700FE" w:rsidP="00F700FE">
      <w:pPr>
        <w:numPr>
          <w:ilvl w:val="0"/>
          <w:numId w:val="1"/>
        </w:numPr>
        <w:spacing w:line="360" w:lineRule="auto"/>
      </w:pPr>
      <w:r>
        <w:t>Patient A’s oncologists noted in Patient A’s records that neurosurgery was not an option given Patient A’s condition.</w:t>
      </w:r>
    </w:p>
    <w:p w:rsidR="00F700FE" w:rsidRPr="00FF3643" w:rsidRDefault="00F700FE" w:rsidP="00F700FE">
      <w:pPr>
        <w:numPr>
          <w:ilvl w:val="0"/>
          <w:numId w:val="1"/>
        </w:numPr>
        <w:spacing w:line="360" w:lineRule="auto"/>
      </w:pPr>
      <w:r>
        <w:t xml:space="preserve">Patient A’s oncologists determined that physical therapy and a </w:t>
      </w:r>
      <w:r w:rsidRPr="00FF3643">
        <w:t xml:space="preserve">brace might improve Patient A’s quality of life.  </w:t>
      </w:r>
    </w:p>
    <w:p w:rsidR="00F700FE" w:rsidRDefault="00F700FE" w:rsidP="00F700FE">
      <w:pPr>
        <w:numPr>
          <w:ilvl w:val="0"/>
          <w:numId w:val="1"/>
        </w:numPr>
        <w:spacing w:line="360" w:lineRule="auto"/>
      </w:pPr>
      <w:r w:rsidRPr="00FF3643">
        <w:t>In order to determine whether it would be safe for Patient A to perform physical therapy, one of Patient A’s oncologists asked for a consultation from</w:t>
      </w:r>
      <w:r>
        <w:t xml:space="preserve"> neurosurgery at St. Anne’s.  </w:t>
      </w:r>
    </w:p>
    <w:p w:rsidR="00F700FE" w:rsidRDefault="00F700FE" w:rsidP="00F700FE">
      <w:pPr>
        <w:numPr>
          <w:ilvl w:val="0"/>
          <w:numId w:val="1"/>
        </w:numPr>
        <w:spacing w:line="360" w:lineRule="auto"/>
      </w:pPr>
      <w:r>
        <w:t xml:space="preserve">On October 22, 2011, the Respondent saw Patient A and performed the neurosurgery consultation.  </w:t>
      </w:r>
    </w:p>
    <w:p w:rsidR="00F700FE" w:rsidRPr="007C6FE0" w:rsidRDefault="00F700FE" w:rsidP="00F700FE">
      <w:pPr>
        <w:numPr>
          <w:ilvl w:val="0"/>
          <w:numId w:val="1"/>
        </w:numPr>
        <w:spacing w:line="360" w:lineRule="auto"/>
        <w:rPr>
          <w:b/>
        </w:rPr>
      </w:pPr>
      <w:r w:rsidRPr="00FF3643">
        <w:t>The Respondent evaluated Patient A for surgical intervention.  The Respondent told Patient A and his wife about Patient A’s poor prognosis and of the high likelihood that Patient A would progress to paralysis regardless of surgical intervention.</w:t>
      </w:r>
      <w:r>
        <w:rPr>
          <w:b/>
        </w:rPr>
        <w:t xml:space="preserve">  </w:t>
      </w:r>
      <w:r>
        <w:t xml:space="preserve">The Respondent recommended that Patient A speak with his oncologist regarding the reality of his condition.  Approximately one month after the consultation, Patient A died as a result of his cancer.  </w:t>
      </w:r>
    </w:p>
    <w:p w:rsidR="00F700FE" w:rsidRPr="00FF3643" w:rsidRDefault="00F700FE" w:rsidP="00F700FE">
      <w:pPr>
        <w:numPr>
          <w:ilvl w:val="0"/>
          <w:numId w:val="1"/>
        </w:numPr>
        <w:spacing w:line="360" w:lineRule="auto"/>
      </w:pPr>
      <w:r w:rsidRPr="00FF3643">
        <w:t xml:space="preserve">The Respondent failed to conduct himself with adequate sensitivity during his interaction with Patient A and his wife.  </w:t>
      </w:r>
    </w:p>
    <w:p w:rsidR="00F700FE" w:rsidRPr="00FF3643" w:rsidRDefault="00F700FE" w:rsidP="00F700FE">
      <w:pPr>
        <w:numPr>
          <w:ilvl w:val="0"/>
          <w:numId w:val="1"/>
        </w:numPr>
        <w:spacing w:line="360" w:lineRule="auto"/>
      </w:pPr>
      <w:r w:rsidRPr="00FF3643">
        <w:t xml:space="preserve">As a result this incident, the Respondent has changed the way he communicates and interacts with patients.  </w:t>
      </w:r>
    </w:p>
    <w:p w:rsidR="00F700FE" w:rsidRDefault="00F700FE" w:rsidP="00F700FE">
      <w:pPr>
        <w:numPr>
          <w:ilvl w:val="0"/>
          <w:numId w:val="1"/>
        </w:numPr>
        <w:spacing w:line="360" w:lineRule="auto"/>
      </w:pPr>
      <w:r>
        <w:t>Following the interaction with Patient A and his wife, the Respondent was frustrated because he believed that the consultation was unwarranted.</w:t>
      </w:r>
    </w:p>
    <w:p w:rsidR="00F700FE" w:rsidRDefault="00F700FE" w:rsidP="00F700FE">
      <w:pPr>
        <w:numPr>
          <w:ilvl w:val="0"/>
          <w:numId w:val="1"/>
        </w:numPr>
        <w:spacing w:line="360" w:lineRule="auto"/>
        <w:sectPr w:rsidR="00F700FE" w:rsidSect="00316735">
          <w:headerReference w:type="default" r:id="rId11"/>
          <w:footerReference w:type="default" r:id="rId12"/>
          <w:pgSz w:w="12240" w:h="15840" w:code="1"/>
          <w:pgMar w:top="1440" w:right="1800" w:bottom="1440" w:left="1800" w:header="720" w:footer="720" w:gutter="0"/>
          <w:cols w:space="720"/>
          <w:docGrid w:linePitch="360"/>
        </w:sectPr>
      </w:pPr>
      <w:r w:rsidRPr="00FF3643">
        <w:t>While still frustrated, the Respondent criticized Patient A’s oncologist in an unprofessional manner to a member St. Anne’s staff.</w:t>
      </w:r>
    </w:p>
    <w:p w:rsidR="00F700FE" w:rsidRDefault="00F700FE" w:rsidP="00F700FE">
      <w:pPr>
        <w:numPr>
          <w:ilvl w:val="0"/>
          <w:numId w:val="1"/>
        </w:numPr>
        <w:spacing w:line="360" w:lineRule="auto"/>
      </w:pPr>
      <w:r>
        <w:lastRenderedPageBreak/>
        <w:t xml:space="preserve">After speaking with Patient A and his wife, the Respondent completed a detailed report of his consultation and verbally communicated his recommendations to the referring oncologist.  </w:t>
      </w:r>
    </w:p>
    <w:p w:rsidR="00F700FE" w:rsidRPr="002705C0" w:rsidRDefault="00F700FE" w:rsidP="00F700FE">
      <w:pPr>
        <w:numPr>
          <w:ilvl w:val="0"/>
          <w:numId w:val="1"/>
        </w:numPr>
        <w:spacing w:line="360" w:lineRule="auto"/>
        <w:rPr>
          <w:lang w:val="en"/>
        </w:rPr>
      </w:pPr>
      <w:r w:rsidRPr="004813B7">
        <w:rPr>
          <w:lang w:val="en"/>
        </w:rPr>
        <w:t>Board</w:t>
      </w:r>
      <w:r>
        <w:rPr>
          <w:lang w:val="en"/>
        </w:rPr>
        <w:t xml:space="preserve"> Policy </w:t>
      </w:r>
      <w:r w:rsidRPr="004813B7">
        <w:rPr>
          <w:lang w:val="en"/>
        </w:rPr>
        <w:t>Number 01-01 on</w:t>
      </w:r>
      <w:r>
        <w:rPr>
          <w:lang w:val="en"/>
        </w:rPr>
        <w:t xml:space="preserve"> Disruptive </w:t>
      </w:r>
      <w:r w:rsidRPr="004813B7">
        <w:rPr>
          <w:lang w:val="en"/>
        </w:rPr>
        <w:t xml:space="preserve">Physician Behavior states </w:t>
      </w:r>
      <w:r>
        <w:rPr>
          <w:lang w:val="en"/>
        </w:rPr>
        <w:t xml:space="preserve">that </w:t>
      </w:r>
      <w:r>
        <w:t>“</w:t>
      </w:r>
      <w:r>
        <w:rPr>
          <w:lang w:val="en"/>
        </w:rPr>
        <w:t xml:space="preserve">Disruptive </w:t>
      </w:r>
      <w:r w:rsidRPr="004813B7">
        <w:rPr>
          <w:lang w:val="en"/>
        </w:rPr>
        <w:t xml:space="preserve">behavior by a physician has a deleterious effect on the health </w:t>
      </w:r>
      <w:r w:rsidRPr="002705C0">
        <w:rPr>
          <w:lang w:val="en"/>
        </w:rPr>
        <w:t>care system and increases the risk of patient harm.”</w:t>
      </w:r>
    </w:p>
    <w:p w:rsidR="00F700FE" w:rsidRPr="00316735" w:rsidRDefault="00F700FE" w:rsidP="00F700FE">
      <w:pPr>
        <w:numPr>
          <w:ilvl w:val="0"/>
          <w:numId w:val="1"/>
        </w:numPr>
        <w:spacing w:line="360" w:lineRule="auto"/>
      </w:pPr>
      <w:r>
        <w:rPr>
          <w:lang w:val="en"/>
        </w:rPr>
        <w:t xml:space="preserve">Certain conduct in the practice of medicine is now recognized as detrimental to patient care. </w:t>
      </w:r>
    </w:p>
    <w:p w:rsidR="00F700FE" w:rsidRPr="00316735" w:rsidRDefault="00F700FE" w:rsidP="00316735">
      <w:pPr>
        <w:spacing w:line="360" w:lineRule="auto"/>
        <w:ind w:left="720"/>
      </w:pPr>
    </w:p>
    <w:p w:rsidR="00F700FE" w:rsidRPr="00D97AD1" w:rsidRDefault="00F700FE" w:rsidP="00316735">
      <w:pPr>
        <w:spacing w:line="360" w:lineRule="auto"/>
        <w:ind w:left="720"/>
      </w:pPr>
    </w:p>
    <w:p w:rsidR="00F700FE" w:rsidRDefault="00F700FE" w:rsidP="00316735">
      <w:pPr>
        <w:pStyle w:val="Heading2"/>
        <w:spacing w:before="0" w:after="0" w:line="360" w:lineRule="auto"/>
        <w:jc w:val="center"/>
        <w:rPr>
          <w:rFonts w:ascii="Times New Roman" w:hAnsi="Times New Roman"/>
          <w:bCs w:val="0"/>
          <w:i w:val="0"/>
          <w:sz w:val="24"/>
          <w:szCs w:val="24"/>
          <w:u w:val="single"/>
        </w:rPr>
      </w:pPr>
      <w:r w:rsidRPr="00D97AD1">
        <w:rPr>
          <w:b w:val="0"/>
          <w:bCs w:val="0"/>
          <w:color w:val="000000"/>
        </w:rPr>
        <w:tab/>
      </w:r>
      <w:r w:rsidRPr="00BE4172">
        <w:rPr>
          <w:rFonts w:ascii="Times New Roman" w:hAnsi="Times New Roman"/>
          <w:bCs w:val="0"/>
          <w:i w:val="0"/>
          <w:sz w:val="24"/>
          <w:szCs w:val="24"/>
          <w:u w:val="single"/>
        </w:rPr>
        <w:t>LEGAL BASIS FOR PROPOSED RELIEF</w:t>
      </w:r>
    </w:p>
    <w:p w:rsidR="00F700FE" w:rsidRPr="00316735" w:rsidRDefault="00F700FE" w:rsidP="00316735"/>
    <w:p w:rsidR="00F700FE" w:rsidRPr="0015227B" w:rsidRDefault="00F700FE" w:rsidP="00316735">
      <w:pPr>
        <w:spacing w:line="360" w:lineRule="auto"/>
        <w:ind w:firstLine="720"/>
      </w:pPr>
      <w:r>
        <w:t>A.</w:t>
      </w:r>
      <w:r>
        <w:tab/>
        <w:t>T</w:t>
      </w:r>
      <w:r w:rsidRPr="0015227B">
        <w:t>he Respondent has engaged in conduct that undermines the public confidence in the integrity of the medical profession.  See Levy v. Board of Registration in Medicine, 378 Mass. 519 (1979); Raymond v. Board of Registration in Medicine, 387 Mass. 708 (1982).</w:t>
      </w:r>
    </w:p>
    <w:p w:rsidR="00F700FE" w:rsidRDefault="00F700FE" w:rsidP="00316735">
      <w:pPr>
        <w:spacing w:line="360" w:lineRule="auto"/>
        <w:ind w:firstLine="720"/>
      </w:pPr>
      <w:r>
        <w:t>B</w:t>
      </w:r>
      <w:r w:rsidRPr="0015227B">
        <w:t>.</w:t>
      </w:r>
      <w:r w:rsidRPr="0015227B">
        <w:tab/>
        <w:t xml:space="preserve">The Respondent has violated G.L. c. 112, § 5, ninth par. (c) and 243 CMR 1.03(5)(a)3 by engaging in </w:t>
      </w:r>
      <w:r>
        <w:t>mis</w:t>
      </w:r>
      <w:r w:rsidRPr="0015227B">
        <w:t xml:space="preserve">conduct </w:t>
      </w:r>
      <w:r>
        <w:t xml:space="preserve">in the </w:t>
      </w:r>
      <w:r w:rsidRPr="0015227B">
        <w:t xml:space="preserve">practice </w:t>
      </w:r>
      <w:r>
        <w:t xml:space="preserve">of </w:t>
      </w:r>
      <w:r w:rsidRPr="0015227B">
        <w:t>medicine.</w:t>
      </w:r>
    </w:p>
    <w:p w:rsidR="00F700FE" w:rsidRPr="0015227B" w:rsidRDefault="00F700FE" w:rsidP="00316735">
      <w:pPr>
        <w:spacing w:line="360" w:lineRule="auto"/>
        <w:ind w:firstLine="720"/>
      </w:pPr>
    </w:p>
    <w:p w:rsidR="00F700FE" w:rsidRDefault="00F700FE" w:rsidP="00316735">
      <w:pPr>
        <w:pStyle w:val="BodyText3"/>
        <w:spacing w:after="0" w:line="360" w:lineRule="auto"/>
        <w:contextualSpacing/>
        <w:jc w:val="center"/>
        <w:rPr>
          <w:b/>
          <w:bCs/>
          <w:sz w:val="24"/>
          <w:szCs w:val="24"/>
          <w:u w:val="single"/>
        </w:rPr>
      </w:pPr>
      <w:r w:rsidRPr="00824898">
        <w:rPr>
          <w:b/>
          <w:bCs/>
          <w:sz w:val="24"/>
          <w:szCs w:val="24"/>
          <w:u w:val="single"/>
        </w:rPr>
        <w:t>SANCTION</w:t>
      </w:r>
    </w:p>
    <w:p w:rsidR="00F700FE" w:rsidRDefault="00F700FE" w:rsidP="00316735">
      <w:pPr>
        <w:pStyle w:val="BodyText3"/>
        <w:spacing w:after="0" w:line="360" w:lineRule="auto"/>
        <w:contextualSpacing/>
        <w:jc w:val="center"/>
        <w:rPr>
          <w:b/>
          <w:bCs/>
          <w:sz w:val="24"/>
          <w:szCs w:val="24"/>
          <w:u w:val="single"/>
        </w:rPr>
      </w:pPr>
    </w:p>
    <w:p w:rsidR="00F700FE" w:rsidRDefault="00F700FE" w:rsidP="00316735">
      <w:pPr>
        <w:pStyle w:val="BodyTextIndent3"/>
        <w:spacing w:after="0" w:line="360" w:lineRule="auto"/>
        <w:ind w:left="0" w:firstLine="720"/>
        <w:contextualSpacing/>
        <w:rPr>
          <w:sz w:val="24"/>
          <w:szCs w:val="24"/>
        </w:rPr>
      </w:pPr>
      <w:r w:rsidRPr="008F77D8">
        <w:rPr>
          <w:sz w:val="24"/>
          <w:szCs w:val="24"/>
        </w:rPr>
        <w:t xml:space="preserve">The Respondent, the Respondent’s attorney and Complaint Counsel expressly acknowledge that the Board may impose sanctions against the Respondent based upon the above Findings of Fact and Conclusions of Law.  The Respondent, the Respondent’s attorney and Complaint Counsel jointly agree to recommend to the Board that it impose the sanction set forth below.  The parties hereto understand that the recommended sanction is not binding on the Board, and that the Board may wish to impose a different sanction on the Respondent.  </w:t>
      </w:r>
    </w:p>
    <w:p w:rsidR="00F700FE" w:rsidRDefault="00F700FE" w:rsidP="00316735">
      <w:pPr>
        <w:pStyle w:val="BodyTextIndent3"/>
        <w:spacing w:after="0" w:line="360" w:lineRule="auto"/>
        <w:ind w:left="0" w:firstLine="720"/>
        <w:contextualSpacing/>
        <w:rPr>
          <w:sz w:val="24"/>
          <w:szCs w:val="24"/>
        </w:rPr>
        <w:sectPr w:rsidR="00F700FE" w:rsidSect="00316735">
          <w:headerReference w:type="default" r:id="rId13"/>
          <w:footerReference w:type="default" r:id="rId14"/>
          <w:pgSz w:w="12240" w:h="15840" w:code="1"/>
          <w:pgMar w:top="1440" w:right="1800" w:bottom="1440" w:left="1800" w:header="720" w:footer="720" w:gutter="0"/>
          <w:cols w:space="720"/>
          <w:docGrid w:linePitch="360"/>
        </w:sectPr>
      </w:pPr>
      <w:r w:rsidRPr="008F77D8">
        <w:rPr>
          <w:sz w:val="24"/>
          <w:szCs w:val="24"/>
        </w:rPr>
        <w:t xml:space="preserve">At the time the Board considers this Stipulation, it will inform the parties of its inclination as to sanction. </w:t>
      </w:r>
      <w:r>
        <w:rPr>
          <w:sz w:val="24"/>
          <w:szCs w:val="24"/>
        </w:rPr>
        <w:t xml:space="preserve"> </w:t>
      </w:r>
      <w:r w:rsidRPr="008F77D8">
        <w:rPr>
          <w:sz w:val="24"/>
          <w:szCs w:val="24"/>
        </w:rPr>
        <w:t xml:space="preserve">If the Board’s sanction is different from the one recommended by the parties, the Respondent will be given an opportunity to either accept or reject the </w:t>
      </w:r>
    </w:p>
    <w:p w:rsidR="00F700FE" w:rsidRPr="008F77D8" w:rsidRDefault="00F700FE" w:rsidP="00316735">
      <w:pPr>
        <w:pStyle w:val="BodyTextIndent3"/>
        <w:spacing w:after="0" w:line="360" w:lineRule="auto"/>
        <w:ind w:left="0" w:firstLine="720"/>
        <w:contextualSpacing/>
        <w:rPr>
          <w:sz w:val="24"/>
          <w:szCs w:val="24"/>
        </w:rPr>
      </w:pPr>
      <w:r w:rsidRPr="008F77D8">
        <w:rPr>
          <w:sz w:val="24"/>
          <w:szCs w:val="24"/>
        </w:rPr>
        <w:lastRenderedPageBreak/>
        <w:t>proposed sanction. If the Respondent rejects the proposed sanction, then the matter will continue through the adjudicatory process pursuant to General Laws chapter 30A and 801 CMR 1.00 et seq.</w:t>
      </w:r>
    </w:p>
    <w:p w:rsidR="00F700FE" w:rsidRPr="008F77D8" w:rsidRDefault="00F700FE" w:rsidP="00316735">
      <w:pPr>
        <w:spacing w:line="360" w:lineRule="auto"/>
        <w:ind w:firstLine="720"/>
        <w:contextualSpacing/>
      </w:pPr>
      <w:r w:rsidRPr="008F77D8">
        <w:t>The Respondent’s license is hereby Admonished and he is required to complete the Massachusetts Medical Society’s course on workplace conflict within one year of the Board issuing a Final Decision and Order in this matter.</w:t>
      </w:r>
    </w:p>
    <w:p w:rsidR="00F700FE" w:rsidRPr="00824898" w:rsidRDefault="00F700FE" w:rsidP="00316735">
      <w:pPr>
        <w:pStyle w:val="BodyText3"/>
        <w:spacing w:after="0" w:line="360" w:lineRule="auto"/>
        <w:contextualSpacing/>
        <w:jc w:val="center"/>
        <w:rPr>
          <w:b/>
          <w:szCs w:val="24"/>
        </w:rPr>
      </w:pPr>
      <w:r w:rsidRPr="00DA27B9">
        <w:rPr>
          <w:b/>
          <w:bCs/>
          <w:sz w:val="24"/>
          <w:szCs w:val="24"/>
          <w:u w:val="single"/>
        </w:rPr>
        <w:t>EXECUTION OF THIS STIPULATION</w:t>
      </w:r>
    </w:p>
    <w:p w:rsidR="00F700FE" w:rsidRDefault="00F700FE" w:rsidP="00316735">
      <w:pPr>
        <w:pStyle w:val="BodyTextIndent"/>
        <w:tabs>
          <w:tab w:val="left" w:pos="720"/>
        </w:tabs>
        <w:spacing w:after="0" w:line="360" w:lineRule="auto"/>
        <w:ind w:left="0"/>
        <w:contextualSpacing/>
      </w:pPr>
      <w:r>
        <w:tab/>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rsidR="00F700FE" w:rsidRDefault="00F700FE" w:rsidP="00316735">
      <w:pPr>
        <w:pStyle w:val="BodyTextIndent"/>
        <w:tabs>
          <w:tab w:val="left" w:pos="720"/>
        </w:tabs>
        <w:spacing w:after="0" w:line="360" w:lineRule="auto"/>
        <w:ind w:left="0"/>
        <w:contextualSpacing/>
      </w:pPr>
      <w:r>
        <w:tab/>
        <w:t>The signature of the Respondent, his attorney, and Complaint Counsel are expressly conditioned on the Administrative Magistrate and the Board accepting this stipulation.</w:t>
      </w:r>
    </w:p>
    <w:p w:rsidR="00F700FE" w:rsidRDefault="00F700FE" w:rsidP="00316735">
      <w:pPr>
        <w:tabs>
          <w:tab w:val="left" w:pos="720"/>
        </w:tabs>
        <w:spacing w:line="360" w:lineRule="auto"/>
        <w:contextualSpacing/>
      </w:pPr>
      <w:r>
        <w:tab/>
        <w:t>If the Administrative Magistrate rejects any provision contained in this Stipulation, the entire document shall be null and void and the matter will be scheduled for a hearing pursuant to General Laws c. 30A and 801 CMR 1.00 et seq.</w:t>
      </w:r>
    </w:p>
    <w:p w:rsidR="00F700FE" w:rsidRDefault="00F700FE" w:rsidP="00316735">
      <w:pPr>
        <w:tabs>
          <w:tab w:val="left" w:pos="720"/>
        </w:tabs>
        <w:spacing w:line="360" w:lineRule="auto"/>
        <w:contextualSpacing/>
      </w:pPr>
      <w:r>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F700FE" w:rsidRDefault="00F700FE" w:rsidP="00316735">
      <w:pPr>
        <w:tabs>
          <w:tab w:val="left" w:pos="720"/>
        </w:tabs>
        <w:spacing w:line="360" w:lineRule="auto"/>
        <w:contextualSpacing/>
        <w:sectPr w:rsidR="00F700FE" w:rsidSect="00316735">
          <w:headerReference w:type="default" r:id="rId15"/>
          <w:footerReference w:type="default" r:id="rId16"/>
          <w:pgSz w:w="12240" w:h="15840" w:code="1"/>
          <w:pgMar w:top="1440" w:right="1800" w:bottom="1440" w:left="1800" w:header="720" w:footer="720" w:gutter="0"/>
          <w:cols w:space="720"/>
          <w:docGrid w:linePitch="360"/>
        </w:sectPr>
      </w:pPr>
      <w:r>
        <w:tab/>
        <w:t>Neither of the parties nor anyone else may rely on the Stipulation in these proceedings or in any appeal there from.</w:t>
      </w:r>
    </w:p>
    <w:p w:rsidR="00F700FE" w:rsidRDefault="00F700FE" w:rsidP="00316735">
      <w:pPr>
        <w:spacing w:line="360" w:lineRule="auto"/>
        <w:contextualSpacing/>
        <w:rPr>
          <w:u w:val="single"/>
        </w:rPr>
      </w:pPr>
      <w:r>
        <w:rPr>
          <w:u w:val="single"/>
        </w:rPr>
        <w:lastRenderedPageBreak/>
        <w:t>Signed by Matthew Philips</w:t>
      </w:r>
      <w:r>
        <w:rPr>
          <w:u w:val="single"/>
        </w:rPr>
        <w:tab/>
      </w:r>
      <w:r>
        <w:rPr>
          <w:u w:val="single"/>
        </w:rPr>
        <w:tab/>
      </w:r>
      <w:r w:rsidRPr="00D97AD1">
        <w:rPr>
          <w:u w:val="single"/>
        </w:rPr>
        <w:tab/>
      </w:r>
      <w:r w:rsidRPr="00D97AD1">
        <w:tab/>
      </w:r>
      <w:r>
        <w:rPr>
          <w:u w:val="single"/>
        </w:rPr>
        <w:t>4/18/14</w:t>
      </w:r>
      <w:r>
        <w:rPr>
          <w:u w:val="single"/>
        </w:rPr>
        <w:tab/>
      </w:r>
      <w:r>
        <w:rPr>
          <w:u w:val="single"/>
        </w:rPr>
        <w:tab/>
      </w:r>
    </w:p>
    <w:p w:rsidR="00F700FE" w:rsidRPr="00D97AD1" w:rsidRDefault="00F700FE" w:rsidP="00316735">
      <w:pPr>
        <w:spacing w:line="360" w:lineRule="auto"/>
        <w:contextualSpacing/>
      </w:pPr>
      <w:r>
        <w:t>Matthew Philips, M.D.</w:t>
      </w:r>
      <w:r w:rsidRPr="00D97AD1">
        <w:tab/>
      </w:r>
      <w:r w:rsidRPr="00D97AD1">
        <w:tab/>
      </w:r>
      <w:r w:rsidRPr="00D97AD1">
        <w:tab/>
      </w:r>
      <w:r w:rsidRPr="00D97AD1">
        <w:tab/>
        <w:t>Date</w:t>
      </w:r>
    </w:p>
    <w:p w:rsidR="00F700FE" w:rsidRPr="00D97AD1" w:rsidRDefault="00F700FE" w:rsidP="00316735">
      <w:pPr>
        <w:spacing w:line="360" w:lineRule="auto"/>
        <w:contextualSpacing/>
      </w:pPr>
    </w:p>
    <w:p w:rsidR="00F700FE" w:rsidRPr="00D97AD1" w:rsidRDefault="00F700FE" w:rsidP="00316735">
      <w:pPr>
        <w:spacing w:line="360" w:lineRule="auto"/>
        <w:contextualSpacing/>
      </w:pPr>
    </w:p>
    <w:p w:rsidR="00F700FE" w:rsidRPr="00D97AD1" w:rsidRDefault="00F700FE" w:rsidP="00316735">
      <w:pPr>
        <w:spacing w:line="360" w:lineRule="auto"/>
        <w:contextualSpacing/>
      </w:pPr>
      <w:r>
        <w:rPr>
          <w:u w:val="single"/>
        </w:rPr>
        <w:t>Signed by Stephen P. Harten</w:t>
      </w:r>
      <w:r>
        <w:rPr>
          <w:u w:val="single"/>
        </w:rPr>
        <w:tab/>
      </w:r>
      <w:r>
        <w:rPr>
          <w:u w:val="single"/>
        </w:rPr>
        <w:tab/>
      </w:r>
      <w:r>
        <w:rPr>
          <w:u w:val="single"/>
        </w:rPr>
        <w:tab/>
      </w:r>
      <w:r w:rsidRPr="00D97AD1">
        <w:tab/>
      </w:r>
      <w:r>
        <w:rPr>
          <w:u w:val="single"/>
        </w:rPr>
        <w:t>04 · 18 · 14</w:t>
      </w:r>
      <w:r w:rsidRPr="00D97AD1">
        <w:rPr>
          <w:u w:val="single"/>
        </w:rPr>
        <w:tab/>
      </w:r>
      <w:r w:rsidRPr="00D97AD1">
        <w:rPr>
          <w:u w:val="single"/>
        </w:rPr>
        <w:tab/>
      </w:r>
    </w:p>
    <w:p w:rsidR="00F700FE" w:rsidRPr="00D97AD1" w:rsidRDefault="00F700FE" w:rsidP="00316735">
      <w:pPr>
        <w:spacing w:line="360" w:lineRule="auto"/>
        <w:contextualSpacing/>
      </w:pPr>
      <w:r>
        <w:t>Stephen P. Harten, Esq.</w:t>
      </w:r>
      <w:r w:rsidRPr="00D97AD1">
        <w:tab/>
      </w:r>
      <w:r w:rsidRPr="00D97AD1">
        <w:tab/>
      </w:r>
      <w:r w:rsidRPr="00D97AD1">
        <w:tab/>
      </w:r>
      <w:r w:rsidRPr="00D97AD1">
        <w:tab/>
        <w:t>Date</w:t>
      </w:r>
      <w:r>
        <w:br/>
        <w:t>Attorney for Respondent</w:t>
      </w:r>
    </w:p>
    <w:p w:rsidR="00F700FE" w:rsidRDefault="00F700FE" w:rsidP="00316735">
      <w:pPr>
        <w:spacing w:line="360" w:lineRule="auto"/>
        <w:contextualSpacing/>
      </w:pPr>
    </w:p>
    <w:p w:rsidR="00F700FE" w:rsidRDefault="00F700FE" w:rsidP="00316735">
      <w:pPr>
        <w:spacing w:line="360" w:lineRule="auto"/>
        <w:contextualSpacing/>
      </w:pPr>
    </w:p>
    <w:p w:rsidR="00F700FE" w:rsidRPr="00D97AD1" w:rsidRDefault="00BB420E" w:rsidP="00316735">
      <w:pPr>
        <w:spacing w:line="360" w:lineRule="auto"/>
        <w:contextualSpacing/>
      </w:pPr>
      <w:r>
        <w:rPr>
          <w:u w:val="single"/>
        </w:rPr>
        <w:t>Signed by James Paikos</w:t>
      </w:r>
      <w:r>
        <w:rPr>
          <w:u w:val="single"/>
        </w:rPr>
        <w:tab/>
      </w:r>
      <w:r>
        <w:rPr>
          <w:u w:val="single"/>
        </w:rPr>
        <w:tab/>
      </w:r>
      <w:r>
        <w:rPr>
          <w:u w:val="single"/>
        </w:rPr>
        <w:tab/>
      </w:r>
      <w:r w:rsidR="00F700FE" w:rsidRPr="00D97AD1">
        <w:tab/>
      </w:r>
      <w:r>
        <w:rPr>
          <w:u w:val="single"/>
        </w:rPr>
        <w:t>4-22-2014</w:t>
      </w:r>
      <w:r>
        <w:rPr>
          <w:u w:val="single"/>
        </w:rPr>
        <w:tab/>
      </w:r>
      <w:r>
        <w:rPr>
          <w:u w:val="single"/>
        </w:rPr>
        <w:tab/>
      </w:r>
    </w:p>
    <w:p w:rsidR="00F700FE" w:rsidRDefault="00F700FE" w:rsidP="00316735">
      <w:pPr>
        <w:spacing w:line="360" w:lineRule="auto"/>
        <w:contextualSpacing/>
      </w:pPr>
      <w:r>
        <w:t>James Paikos, Esq.</w:t>
      </w:r>
      <w:r w:rsidRPr="00D97AD1">
        <w:tab/>
      </w:r>
      <w:r w:rsidRPr="00D97AD1">
        <w:tab/>
      </w:r>
      <w:r w:rsidRPr="00D97AD1">
        <w:tab/>
      </w:r>
      <w:r w:rsidRPr="00D97AD1">
        <w:tab/>
      </w:r>
      <w:r>
        <w:tab/>
      </w:r>
      <w:r w:rsidRPr="00D97AD1">
        <w:t>Date</w:t>
      </w:r>
    </w:p>
    <w:p w:rsidR="00F700FE" w:rsidRPr="00D97AD1" w:rsidRDefault="00F700FE" w:rsidP="00316735">
      <w:pPr>
        <w:spacing w:line="360" w:lineRule="auto"/>
        <w:contextualSpacing/>
      </w:pPr>
      <w:r>
        <w:t>Complaint Counsel</w:t>
      </w:r>
    </w:p>
    <w:p w:rsidR="007131DB" w:rsidRPr="00D97AD1" w:rsidRDefault="007131DB" w:rsidP="00BE4172">
      <w:pPr>
        <w:spacing w:line="480" w:lineRule="auto"/>
      </w:pPr>
    </w:p>
    <w:sectPr w:rsidR="007131DB" w:rsidRPr="00D97AD1" w:rsidSect="000A5D08">
      <w:footerReference w:type="default" r:id="rId17"/>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2E" w:rsidRDefault="00B3652E" w:rsidP="00ED211F">
      <w:r>
        <w:separator/>
      </w:r>
    </w:p>
  </w:endnote>
  <w:endnote w:type="continuationSeparator" w:id="0">
    <w:p w:rsidR="00B3652E" w:rsidRDefault="00B3652E"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Pr="009A4740" w:rsidRDefault="00F700FE" w:rsidP="009A4740">
    <w:pPr>
      <w:pStyle w:val="Footer"/>
      <w:tabs>
        <w:tab w:val="clear" w:pos="8640"/>
        <w:tab w:val="right" w:pos="9120"/>
      </w:tabs>
      <w:rPr>
        <w:sz w:val="20"/>
        <w:szCs w:val="20"/>
      </w:rPr>
    </w:pPr>
    <w:r>
      <w:rPr>
        <w:sz w:val="20"/>
        <w:szCs w:val="20"/>
      </w:rPr>
      <w:t>Stipulation</w:t>
    </w:r>
    <w:r w:rsidRPr="009A4740">
      <w:rPr>
        <w:sz w:val="20"/>
        <w:szCs w:val="20"/>
      </w:rPr>
      <w:t xml:space="preserve"> – </w:t>
    </w:r>
    <w:r>
      <w:rPr>
        <w:sz w:val="20"/>
        <w:szCs w:val="20"/>
      </w:rPr>
      <w:t>Matthew Phillips, M.D.</w:t>
    </w:r>
    <w:r w:rsidRPr="009A4740">
      <w:rPr>
        <w:color w:val="FF0000"/>
        <w:sz w:val="20"/>
        <w:szCs w:val="20"/>
      </w:rPr>
      <w:tab/>
    </w:r>
    <w:r w:rsidRPr="009A4740">
      <w:rPr>
        <w:color w:val="FF0000"/>
        <w:sz w:val="20"/>
        <w:szCs w:val="20"/>
      </w:rPr>
      <w:tab/>
    </w:r>
    <w:r>
      <w:rPr>
        <w:rStyle w:val="PageNumber"/>
        <w:sz w:val="20"/>
        <w:szCs w:val="20"/>
      </w:rPr>
      <w:t>1 of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Pr="009A4740" w:rsidRDefault="00F700FE" w:rsidP="009A4740">
    <w:pPr>
      <w:pStyle w:val="Footer"/>
      <w:tabs>
        <w:tab w:val="clear" w:pos="8640"/>
        <w:tab w:val="right" w:pos="9120"/>
      </w:tabs>
      <w:rPr>
        <w:sz w:val="20"/>
        <w:szCs w:val="20"/>
      </w:rPr>
    </w:pPr>
    <w:r>
      <w:rPr>
        <w:sz w:val="20"/>
        <w:szCs w:val="20"/>
      </w:rPr>
      <w:t>Stipulation</w:t>
    </w:r>
    <w:r w:rsidRPr="009A4740">
      <w:rPr>
        <w:sz w:val="20"/>
        <w:szCs w:val="20"/>
      </w:rPr>
      <w:t xml:space="preserve"> – </w:t>
    </w:r>
    <w:r>
      <w:rPr>
        <w:sz w:val="20"/>
        <w:szCs w:val="20"/>
      </w:rPr>
      <w:t>Matthew Phillips, M.D.</w:t>
    </w:r>
    <w:r w:rsidRPr="009A4740">
      <w:rPr>
        <w:color w:val="FF0000"/>
        <w:sz w:val="20"/>
        <w:szCs w:val="20"/>
      </w:rPr>
      <w:tab/>
    </w:r>
    <w:r w:rsidRPr="009A4740">
      <w:rPr>
        <w:color w:val="FF0000"/>
        <w:sz w:val="20"/>
        <w:szCs w:val="20"/>
      </w:rPr>
      <w:tab/>
    </w:r>
    <w:r>
      <w:rPr>
        <w:rStyle w:val="PageNumber"/>
        <w:sz w:val="20"/>
        <w:szCs w:val="20"/>
      </w:rPr>
      <w:t>2 of 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Pr="009A4740" w:rsidRDefault="00F700FE" w:rsidP="009A4740">
    <w:pPr>
      <w:pStyle w:val="Footer"/>
      <w:tabs>
        <w:tab w:val="clear" w:pos="8640"/>
        <w:tab w:val="right" w:pos="9120"/>
      </w:tabs>
      <w:rPr>
        <w:sz w:val="20"/>
        <w:szCs w:val="20"/>
      </w:rPr>
    </w:pPr>
    <w:r>
      <w:rPr>
        <w:sz w:val="20"/>
        <w:szCs w:val="20"/>
      </w:rPr>
      <w:t>Stipulation</w:t>
    </w:r>
    <w:r w:rsidRPr="009A4740">
      <w:rPr>
        <w:sz w:val="20"/>
        <w:szCs w:val="20"/>
      </w:rPr>
      <w:t xml:space="preserve"> – </w:t>
    </w:r>
    <w:r>
      <w:rPr>
        <w:sz w:val="20"/>
        <w:szCs w:val="20"/>
      </w:rPr>
      <w:t>Matthew Phillips, M.D.</w:t>
    </w:r>
    <w:r w:rsidRPr="009A4740">
      <w:rPr>
        <w:color w:val="FF0000"/>
        <w:sz w:val="20"/>
        <w:szCs w:val="20"/>
      </w:rPr>
      <w:tab/>
    </w:r>
    <w:r w:rsidRPr="009A4740">
      <w:rPr>
        <w:color w:val="FF0000"/>
        <w:sz w:val="20"/>
        <w:szCs w:val="20"/>
      </w:rPr>
      <w:tab/>
    </w:r>
    <w:r>
      <w:rPr>
        <w:rStyle w:val="PageNumber"/>
        <w:sz w:val="20"/>
        <w:szCs w:val="20"/>
      </w:rPr>
      <w:t>3 of 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Pr="009A4740" w:rsidRDefault="00F700FE" w:rsidP="009A4740">
    <w:pPr>
      <w:pStyle w:val="Footer"/>
      <w:tabs>
        <w:tab w:val="clear" w:pos="8640"/>
        <w:tab w:val="right" w:pos="9120"/>
      </w:tabs>
      <w:rPr>
        <w:sz w:val="20"/>
        <w:szCs w:val="20"/>
      </w:rPr>
    </w:pPr>
    <w:r>
      <w:rPr>
        <w:sz w:val="20"/>
        <w:szCs w:val="20"/>
      </w:rPr>
      <w:t>Stipulation</w:t>
    </w:r>
    <w:r w:rsidRPr="009A4740">
      <w:rPr>
        <w:sz w:val="20"/>
        <w:szCs w:val="20"/>
      </w:rPr>
      <w:t xml:space="preserve"> – </w:t>
    </w:r>
    <w:r>
      <w:rPr>
        <w:sz w:val="20"/>
        <w:szCs w:val="20"/>
      </w:rPr>
      <w:t>Matthew Phillips, M.D.</w:t>
    </w:r>
    <w:r w:rsidRPr="009A4740">
      <w:rPr>
        <w:color w:val="FF0000"/>
        <w:sz w:val="20"/>
        <w:szCs w:val="20"/>
      </w:rPr>
      <w:tab/>
    </w:r>
    <w:r w:rsidRPr="009A4740">
      <w:rPr>
        <w:color w:val="FF0000"/>
        <w:sz w:val="20"/>
        <w:szCs w:val="20"/>
      </w:rPr>
      <w:tab/>
    </w:r>
    <w:r>
      <w:rPr>
        <w:rStyle w:val="PageNumber"/>
        <w:sz w:val="20"/>
        <w:szCs w:val="20"/>
      </w:rPr>
      <w:t>4 of 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3A" w:rsidRPr="009A4740" w:rsidRDefault="00BE4172" w:rsidP="009A4740">
    <w:pPr>
      <w:pStyle w:val="Footer"/>
      <w:tabs>
        <w:tab w:val="clear" w:pos="8640"/>
        <w:tab w:val="right" w:pos="9120"/>
      </w:tabs>
      <w:rPr>
        <w:sz w:val="20"/>
        <w:szCs w:val="20"/>
      </w:rPr>
    </w:pPr>
    <w:r>
      <w:rPr>
        <w:sz w:val="20"/>
        <w:szCs w:val="20"/>
      </w:rPr>
      <w:t>Stipulation</w:t>
    </w:r>
    <w:r w:rsidR="007C753A" w:rsidRPr="009A4740">
      <w:rPr>
        <w:sz w:val="20"/>
        <w:szCs w:val="20"/>
      </w:rPr>
      <w:t xml:space="preserve"> – </w:t>
    </w:r>
    <w:r w:rsidR="007C753A">
      <w:rPr>
        <w:sz w:val="20"/>
        <w:szCs w:val="20"/>
      </w:rPr>
      <w:t>Matthew Phillips, M.D.</w:t>
    </w:r>
    <w:r w:rsidR="007C753A" w:rsidRPr="009A4740">
      <w:rPr>
        <w:color w:val="FF0000"/>
        <w:sz w:val="20"/>
        <w:szCs w:val="20"/>
      </w:rPr>
      <w:tab/>
    </w:r>
    <w:r w:rsidR="007C753A" w:rsidRPr="009A4740">
      <w:rPr>
        <w:color w:val="FF0000"/>
        <w:sz w:val="20"/>
        <w:szCs w:val="20"/>
      </w:rPr>
      <w:tab/>
    </w:r>
    <w:r w:rsidR="007C753A" w:rsidRPr="009A4740">
      <w:rPr>
        <w:rStyle w:val="PageNumber"/>
        <w:sz w:val="20"/>
        <w:szCs w:val="20"/>
      </w:rPr>
      <w:fldChar w:fldCharType="begin"/>
    </w:r>
    <w:r w:rsidR="007C753A" w:rsidRPr="009A4740">
      <w:rPr>
        <w:rStyle w:val="PageNumber"/>
        <w:sz w:val="20"/>
        <w:szCs w:val="20"/>
      </w:rPr>
      <w:instrText xml:space="preserve"> PAGE </w:instrText>
    </w:r>
    <w:r w:rsidR="007C753A" w:rsidRPr="009A4740">
      <w:rPr>
        <w:rStyle w:val="PageNumber"/>
        <w:sz w:val="20"/>
        <w:szCs w:val="20"/>
      </w:rPr>
      <w:fldChar w:fldCharType="separate"/>
    </w:r>
    <w:r w:rsidR="00BB420E">
      <w:rPr>
        <w:rStyle w:val="PageNumber"/>
        <w:noProof/>
        <w:sz w:val="20"/>
        <w:szCs w:val="20"/>
      </w:rPr>
      <w:t>5</w:t>
    </w:r>
    <w:r w:rsidR="007C753A" w:rsidRPr="009A4740">
      <w:rPr>
        <w:rStyle w:val="PageNumber"/>
        <w:sz w:val="20"/>
        <w:szCs w:val="20"/>
      </w:rPr>
      <w:fldChar w:fldCharType="end"/>
    </w:r>
    <w:r w:rsidR="007C753A" w:rsidRPr="009A4740">
      <w:rPr>
        <w:rStyle w:val="PageNumber"/>
        <w:sz w:val="20"/>
        <w:szCs w:val="20"/>
      </w:rPr>
      <w:t xml:space="preserve"> of </w:t>
    </w:r>
    <w:r w:rsidR="007C753A" w:rsidRPr="009A4740">
      <w:rPr>
        <w:rStyle w:val="PageNumber"/>
        <w:sz w:val="20"/>
        <w:szCs w:val="20"/>
      </w:rPr>
      <w:fldChar w:fldCharType="begin"/>
    </w:r>
    <w:r w:rsidR="007C753A" w:rsidRPr="009A4740">
      <w:rPr>
        <w:rStyle w:val="PageNumber"/>
        <w:sz w:val="20"/>
        <w:szCs w:val="20"/>
      </w:rPr>
      <w:instrText xml:space="preserve"> NUMPAGES </w:instrText>
    </w:r>
    <w:r w:rsidR="007C753A" w:rsidRPr="009A4740">
      <w:rPr>
        <w:rStyle w:val="PageNumber"/>
        <w:sz w:val="20"/>
        <w:szCs w:val="20"/>
      </w:rPr>
      <w:fldChar w:fldCharType="separate"/>
    </w:r>
    <w:r w:rsidR="00BB420E">
      <w:rPr>
        <w:rStyle w:val="PageNumber"/>
        <w:noProof/>
        <w:sz w:val="20"/>
        <w:szCs w:val="20"/>
      </w:rPr>
      <w:t>5</w:t>
    </w:r>
    <w:r w:rsidR="007C753A"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2E" w:rsidRDefault="00B3652E" w:rsidP="00ED211F">
      <w:r>
        <w:separator/>
      </w:r>
    </w:p>
  </w:footnote>
  <w:footnote w:type="continuationSeparator" w:id="0">
    <w:p w:rsidR="00B3652E" w:rsidRDefault="00B3652E"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Default="00F700FE">
    <w:pPr>
      <w:pStyle w:val="Header"/>
      <w:framePr w:wrap="around" w:vAnchor="text" w:hAnchor="margin" w:xAlign="center" w:y="1"/>
      <w:rPr>
        <w:rStyle w:val="PageNumber"/>
      </w:rPr>
    </w:pPr>
  </w:p>
  <w:p w:rsidR="00F700FE" w:rsidRDefault="00F700FE" w:rsidP="00DA27B9">
    <w:pPr>
      <w:pStyle w:val="Header"/>
      <w:tabs>
        <w:tab w:val="clear" w:pos="4320"/>
      </w:tabs>
    </w:pPr>
    <w:r>
      <w:tab/>
      <w:t>ATTACHMENT B</w:t>
    </w:r>
    <w:r>
      <w:tab/>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Default="00F700FE">
    <w:pPr>
      <w:pStyle w:val="Header"/>
      <w:framePr w:wrap="around" w:vAnchor="text" w:hAnchor="margin" w:xAlign="center" w:y="1"/>
      <w:rPr>
        <w:rStyle w:val="PageNumber"/>
      </w:rPr>
    </w:pPr>
  </w:p>
  <w:p w:rsidR="00F700FE" w:rsidRDefault="00F700FE" w:rsidP="00DA27B9">
    <w:pPr>
      <w:pStyle w:val="Header"/>
      <w:tabs>
        <w:tab w:val="clear" w:pos="4320"/>
      </w:tabs>
    </w:pPr>
    <w:r>
      <w:tab/>
    </w:r>
    <w:r>
      <w:tab/>
    </w: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Default="00F700FE">
    <w:pPr>
      <w:pStyle w:val="Header"/>
      <w:framePr w:wrap="around" w:vAnchor="text" w:hAnchor="margin" w:xAlign="center" w:y="1"/>
      <w:rPr>
        <w:rStyle w:val="PageNumber"/>
      </w:rPr>
    </w:pPr>
  </w:p>
  <w:p w:rsidR="00F700FE" w:rsidRDefault="00F700FE" w:rsidP="00DA27B9">
    <w:pPr>
      <w:pStyle w:val="Header"/>
      <w:tabs>
        <w:tab w:val="clear" w:pos="4320"/>
      </w:tabs>
    </w:pPr>
    <w:r>
      <w:tab/>
    </w:r>
    <w:r>
      <w:tab/>
    </w:r>
    <w:r>
      <w:tab/>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FE" w:rsidRDefault="00F700FE">
    <w:pPr>
      <w:pStyle w:val="Header"/>
      <w:framePr w:wrap="around" w:vAnchor="text" w:hAnchor="margin" w:xAlign="center" w:y="1"/>
      <w:rPr>
        <w:rStyle w:val="PageNumber"/>
      </w:rPr>
    </w:pPr>
  </w:p>
  <w:p w:rsidR="00F700FE" w:rsidRDefault="00F700FE" w:rsidP="00DA27B9">
    <w:pPr>
      <w:pStyle w:val="Header"/>
      <w:tabs>
        <w:tab w:val="clear" w:pos="4320"/>
      </w:tabs>
    </w:pP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C74D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427E8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4351A"/>
    <w:rsid w:val="00044ADB"/>
    <w:rsid w:val="00063E5E"/>
    <w:rsid w:val="000757B0"/>
    <w:rsid w:val="000778E8"/>
    <w:rsid w:val="00093E11"/>
    <w:rsid w:val="000A0E63"/>
    <w:rsid w:val="000A10C2"/>
    <w:rsid w:val="000A5D08"/>
    <w:rsid w:val="000A66D6"/>
    <w:rsid w:val="000B1E17"/>
    <w:rsid w:val="000B62BF"/>
    <w:rsid w:val="000D0438"/>
    <w:rsid w:val="000D1994"/>
    <w:rsid w:val="000D31A9"/>
    <w:rsid w:val="000E3275"/>
    <w:rsid w:val="000E473C"/>
    <w:rsid w:val="000F070F"/>
    <w:rsid w:val="000F0C70"/>
    <w:rsid w:val="000F1FD5"/>
    <w:rsid w:val="000F4BA0"/>
    <w:rsid w:val="000F7B95"/>
    <w:rsid w:val="00115839"/>
    <w:rsid w:val="00123E40"/>
    <w:rsid w:val="00137BFD"/>
    <w:rsid w:val="00143047"/>
    <w:rsid w:val="00145FB1"/>
    <w:rsid w:val="001501BC"/>
    <w:rsid w:val="0015227B"/>
    <w:rsid w:val="00160A8D"/>
    <w:rsid w:val="00160B7E"/>
    <w:rsid w:val="00161A30"/>
    <w:rsid w:val="0016379C"/>
    <w:rsid w:val="00165679"/>
    <w:rsid w:val="0017305E"/>
    <w:rsid w:val="00180535"/>
    <w:rsid w:val="00183713"/>
    <w:rsid w:val="00184868"/>
    <w:rsid w:val="001908D7"/>
    <w:rsid w:val="001955F0"/>
    <w:rsid w:val="001B11D7"/>
    <w:rsid w:val="001C2FE8"/>
    <w:rsid w:val="001C41DC"/>
    <w:rsid w:val="001D45F7"/>
    <w:rsid w:val="001E561D"/>
    <w:rsid w:val="00200122"/>
    <w:rsid w:val="002059C8"/>
    <w:rsid w:val="00214D65"/>
    <w:rsid w:val="002210B5"/>
    <w:rsid w:val="00243CD3"/>
    <w:rsid w:val="0025049B"/>
    <w:rsid w:val="002564E3"/>
    <w:rsid w:val="00263801"/>
    <w:rsid w:val="00264585"/>
    <w:rsid w:val="0027217C"/>
    <w:rsid w:val="00285194"/>
    <w:rsid w:val="00293148"/>
    <w:rsid w:val="002A7F38"/>
    <w:rsid w:val="002D1EA9"/>
    <w:rsid w:val="002D2E6C"/>
    <w:rsid w:val="002D3386"/>
    <w:rsid w:val="002D63D7"/>
    <w:rsid w:val="002E703E"/>
    <w:rsid w:val="002F23D0"/>
    <w:rsid w:val="002F47E6"/>
    <w:rsid w:val="002F6E2D"/>
    <w:rsid w:val="003118A0"/>
    <w:rsid w:val="00317658"/>
    <w:rsid w:val="00353275"/>
    <w:rsid w:val="00361A7A"/>
    <w:rsid w:val="00372C0A"/>
    <w:rsid w:val="00373F30"/>
    <w:rsid w:val="00382333"/>
    <w:rsid w:val="003855D1"/>
    <w:rsid w:val="00391BF5"/>
    <w:rsid w:val="00394560"/>
    <w:rsid w:val="003A3742"/>
    <w:rsid w:val="003A4F2F"/>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1969"/>
    <w:rsid w:val="0049323E"/>
    <w:rsid w:val="004A2FB0"/>
    <w:rsid w:val="004A501B"/>
    <w:rsid w:val="004D3F18"/>
    <w:rsid w:val="004D5D69"/>
    <w:rsid w:val="004F4A3D"/>
    <w:rsid w:val="00502004"/>
    <w:rsid w:val="00510598"/>
    <w:rsid w:val="00513817"/>
    <w:rsid w:val="00516929"/>
    <w:rsid w:val="005400D6"/>
    <w:rsid w:val="00544DE5"/>
    <w:rsid w:val="0055301F"/>
    <w:rsid w:val="00553143"/>
    <w:rsid w:val="00557F6F"/>
    <w:rsid w:val="00560BA4"/>
    <w:rsid w:val="00562293"/>
    <w:rsid w:val="00575994"/>
    <w:rsid w:val="00590C24"/>
    <w:rsid w:val="0059323A"/>
    <w:rsid w:val="005B0AB8"/>
    <w:rsid w:val="005B38D1"/>
    <w:rsid w:val="005E2491"/>
    <w:rsid w:val="005F4AF5"/>
    <w:rsid w:val="005F54A2"/>
    <w:rsid w:val="006048C2"/>
    <w:rsid w:val="00615CB8"/>
    <w:rsid w:val="0062122F"/>
    <w:rsid w:val="00627FE4"/>
    <w:rsid w:val="00633F52"/>
    <w:rsid w:val="00634B37"/>
    <w:rsid w:val="00651D10"/>
    <w:rsid w:val="0065256D"/>
    <w:rsid w:val="006577F5"/>
    <w:rsid w:val="00662379"/>
    <w:rsid w:val="00662D78"/>
    <w:rsid w:val="006756FB"/>
    <w:rsid w:val="00675A4D"/>
    <w:rsid w:val="00686388"/>
    <w:rsid w:val="00687761"/>
    <w:rsid w:val="006A2119"/>
    <w:rsid w:val="006A6C2E"/>
    <w:rsid w:val="006B0B9D"/>
    <w:rsid w:val="006B5092"/>
    <w:rsid w:val="006B61A4"/>
    <w:rsid w:val="006C2A63"/>
    <w:rsid w:val="006D0CA3"/>
    <w:rsid w:val="006D41AA"/>
    <w:rsid w:val="006F1CC5"/>
    <w:rsid w:val="006F1F64"/>
    <w:rsid w:val="007131DB"/>
    <w:rsid w:val="00740D26"/>
    <w:rsid w:val="007455B5"/>
    <w:rsid w:val="007475A9"/>
    <w:rsid w:val="007479FB"/>
    <w:rsid w:val="00762FDE"/>
    <w:rsid w:val="00767243"/>
    <w:rsid w:val="0077161F"/>
    <w:rsid w:val="00777526"/>
    <w:rsid w:val="007838A6"/>
    <w:rsid w:val="00795DF7"/>
    <w:rsid w:val="007B0A4E"/>
    <w:rsid w:val="007B7064"/>
    <w:rsid w:val="007B79E9"/>
    <w:rsid w:val="007C3EC1"/>
    <w:rsid w:val="007C6FE0"/>
    <w:rsid w:val="007C753A"/>
    <w:rsid w:val="007D1D88"/>
    <w:rsid w:val="007D68C6"/>
    <w:rsid w:val="007E5E4D"/>
    <w:rsid w:val="007F73A7"/>
    <w:rsid w:val="0080156A"/>
    <w:rsid w:val="00810F9D"/>
    <w:rsid w:val="00811081"/>
    <w:rsid w:val="008269C4"/>
    <w:rsid w:val="008625C9"/>
    <w:rsid w:val="00863CB7"/>
    <w:rsid w:val="00864990"/>
    <w:rsid w:val="0086575B"/>
    <w:rsid w:val="00870771"/>
    <w:rsid w:val="0088141D"/>
    <w:rsid w:val="008819A0"/>
    <w:rsid w:val="008A1203"/>
    <w:rsid w:val="008B58AE"/>
    <w:rsid w:val="008E3A93"/>
    <w:rsid w:val="008F03FF"/>
    <w:rsid w:val="008F059A"/>
    <w:rsid w:val="009049D2"/>
    <w:rsid w:val="009056A6"/>
    <w:rsid w:val="009077BA"/>
    <w:rsid w:val="00912EA3"/>
    <w:rsid w:val="00914C9E"/>
    <w:rsid w:val="00940FC5"/>
    <w:rsid w:val="009533B6"/>
    <w:rsid w:val="00961891"/>
    <w:rsid w:val="00963295"/>
    <w:rsid w:val="00971041"/>
    <w:rsid w:val="0097474A"/>
    <w:rsid w:val="00982263"/>
    <w:rsid w:val="00983FE9"/>
    <w:rsid w:val="009A3C02"/>
    <w:rsid w:val="009A45D3"/>
    <w:rsid w:val="009A4740"/>
    <w:rsid w:val="009A582D"/>
    <w:rsid w:val="009B19A3"/>
    <w:rsid w:val="009B1CAF"/>
    <w:rsid w:val="009B2BAA"/>
    <w:rsid w:val="009B3820"/>
    <w:rsid w:val="009B69EB"/>
    <w:rsid w:val="009D2C25"/>
    <w:rsid w:val="009D7CF3"/>
    <w:rsid w:val="009E5B39"/>
    <w:rsid w:val="009F450E"/>
    <w:rsid w:val="009F543E"/>
    <w:rsid w:val="00A06618"/>
    <w:rsid w:val="00A07C15"/>
    <w:rsid w:val="00A3085B"/>
    <w:rsid w:val="00A45129"/>
    <w:rsid w:val="00A45CA6"/>
    <w:rsid w:val="00A5190C"/>
    <w:rsid w:val="00A53972"/>
    <w:rsid w:val="00A56F1C"/>
    <w:rsid w:val="00A6250D"/>
    <w:rsid w:val="00A72821"/>
    <w:rsid w:val="00A777C6"/>
    <w:rsid w:val="00A84282"/>
    <w:rsid w:val="00A86B2B"/>
    <w:rsid w:val="00A90FC6"/>
    <w:rsid w:val="00AE5BE0"/>
    <w:rsid w:val="00AF2B0D"/>
    <w:rsid w:val="00AF567F"/>
    <w:rsid w:val="00B04B65"/>
    <w:rsid w:val="00B13A38"/>
    <w:rsid w:val="00B13E77"/>
    <w:rsid w:val="00B14794"/>
    <w:rsid w:val="00B16F1B"/>
    <w:rsid w:val="00B3652E"/>
    <w:rsid w:val="00B46A89"/>
    <w:rsid w:val="00B52C97"/>
    <w:rsid w:val="00B60F81"/>
    <w:rsid w:val="00B61886"/>
    <w:rsid w:val="00B64C65"/>
    <w:rsid w:val="00B73EE2"/>
    <w:rsid w:val="00B776A6"/>
    <w:rsid w:val="00B862B1"/>
    <w:rsid w:val="00BA0ECF"/>
    <w:rsid w:val="00BB420E"/>
    <w:rsid w:val="00BC1646"/>
    <w:rsid w:val="00BC5BAB"/>
    <w:rsid w:val="00BD1952"/>
    <w:rsid w:val="00BD1BFA"/>
    <w:rsid w:val="00BD40E7"/>
    <w:rsid w:val="00BE4172"/>
    <w:rsid w:val="00BF5987"/>
    <w:rsid w:val="00C02039"/>
    <w:rsid w:val="00C105C4"/>
    <w:rsid w:val="00C105CC"/>
    <w:rsid w:val="00C10D15"/>
    <w:rsid w:val="00C16494"/>
    <w:rsid w:val="00C16F56"/>
    <w:rsid w:val="00C341B3"/>
    <w:rsid w:val="00C56518"/>
    <w:rsid w:val="00C56CC0"/>
    <w:rsid w:val="00C572C4"/>
    <w:rsid w:val="00C60CDD"/>
    <w:rsid w:val="00C61A92"/>
    <w:rsid w:val="00C61EB6"/>
    <w:rsid w:val="00C6719C"/>
    <w:rsid w:val="00CA38FF"/>
    <w:rsid w:val="00CB7761"/>
    <w:rsid w:val="00CC1BF3"/>
    <w:rsid w:val="00CC4D08"/>
    <w:rsid w:val="00CD063B"/>
    <w:rsid w:val="00CE05DA"/>
    <w:rsid w:val="00CE703E"/>
    <w:rsid w:val="00CF0D95"/>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61000"/>
    <w:rsid w:val="00D743FA"/>
    <w:rsid w:val="00D81AD0"/>
    <w:rsid w:val="00D97AD1"/>
    <w:rsid w:val="00DA1BF1"/>
    <w:rsid w:val="00DB19E1"/>
    <w:rsid w:val="00DD2AB1"/>
    <w:rsid w:val="00DD55C9"/>
    <w:rsid w:val="00DE28F2"/>
    <w:rsid w:val="00DE5FB8"/>
    <w:rsid w:val="00DF0009"/>
    <w:rsid w:val="00DF2DD5"/>
    <w:rsid w:val="00DF4AF6"/>
    <w:rsid w:val="00E021DA"/>
    <w:rsid w:val="00E11AE0"/>
    <w:rsid w:val="00E12100"/>
    <w:rsid w:val="00E1632E"/>
    <w:rsid w:val="00E21D4B"/>
    <w:rsid w:val="00E40D87"/>
    <w:rsid w:val="00E4175B"/>
    <w:rsid w:val="00E46F5C"/>
    <w:rsid w:val="00E47CC1"/>
    <w:rsid w:val="00E700DF"/>
    <w:rsid w:val="00E750C2"/>
    <w:rsid w:val="00E8033E"/>
    <w:rsid w:val="00E8120F"/>
    <w:rsid w:val="00E81EF7"/>
    <w:rsid w:val="00E95135"/>
    <w:rsid w:val="00E95518"/>
    <w:rsid w:val="00EA05A3"/>
    <w:rsid w:val="00EA48A7"/>
    <w:rsid w:val="00EA5E2E"/>
    <w:rsid w:val="00EC75EF"/>
    <w:rsid w:val="00ED211F"/>
    <w:rsid w:val="00ED32F7"/>
    <w:rsid w:val="00ED7CF6"/>
    <w:rsid w:val="00EE00E7"/>
    <w:rsid w:val="00EF3885"/>
    <w:rsid w:val="00F039DF"/>
    <w:rsid w:val="00F06A1A"/>
    <w:rsid w:val="00F15A33"/>
    <w:rsid w:val="00F2168B"/>
    <w:rsid w:val="00F220C0"/>
    <w:rsid w:val="00F30CE8"/>
    <w:rsid w:val="00F31352"/>
    <w:rsid w:val="00F31A04"/>
    <w:rsid w:val="00F330FC"/>
    <w:rsid w:val="00F357EC"/>
    <w:rsid w:val="00F4036E"/>
    <w:rsid w:val="00F40660"/>
    <w:rsid w:val="00F5536A"/>
    <w:rsid w:val="00F61615"/>
    <w:rsid w:val="00F6270E"/>
    <w:rsid w:val="00F673C1"/>
    <w:rsid w:val="00F700FE"/>
    <w:rsid w:val="00F80E45"/>
    <w:rsid w:val="00F83A7F"/>
    <w:rsid w:val="00F841A7"/>
    <w:rsid w:val="00FC77DC"/>
    <w:rsid w:val="00FD1F81"/>
    <w:rsid w:val="00FE1E61"/>
    <w:rsid w:val="00FE37B9"/>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E4172"/>
    <w:pPr>
      <w:keepNext/>
      <w:spacing w:line="360" w:lineRule="auto"/>
      <w:jc w:val="center"/>
      <w:outlineLvl w:val="0"/>
    </w:pPr>
    <w:rPr>
      <w:rFonts w:ascii="Arial" w:hAnsi="Arial"/>
      <w:b/>
      <w:szCs w:val="20"/>
      <w:u w:val="single"/>
    </w:rPr>
  </w:style>
  <w:style w:type="paragraph" w:styleId="Heading2">
    <w:name w:val="heading 2"/>
    <w:basedOn w:val="Normal"/>
    <w:next w:val="Normal"/>
    <w:link w:val="Heading2Char"/>
    <w:unhideWhenUsed/>
    <w:qFormat/>
    <w:rsid w:val="00BE417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740"/>
    <w:pPr>
      <w:tabs>
        <w:tab w:val="center" w:pos="4320"/>
        <w:tab w:val="right" w:pos="8640"/>
      </w:tabs>
    </w:pPr>
  </w:style>
  <w:style w:type="paragraph" w:styleId="Footer">
    <w:name w:val="footer"/>
    <w:basedOn w:val="Normal"/>
    <w:link w:val="FooterChar"/>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F31352"/>
    <w:rPr>
      <w:rFonts w:ascii="Tahoma" w:hAnsi="Tahoma" w:cs="Tahoma"/>
      <w:sz w:val="16"/>
      <w:szCs w:val="16"/>
    </w:rPr>
  </w:style>
  <w:style w:type="character" w:customStyle="1" w:styleId="BalloonTextChar">
    <w:name w:val="Balloon Text Char"/>
    <w:link w:val="BalloonText"/>
    <w:rsid w:val="00F31352"/>
    <w:rPr>
      <w:rFonts w:ascii="Tahoma" w:hAnsi="Tahoma" w:cs="Tahoma"/>
      <w:sz w:val="16"/>
      <w:szCs w:val="16"/>
    </w:rPr>
  </w:style>
  <w:style w:type="paragraph" w:styleId="BodyTextIndent">
    <w:name w:val="Body Text Indent"/>
    <w:basedOn w:val="Normal"/>
    <w:link w:val="BodyTextIndentChar"/>
    <w:rsid w:val="00BE4172"/>
    <w:pPr>
      <w:spacing w:after="120"/>
      <w:ind w:left="360"/>
    </w:pPr>
  </w:style>
  <w:style w:type="character" w:customStyle="1" w:styleId="BodyTextIndentChar">
    <w:name w:val="Body Text Indent Char"/>
    <w:link w:val="BodyTextIndent"/>
    <w:rsid w:val="00BE4172"/>
    <w:rPr>
      <w:sz w:val="24"/>
      <w:szCs w:val="24"/>
    </w:rPr>
  </w:style>
  <w:style w:type="character" w:customStyle="1" w:styleId="Heading1Char">
    <w:name w:val="Heading 1 Char"/>
    <w:link w:val="Heading1"/>
    <w:rsid w:val="00BE4172"/>
    <w:rPr>
      <w:rFonts w:ascii="Arial" w:hAnsi="Arial"/>
      <w:b/>
      <w:sz w:val="24"/>
      <w:u w:val="single"/>
    </w:rPr>
  </w:style>
  <w:style w:type="character" w:customStyle="1" w:styleId="Heading2Char">
    <w:name w:val="Heading 2 Char"/>
    <w:link w:val="Heading2"/>
    <w:rsid w:val="00BE4172"/>
    <w:rPr>
      <w:rFonts w:ascii="Cambria" w:eastAsia="Times New Roman" w:hAnsi="Cambria" w:cs="Times New Roman"/>
      <w:b/>
      <w:bCs/>
      <w:i/>
      <w:iCs/>
      <w:sz w:val="28"/>
      <w:szCs w:val="28"/>
    </w:rPr>
  </w:style>
  <w:style w:type="paragraph" w:styleId="BodyTextIndent3">
    <w:name w:val="Body Text Indent 3"/>
    <w:basedOn w:val="Normal"/>
    <w:link w:val="BodyTextIndent3Char"/>
    <w:uiPriority w:val="99"/>
    <w:unhideWhenUsed/>
    <w:rsid w:val="00BE4172"/>
    <w:pPr>
      <w:spacing w:after="120"/>
      <w:ind w:left="360"/>
    </w:pPr>
    <w:rPr>
      <w:sz w:val="16"/>
      <w:szCs w:val="16"/>
    </w:rPr>
  </w:style>
  <w:style w:type="character" w:customStyle="1" w:styleId="BodyTextIndent3Char">
    <w:name w:val="Body Text Indent 3 Char"/>
    <w:link w:val="BodyTextIndent3"/>
    <w:rsid w:val="00BE4172"/>
    <w:rPr>
      <w:sz w:val="16"/>
      <w:szCs w:val="16"/>
    </w:rPr>
  </w:style>
  <w:style w:type="paragraph" w:styleId="BodyText3">
    <w:name w:val="Body Text 3"/>
    <w:basedOn w:val="Normal"/>
    <w:link w:val="BodyText3Char"/>
    <w:uiPriority w:val="99"/>
    <w:unhideWhenUsed/>
    <w:rsid w:val="00BE4172"/>
    <w:pPr>
      <w:spacing w:after="120"/>
    </w:pPr>
    <w:rPr>
      <w:sz w:val="16"/>
      <w:szCs w:val="16"/>
    </w:rPr>
  </w:style>
  <w:style w:type="character" w:customStyle="1" w:styleId="BodyText3Char">
    <w:name w:val="Body Text 3 Char"/>
    <w:link w:val="BodyText3"/>
    <w:uiPriority w:val="99"/>
    <w:rsid w:val="00BE4172"/>
    <w:rPr>
      <w:sz w:val="16"/>
      <w:szCs w:val="16"/>
    </w:rPr>
  </w:style>
  <w:style w:type="paragraph" w:styleId="EndnoteText">
    <w:name w:val="endnote text"/>
    <w:basedOn w:val="Normal"/>
    <w:link w:val="EndnoteTextChar"/>
    <w:rsid w:val="00C16F56"/>
    <w:rPr>
      <w:sz w:val="20"/>
      <w:szCs w:val="20"/>
    </w:rPr>
  </w:style>
  <w:style w:type="character" w:customStyle="1" w:styleId="EndnoteTextChar">
    <w:name w:val="Endnote Text Char"/>
    <w:basedOn w:val="DefaultParagraphFont"/>
    <w:link w:val="EndnoteText"/>
    <w:rsid w:val="00C16F56"/>
  </w:style>
  <w:style w:type="character" w:styleId="EndnoteReference">
    <w:name w:val="endnote reference"/>
    <w:rsid w:val="00C16F56"/>
    <w:rPr>
      <w:vertAlign w:val="superscript"/>
    </w:rPr>
  </w:style>
  <w:style w:type="character" w:customStyle="1" w:styleId="FooterChar">
    <w:name w:val="Footer Char"/>
    <w:link w:val="Footer"/>
    <w:uiPriority w:val="99"/>
    <w:rsid w:val="00562293"/>
    <w:rPr>
      <w:sz w:val="24"/>
      <w:szCs w:val="24"/>
    </w:rPr>
  </w:style>
  <w:style w:type="character" w:customStyle="1" w:styleId="HeaderChar">
    <w:name w:val="Header Char"/>
    <w:link w:val="Header"/>
    <w:rsid w:val="001D45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022D-EBA7-4A1D-8873-7AAA6748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6592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2015-02-12T15:22:00Z</dcterms:created>
  <dc:creator>JO'Brien</dc:creator>
  <lastModifiedBy/>
  <lastPrinted>2014-03-12T14:30:00Z</lastPrinted>
  <dcterms:modified xsi:type="dcterms:W3CDTF">2015-02-13T19:06:00Z</dcterms:modified>
  <revision>4</revision>
  <dc:title>COMMONWEALTH OF MASSACHUSETTS</dc:title>
</coreProperties>
</file>